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E85721" w:rsidRPr="00B775FE" w14:paraId="30491781" w14:textId="77777777" w:rsidTr="00AF3EA4">
        <w:trPr>
          <w:trHeight w:hRule="exact" w:val="418"/>
          <w:jc w:val="center"/>
        </w:trPr>
        <w:tc>
          <w:tcPr>
            <w:tcW w:w="8523" w:type="dxa"/>
            <w:gridSpan w:val="2"/>
          </w:tcPr>
          <w:p w14:paraId="1FF5B5B8" w14:textId="77777777" w:rsidR="00E85721" w:rsidRPr="00B775FE" w:rsidRDefault="00E85721" w:rsidP="00004AF0">
            <w:pPr>
              <w:pStyle w:val="a3"/>
              <w:jc w:val="center"/>
              <w:rPr>
                <w:rFonts w:ascii="Tahoma" w:hAnsi="Tahoma"/>
                <w:color w:val="000080"/>
                <w:sz w:val="32"/>
                <w:szCs w:val="32"/>
                <w:rtl/>
              </w:rPr>
            </w:pPr>
            <w:bookmarkStart w:id="0" w:name="LastJudge"/>
            <w:r w:rsidRPr="00B775FE">
              <w:rPr>
                <w:rFonts w:ascii="Tahoma" w:hAnsi="Tahoma"/>
                <w:b/>
                <w:bCs/>
                <w:color w:val="000080"/>
                <w:sz w:val="32"/>
                <w:szCs w:val="32"/>
                <w:rtl/>
              </w:rPr>
              <w:t>בית משפט השלום בתל אביב - יפו</w:t>
            </w:r>
          </w:p>
        </w:tc>
      </w:tr>
      <w:tr w:rsidR="00E85721" w:rsidRPr="00B775FE" w14:paraId="7E4C1C12" w14:textId="77777777" w:rsidTr="00AF3EA4">
        <w:trPr>
          <w:trHeight w:val="337"/>
          <w:jc w:val="center"/>
        </w:trPr>
        <w:tc>
          <w:tcPr>
            <w:tcW w:w="4945" w:type="dxa"/>
          </w:tcPr>
          <w:p w14:paraId="7F178A86" w14:textId="77777777" w:rsidR="00E85721" w:rsidRPr="00B775FE" w:rsidRDefault="00E85721" w:rsidP="00004AF0">
            <w:pPr>
              <w:rPr>
                <w:sz w:val="26"/>
                <w:szCs w:val="26"/>
                <w:rtl/>
              </w:rPr>
            </w:pPr>
            <w:r w:rsidRPr="00B775FE">
              <w:rPr>
                <w:sz w:val="26"/>
                <w:szCs w:val="26"/>
                <w:rtl/>
              </w:rPr>
              <w:t>ת"פ</w:t>
            </w:r>
            <w:r w:rsidRPr="00B775FE">
              <w:rPr>
                <w:rFonts w:hint="cs"/>
                <w:sz w:val="26"/>
                <w:szCs w:val="26"/>
                <w:rtl/>
              </w:rPr>
              <w:t xml:space="preserve"> </w:t>
            </w:r>
            <w:r w:rsidRPr="00B775FE">
              <w:rPr>
                <w:sz w:val="26"/>
                <w:szCs w:val="26"/>
                <w:rtl/>
              </w:rPr>
              <w:t>80761-01-19</w:t>
            </w:r>
            <w:r w:rsidRPr="00B775FE">
              <w:rPr>
                <w:rFonts w:hint="cs"/>
                <w:sz w:val="26"/>
                <w:szCs w:val="26"/>
                <w:rtl/>
              </w:rPr>
              <w:t xml:space="preserve"> </w:t>
            </w:r>
            <w:r w:rsidRPr="00B775FE">
              <w:rPr>
                <w:sz w:val="26"/>
                <w:szCs w:val="26"/>
                <w:rtl/>
              </w:rPr>
              <w:t>מדינת ישראל נ' פרץ</w:t>
            </w:r>
          </w:p>
        </w:tc>
        <w:tc>
          <w:tcPr>
            <w:tcW w:w="3578" w:type="dxa"/>
          </w:tcPr>
          <w:p w14:paraId="452A2EA4" w14:textId="77777777" w:rsidR="00E85721" w:rsidRPr="00B775FE" w:rsidRDefault="00E85721" w:rsidP="00004AF0">
            <w:pPr>
              <w:pStyle w:val="a3"/>
              <w:jc w:val="right"/>
              <w:rPr>
                <w:rFonts w:cs="FrankRuehl"/>
                <w:sz w:val="28"/>
                <w:szCs w:val="28"/>
                <w:rtl/>
              </w:rPr>
            </w:pPr>
          </w:p>
        </w:tc>
      </w:tr>
    </w:tbl>
    <w:p w14:paraId="48DDDE37" w14:textId="77777777" w:rsidR="00E85721" w:rsidRPr="00B775FE" w:rsidRDefault="00E85721" w:rsidP="00E85721">
      <w:pPr>
        <w:pStyle w:val="a3"/>
        <w:rPr>
          <w:rtl/>
        </w:rPr>
      </w:pPr>
      <w:r w:rsidRPr="00B775FE">
        <w:rPr>
          <w:rFonts w:hint="cs"/>
          <w:rtl/>
        </w:rPr>
        <w:t xml:space="preserve"> </w:t>
      </w:r>
    </w:p>
    <w:p w14:paraId="02A2D19B" w14:textId="77777777" w:rsidR="00E85721" w:rsidRPr="00B775FE" w:rsidRDefault="00E85721" w:rsidP="00E85721">
      <w:pPr>
        <w:rPr>
          <w:rtl/>
        </w:rPr>
      </w:pPr>
    </w:p>
    <w:p w14:paraId="3B4FD0D2" w14:textId="77777777" w:rsidR="00E85721" w:rsidRPr="00B775FE" w:rsidRDefault="00E85721" w:rsidP="00E8572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
        <w:gridCol w:w="4181"/>
        <w:gridCol w:w="3344"/>
      </w:tblGrid>
      <w:tr w:rsidR="00E85721" w:rsidRPr="00B775FE" w14:paraId="3A6FCD3C" w14:textId="77777777" w:rsidTr="00E85721">
        <w:trPr>
          <w:trHeight w:val="295"/>
          <w:jc w:val="center"/>
        </w:trPr>
        <w:tc>
          <w:tcPr>
            <w:tcW w:w="8820" w:type="dxa"/>
            <w:gridSpan w:val="3"/>
            <w:tcBorders>
              <w:top w:val="nil"/>
              <w:left w:val="nil"/>
              <w:bottom w:val="nil"/>
              <w:right w:val="nil"/>
            </w:tcBorders>
            <w:shd w:val="clear" w:color="auto" w:fill="auto"/>
          </w:tcPr>
          <w:p w14:paraId="000AD3E6" w14:textId="77777777" w:rsidR="00E85721" w:rsidRPr="00B775FE" w:rsidRDefault="00E85721" w:rsidP="00E85721">
            <w:pPr>
              <w:jc w:val="both"/>
              <w:rPr>
                <w:rFonts w:ascii="Arial" w:hAnsi="Arial"/>
                <w:b/>
                <w:bCs/>
                <w:sz w:val="26"/>
                <w:szCs w:val="26"/>
                <w:rtl/>
              </w:rPr>
            </w:pPr>
            <w:r w:rsidRPr="00B775FE">
              <w:rPr>
                <w:rFonts w:ascii="Arial" w:hAnsi="Arial" w:hint="cs"/>
                <w:b/>
                <w:bCs/>
                <w:sz w:val="26"/>
                <w:szCs w:val="26"/>
                <w:rtl/>
              </w:rPr>
              <w:t>ל</w:t>
            </w:r>
            <w:r w:rsidRPr="00B775FE">
              <w:rPr>
                <w:rFonts w:ascii="Arial" w:hAnsi="Arial"/>
                <w:b/>
                <w:bCs/>
                <w:sz w:val="26"/>
                <w:szCs w:val="26"/>
                <w:rtl/>
              </w:rPr>
              <w:t xml:space="preserve">פני </w:t>
            </w:r>
            <w:r w:rsidRPr="00B775FE">
              <w:rPr>
                <w:rFonts w:ascii="Arial" w:hAnsi="Arial" w:hint="cs"/>
                <w:b/>
                <w:bCs/>
                <w:sz w:val="26"/>
                <w:szCs w:val="26"/>
                <w:rtl/>
              </w:rPr>
              <w:t>כבוד ה</w:t>
            </w:r>
            <w:r w:rsidRPr="00B775FE">
              <w:rPr>
                <w:rFonts w:ascii="Arial" w:hAnsi="Arial"/>
                <w:b/>
                <w:bCs/>
                <w:sz w:val="26"/>
                <w:szCs w:val="26"/>
                <w:rtl/>
              </w:rPr>
              <w:t>שופט</w:t>
            </w:r>
            <w:r w:rsidRPr="00B775FE">
              <w:rPr>
                <w:rFonts w:ascii="Arial" w:hAnsi="Arial" w:hint="cs"/>
                <w:b/>
                <w:bCs/>
                <w:sz w:val="26"/>
                <w:szCs w:val="26"/>
                <w:rtl/>
              </w:rPr>
              <w:t xml:space="preserve">  </w:t>
            </w:r>
            <w:r w:rsidRPr="00B775FE">
              <w:rPr>
                <w:rFonts w:ascii="Arial" w:hAnsi="Arial"/>
                <w:b/>
                <w:bCs/>
                <w:sz w:val="26"/>
                <w:szCs w:val="26"/>
                <w:rtl/>
              </w:rPr>
              <w:t>רועי פרי</w:t>
            </w:r>
          </w:p>
        </w:tc>
      </w:tr>
      <w:tr w:rsidR="00E85721" w:rsidRPr="00B775FE" w14:paraId="74BB03D8" w14:textId="77777777" w:rsidTr="00E85721">
        <w:trPr>
          <w:trHeight w:val="355"/>
          <w:jc w:val="center"/>
        </w:trPr>
        <w:tc>
          <w:tcPr>
            <w:tcW w:w="885" w:type="dxa"/>
            <w:tcBorders>
              <w:top w:val="nil"/>
              <w:left w:val="nil"/>
              <w:bottom w:val="nil"/>
              <w:right w:val="nil"/>
            </w:tcBorders>
            <w:shd w:val="clear" w:color="auto" w:fill="auto"/>
          </w:tcPr>
          <w:p w14:paraId="6E2156DB" w14:textId="77777777" w:rsidR="00E85721" w:rsidRPr="00B775FE" w:rsidRDefault="00E85721" w:rsidP="00E85721">
            <w:pPr>
              <w:jc w:val="both"/>
              <w:rPr>
                <w:rFonts w:ascii="Arial" w:hAnsi="Arial"/>
                <w:sz w:val="26"/>
                <w:szCs w:val="26"/>
                <w:rtl/>
              </w:rPr>
            </w:pPr>
            <w:bookmarkStart w:id="1" w:name="FirstAppellant"/>
          </w:p>
          <w:p w14:paraId="100DF1CB" w14:textId="77777777" w:rsidR="00E85721" w:rsidRPr="00B775FE" w:rsidRDefault="00E85721" w:rsidP="00E85721">
            <w:pPr>
              <w:jc w:val="both"/>
              <w:rPr>
                <w:rFonts w:ascii="Arial" w:hAnsi="Arial"/>
                <w:sz w:val="26"/>
                <w:szCs w:val="26"/>
                <w:rtl/>
              </w:rPr>
            </w:pPr>
          </w:p>
          <w:p w14:paraId="0201B152" w14:textId="77777777" w:rsidR="00E85721" w:rsidRPr="00B775FE" w:rsidRDefault="00E85721" w:rsidP="00E85721">
            <w:pPr>
              <w:jc w:val="both"/>
              <w:rPr>
                <w:rFonts w:ascii="Arial" w:hAnsi="Arial"/>
                <w:b/>
                <w:bCs/>
                <w:sz w:val="26"/>
                <w:szCs w:val="26"/>
              </w:rPr>
            </w:pPr>
            <w:r w:rsidRPr="00B775FE">
              <w:rPr>
                <w:rFonts w:ascii="Arial" w:hAnsi="Arial" w:hint="cs"/>
                <w:sz w:val="26"/>
                <w:szCs w:val="26"/>
                <w:rtl/>
              </w:rPr>
              <w:t>ה</w:t>
            </w:r>
            <w:r w:rsidRPr="00B775FE">
              <w:rPr>
                <w:rFonts w:ascii="Arial" w:hAnsi="Arial"/>
                <w:sz w:val="26"/>
                <w:szCs w:val="26"/>
                <w:rtl/>
              </w:rPr>
              <w:t>מאשימה</w:t>
            </w:r>
            <w:r w:rsidRPr="00B775FE">
              <w:rPr>
                <w:rFonts w:hint="cs"/>
                <w:sz w:val="26"/>
                <w:szCs w:val="26"/>
                <w:rtl/>
              </w:rPr>
              <w:t>:</w:t>
            </w:r>
          </w:p>
        </w:tc>
        <w:tc>
          <w:tcPr>
            <w:tcW w:w="4384" w:type="dxa"/>
            <w:tcBorders>
              <w:top w:val="nil"/>
              <w:left w:val="nil"/>
              <w:bottom w:val="nil"/>
              <w:right w:val="nil"/>
            </w:tcBorders>
            <w:shd w:val="clear" w:color="auto" w:fill="auto"/>
          </w:tcPr>
          <w:p w14:paraId="15FC4F96" w14:textId="77777777" w:rsidR="00E85721" w:rsidRPr="00B775FE" w:rsidRDefault="00E85721" w:rsidP="00004AF0">
            <w:pPr>
              <w:rPr>
                <w:sz w:val="26"/>
                <w:szCs w:val="26"/>
                <w:rtl/>
              </w:rPr>
            </w:pPr>
            <w:r w:rsidRPr="00B775FE">
              <w:rPr>
                <w:sz w:val="26"/>
                <w:szCs w:val="26"/>
                <w:rtl/>
              </w:rPr>
              <w:br/>
            </w:r>
            <w:r w:rsidRPr="00B775FE">
              <w:rPr>
                <w:rFonts w:ascii="Arial" w:hAnsi="Arial"/>
                <w:sz w:val="26"/>
                <w:szCs w:val="26"/>
                <w:rtl/>
              </w:rPr>
              <w:br/>
              <w:t>מדינת ישראל</w:t>
            </w:r>
          </w:p>
          <w:p w14:paraId="0B85FB33" w14:textId="77777777" w:rsidR="00E85721" w:rsidRPr="00B775FE" w:rsidRDefault="00E85721" w:rsidP="00004AF0">
            <w:pPr>
              <w:rPr>
                <w:sz w:val="26"/>
                <w:szCs w:val="26"/>
                <w:rtl/>
              </w:rPr>
            </w:pPr>
            <w:r w:rsidRPr="00B775FE">
              <w:rPr>
                <w:rFonts w:hint="cs"/>
                <w:sz w:val="26"/>
                <w:szCs w:val="26"/>
                <w:rtl/>
              </w:rPr>
              <w:t>באמצעות תביעות תל אביב</w:t>
            </w:r>
          </w:p>
          <w:p w14:paraId="2E028582" w14:textId="77777777" w:rsidR="00E85721" w:rsidRPr="00B775FE" w:rsidRDefault="00E85721" w:rsidP="00004AF0">
            <w:pPr>
              <w:rPr>
                <w:sz w:val="26"/>
                <w:szCs w:val="26"/>
              </w:rPr>
            </w:pPr>
            <w:r w:rsidRPr="00B775FE">
              <w:rPr>
                <w:rFonts w:hint="cs"/>
                <w:sz w:val="26"/>
                <w:szCs w:val="26"/>
                <w:rtl/>
              </w:rPr>
              <w:t>ע"י עו"ד רעות בן משה</w:t>
            </w:r>
          </w:p>
        </w:tc>
        <w:tc>
          <w:tcPr>
            <w:tcW w:w="3551" w:type="dxa"/>
            <w:tcBorders>
              <w:top w:val="nil"/>
              <w:left w:val="nil"/>
              <w:bottom w:val="nil"/>
              <w:right w:val="nil"/>
            </w:tcBorders>
            <w:shd w:val="clear" w:color="auto" w:fill="auto"/>
          </w:tcPr>
          <w:p w14:paraId="31C8859F" w14:textId="77777777" w:rsidR="00E85721" w:rsidRPr="00B775FE" w:rsidRDefault="00E85721" w:rsidP="00E85721">
            <w:pPr>
              <w:jc w:val="both"/>
              <w:rPr>
                <w:rFonts w:ascii="Arial" w:hAnsi="Arial"/>
                <w:sz w:val="26"/>
                <w:szCs w:val="26"/>
              </w:rPr>
            </w:pPr>
          </w:p>
        </w:tc>
      </w:tr>
      <w:bookmarkEnd w:id="1"/>
      <w:tr w:rsidR="00E85721" w:rsidRPr="00B775FE" w14:paraId="34150D07" w14:textId="77777777" w:rsidTr="00E85721">
        <w:trPr>
          <w:trHeight w:val="373"/>
          <w:jc w:val="center"/>
        </w:trPr>
        <w:tc>
          <w:tcPr>
            <w:tcW w:w="885" w:type="dxa"/>
            <w:tcBorders>
              <w:top w:val="nil"/>
              <w:left w:val="nil"/>
              <w:bottom w:val="nil"/>
              <w:right w:val="nil"/>
            </w:tcBorders>
            <w:shd w:val="clear" w:color="auto" w:fill="auto"/>
          </w:tcPr>
          <w:p w14:paraId="458F6290" w14:textId="77777777" w:rsidR="00E85721" w:rsidRPr="00B775FE" w:rsidRDefault="00E85721" w:rsidP="00E85721">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28C51A23" w14:textId="77777777" w:rsidR="00E85721" w:rsidRPr="00B775FE" w:rsidRDefault="00E85721" w:rsidP="00E85721">
            <w:pPr>
              <w:jc w:val="center"/>
              <w:rPr>
                <w:rFonts w:ascii="Arial" w:hAnsi="Arial"/>
                <w:b/>
                <w:bCs/>
                <w:sz w:val="26"/>
                <w:szCs w:val="26"/>
                <w:rtl/>
              </w:rPr>
            </w:pPr>
          </w:p>
          <w:p w14:paraId="2C8872CE" w14:textId="77777777" w:rsidR="00E85721" w:rsidRPr="00B775FE" w:rsidRDefault="00E85721" w:rsidP="00E85721">
            <w:pPr>
              <w:jc w:val="center"/>
              <w:rPr>
                <w:rFonts w:ascii="Arial" w:hAnsi="Arial"/>
                <w:b/>
                <w:bCs/>
                <w:sz w:val="26"/>
                <w:szCs w:val="26"/>
                <w:rtl/>
              </w:rPr>
            </w:pPr>
            <w:r w:rsidRPr="00B775FE">
              <w:rPr>
                <w:rFonts w:ascii="Arial" w:hAnsi="Arial"/>
                <w:b/>
                <w:bCs/>
                <w:sz w:val="26"/>
                <w:szCs w:val="26"/>
                <w:rtl/>
              </w:rPr>
              <w:t>נגד</w:t>
            </w:r>
          </w:p>
          <w:p w14:paraId="09A90442" w14:textId="77777777" w:rsidR="00E85721" w:rsidRPr="00B775FE" w:rsidRDefault="00E85721" w:rsidP="00E85721">
            <w:pPr>
              <w:jc w:val="both"/>
              <w:rPr>
                <w:rFonts w:ascii="Arial" w:hAnsi="Arial"/>
                <w:sz w:val="26"/>
                <w:szCs w:val="26"/>
              </w:rPr>
            </w:pPr>
          </w:p>
        </w:tc>
      </w:tr>
      <w:tr w:rsidR="00E85721" w:rsidRPr="00B775FE" w14:paraId="367C3C6E" w14:textId="77777777" w:rsidTr="00E85721">
        <w:trPr>
          <w:trHeight w:val="355"/>
          <w:jc w:val="center"/>
        </w:trPr>
        <w:tc>
          <w:tcPr>
            <w:tcW w:w="885" w:type="dxa"/>
            <w:tcBorders>
              <w:top w:val="nil"/>
              <w:left w:val="nil"/>
              <w:bottom w:val="nil"/>
              <w:right w:val="nil"/>
            </w:tcBorders>
            <w:shd w:val="clear" w:color="auto" w:fill="auto"/>
          </w:tcPr>
          <w:p w14:paraId="26A19019" w14:textId="77777777" w:rsidR="00E85721" w:rsidRPr="00B775FE" w:rsidRDefault="00E85721" w:rsidP="00004AF0">
            <w:pPr>
              <w:rPr>
                <w:rFonts w:ascii="Arial" w:hAnsi="Arial"/>
                <w:sz w:val="26"/>
                <w:szCs w:val="26"/>
                <w:rtl/>
              </w:rPr>
            </w:pPr>
            <w:bookmarkStart w:id="2" w:name="FirstLawyer"/>
            <w:r w:rsidRPr="00B775FE">
              <w:rPr>
                <w:rFonts w:ascii="Arial" w:hAnsi="Arial" w:hint="cs"/>
                <w:sz w:val="26"/>
                <w:szCs w:val="26"/>
                <w:rtl/>
              </w:rPr>
              <w:t>ה</w:t>
            </w:r>
            <w:r w:rsidRPr="00B775FE">
              <w:rPr>
                <w:rFonts w:ascii="Arial" w:hAnsi="Arial"/>
                <w:sz w:val="26"/>
                <w:szCs w:val="26"/>
                <w:rtl/>
              </w:rPr>
              <w:t>נאשם</w:t>
            </w:r>
            <w:r w:rsidRPr="00B775FE">
              <w:rPr>
                <w:rFonts w:ascii="Arial" w:hAnsi="Arial" w:hint="cs"/>
                <w:sz w:val="26"/>
                <w:szCs w:val="26"/>
                <w:rtl/>
              </w:rPr>
              <w:t>:</w:t>
            </w:r>
          </w:p>
        </w:tc>
        <w:tc>
          <w:tcPr>
            <w:tcW w:w="4384" w:type="dxa"/>
            <w:tcBorders>
              <w:top w:val="nil"/>
              <w:left w:val="nil"/>
              <w:bottom w:val="nil"/>
              <w:right w:val="nil"/>
            </w:tcBorders>
            <w:shd w:val="clear" w:color="auto" w:fill="auto"/>
          </w:tcPr>
          <w:p w14:paraId="1F21DEA9" w14:textId="77777777" w:rsidR="00E85721" w:rsidRPr="00B775FE" w:rsidRDefault="00E85721" w:rsidP="00004AF0">
            <w:pPr>
              <w:rPr>
                <w:sz w:val="26"/>
                <w:szCs w:val="26"/>
                <w:rtl/>
              </w:rPr>
            </w:pPr>
            <w:r w:rsidRPr="00B775FE">
              <w:rPr>
                <w:rFonts w:ascii="Arial" w:hAnsi="Arial"/>
                <w:sz w:val="26"/>
                <w:szCs w:val="26"/>
                <w:rtl/>
              </w:rPr>
              <w:t>מרדכי פרץ</w:t>
            </w:r>
          </w:p>
          <w:p w14:paraId="7167A91F" w14:textId="77777777" w:rsidR="00E85721" w:rsidRPr="00B775FE" w:rsidRDefault="00E85721" w:rsidP="00004AF0">
            <w:pPr>
              <w:rPr>
                <w:sz w:val="26"/>
                <w:szCs w:val="26"/>
                <w:rtl/>
              </w:rPr>
            </w:pPr>
            <w:r w:rsidRPr="00B775FE">
              <w:rPr>
                <w:rFonts w:hint="cs"/>
                <w:sz w:val="26"/>
                <w:szCs w:val="26"/>
                <w:rtl/>
              </w:rPr>
              <w:t>ע"י ב"כ עו"ד שני דרי</w:t>
            </w:r>
          </w:p>
        </w:tc>
        <w:tc>
          <w:tcPr>
            <w:tcW w:w="3551" w:type="dxa"/>
            <w:tcBorders>
              <w:top w:val="nil"/>
              <w:left w:val="nil"/>
              <w:bottom w:val="nil"/>
              <w:right w:val="nil"/>
            </w:tcBorders>
            <w:shd w:val="clear" w:color="auto" w:fill="auto"/>
          </w:tcPr>
          <w:p w14:paraId="30CFFF27" w14:textId="77777777" w:rsidR="00E85721" w:rsidRPr="00B775FE" w:rsidRDefault="00E85721" w:rsidP="00E85721">
            <w:pPr>
              <w:jc w:val="right"/>
              <w:rPr>
                <w:rFonts w:ascii="Arial" w:hAnsi="Arial"/>
                <w:sz w:val="26"/>
                <w:szCs w:val="26"/>
              </w:rPr>
            </w:pPr>
          </w:p>
        </w:tc>
      </w:tr>
      <w:bookmarkEnd w:id="2"/>
    </w:tbl>
    <w:p w14:paraId="572729D1" w14:textId="77777777" w:rsidR="00AF3EA4" w:rsidRDefault="00AF3EA4" w:rsidP="00B775FE">
      <w:pPr>
        <w:rPr>
          <w:rtl/>
        </w:rPr>
      </w:pPr>
    </w:p>
    <w:p w14:paraId="147C194F" w14:textId="77777777" w:rsidR="00AF3EA4" w:rsidRPr="00AF3EA4" w:rsidRDefault="00AF3EA4" w:rsidP="00AF3EA4">
      <w:pPr>
        <w:spacing w:after="120" w:line="240" w:lineRule="exact"/>
        <w:ind w:left="283" w:hanging="283"/>
        <w:jc w:val="both"/>
        <w:rPr>
          <w:rFonts w:ascii="FrankRuehl" w:hAnsi="FrankRuehl" w:cs="FrankRuehl"/>
          <w:rtl/>
        </w:rPr>
      </w:pPr>
    </w:p>
    <w:p w14:paraId="77E3B221" w14:textId="77777777" w:rsidR="008B4AF9" w:rsidRDefault="008B4AF9" w:rsidP="008B4AF9">
      <w:pPr>
        <w:rPr>
          <w:rtl/>
        </w:rPr>
      </w:pPr>
      <w:bookmarkStart w:id="3" w:name="LawTable"/>
      <w:bookmarkEnd w:id="3"/>
    </w:p>
    <w:p w14:paraId="7535924C" w14:textId="77777777" w:rsidR="008B4AF9" w:rsidRPr="008B4AF9" w:rsidRDefault="008B4AF9" w:rsidP="008B4AF9">
      <w:pPr>
        <w:spacing w:before="120" w:after="120" w:line="240" w:lineRule="exact"/>
        <w:ind w:left="283" w:hanging="283"/>
        <w:jc w:val="both"/>
        <w:rPr>
          <w:rFonts w:ascii="FrankRuehl" w:hAnsi="FrankRuehl" w:cs="FrankRuehl"/>
          <w:rtl/>
        </w:rPr>
      </w:pPr>
    </w:p>
    <w:p w14:paraId="233A669F" w14:textId="77777777" w:rsidR="008B4AF9" w:rsidRPr="008B4AF9" w:rsidRDefault="008B4AF9" w:rsidP="008B4AF9">
      <w:pPr>
        <w:spacing w:before="120" w:after="120" w:line="240" w:lineRule="exact"/>
        <w:ind w:left="283" w:hanging="283"/>
        <w:jc w:val="both"/>
        <w:rPr>
          <w:rFonts w:ascii="FrankRuehl" w:hAnsi="FrankRuehl" w:cs="FrankRuehl"/>
          <w:rtl/>
        </w:rPr>
      </w:pPr>
    </w:p>
    <w:p w14:paraId="127FA2BA" w14:textId="77777777" w:rsidR="008B4AF9" w:rsidRPr="008B4AF9" w:rsidRDefault="008B4AF9" w:rsidP="008B4AF9">
      <w:pPr>
        <w:spacing w:before="120" w:after="120" w:line="240" w:lineRule="exact"/>
        <w:ind w:left="283" w:hanging="283"/>
        <w:jc w:val="both"/>
        <w:rPr>
          <w:rFonts w:ascii="FrankRuehl" w:hAnsi="FrankRuehl" w:cs="FrankRuehl"/>
          <w:rtl/>
        </w:rPr>
      </w:pPr>
      <w:r w:rsidRPr="008B4AF9">
        <w:rPr>
          <w:rFonts w:ascii="FrankRuehl" w:hAnsi="FrankRuehl" w:cs="FrankRuehl"/>
          <w:rtl/>
        </w:rPr>
        <w:t xml:space="preserve">חקיקה שאוזכרה: </w:t>
      </w:r>
    </w:p>
    <w:p w14:paraId="45927F8E" w14:textId="77777777" w:rsidR="008B4AF9" w:rsidRPr="008B4AF9" w:rsidRDefault="008B4AF9" w:rsidP="008B4AF9">
      <w:pPr>
        <w:spacing w:before="120" w:after="120" w:line="240" w:lineRule="exact"/>
        <w:ind w:left="283" w:hanging="283"/>
        <w:jc w:val="both"/>
        <w:rPr>
          <w:rFonts w:ascii="FrankRuehl" w:hAnsi="FrankRuehl" w:cs="FrankRuehl"/>
          <w:rtl/>
        </w:rPr>
      </w:pPr>
      <w:hyperlink r:id="rId7" w:history="1">
        <w:r w:rsidRPr="008B4AF9">
          <w:rPr>
            <w:rFonts w:ascii="FrankRuehl" w:hAnsi="FrankRuehl" w:cs="FrankRuehl"/>
            <w:color w:val="0000FF"/>
            <w:rtl/>
          </w:rPr>
          <w:t>פקודת הסמים המסוכנים [נוסח חדש], תשל"ג-1973</w:t>
        </w:r>
      </w:hyperlink>
      <w:r w:rsidRPr="008B4AF9">
        <w:rPr>
          <w:rFonts w:ascii="FrankRuehl" w:hAnsi="FrankRuehl" w:cs="FrankRuehl"/>
          <w:rtl/>
        </w:rPr>
        <w:t xml:space="preserve">: סע'  </w:t>
      </w:r>
      <w:hyperlink r:id="rId8" w:history="1">
        <w:r w:rsidRPr="008B4AF9">
          <w:rPr>
            <w:rFonts w:ascii="FrankRuehl" w:hAnsi="FrankRuehl" w:cs="FrankRuehl"/>
            <w:color w:val="0000FF"/>
            <w:rtl/>
          </w:rPr>
          <w:t>7.א.</w:t>
        </w:r>
      </w:hyperlink>
      <w:r w:rsidRPr="008B4AF9">
        <w:rPr>
          <w:rFonts w:ascii="FrankRuehl" w:hAnsi="FrankRuehl" w:cs="FrankRuehl"/>
          <w:rtl/>
        </w:rPr>
        <w:t xml:space="preserve">, </w:t>
      </w:r>
      <w:hyperlink r:id="rId9" w:history="1">
        <w:r w:rsidRPr="008B4AF9">
          <w:rPr>
            <w:rFonts w:ascii="FrankRuehl" w:hAnsi="FrankRuehl" w:cs="FrankRuehl"/>
            <w:color w:val="0000FF"/>
            <w:rtl/>
          </w:rPr>
          <w:t>7.ג</w:t>
        </w:r>
      </w:hyperlink>
    </w:p>
    <w:p w14:paraId="20343717" w14:textId="77777777" w:rsidR="008B4AF9" w:rsidRPr="008B4AF9" w:rsidRDefault="008B4AF9" w:rsidP="008B4AF9">
      <w:pPr>
        <w:spacing w:before="120" w:after="120" w:line="240" w:lineRule="exact"/>
        <w:ind w:left="283" w:hanging="283"/>
        <w:jc w:val="both"/>
        <w:rPr>
          <w:rFonts w:ascii="FrankRuehl" w:hAnsi="FrankRuehl" w:cs="FrankRuehl"/>
          <w:rtl/>
        </w:rPr>
      </w:pPr>
      <w:hyperlink r:id="rId10" w:history="1">
        <w:r w:rsidRPr="008B4AF9">
          <w:rPr>
            <w:rFonts w:ascii="FrankRuehl" w:hAnsi="FrankRuehl" w:cs="FrankRuehl"/>
            <w:color w:val="0000FF"/>
            <w:rtl/>
          </w:rPr>
          <w:t>חוק העונשין, תשל"ז-1977</w:t>
        </w:r>
      </w:hyperlink>
      <w:r w:rsidRPr="008B4AF9">
        <w:rPr>
          <w:rFonts w:ascii="FrankRuehl" w:hAnsi="FrankRuehl" w:cs="FrankRuehl"/>
          <w:rtl/>
        </w:rPr>
        <w:t xml:space="preserve">: סע'  </w:t>
      </w:r>
      <w:hyperlink r:id="rId11" w:history="1">
        <w:r w:rsidRPr="008B4AF9">
          <w:rPr>
            <w:rFonts w:ascii="FrankRuehl" w:hAnsi="FrankRuehl" w:cs="FrankRuehl"/>
            <w:color w:val="0000FF"/>
            <w:rtl/>
          </w:rPr>
          <w:t>40ד</w:t>
        </w:r>
      </w:hyperlink>
      <w:r w:rsidRPr="008B4AF9">
        <w:rPr>
          <w:rFonts w:ascii="FrankRuehl" w:hAnsi="FrankRuehl" w:cs="FrankRuehl"/>
          <w:rtl/>
        </w:rPr>
        <w:t xml:space="preserve">, </w:t>
      </w:r>
      <w:hyperlink r:id="rId12" w:history="1">
        <w:r w:rsidRPr="008B4AF9">
          <w:rPr>
            <w:rFonts w:ascii="FrankRuehl" w:hAnsi="FrankRuehl" w:cs="FrankRuehl"/>
            <w:color w:val="0000FF"/>
            <w:rtl/>
          </w:rPr>
          <w:t>275</w:t>
        </w:r>
      </w:hyperlink>
    </w:p>
    <w:p w14:paraId="0E32324B" w14:textId="77777777" w:rsidR="008B4AF9" w:rsidRPr="008B4AF9" w:rsidRDefault="008B4AF9" w:rsidP="008B4AF9">
      <w:pPr>
        <w:rPr>
          <w:rtl/>
        </w:rPr>
      </w:pPr>
      <w:bookmarkStart w:id="4" w:name="LawTable_End"/>
      <w:bookmarkEnd w:id="4"/>
    </w:p>
    <w:p w14:paraId="36C01EEB" w14:textId="77777777" w:rsidR="00E85721" w:rsidRPr="00B775FE" w:rsidRDefault="00E85721" w:rsidP="00E8572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85721" w14:paraId="67FAD491" w14:textId="77777777" w:rsidTr="00E85721">
        <w:trPr>
          <w:trHeight w:val="355"/>
          <w:jc w:val="center"/>
        </w:trPr>
        <w:tc>
          <w:tcPr>
            <w:tcW w:w="8820" w:type="dxa"/>
            <w:tcBorders>
              <w:top w:val="nil"/>
              <w:left w:val="nil"/>
              <w:bottom w:val="nil"/>
              <w:right w:val="nil"/>
            </w:tcBorders>
            <w:shd w:val="clear" w:color="auto" w:fill="auto"/>
          </w:tcPr>
          <w:p w14:paraId="036EF5A4" w14:textId="77777777" w:rsidR="00B775FE" w:rsidRPr="00B775FE" w:rsidRDefault="00B775FE" w:rsidP="00B775FE">
            <w:pPr>
              <w:jc w:val="center"/>
              <w:rPr>
                <w:rFonts w:ascii="Arial" w:hAnsi="Arial"/>
                <w:b/>
                <w:bCs/>
                <w:sz w:val="32"/>
                <w:szCs w:val="32"/>
                <w:rtl/>
              </w:rPr>
            </w:pPr>
            <w:bookmarkStart w:id="5" w:name="PsakDin" w:colFirst="0" w:colLast="0"/>
            <w:bookmarkEnd w:id="0"/>
            <w:r w:rsidRPr="00B775FE">
              <w:rPr>
                <w:rFonts w:ascii="Arial" w:hAnsi="Arial"/>
                <w:b/>
                <w:bCs/>
                <w:sz w:val="32"/>
                <w:szCs w:val="32"/>
                <w:rtl/>
              </w:rPr>
              <w:t>גזר דין</w:t>
            </w:r>
          </w:p>
          <w:p w14:paraId="52D24701" w14:textId="77777777" w:rsidR="00E85721" w:rsidRPr="00B775FE" w:rsidRDefault="00E85721" w:rsidP="00B775FE">
            <w:pPr>
              <w:jc w:val="center"/>
              <w:rPr>
                <w:rFonts w:ascii="Arial" w:hAnsi="Arial"/>
                <w:bCs/>
                <w:sz w:val="32"/>
                <w:szCs w:val="32"/>
                <w:u w:val="single"/>
                <w:rtl/>
              </w:rPr>
            </w:pPr>
          </w:p>
        </w:tc>
      </w:tr>
      <w:bookmarkEnd w:id="5"/>
    </w:tbl>
    <w:p w14:paraId="1CB9AB66" w14:textId="77777777" w:rsidR="00E85721" w:rsidRPr="00B05847" w:rsidRDefault="00E85721" w:rsidP="00E85721">
      <w:pPr>
        <w:rPr>
          <w:rFonts w:ascii="Arial" w:hAnsi="Arial"/>
          <w:rtl/>
        </w:rPr>
      </w:pPr>
    </w:p>
    <w:p w14:paraId="19F1310A" w14:textId="77777777" w:rsidR="00E85721" w:rsidRPr="00F87613" w:rsidRDefault="00E85721" w:rsidP="00E85721">
      <w:pPr>
        <w:numPr>
          <w:ilvl w:val="0"/>
          <w:numId w:val="1"/>
        </w:numPr>
        <w:spacing w:line="360" w:lineRule="auto"/>
        <w:jc w:val="both"/>
        <w:rPr>
          <w:rtl/>
        </w:rPr>
      </w:pPr>
      <w:bookmarkStart w:id="6" w:name="ABSTRACT_START"/>
      <w:bookmarkEnd w:id="6"/>
      <w:r w:rsidRPr="00CE3DCC">
        <w:rPr>
          <w:rtl/>
        </w:rPr>
        <w:t xml:space="preserve">הנאשם הורשע </w:t>
      </w:r>
      <w:r>
        <w:rPr>
          <w:rFonts w:hint="cs"/>
          <w:rtl/>
        </w:rPr>
        <w:t>ע</w:t>
      </w:r>
      <w:r w:rsidRPr="00CE3DCC">
        <w:rPr>
          <w:rtl/>
        </w:rPr>
        <w:t>ל יסוד הודאתו, במסגרת הסדר טיעון דיוני,</w:t>
      </w:r>
      <w:r>
        <w:rPr>
          <w:rFonts w:hint="cs"/>
          <w:rtl/>
        </w:rPr>
        <w:t xml:space="preserve"> בכתב אישום מתוקן,</w:t>
      </w:r>
      <w:r w:rsidRPr="00CE3DCC">
        <w:rPr>
          <w:rtl/>
        </w:rPr>
        <w:t xml:space="preserve"> </w:t>
      </w:r>
      <w:r w:rsidRPr="00F87613">
        <w:rPr>
          <w:rtl/>
        </w:rPr>
        <w:t>בעביר</w:t>
      </w:r>
      <w:r>
        <w:rPr>
          <w:rFonts w:hint="cs"/>
          <w:rtl/>
        </w:rPr>
        <w:t xml:space="preserve">ה של </w:t>
      </w:r>
      <w:r w:rsidRPr="00F87613">
        <w:rPr>
          <w:rtl/>
        </w:rPr>
        <w:t>החזקת ס</w:t>
      </w:r>
      <w:r>
        <w:rPr>
          <w:rFonts w:hint="cs"/>
          <w:rtl/>
        </w:rPr>
        <w:t>ם</w:t>
      </w:r>
      <w:r w:rsidRPr="00F87613">
        <w:rPr>
          <w:rtl/>
        </w:rPr>
        <w:t xml:space="preserve"> שלא לצריכה עצמית, לפי סעיף </w:t>
      </w:r>
      <w:hyperlink r:id="rId13" w:history="1">
        <w:r w:rsidR="00AF3EA4" w:rsidRPr="00AF3EA4">
          <w:rPr>
            <w:rStyle w:val="Hyperlink"/>
            <w:rtl/>
          </w:rPr>
          <w:t>7(א) +7(ג)</w:t>
        </w:r>
      </w:hyperlink>
      <w:r>
        <w:rPr>
          <w:rFonts w:hint="cs"/>
          <w:rtl/>
        </w:rPr>
        <w:t xml:space="preserve"> רישא</w:t>
      </w:r>
      <w:r w:rsidRPr="00F87613">
        <w:rPr>
          <w:rtl/>
        </w:rPr>
        <w:t xml:space="preserve"> ל</w:t>
      </w:r>
      <w:hyperlink r:id="rId14" w:history="1">
        <w:r w:rsidR="00B775FE" w:rsidRPr="00B775FE">
          <w:rPr>
            <w:color w:val="0000FF"/>
            <w:u w:val="single"/>
            <w:rtl/>
          </w:rPr>
          <w:t>פקודת הסמים המסוכנים</w:t>
        </w:r>
      </w:hyperlink>
      <w:r>
        <w:rPr>
          <w:rFonts w:hint="cs"/>
          <w:rtl/>
        </w:rPr>
        <w:t xml:space="preserve"> [נוסח חדש], תשל"ג </w:t>
      </w:r>
      <w:r>
        <w:rPr>
          <w:rtl/>
        </w:rPr>
        <w:t>–</w:t>
      </w:r>
      <w:r>
        <w:rPr>
          <w:rFonts w:hint="cs"/>
          <w:rtl/>
        </w:rPr>
        <w:t xml:space="preserve"> 1973 </w:t>
      </w:r>
      <w:r w:rsidRPr="00F87613">
        <w:rPr>
          <w:rtl/>
        </w:rPr>
        <w:t>ובעביר</w:t>
      </w:r>
      <w:r>
        <w:rPr>
          <w:rFonts w:hint="cs"/>
          <w:rtl/>
        </w:rPr>
        <w:t>ה של</w:t>
      </w:r>
      <w:r w:rsidRPr="00F87613">
        <w:rPr>
          <w:rtl/>
        </w:rPr>
        <w:t xml:space="preserve"> הפרעה לשוטר במילוי תפקידו, לפי </w:t>
      </w:r>
      <w:hyperlink r:id="rId15" w:history="1">
        <w:r w:rsidR="00AF3EA4" w:rsidRPr="00AF3EA4">
          <w:rPr>
            <w:rStyle w:val="Hyperlink"/>
            <w:rtl/>
          </w:rPr>
          <w:t>סעיף 275</w:t>
        </w:r>
      </w:hyperlink>
      <w:r w:rsidRPr="00F87613">
        <w:rPr>
          <w:rtl/>
        </w:rPr>
        <w:t xml:space="preserve"> ל</w:t>
      </w:r>
      <w:hyperlink r:id="rId16" w:history="1">
        <w:r w:rsidR="00B775FE" w:rsidRPr="00B775FE">
          <w:rPr>
            <w:color w:val="0000FF"/>
            <w:u w:val="single"/>
            <w:rtl/>
          </w:rPr>
          <w:t>חוק העונשין</w:t>
        </w:r>
      </w:hyperlink>
      <w:r w:rsidRPr="00F87613">
        <w:rPr>
          <w:rtl/>
        </w:rPr>
        <w:t>, תשל"ז- 1977.</w:t>
      </w:r>
    </w:p>
    <w:p w14:paraId="54F2FCF6" w14:textId="77777777" w:rsidR="00E85721" w:rsidRPr="00F87613" w:rsidRDefault="00E85721" w:rsidP="00E85721">
      <w:pPr>
        <w:spacing w:line="360" w:lineRule="auto"/>
        <w:jc w:val="both"/>
      </w:pPr>
      <w:bookmarkStart w:id="7" w:name="ABSTRACT_END"/>
      <w:bookmarkEnd w:id="7"/>
    </w:p>
    <w:p w14:paraId="08DF4947" w14:textId="77777777" w:rsidR="00E85721" w:rsidRDefault="00E85721" w:rsidP="00E85721">
      <w:pPr>
        <w:numPr>
          <w:ilvl w:val="0"/>
          <w:numId w:val="1"/>
        </w:numPr>
        <w:spacing w:line="360" w:lineRule="auto"/>
        <w:jc w:val="both"/>
      </w:pPr>
      <w:r>
        <w:rPr>
          <w:rFonts w:hint="cs"/>
          <w:rtl/>
        </w:rPr>
        <w:t>למקרא כתב האישום המתוקן עולה כי  ב</w:t>
      </w:r>
      <w:r w:rsidRPr="00CE3DCC">
        <w:rPr>
          <w:rtl/>
        </w:rPr>
        <w:t>יום 23.1.19,</w:t>
      </w:r>
      <w:r>
        <w:rPr>
          <w:rFonts w:hint="cs"/>
          <w:rtl/>
        </w:rPr>
        <w:t xml:space="preserve"> בשעת בוקר, </w:t>
      </w:r>
      <w:r w:rsidRPr="00CE3DCC">
        <w:rPr>
          <w:rtl/>
        </w:rPr>
        <w:t xml:space="preserve"> הגיעו שוטרים </w:t>
      </w:r>
      <w:r>
        <w:rPr>
          <w:rFonts w:hint="cs"/>
          <w:rtl/>
        </w:rPr>
        <w:t>לדירתו של הנאשם בגבעת שמואל, לצורך ביצוע צו חיפוש. הנאשם הכשיל את השוטרים מלבצע את תפקידם, עת בזמן שנקשו על דלתו, השליך מחלון הדירה שקיות שהכילו סם מסוכן מסוג קנביס, במשקל כולל של 1.33 ק"ג, שלא לצריכתו העצמית. במהלך החיפוש נתפסו בדירה משקל אלקטרוני ושלושה טלפונים ניידים.</w:t>
      </w:r>
    </w:p>
    <w:p w14:paraId="790AEF72" w14:textId="77777777" w:rsidR="00E85721" w:rsidRPr="007D7A23" w:rsidRDefault="00E85721" w:rsidP="00E85721">
      <w:pPr>
        <w:pStyle w:val="a9"/>
        <w:rPr>
          <w:rtl/>
        </w:rPr>
      </w:pPr>
    </w:p>
    <w:p w14:paraId="3390F3A2" w14:textId="77777777" w:rsidR="00E85721" w:rsidRPr="00CE3DCC" w:rsidRDefault="00E85721" w:rsidP="00E85721">
      <w:pPr>
        <w:numPr>
          <w:ilvl w:val="0"/>
          <w:numId w:val="1"/>
        </w:numPr>
        <w:spacing w:line="360" w:lineRule="auto"/>
        <w:jc w:val="both"/>
        <w:rPr>
          <w:rtl/>
        </w:rPr>
      </w:pPr>
      <w:r w:rsidRPr="00CE3DCC">
        <w:rPr>
          <w:rtl/>
        </w:rPr>
        <w:t>לא נקשר הסדר עונשי בין הצדדים</w:t>
      </w:r>
      <w:r>
        <w:rPr>
          <w:rFonts w:hint="cs"/>
          <w:rtl/>
        </w:rPr>
        <w:t xml:space="preserve">. </w:t>
      </w:r>
      <w:r w:rsidRPr="00CE3DCC">
        <w:rPr>
          <w:rtl/>
        </w:rPr>
        <w:t>הנאשם נשלח לקבלת תסקיר מאת שירות המבחן וחוו"ד מטעם הממונה על עבודות השירות.</w:t>
      </w:r>
    </w:p>
    <w:p w14:paraId="5ADF5435" w14:textId="77777777" w:rsidR="00E85721" w:rsidRPr="00CE3DCC" w:rsidRDefault="00E85721" w:rsidP="00E85721">
      <w:pPr>
        <w:spacing w:line="360" w:lineRule="auto"/>
        <w:jc w:val="both"/>
      </w:pPr>
    </w:p>
    <w:p w14:paraId="44AE6499" w14:textId="77777777" w:rsidR="00E85721" w:rsidRPr="007D7A23" w:rsidRDefault="00E85721" w:rsidP="00E85721">
      <w:pPr>
        <w:numPr>
          <w:ilvl w:val="0"/>
          <w:numId w:val="1"/>
        </w:numPr>
        <w:spacing w:line="360" w:lineRule="auto"/>
        <w:jc w:val="both"/>
      </w:pPr>
      <w:r w:rsidRPr="00CE3DCC">
        <w:rPr>
          <w:b/>
          <w:bCs/>
          <w:rtl/>
        </w:rPr>
        <w:lastRenderedPageBreak/>
        <w:t>התובעת המלומדת</w:t>
      </w:r>
      <w:r w:rsidRPr="007D7A23">
        <w:rPr>
          <w:rtl/>
        </w:rPr>
        <w:t xml:space="preserve">, </w:t>
      </w:r>
      <w:r w:rsidRPr="007D7A23">
        <w:rPr>
          <w:rFonts w:hint="cs"/>
          <w:rtl/>
        </w:rPr>
        <w:t>הפנ</w:t>
      </w:r>
      <w:r>
        <w:rPr>
          <w:rFonts w:hint="cs"/>
          <w:rtl/>
        </w:rPr>
        <w:t>ת</w:t>
      </w:r>
      <w:r w:rsidRPr="007D7A23">
        <w:rPr>
          <w:rFonts w:hint="cs"/>
          <w:rtl/>
        </w:rPr>
        <w:t>ה לעברו הפלילי של הנאשם (ת/1), עמדה על נסיבות ביצוע העבירות, כמות הסם, הערכים המוגנים והפגיעה בהם ועתרה לקביעת מתחם עונשי הולם הנע בין 6 חודשים ל- 12 חודשי מאסר לריצוי בפועל.</w:t>
      </w:r>
    </w:p>
    <w:p w14:paraId="71561845" w14:textId="77777777" w:rsidR="00E85721" w:rsidRPr="007D7A23" w:rsidRDefault="00E85721" w:rsidP="00E85721">
      <w:pPr>
        <w:pStyle w:val="a9"/>
        <w:spacing w:line="360" w:lineRule="auto"/>
        <w:rPr>
          <w:rtl/>
        </w:rPr>
      </w:pPr>
      <w:r>
        <w:rPr>
          <w:rFonts w:hint="cs"/>
          <w:rtl/>
        </w:rPr>
        <w:t>התובעת הפנתה לעברו התעבורתי של הנאשם (ת/2), לתסקיר שירות המבחן לפיו הנאשם לא השכיל להשתלב בהליך טיפולי במסגרת השירות, ממשיך לעשות שימוש בסם ומתקשה לגלות תובנה לבעייתיות במצבו. התובעת ביקשה למקם את הנאשם בשליש העליון של המתחם ולהשית עליו מאסר בפועל, מאסר מותנה, קנס ופסילת רישיון נהיגה.</w:t>
      </w:r>
    </w:p>
    <w:p w14:paraId="0EEE1557" w14:textId="77777777" w:rsidR="00E85721" w:rsidRPr="00CE3DCC" w:rsidRDefault="00E85721" w:rsidP="00E85721">
      <w:pPr>
        <w:spacing w:line="360" w:lineRule="auto"/>
        <w:jc w:val="both"/>
      </w:pPr>
    </w:p>
    <w:p w14:paraId="5EB57143" w14:textId="77777777" w:rsidR="00E85721" w:rsidRDefault="00E85721" w:rsidP="00E85721">
      <w:pPr>
        <w:numPr>
          <w:ilvl w:val="0"/>
          <w:numId w:val="1"/>
        </w:numPr>
        <w:spacing w:line="360" w:lineRule="auto"/>
        <w:jc w:val="both"/>
      </w:pPr>
      <w:r w:rsidRPr="009C4275">
        <w:rPr>
          <w:b/>
          <w:bCs/>
          <w:rtl/>
        </w:rPr>
        <w:t xml:space="preserve">הסנגורית המלומדת, </w:t>
      </w:r>
      <w:r w:rsidRPr="00CE3DCC">
        <w:rPr>
          <w:rtl/>
        </w:rPr>
        <w:t>עשתה ככל שניתן לטובת מרשה, תוך שלימדה עליו סנגוריה רהוטה. הסנגורית</w:t>
      </w:r>
      <w:r>
        <w:rPr>
          <w:rFonts w:hint="cs"/>
          <w:rtl/>
        </w:rPr>
        <w:t xml:space="preserve"> עמדה על נסיבותיו האישיות של הנאשם, תאונת הדרכים הקשה שעבר, בעטיה משתמש בסם לצרכיו הרפואיים, </w:t>
      </w:r>
      <w:r w:rsidRPr="00CE3DCC">
        <w:rPr>
          <w:rtl/>
        </w:rPr>
        <w:t xml:space="preserve"> כראיה </w:t>
      </w:r>
      <w:r>
        <w:rPr>
          <w:rFonts w:hint="cs"/>
          <w:rtl/>
        </w:rPr>
        <w:t>הגישה</w:t>
      </w:r>
      <w:r w:rsidRPr="00CE3DCC">
        <w:rPr>
          <w:rtl/>
        </w:rPr>
        <w:t xml:space="preserve"> </w:t>
      </w:r>
      <w:r>
        <w:rPr>
          <w:rFonts w:hint="cs"/>
          <w:rtl/>
        </w:rPr>
        <w:t xml:space="preserve">מסמך רפואי אודות </w:t>
      </w:r>
      <w:r w:rsidRPr="00CE3DCC">
        <w:rPr>
          <w:rtl/>
        </w:rPr>
        <w:t xml:space="preserve">הנאשם (ס/1). </w:t>
      </w:r>
    </w:p>
    <w:p w14:paraId="71C6FC31" w14:textId="77777777" w:rsidR="00E85721" w:rsidRDefault="00E85721" w:rsidP="00E85721">
      <w:pPr>
        <w:spacing w:line="360" w:lineRule="auto"/>
        <w:ind w:left="720"/>
        <w:jc w:val="both"/>
      </w:pPr>
      <w:r w:rsidRPr="007C76C1">
        <w:rPr>
          <w:rFonts w:hint="cs"/>
          <w:rtl/>
        </w:rPr>
        <w:t>ציינה כי עברו של הנאשם התיישן, ההרשעה אחרונה משנת 2012 בגין עבירה משנת 2010, ומאז קרות האירוע לא נפתחו כנגד הנאשם תיקים חדשים.</w:t>
      </w:r>
      <w:r>
        <w:rPr>
          <w:rFonts w:hint="cs"/>
          <w:b/>
          <w:bCs/>
          <w:rtl/>
        </w:rPr>
        <w:t xml:space="preserve"> </w:t>
      </w:r>
      <w:r w:rsidRPr="00CE3DCC">
        <w:rPr>
          <w:rtl/>
        </w:rPr>
        <w:t>הסנגורית הפנתה לנסיבות ביצוע העבירות וטענה כי לא נמצא</w:t>
      </w:r>
      <w:r>
        <w:rPr>
          <w:rFonts w:hint="cs"/>
          <w:rtl/>
        </w:rPr>
        <w:t xml:space="preserve">ה אינדיקציה </w:t>
      </w:r>
      <w:r w:rsidRPr="00CE3DCC">
        <w:rPr>
          <w:rtl/>
        </w:rPr>
        <w:t xml:space="preserve"> לסחר בסם, כאשר לטענתה, הנאשם החזיק בכמות גדולה של סם ובתצורה זו לשם הפקת שמן ממנו. כמו כן, טענה כי הנאשם </w:t>
      </w:r>
      <w:r>
        <w:rPr>
          <w:rFonts w:hint="cs"/>
          <w:rtl/>
        </w:rPr>
        <w:t xml:space="preserve">השליך את הסם מחלון ביתו, נוכח הבהלה מנוכחות השוטרים, </w:t>
      </w:r>
      <w:r w:rsidRPr="00CE3DCC">
        <w:rPr>
          <w:rtl/>
        </w:rPr>
        <w:t xml:space="preserve"> בפרט בשל העובדה כי מתגורר בביתו עם אשתו ושלושת ילדיהם הקטינים. </w:t>
      </w:r>
      <w:r>
        <w:rPr>
          <w:rFonts w:hint="cs"/>
          <w:rtl/>
        </w:rPr>
        <w:t xml:space="preserve">הנאשם הודה במיוחס לו עוד בחקירתו הראשונה במשטרה. </w:t>
      </w:r>
    </w:p>
    <w:p w14:paraId="79C5D05E" w14:textId="77777777" w:rsidR="00E85721" w:rsidRDefault="00E85721" w:rsidP="00E85721">
      <w:pPr>
        <w:spacing w:line="360" w:lineRule="auto"/>
        <w:ind w:left="720"/>
        <w:jc w:val="both"/>
        <w:rPr>
          <w:rtl/>
        </w:rPr>
      </w:pPr>
      <w:r>
        <w:rPr>
          <w:rFonts w:hint="cs"/>
          <w:rtl/>
        </w:rPr>
        <w:t>הנאשם נטל</w:t>
      </w:r>
      <w:r w:rsidRPr="00CE3DCC">
        <w:rPr>
          <w:rtl/>
        </w:rPr>
        <w:t xml:space="preserve"> אחריות </w:t>
      </w:r>
      <w:r>
        <w:rPr>
          <w:rFonts w:hint="cs"/>
          <w:rtl/>
        </w:rPr>
        <w:t xml:space="preserve">מלאה </w:t>
      </w:r>
      <w:r w:rsidRPr="00CE3DCC">
        <w:rPr>
          <w:rtl/>
        </w:rPr>
        <w:t xml:space="preserve">על מעשיו </w:t>
      </w:r>
      <w:r>
        <w:rPr>
          <w:rFonts w:hint="cs"/>
          <w:rtl/>
        </w:rPr>
        <w:t>ו</w:t>
      </w:r>
      <w:r w:rsidRPr="00CE3DCC">
        <w:rPr>
          <w:rtl/>
        </w:rPr>
        <w:t xml:space="preserve">בהזדמנות הראשונה, </w:t>
      </w:r>
      <w:r>
        <w:rPr>
          <w:rFonts w:hint="cs"/>
          <w:rtl/>
        </w:rPr>
        <w:t>ה</w:t>
      </w:r>
      <w:r w:rsidRPr="00CE3DCC">
        <w:rPr>
          <w:rtl/>
        </w:rPr>
        <w:t xml:space="preserve">ביע חרטה וחסך בזמן שיפוטי ניכר. בנוסף, </w:t>
      </w:r>
      <w:r>
        <w:rPr>
          <w:rFonts w:hint="cs"/>
          <w:rtl/>
        </w:rPr>
        <w:t xml:space="preserve">נטען </w:t>
      </w:r>
      <w:r w:rsidRPr="00CE3DCC">
        <w:rPr>
          <w:rtl/>
        </w:rPr>
        <w:t xml:space="preserve">כי הנאשם לא שיתף פעולה עם שירות המבחן לעניין הטיפול, משום שצורך את הסם מטעמים רפואיים ואינו זקוק לטיפול ולגמילה ממנו. </w:t>
      </w:r>
    </w:p>
    <w:p w14:paraId="34D7ADFF" w14:textId="77777777" w:rsidR="00E85721" w:rsidRDefault="00E85721" w:rsidP="00E85721">
      <w:pPr>
        <w:spacing w:line="360" w:lineRule="auto"/>
        <w:ind w:left="720"/>
        <w:jc w:val="both"/>
        <w:rPr>
          <w:rtl/>
        </w:rPr>
      </w:pPr>
      <w:r>
        <w:rPr>
          <w:rFonts w:hint="cs"/>
          <w:rtl/>
        </w:rPr>
        <w:t>ההגנה הסכימה לחילוט הרכוש שנתפס מהנאשם, חלף הכרזתו כסוחר סמים והסתפקות בכך חלף הטלת רכיבים כספיים נוספים. הסנגורית ציינה בשולי טיעוניה כי ככל שבית המשפט שוקל הטלת מאסר על הנאשם מבקשת היא כי זה ירוצה בדרך של עבודות שירות.</w:t>
      </w:r>
    </w:p>
    <w:p w14:paraId="513ACF40" w14:textId="77777777" w:rsidR="00E85721" w:rsidRPr="00CE3DCC" w:rsidRDefault="00E85721" w:rsidP="00E85721">
      <w:pPr>
        <w:spacing w:line="360" w:lineRule="auto"/>
        <w:jc w:val="both"/>
      </w:pPr>
    </w:p>
    <w:p w14:paraId="582DAC41" w14:textId="77777777" w:rsidR="00E85721" w:rsidRDefault="00E85721" w:rsidP="00E85721">
      <w:pPr>
        <w:numPr>
          <w:ilvl w:val="0"/>
          <w:numId w:val="1"/>
        </w:numPr>
        <w:spacing w:line="360" w:lineRule="auto"/>
        <w:jc w:val="both"/>
      </w:pPr>
      <w:r w:rsidRPr="00CE3DCC">
        <w:rPr>
          <w:b/>
          <w:bCs/>
          <w:rtl/>
        </w:rPr>
        <w:t xml:space="preserve">הנאשם בדברו האחרון, </w:t>
      </w:r>
      <w:r w:rsidRPr="00CE3DCC">
        <w:rPr>
          <w:rtl/>
        </w:rPr>
        <w:t>טען כי שינה את אורחות חייו</w:t>
      </w:r>
      <w:r>
        <w:rPr>
          <w:rFonts w:hint="cs"/>
          <w:rtl/>
        </w:rPr>
        <w:t xml:space="preserve"> מזה עשור</w:t>
      </w:r>
      <w:r w:rsidRPr="00CE3DCC">
        <w:rPr>
          <w:rtl/>
        </w:rPr>
        <w:t>, כך שמאז מאסרו האחרון הקים משפחה ולא ביצע עבירות נוספות.</w:t>
      </w:r>
      <w:r>
        <w:rPr>
          <w:rFonts w:hint="cs"/>
          <w:rtl/>
        </w:rPr>
        <w:t xml:space="preserve"> עמד על מצבו הרפואי והסביר את צריכת הסם על רקע הכאב ממנו הוא סובל.</w:t>
      </w:r>
    </w:p>
    <w:p w14:paraId="6B3629EE" w14:textId="77777777" w:rsidR="00E85721" w:rsidRPr="00CE3DCC" w:rsidRDefault="00E85721" w:rsidP="00E85721">
      <w:pPr>
        <w:spacing w:line="360" w:lineRule="auto"/>
        <w:jc w:val="both"/>
      </w:pPr>
    </w:p>
    <w:p w14:paraId="17F37404" w14:textId="77777777" w:rsidR="00E85721" w:rsidRPr="00CE3DCC" w:rsidRDefault="00E85721" w:rsidP="00E85721">
      <w:pPr>
        <w:spacing w:line="360" w:lineRule="auto"/>
        <w:jc w:val="both"/>
        <w:rPr>
          <w:b/>
          <w:bCs/>
          <w:u w:val="single"/>
          <w:rtl/>
        </w:rPr>
      </w:pPr>
      <w:r w:rsidRPr="00CE3DCC">
        <w:rPr>
          <w:b/>
          <w:bCs/>
          <w:u w:val="single"/>
          <w:rtl/>
        </w:rPr>
        <w:t>דיון והכרע</w:t>
      </w:r>
      <w:r>
        <w:rPr>
          <w:rFonts w:hint="cs"/>
          <w:b/>
          <w:bCs/>
          <w:u w:val="single"/>
          <w:rtl/>
        </w:rPr>
        <w:t>ה</w:t>
      </w:r>
    </w:p>
    <w:p w14:paraId="71B68E4C" w14:textId="77777777" w:rsidR="00E85721" w:rsidRPr="00CE3DCC" w:rsidRDefault="00E85721" w:rsidP="00E85721">
      <w:pPr>
        <w:numPr>
          <w:ilvl w:val="0"/>
          <w:numId w:val="1"/>
        </w:numPr>
        <w:spacing w:line="360" w:lineRule="auto"/>
        <w:jc w:val="both"/>
        <w:rPr>
          <w:rtl/>
        </w:rPr>
      </w:pPr>
      <w:r w:rsidRPr="00CE3DCC">
        <w:rPr>
          <w:rtl/>
        </w:rPr>
        <w:t>על פי תיקון 113 ל</w:t>
      </w:r>
      <w:hyperlink r:id="rId17" w:history="1">
        <w:r w:rsidR="00B775FE" w:rsidRPr="00B775FE">
          <w:rPr>
            <w:color w:val="0000FF"/>
            <w:u w:val="single"/>
            <w:rtl/>
          </w:rPr>
          <w:t>חוק העונשין</w:t>
        </w:r>
      </w:hyperlink>
      <w:r w:rsidRPr="00CE3DCC">
        <w:rPr>
          <w:rtl/>
        </w:rPr>
        <w:t>, העיקרון המנחה בענישה הוא עיקרון ההלימה, אשר מכוון ליצירת יחס הולם בין חומרת מעשי העבירה בנסיבותיה ומידת אשמו של הנאשם, ובין סוג ומיד</w:t>
      </w:r>
      <w:r>
        <w:rPr>
          <w:rFonts w:hint="cs"/>
          <w:rtl/>
        </w:rPr>
        <w:t>ת</w:t>
      </w:r>
      <w:r w:rsidRPr="00CE3DCC">
        <w:rPr>
          <w:rtl/>
        </w:rPr>
        <w:t xml:space="preserve"> העונש שיוטל עליו.</w:t>
      </w:r>
    </w:p>
    <w:p w14:paraId="037DF971" w14:textId="77777777" w:rsidR="00E85721" w:rsidRPr="00CE3DCC" w:rsidRDefault="00E85721" w:rsidP="00E85721">
      <w:pPr>
        <w:spacing w:line="360" w:lineRule="auto"/>
        <w:ind w:left="720"/>
        <w:jc w:val="both"/>
        <w:rPr>
          <w:rtl/>
        </w:rPr>
      </w:pPr>
      <w:r w:rsidRPr="00CE3DCC">
        <w:rPr>
          <w:rtl/>
        </w:rPr>
        <w:t>על בית המשפט, בקביעת מתחם העונש ההולם, להתייחס לנסיבות ביצוע העבירה, הערך המוגן שבבסיס העבירה ומידת הפגיעה בו, ובמדיניות הענישה הנוהגת.</w:t>
      </w:r>
    </w:p>
    <w:p w14:paraId="12D71309" w14:textId="77777777" w:rsidR="00E85721" w:rsidRPr="00CE3DCC" w:rsidRDefault="00E85721" w:rsidP="00E85721">
      <w:pPr>
        <w:spacing w:line="360" w:lineRule="auto"/>
        <w:jc w:val="both"/>
        <w:rPr>
          <w:rtl/>
        </w:rPr>
      </w:pPr>
    </w:p>
    <w:p w14:paraId="6001EF79" w14:textId="77777777" w:rsidR="00E85721" w:rsidRDefault="00E85721" w:rsidP="00E85721">
      <w:pPr>
        <w:numPr>
          <w:ilvl w:val="0"/>
          <w:numId w:val="1"/>
        </w:numPr>
        <w:spacing w:line="360" w:lineRule="auto"/>
        <w:jc w:val="both"/>
      </w:pPr>
      <w:r w:rsidRPr="00CE3DCC">
        <w:rPr>
          <w:rtl/>
        </w:rPr>
        <w:t>נסיבות ביצוע העבירות מושא תיקנו מלמדות על החזקת סם מסוג קנבוס</w:t>
      </w:r>
      <w:r>
        <w:rPr>
          <w:rFonts w:hint="cs"/>
          <w:rtl/>
        </w:rPr>
        <w:t xml:space="preserve">, מחולק לשקיות, </w:t>
      </w:r>
      <w:r w:rsidRPr="00CE3DCC">
        <w:rPr>
          <w:rtl/>
        </w:rPr>
        <w:t xml:space="preserve"> בהיקף ניכר של</w:t>
      </w:r>
      <w:r>
        <w:rPr>
          <w:rFonts w:hint="cs"/>
          <w:rtl/>
        </w:rPr>
        <w:t xml:space="preserve"> מעל לק"ג (1.3 ק"ג), תוך הכשלת שוטרים שהגיעו לבצע צו חיפוש בדירתו של הנאשם, בכך שהשליך את הסם מחלון הדירה. בנוסף החזיק הנאשם בביתו משקל אלקטרוני.</w:t>
      </w:r>
    </w:p>
    <w:p w14:paraId="454CDF6E" w14:textId="77777777" w:rsidR="00E85721" w:rsidRPr="00CE3DCC" w:rsidRDefault="00E85721" w:rsidP="00E85721">
      <w:pPr>
        <w:spacing w:line="360" w:lineRule="auto"/>
        <w:jc w:val="both"/>
        <w:rPr>
          <w:rtl/>
        </w:rPr>
      </w:pPr>
    </w:p>
    <w:p w14:paraId="31245D12" w14:textId="77777777" w:rsidR="00E85721" w:rsidRDefault="00E85721" w:rsidP="00E85721">
      <w:pPr>
        <w:numPr>
          <w:ilvl w:val="0"/>
          <w:numId w:val="1"/>
        </w:numPr>
        <w:spacing w:line="360" w:lineRule="auto"/>
        <w:jc w:val="both"/>
      </w:pPr>
      <w:r w:rsidRPr="00CE3DCC">
        <w:rPr>
          <w:rtl/>
        </w:rPr>
        <w:t>הרקע לביצוע העבירות, כפי שעולה מתסקיר שירות המבחן וטיעוני ההגנה, הוא שימושו של הנאשם בסם מטעמים רפואיים ורצונו להפיק ממנו שמן.</w:t>
      </w:r>
      <w:r>
        <w:rPr>
          <w:rFonts w:hint="cs"/>
          <w:rtl/>
        </w:rPr>
        <w:t xml:space="preserve"> לא נמצאה אינדיקצי</w:t>
      </w:r>
      <w:r>
        <w:rPr>
          <w:rFonts w:hint="eastAsia"/>
          <w:rtl/>
        </w:rPr>
        <w:t>ה</w:t>
      </w:r>
      <w:r>
        <w:rPr>
          <w:rFonts w:hint="cs"/>
          <w:rtl/>
        </w:rPr>
        <w:t xml:space="preserve"> לסחר בסמים. עם זאת, הנאשם עשה דין לעצמו בכך שהחזיק בסם ללא היתר כדין, ובכמות ניכרת, חלף פניה לגורמים המוסמכים וקבלת היתר להחזקה ושימוש בקנביס רפואי. בנוסף כמות הסם, חלוקתו והפריטים שנתפסו בביתו, אינם משתלבים עם הטענה בדבר החזקה לצריכה עצמית (כאמור הנאשם הורשע על יסוד הודאתו בעבירה של החזקה </w:t>
      </w:r>
      <w:r w:rsidRPr="007611C5">
        <w:rPr>
          <w:rFonts w:hint="cs"/>
          <w:b/>
          <w:bCs/>
          <w:rtl/>
        </w:rPr>
        <w:t>שלא</w:t>
      </w:r>
      <w:r>
        <w:rPr>
          <w:rFonts w:hint="cs"/>
          <w:rtl/>
        </w:rPr>
        <w:t xml:space="preserve"> לצריכה עצמית).</w:t>
      </w:r>
    </w:p>
    <w:p w14:paraId="5B135AC6" w14:textId="77777777" w:rsidR="00E85721" w:rsidRDefault="00E85721" w:rsidP="00E85721">
      <w:pPr>
        <w:pStyle w:val="a9"/>
        <w:rPr>
          <w:rtl/>
        </w:rPr>
      </w:pPr>
    </w:p>
    <w:p w14:paraId="108E329A" w14:textId="77777777" w:rsidR="00E85721" w:rsidRPr="00CE3DCC" w:rsidRDefault="00E85721" w:rsidP="00E85721">
      <w:pPr>
        <w:numPr>
          <w:ilvl w:val="0"/>
          <w:numId w:val="1"/>
        </w:numPr>
        <w:spacing w:line="360" w:lineRule="auto"/>
        <w:jc w:val="both"/>
        <w:rPr>
          <w:rtl/>
        </w:rPr>
      </w:pPr>
      <w:r w:rsidRPr="00CE3DCC">
        <w:rPr>
          <w:rtl/>
        </w:rPr>
        <w:t>לעניין הערכים המוגנים, כידוע נזקי הסמים ופגיעתם בחברה, משתרעים על מרחבים ניכרים. נראה כי עבירות הסם מכלות כל חלקה טובה בחברתנו.</w:t>
      </w:r>
    </w:p>
    <w:p w14:paraId="3A37FB2A" w14:textId="77777777" w:rsidR="00E85721" w:rsidRPr="00CE3DCC" w:rsidRDefault="00E85721" w:rsidP="00E85721">
      <w:pPr>
        <w:spacing w:line="360" w:lineRule="auto"/>
        <w:ind w:left="720"/>
        <w:jc w:val="both"/>
        <w:rPr>
          <w:rtl/>
        </w:rPr>
      </w:pPr>
      <w:r w:rsidRPr="00CE3DCC">
        <w:rPr>
          <w:rtl/>
        </w:rPr>
        <w:t xml:space="preserve">פגיעתם של הסמים בחברה רחב היקף, הן באשר למשתמש הבודד, משפחתו והמעגל </w:t>
      </w:r>
      <w:r>
        <w:rPr>
          <w:rFonts w:hint="cs"/>
          <w:rtl/>
        </w:rPr>
        <w:t>ה</w:t>
      </w:r>
      <w:r w:rsidRPr="00CE3DCC">
        <w:rPr>
          <w:rtl/>
        </w:rPr>
        <w:t xml:space="preserve">קרוב והן באשר לחברה כולה לאור הפעילות הפלילית של הצרכן המבקש לספק את הדחף לסם ומבצע על הדרך עבירות נוספות, בעיקר מתחם הרכוש. </w:t>
      </w:r>
    </w:p>
    <w:p w14:paraId="10AB3D19" w14:textId="77777777" w:rsidR="00E85721" w:rsidRPr="00CE3DCC" w:rsidRDefault="00E85721" w:rsidP="00E85721">
      <w:pPr>
        <w:spacing w:line="360" w:lineRule="auto"/>
        <w:ind w:left="720"/>
        <w:jc w:val="both"/>
        <w:rPr>
          <w:rtl/>
        </w:rPr>
      </w:pPr>
      <w:r w:rsidRPr="00CE3DCC">
        <w:rPr>
          <w:rtl/>
        </w:rPr>
        <w:t>בנוסף</w:t>
      </w:r>
      <w:r>
        <w:rPr>
          <w:rFonts w:hint="cs"/>
          <w:rtl/>
        </w:rPr>
        <w:t>,</w:t>
      </w:r>
      <w:r w:rsidRPr="00CE3DCC">
        <w:rPr>
          <w:rtl/>
        </w:rPr>
        <w:t xml:space="preserve"> מעגלי הייצור והשיווק של הסם, מייצרים</w:t>
      </w:r>
      <w:r>
        <w:rPr>
          <w:rtl/>
        </w:rPr>
        <w:t xml:space="preserve"> כשלעצמם פעילות עבריינית נרחבת</w:t>
      </w:r>
      <w:r>
        <w:rPr>
          <w:rFonts w:hint="cs"/>
          <w:rtl/>
        </w:rPr>
        <w:t>.</w:t>
      </w:r>
    </w:p>
    <w:p w14:paraId="14539C76" w14:textId="77777777" w:rsidR="00E85721" w:rsidRPr="00CE3DCC" w:rsidRDefault="00E85721" w:rsidP="00E85721">
      <w:pPr>
        <w:spacing w:line="360" w:lineRule="auto"/>
        <w:jc w:val="both"/>
        <w:rPr>
          <w:rtl/>
        </w:rPr>
      </w:pPr>
    </w:p>
    <w:p w14:paraId="66A60D11" w14:textId="77777777" w:rsidR="00E85721" w:rsidRPr="00CE3DCC" w:rsidRDefault="00E85721" w:rsidP="00E85721">
      <w:pPr>
        <w:numPr>
          <w:ilvl w:val="0"/>
          <w:numId w:val="1"/>
        </w:numPr>
        <w:spacing w:line="360" w:lineRule="auto"/>
        <w:jc w:val="both"/>
        <w:rPr>
          <w:rtl/>
        </w:rPr>
      </w:pPr>
      <w:r w:rsidRPr="00CE3DCC">
        <w:rPr>
          <w:rtl/>
        </w:rPr>
        <w:t xml:space="preserve">הגם שמדובר בהחזקה של סם "קל" בעגה העממית, </w:t>
      </w:r>
      <w:r>
        <w:rPr>
          <w:rFonts w:hint="cs"/>
          <w:rtl/>
        </w:rPr>
        <w:t xml:space="preserve">שלסיווג זה אין כל זכר בפקודת הסמים, שכן סם הוא סם הוא סם !, </w:t>
      </w:r>
      <w:r w:rsidRPr="00CE3DCC">
        <w:rPr>
          <w:rtl/>
        </w:rPr>
        <w:t>אין להקל ראש בדברים. המדובר בפגיעה של ממש בערך החברתי ובפעילות אסורה ומזיקה, ויש ליתן משקל להיקפה ולנזק הפוטנציאלי והקונקרטי.</w:t>
      </w:r>
    </w:p>
    <w:p w14:paraId="0B5039D8" w14:textId="77777777" w:rsidR="00E85721" w:rsidRPr="00CE3DCC" w:rsidRDefault="00E85721" w:rsidP="00E85721">
      <w:pPr>
        <w:spacing w:line="360" w:lineRule="auto"/>
        <w:ind w:left="720"/>
        <w:jc w:val="both"/>
        <w:rPr>
          <w:rtl/>
        </w:rPr>
      </w:pPr>
      <w:r w:rsidRPr="00CE3DCC">
        <w:rPr>
          <w:rtl/>
        </w:rPr>
        <w:t>הפסיקה הרווחת הבחינה בין  החזקת ס</w:t>
      </w:r>
      <w:r>
        <w:rPr>
          <w:rFonts w:hint="cs"/>
          <w:rtl/>
        </w:rPr>
        <w:t>מי</w:t>
      </w:r>
      <w:r w:rsidRPr="00CE3DCC">
        <w:rPr>
          <w:rtl/>
        </w:rPr>
        <w:t xml:space="preserve">ם </w:t>
      </w:r>
      <w:r>
        <w:rPr>
          <w:rFonts w:hint="cs"/>
          <w:rtl/>
        </w:rPr>
        <w:t xml:space="preserve">"קלים", כגון </w:t>
      </w:r>
      <w:r w:rsidRPr="00CE3DCC">
        <w:rPr>
          <w:rtl/>
        </w:rPr>
        <w:t>קנב</w:t>
      </w:r>
      <w:r>
        <w:rPr>
          <w:rFonts w:hint="cs"/>
          <w:rtl/>
        </w:rPr>
        <w:t>י</w:t>
      </w:r>
      <w:r w:rsidRPr="00CE3DCC">
        <w:rPr>
          <w:rtl/>
        </w:rPr>
        <w:t xml:space="preserve">ס וחשיש לבין החזקת סמים אחרים, ובתוך כך סמים </w:t>
      </w:r>
      <w:r>
        <w:rPr>
          <w:rFonts w:hint="cs"/>
          <w:rtl/>
        </w:rPr>
        <w:t>"</w:t>
      </w:r>
      <w:r w:rsidRPr="00CE3DCC">
        <w:rPr>
          <w:rtl/>
        </w:rPr>
        <w:t>קשים</w:t>
      </w:r>
      <w:r>
        <w:rPr>
          <w:rFonts w:hint="cs"/>
          <w:rtl/>
        </w:rPr>
        <w:t>"</w:t>
      </w:r>
      <w:r w:rsidRPr="00CE3DCC">
        <w:rPr>
          <w:rtl/>
        </w:rPr>
        <w:t xml:space="preserve"> כגון: קוקאין והרואין, וכן באשר לכמות ה</w:t>
      </w:r>
      <w:r>
        <w:rPr>
          <w:rFonts w:hint="cs"/>
          <w:rtl/>
        </w:rPr>
        <w:t xml:space="preserve">סם </w:t>
      </w:r>
      <w:r w:rsidRPr="00CE3DCC">
        <w:rPr>
          <w:rtl/>
        </w:rPr>
        <w:t xml:space="preserve"> ואופן החזקת</w:t>
      </w:r>
      <w:r>
        <w:rPr>
          <w:rFonts w:hint="cs"/>
          <w:rtl/>
        </w:rPr>
        <w:t>ו. בענייננו לא נמצאה כל אינדיקציה לסחר בסמים.</w:t>
      </w:r>
      <w:r w:rsidRPr="00CE3DCC">
        <w:rPr>
          <w:rtl/>
        </w:rPr>
        <w:t xml:space="preserve"> </w:t>
      </w:r>
    </w:p>
    <w:p w14:paraId="1FC7BFD4" w14:textId="77777777" w:rsidR="00E85721" w:rsidRPr="00CE3DCC" w:rsidRDefault="00E85721" w:rsidP="00E85721">
      <w:pPr>
        <w:spacing w:line="360" w:lineRule="auto"/>
        <w:jc w:val="both"/>
        <w:rPr>
          <w:rtl/>
        </w:rPr>
      </w:pPr>
    </w:p>
    <w:p w14:paraId="4D16EFDF" w14:textId="77777777" w:rsidR="00E85721" w:rsidRPr="00CE3DCC" w:rsidRDefault="00E85721" w:rsidP="00E85721">
      <w:pPr>
        <w:numPr>
          <w:ilvl w:val="0"/>
          <w:numId w:val="1"/>
        </w:numPr>
        <w:spacing w:line="360" w:lineRule="auto"/>
        <w:jc w:val="both"/>
        <w:rPr>
          <w:rtl/>
        </w:rPr>
      </w:pPr>
      <w:r w:rsidRPr="00CE3DCC">
        <w:rPr>
          <w:rtl/>
        </w:rPr>
        <w:t xml:space="preserve">בנוסף, </w:t>
      </w:r>
      <w:r>
        <w:rPr>
          <w:rFonts w:hint="cs"/>
          <w:rtl/>
        </w:rPr>
        <w:t>ו</w:t>
      </w:r>
      <w:r w:rsidRPr="00CE3DCC">
        <w:rPr>
          <w:rtl/>
        </w:rPr>
        <w:t>מבלי להקל ראש בדברים, הבחינה הפסיקה הרווחת בין החזק</w:t>
      </w:r>
      <w:r>
        <w:rPr>
          <w:rFonts w:hint="cs"/>
          <w:rtl/>
        </w:rPr>
        <w:t>ת סם</w:t>
      </w:r>
      <w:r w:rsidRPr="00CE3DCC">
        <w:rPr>
          <w:rtl/>
        </w:rPr>
        <w:t xml:space="preserve"> כדוגמת קנב</w:t>
      </w:r>
      <w:r>
        <w:rPr>
          <w:rFonts w:hint="cs"/>
          <w:rtl/>
        </w:rPr>
        <w:t>י</w:t>
      </w:r>
      <w:r w:rsidRPr="00CE3DCC">
        <w:rPr>
          <w:rtl/>
        </w:rPr>
        <w:t>ס וחשיש עד ל-1  ק"ג, ומ</w:t>
      </w:r>
      <w:r>
        <w:rPr>
          <w:rFonts w:hint="cs"/>
          <w:rtl/>
        </w:rPr>
        <w:t>על לכמות האמורה. א</w:t>
      </w:r>
      <w:r w:rsidRPr="00CE3DCC">
        <w:rPr>
          <w:rtl/>
        </w:rPr>
        <w:t>פנה בעניין זה לפסק דינו המפורט של כבוד השופט הישאם</w:t>
      </w:r>
      <w:r>
        <w:rPr>
          <w:rFonts w:hint="cs"/>
          <w:rtl/>
        </w:rPr>
        <w:t xml:space="preserve"> א</w:t>
      </w:r>
      <w:r w:rsidRPr="00CE3DCC">
        <w:rPr>
          <w:rtl/>
        </w:rPr>
        <w:t xml:space="preserve">בו שחאדה מבית המשפט השלום ברמלה, ולפסיקה הרבה המצוטטת שם, מכלל הערכאות, </w:t>
      </w:r>
      <w:r>
        <w:rPr>
          <w:rFonts w:hint="cs"/>
          <w:rtl/>
        </w:rPr>
        <w:t>ב</w:t>
      </w:r>
      <w:r w:rsidRPr="00CE3DCC">
        <w:rPr>
          <w:rtl/>
        </w:rPr>
        <w:t xml:space="preserve">מסגרת </w:t>
      </w:r>
      <w:hyperlink r:id="rId18" w:history="1">
        <w:r w:rsidR="00B775FE" w:rsidRPr="00B775FE">
          <w:rPr>
            <w:color w:val="0000FF"/>
            <w:u w:val="single"/>
            <w:rtl/>
          </w:rPr>
          <w:t>ת"פ (רמלה) 54134-05-18</w:t>
        </w:r>
      </w:hyperlink>
      <w:r w:rsidRPr="00CE3DCC">
        <w:rPr>
          <w:b/>
          <w:bCs/>
          <w:rtl/>
        </w:rPr>
        <w:t xml:space="preserve"> מדינת ישראל נ' אבו לבן</w:t>
      </w:r>
      <w:r w:rsidRPr="00CE3DCC">
        <w:rPr>
          <w:rtl/>
        </w:rPr>
        <w:t xml:space="preserve"> (26.12.18).</w:t>
      </w:r>
    </w:p>
    <w:p w14:paraId="03FD1F46" w14:textId="77777777" w:rsidR="00E85721" w:rsidRPr="00CE3DCC" w:rsidRDefault="00E85721" w:rsidP="00E85721">
      <w:pPr>
        <w:spacing w:line="360" w:lineRule="auto"/>
        <w:jc w:val="both"/>
        <w:rPr>
          <w:rtl/>
        </w:rPr>
      </w:pPr>
    </w:p>
    <w:p w14:paraId="20A56B11" w14:textId="77777777" w:rsidR="00E85721" w:rsidRDefault="00E85721" w:rsidP="00E85721">
      <w:pPr>
        <w:numPr>
          <w:ilvl w:val="0"/>
          <w:numId w:val="1"/>
        </w:numPr>
        <w:spacing w:line="360" w:lineRule="auto"/>
        <w:jc w:val="both"/>
      </w:pPr>
      <w:r>
        <w:rPr>
          <w:rFonts w:hint="cs"/>
          <w:rtl/>
        </w:rPr>
        <w:t xml:space="preserve">לאחר ששמעתי טיעוני הצדדים, עמדתי על נסיבות ביצוע העבירות, הערכים המוגנים והפגיעה בהם, בהינתן מדיניות הפסיקה הנוהגת, שהינה מגוונת למדי, בהחזקת סם מסוג דא, מצאתי לקבוע מתחם עונשי הולם </w:t>
      </w:r>
      <w:r w:rsidRPr="00193791">
        <w:rPr>
          <w:rFonts w:hint="cs"/>
          <w:b/>
          <w:bCs/>
          <w:rtl/>
        </w:rPr>
        <w:t>שנע בין מאסר</w:t>
      </w:r>
      <w:r>
        <w:rPr>
          <w:rFonts w:hint="cs"/>
          <w:b/>
          <w:bCs/>
          <w:rtl/>
        </w:rPr>
        <w:t xml:space="preserve"> ולו קצר</w:t>
      </w:r>
      <w:r w:rsidRPr="00193791">
        <w:rPr>
          <w:rFonts w:hint="cs"/>
          <w:b/>
          <w:bCs/>
          <w:rtl/>
        </w:rPr>
        <w:t xml:space="preserve"> שיכול וירוצה בדרך של עבודות שירות ועד ל- 12 חודשי מאסר בפועל לצד ענישה נלווית.</w:t>
      </w:r>
    </w:p>
    <w:p w14:paraId="05092C38" w14:textId="77777777" w:rsidR="00E85721" w:rsidRPr="00376C74" w:rsidRDefault="00E85721" w:rsidP="00E85721">
      <w:pPr>
        <w:pStyle w:val="a9"/>
        <w:rPr>
          <w:rtl/>
        </w:rPr>
      </w:pPr>
    </w:p>
    <w:p w14:paraId="4BF206EE" w14:textId="77777777" w:rsidR="00E85721" w:rsidRDefault="00E85721" w:rsidP="00E85721">
      <w:pPr>
        <w:spacing w:line="360" w:lineRule="auto"/>
        <w:ind w:left="720"/>
        <w:jc w:val="both"/>
        <w:rPr>
          <w:rtl/>
        </w:rPr>
      </w:pPr>
      <w:r w:rsidRPr="00CE3DCC">
        <w:rPr>
          <w:rtl/>
        </w:rPr>
        <w:t xml:space="preserve">ראו בין היתר: </w:t>
      </w:r>
      <w:hyperlink r:id="rId19" w:history="1">
        <w:r w:rsidR="00B775FE" w:rsidRPr="00B775FE">
          <w:rPr>
            <w:color w:val="0000FF"/>
            <w:u w:val="single"/>
            <w:rtl/>
          </w:rPr>
          <w:t>רע"פ 1830/16</w:t>
        </w:r>
      </w:hyperlink>
      <w:r w:rsidRPr="00CE3DCC">
        <w:rPr>
          <w:b/>
          <w:bCs/>
          <w:rtl/>
        </w:rPr>
        <w:t xml:space="preserve"> סאלם רקיבי נ' מדינת ישראל </w:t>
      </w:r>
      <w:r w:rsidRPr="00CE3DCC">
        <w:rPr>
          <w:rtl/>
        </w:rPr>
        <w:t>(11.4.16)</w:t>
      </w:r>
      <w:r w:rsidRPr="00CE3DCC">
        <w:rPr>
          <w:b/>
          <w:bCs/>
          <w:rtl/>
        </w:rPr>
        <w:t xml:space="preserve">; </w:t>
      </w:r>
      <w:hyperlink r:id="rId20" w:history="1">
        <w:r w:rsidR="00B775FE" w:rsidRPr="00B775FE">
          <w:rPr>
            <w:color w:val="0000FF"/>
            <w:u w:val="single"/>
            <w:rtl/>
          </w:rPr>
          <w:t>ת"פ (רמלה) 54134-05-18</w:t>
        </w:r>
      </w:hyperlink>
      <w:r w:rsidRPr="00CE3DCC">
        <w:rPr>
          <w:b/>
          <w:bCs/>
          <w:rtl/>
        </w:rPr>
        <w:t xml:space="preserve"> מדינת ישראל נ' אבו לבן</w:t>
      </w:r>
      <w:r w:rsidRPr="00CE3DCC">
        <w:rPr>
          <w:rtl/>
        </w:rPr>
        <w:t xml:space="preserve"> (26.12.18)</w:t>
      </w:r>
      <w:r w:rsidRPr="00CE3DCC">
        <w:rPr>
          <w:b/>
          <w:bCs/>
          <w:rtl/>
        </w:rPr>
        <w:t xml:space="preserve">; </w:t>
      </w:r>
      <w:hyperlink r:id="rId21" w:history="1">
        <w:r w:rsidR="00B775FE" w:rsidRPr="00B775FE">
          <w:rPr>
            <w:color w:val="0000FF"/>
            <w:u w:val="single"/>
            <w:rtl/>
          </w:rPr>
          <w:t>ת"פ (תל-אביב) 52131-04-18</w:t>
        </w:r>
      </w:hyperlink>
      <w:r w:rsidRPr="00CE3DCC">
        <w:rPr>
          <w:b/>
          <w:bCs/>
          <w:rtl/>
        </w:rPr>
        <w:t xml:space="preserve"> מדינת ישראל נ' מנשירוב </w:t>
      </w:r>
      <w:r w:rsidRPr="00CE3DCC">
        <w:rPr>
          <w:rtl/>
        </w:rPr>
        <w:t>(30.4.19)</w:t>
      </w:r>
      <w:r w:rsidRPr="00CE3DCC">
        <w:rPr>
          <w:b/>
          <w:bCs/>
          <w:rtl/>
        </w:rPr>
        <w:t xml:space="preserve">; </w:t>
      </w:r>
      <w:hyperlink r:id="rId22" w:history="1">
        <w:r w:rsidR="00B775FE" w:rsidRPr="00B775FE">
          <w:rPr>
            <w:color w:val="0000FF"/>
            <w:u w:val="single"/>
            <w:rtl/>
          </w:rPr>
          <w:t>ת"פ (תל-אביב) 1062-06-18</w:t>
        </w:r>
      </w:hyperlink>
      <w:r w:rsidRPr="00CE3DCC">
        <w:rPr>
          <w:rtl/>
        </w:rPr>
        <w:t xml:space="preserve"> </w:t>
      </w:r>
      <w:r w:rsidRPr="00CE3DCC">
        <w:rPr>
          <w:b/>
          <w:bCs/>
          <w:rtl/>
        </w:rPr>
        <w:t xml:space="preserve">מדינת ישראל נ' קוטלובסקי </w:t>
      </w:r>
      <w:r w:rsidRPr="00CE3DCC">
        <w:rPr>
          <w:rtl/>
        </w:rPr>
        <w:t xml:space="preserve">(23.12.19); </w:t>
      </w:r>
      <w:hyperlink r:id="rId23" w:history="1">
        <w:r w:rsidR="00B775FE" w:rsidRPr="00B775FE">
          <w:rPr>
            <w:color w:val="0000FF"/>
            <w:u w:val="single"/>
            <w:rtl/>
          </w:rPr>
          <w:t>ת"פ (תל-אביב) 68642-05-18</w:t>
        </w:r>
      </w:hyperlink>
      <w:r w:rsidRPr="00CE3DCC">
        <w:rPr>
          <w:rtl/>
        </w:rPr>
        <w:t xml:space="preserve"> </w:t>
      </w:r>
      <w:r w:rsidRPr="00CE3DCC">
        <w:rPr>
          <w:b/>
          <w:bCs/>
          <w:rtl/>
        </w:rPr>
        <w:t xml:space="preserve">מדינת ישראל נ' ראובן </w:t>
      </w:r>
      <w:r>
        <w:rPr>
          <w:rtl/>
        </w:rPr>
        <w:t>(4.7.19)</w:t>
      </w:r>
      <w:r w:rsidRPr="00CE3DCC">
        <w:rPr>
          <w:rtl/>
        </w:rPr>
        <w:t xml:space="preserve">; </w:t>
      </w:r>
      <w:hyperlink r:id="rId24" w:history="1">
        <w:r w:rsidR="00B775FE" w:rsidRPr="00B775FE">
          <w:rPr>
            <w:color w:val="0000FF"/>
            <w:u w:val="single"/>
            <w:rtl/>
          </w:rPr>
          <w:t>ת"פ (חיפה) 16760-06-17</w:t>
        </w:r>
      </w:hyperlink>
      <w:r w:rsidRPr="00CE3DCC">
        <w:rPr>
          <w:rtl/>
        </w:rPr>
        <w:t xml:space="preserve"> </w:t>
      </w:r>
      <w:r w:rsidRPr="00CE3DCC">
        <w:rPr>
          <w:b/>
          <w:bCs/>
          <w:rtl/>
        </w:rPr>
        <w:t xml:space="preserve">מדינת ישראל נ' ויינברג </w:t>
      </w:r>
      <w:r w:rsidRPr="00CE3DCC">
        <w:rPr>
          <w:rtl/>
        </w:rPr>
        <w:t xml:space="preserve">(19.2.19), </w:t>
      </w:r>
      <w:hyperlink r:id="rId25" w:history="1">
        <w:r w:rsidR="00B775FE" w:rsidRPr="00B775FE">
          <w:rPr>
            <w:color w:val="0000FF"/>
            <w:u w:val="single"/>
            <w:rtl/>
          </w:rPr>
          <w:t>ת"פ (אילת) 41189-09-15</w:t>
        </w:r>
      </w:hyperlink>
      <w:r w:rsidRPr="00CE3DCC">
        <w:rPr>
          <w:rtl/>
        </w:rPr>
        <w:t xml:space="preserve"> </w:t>
      </w:r>
      <w:r w:rsidRPr="00CE3DCC">
        <w:rPr>
          <w:b/>
          <w:bCs/>
          <w:rtl/>
        </w:rPr>
        <w:t xml:space="preserve">מדינת ישראל נ' אלדהיני </w:t>
      </w:r>
      <w:r w:rsidRPr="00CE3DCC">
        <w:rPr>
          <w:rtl/>
        </w:rPr>
        <w:t xml:space="preserve">(13.7.16); </w:t>
      </w:r>
      <w:hyperlink r:id="rId26" w:history="1">
        <w:r w:rsidR="00B775FE" w:rsidRPr="00B775FE">
          <w:rPr>
            <w:color w:val="0000FF"/>
            <w:u w:val="single"/>
            <w:rtl/>
          </w:rPr>
          <w:t>ת"פ (ק"ג) 42456-02-18</w:t>
        </w:r>
      </w:hyperlink>
      <w:r w:rsidRPr="00CE3DCC">
        <w:rPr>
          <w:rtl/>
        </w:rPr>
        <w:t xml:space="preserve"> </w:t>
      </w:r>
      <w:r w:rsidRPr="00CE3DCC">
        <w:rPr>
          <w:b/>
          <w:bCs/>
          <w:rtl/>
        </w:rPr>
        <w:t xml:space="preserve">ישראל נ' בנבנשטי </w:t>
      </w:r>
      <w:r w:rsidRPr="00CE3DCC">
        <w:rPr>
          <w:rtl/>
        </w:rPr>
        <w:t xml:space="preserve">(16.7.18); </w:t>
      </w:r>
      <w:hyperlink r:id="rId27" w:history="1">
        <w:r w:rsidR="00B775FE" w:rsidRPr="00B775FE">
          <w:rPr>
            <w:color w:val="0000FF"/>
            <w:u w:val="single"/>
            <w:rtl/>
          </w:rPr>
          <w:t>ת"פ (ק"ג) 29899-12-18</w:t>
        </w:r>
      </w:hyperlink>
      <w:r w:rsidRPr="00CE3DCC">
        <w:rPr>
          <w:rtl/>
        </w:rPr>
        <w:t xml:space="preserve"> </w:t>
      </w:r>
      <w:r w:rsidRPr="00CE3DCC">
        <w:rPr>
          <w:b/>
          <w:bCs/>
          <w:rtl/>
        </w:rPr>
        <w:t xml:space="preserve">מדינת ישראל נ' בניסתי </w:t>
      </w:r>
      <w:r w:rsidRPr="00CE3DCC">
        <w:rPr>
          <w:rtl/>
        </w:rPr>
        <w:t>(30.6.19).</w:t>
      </w:r>
    </w:p>
    <w:p w14:paraId="1F00C735" w14:textId="77777777" w:rsidR="00E85721" w:rsidRDefault="00E85721" w:rsidP="00E85721">
      <w:pPr>
        <w:spacing w:line="360" w:lineRule="auto"/>
        <w:ind w:left="720"/>
        <w:jc w:val="both"/>
        <w:rPr>
          <w:rtl/>
        </w:rPr>
      </w:pPr>
    </w:p>
    <w:p w14:paraId="7BE7018F" w14:textId="77777777" w:rsidR="00E85721" w:rsidRDefault="00E85721" w:rsidP="00E85721">
      <w:pPr>
        <w:spacing w:line="360" w:lineRule="auto"/>
        <w:ind w:left="720"/>
        <w:jc w:val="both"/>
        <w:rPr>
          <w:rtl/>
        </w:rPr>
      </w:pPr>
    </w:p>
    <w:p w14:paraId="6833CBD3" w14:textId="77777777" w:rsidR="00E85721" w:rsidRDefault="00E85721" w:rsidP="00E85721">
      <w:pPr>
        <w:spacing w:line="360" w:lineRule="auto"/>
        <w:ind w:left="720"/>
        <w:jc w:val="both"/>
        <w:rPr>
          <w:rtl/>
        </w:rPr>
      </w:pPr>
    </w:p>
    <w:p w14:paraId="261F47AE" w14:textId="77777777" w:rsidR="00E85721" w:rsidRDefault="00E85721" w:rsidP="00E85721">
      <w:pPr>
        <w:spacing w:line="360" w:lineRule="auto"/>
        <w:ind w:left="720"/>
        <w:jc w:val="both"/>
        <w:rPr>
          <w:rtl/>
        </w:rPr>
      </w:pPr>
    </w:p>
    <w:p w14:paraId="190D9283" w14:textId="77777777" w:rsidR="00E85721" w:rsidRDefault="00E85721" w:rsidP="00E85721">
      <w:pPr>
        <w:spacing w:line="360" w:lineRule="auto"/>
        <w:ind w:left="720"/>
        <w:jc w:val="both"/>
        <w:rPr>
          <w:rtl/>
        </w:rPr>
      </w:pPr>
    </w:p>
    <w:p w14:paraId="38BA7D30" w14:textId="77777777" w:rsidR="00E85721" w:rsidRPr="00CE3DCC" w:rsidRDefault="00E85721" w:rsidP="00E85721">
      <w:pPr>
        <w:spacing w:line="360" w:lineRule="auto"/>
        <w:ind w:left="720"/>
        <w:jc w:val="both"/>
        <w:rPr>
          <w:rtl/>
        </w:rPr>
      </w:pPr>
    </w:p>
    <w:p w14:paraId="65616CDB" w14:textId="77777777" w:rsidR="00E85721" w:rsidRPr="00CE3DCC" w:rsidRDefault="00E85721" w:rsidP="00E85721">
      <w:pPr>
        <w:spacing w:line="360" w:lineRule="auto"/>
        <w:jc w:val="both"/>
        <w:rPr>
          <w:rtl/>
        </w:rPr>
      </w:pPr>
    </w:p>
    <w:p w14:paraId="659A0644" w14:textId="77777777" w:rsidR="00E85721" w:rsidRPr="00CE3DCC" w:rsidRDefault="00E85721" w:rsidP="00E85721">
      <w:pPr>
        <w:spacing w:line="360" w:lineRule="auto"/>
        <w:jc w:val="both"/>
        <w:rPr>
          <w:b/>
          <w:bCs/>
          <w:u w:val="single"/>
          <w:rtl/>
        </w:rPr>
      </w:pPr>
      <w:r w:rsidRPr="00CE3DCC">
        <w:rPr>
          <w:b/>
          <w:bCs/>
          <w:u w:val="single"/>
          <w:rtl/>
        </w:rPr>
        <w:t>מיקומו של הנאשם בתוך המתחם</w:t>
      </w:r>
    </w:p>
    <w:p w14:paraId="60EF5071" w14:textId="77777777" w:rsidR="00E85721" w:rsidRPr="00CE3DCC" w:rsidRDefault="00E85721" w:rsidP="00E85721">
      <w:pPr>
        <w:spacing w:line="360" w:lineRule="auto"/>
        <w:jc w:val="both"/>
        <w:rPr>
          <w:rtl/>
        </w:rPr>
      </w:pPr>
    </w:p>
    <w:p w14:paraId="57EDF4E9" w14:textId="77777777" w:rsidR="00E85721" w:rsidRDefault="00E85721" w:rsidP="00E85721">
      <w:pPr>
        <w:numPr>
          <w:ilvl w:val="0"/>
          <w:numId w:val="1"/>
        </w:numPr>
        <w:spacing w:line="360" w:lineRule="auto"/>
        <w:jc w:val="both"/>
      </w:pPr>
      <w:r w:rsidRPr="00CE3DCC">
        <w:rPr>
          <w:rtl/>
        </w:rPr>
        <w:t xml:space="preserve">הנאשם </w:t>
      </w:r>
      <w:r>
        <w:rPr>
          <w:rFonts w:hint="cs"/>
          <w:rtl/>
        </w:rPr>
        <w:t>כבן 30</w:t>
      </w:r>
      <w:r w:rsidRPr="00CE3DCC">
        <w:rPr>
          <w:rtl/>
        </w:rPr>
        <w:t>, נשוי ואב ל-3 ילדים קטינים.</w:t>
      </w:r>
      <w:r>
        <w:rPr>
          <w:rFonts w:hint="cs"/>
          <w:rtl/>
        </w:rPr>
        <w:t xml:space="preserve"> הודה בפתח משפטו ולמעשה כבר בחקירתו במשטרת ישראל, נטל אחריות מלאה על מעשיו וחסך בזמן שיפוטי ניכר, כמו גם בזמנה של התביעה הכללית ובזמנם של עדי התביעה.</w:t>
      </w:r>
    </w:p>
    <w:p w14:paraId="5ED98421" w14:textId="77777777" w:rsidR="00E85721" w:rsidRDefault="00E85721" w:rsidP="00E85721">
      <w:pPr>
        <w:spacing w:line="360" w:lineRule="auto"/>
        <w:ind w:left="720"/>
        <w:jc w:val="both"/>
        <w:rPr>
          <w:rtl/>
        </w:rPr>
      </w:pPr>
      <w:r>
        <w:rPr>
          <w:rFonts w:hint="cs"/>
          <w:rtl/>
        </w:rPr>
        <w:t>לנאשם עבר פלילי (ת/1) שהתיישן, הרשעתו האחרונה משנת 2012 בגין עבירה משנת 2010, בגין עבירה של תגרה והחזקת סכין ובעברו הרחוק עבירה של החזקת סם שלא לצריכה עצמית (עבירה מלפני 12 שנים). עיינתי בגיליון הרישום התעבורתי שהוגש בפני (ת/2) ונוכחתי לדעת כי רובן של העבירות הינן מסוג ברירות משפט.</w:t>
      </w:r>
    </w:p>
    <w:p w14:paraId="59AEDEFF" w14:textId="77777777" w:rsidR="00E85721" w:rsidRDefault="00E85721" w:rsidP="00E85721">
      <w:pPr>
        <w:spacing w:line="360" w:lineRule="auto"/>
        <w:ind w:left="720"/>
        <w:jc w:val="both"/>
        <w:rPr>
          <w:rtl/>
        </w:rPr>
      </w:pPr>
      <w:r>
        <w:rPr>
          <w:rFonts w:hint="cs"/>
          <w:rtl/>
        </w:rPr>
        <w:t>מאז ביצוע העבירות מושא תיקנו עברה תקופה של שנה ושמונה חודשים, במהלכה לא נפתחו תיקים חדשים לחובת הנאשם.</w:t>
      </w:r>
    </w:p>
    <w:p w14:paraId="24ADC3E4" w14:textId="77777777" w:rsidR="00E85721" w:rsidRDefault="00E85721" w:rsidP="00E85721">
      <w:pPr>
        <w:ind w:left="720"/>
        <w:jc w:val="both"/>
        <w:rPr>
          <w:rtl/>
        </w:rPr>
      </w:pPr>
    </w:p>
    <w:p w14:paraId="3940C0D8" w14:textId="77777777" w:rsidR="00E85721" w:rsidRDefault="00E85721" w:rsidP="00E85721">
      <w:pPr>
        <w:spacing w:line="360" w:lineRule="auto"/>
        <w:ind w:left="720"/>
        <w:jc w:val="both"/>
        <w:rPr>
          <w:rtl/>
        </w:rPr>
      </w:pPr>
      <w:r>
        <w:rPr>
          <w:rFonts w:hint="cs"/>
          <w:rtl/>
        </w:rPr>
        <w:t>הנאשם שומר על יציבות תעסוקתית, עובד למחייתו במאפיה, ומפרנס את משפחתו כאשר בת זוגו אינה עובדת.</w:t>
      </w:r>
    </w:p>
    <w:p w14:paraId="0432EF18" w14:textId="77777777" w:rsidR="00E85721" w:rsidRPr="00CE3DCC" w:rsidRDefault="00E85721" w:rsidP="00E85721">
      <w:pPr>
        <w:jc w:val="both"/>
      </w:pPr>
    </w:p>
    <w:p w14:paraId="310B3048" w14:textId="77777777" w:rsidR="00E85721" w:rsidRDefault="00E85721" w:rsidP="00E85721">
      <w:pPr>
        <w:numPr>
          <w:ilvl w:val="0"/>
          <w:numId w:val="1"/>
        </w:numPr>
        <w:spacing w:line="360" w:lineRule="auto"/>
        <w:jc w:val="both"/>
      </w:pPr>
      <w:r>
        <w:rPr>
          <w:rFonts w:hint="cs"/>
          <w:rtl/>
        </w:rPr>
        <w:t>לנאשם מצב רפואי שאינו פשוט, כמתואר במסמך הרפואי (ס/1), סובל מכאבים עזים בעקבות תאונת אופנוע שעבר לפני כ- 6 שנים. הדברים קיבלו ביטוי גם בתסקירי שירות המבחן.</w:t>
      </w:r>
    </w:p>
    <w:p w14:paraId="1547F55A" w14:textId="77777777" w:rsidR="00E85721" w:rsidRDefault="00E85721" w:rsidP="00E85721">
      <w:pPr>
        <w:spacing w:line="360" w:lineRule="auto"/>
        <w:ind w:left="720"/>
        <w:jc w:val="both"/>
        <w:rPr>
          <w:rtl/>
        </w:rPr>
      </w:pPr>
      <w:r w:rsidRPr="00CE3DCC">
        <w:rPr>
          <w:rtl/>
        </w:rPr>
        <w:t>לתיק הוגש</w:t>
      </w:r>
      <w:r>
        <w:rPr>
          <w:rFonts w:hint="cs"/>
          <w:rtl/>
        </w:rPr>
        <w:t xml:space="preserve">ו שני </w:t>
      </w:r>
      <w:r w:rsidRPr="00CE3DCC">
        <w:rPr>
          <w:rtl/>
        </w:rPr>
        <w:t>תסקיר</w:t>
      </w:r>
      <w:r>
        <w:rPr>
          <w:rFonts w:hint="cs"/>
          <w:rtl/>
        </w:rPr>
        <w:t>ים</w:t>
      </w:r>
      <w:r w:rsidRPr="00CE3DCC">
        <w:rPr>
          <w:rtl/>
        </w:rPr>
        <w:t xml:space="preserve"> מאת שירות המבחן</w:t>
      </w:r>
      <w:r>
        <w:rPr>
          <w:rFonts w:hint="cs"/>
          <w:rtl/>
        </w:rPr>
        <w:t xml:space="preserve">. שירות המבחן </w:t>
      </w:r>
      <w:r w:rsidRPr="00CE3DCC">
        <w:rPr>
          <w:rtl/>
        </w:rPr>
        <w:t>ס</w:t>
      </w:r>
      <w:r>
        <w:rPr>
          <w:rFonts w:hint="cs"/>
          <w:rtl/>
        </w:rPr>
        <w:t>ו</w:t>
      </w:r>
      <w:r w:rsidRPr="00CE3DCC">
        <w:rPr>
          <w:rtl/>
        </w:rPr>
        <w:t xml:space="preserve">קר </w:t>
      </w:r>
      <w:r>
        <w:rPr>
          <w:rFonts w:hint="cs"/>
          <w:rtl/>
        </w:rPr>
        <w:t>את נסיבותיו של הנאשם, נסיבות שאינן פשוטות והסתבכותו עם החוק שבעבר.</w:t>
      </w:r>
      <w:r w:rsidRPr="00CE3DCC">
        <w:rPr>
          <w:rtl/>
        </w:rPr>
        <w:t xml:space="preserve"> </w:t>
      </w:r>
      <w:r>
        <w:rPr>
          <w:rFonts w:hint="cs"/>
          <w:rtl/>
        </w:rPr>
        <w:t xml:space="preserve">הנאשם בן להורים המקיימים אורח חיים חרדי, כאשר </w:t>
      </w:r>
      <w:r w:rsidRPr="00CE3DCC">
        <w:rPr>
          <w:rtl/>
        </w:rPr>
        <w:t>לנאשם קשר קרוב לבני משפחתו והוא מסייע בטיפול באביו</w:t>
      </w:r>
      <w:r>
        <w:rPr>
          <w:rFonts w:hint="cs"/>
          <w:rtl/>
        </w:rPr>
        <w:t xml:space="preserve"> הנכה המצוי</w:t>
      </w:r>
      <w:r w:rsidRPr="00CE3DCC">
        <w:rPr>
          <w:rtl/>
        </w:rPr>
        <w:t xml:space="preserve"> במצב סיעודי לאור אירוע מוחי שעבר. בנוסף, הקשר הזוגי בין הנאשם ל</w:t>
      </w:r>
      <w:r>
        <w:rPr>
          <w:rFonts w:hint="cs"/>
          <w:rtl/>
        </w:rPr>
        <w:t>בת זוגו ידע</w:t>
      </w:r>
      <w:r w:rsidRPr="00CE3DCC">
        <w:rPr>
          <w:rtl/>
        </w:rPr>
        <w:t xml:space="preserve"> עליות ומורדות בעת האחרונה</w:t>
      </w:r>
      <w:r>
        <w:rPr>
          <w:rFonts w:hint="cs"/>
          <w:rtl/>
        </w:rPr>
        <w:t xml:space="preserve"> והשניים  פנו להליך גישור. שירות המבחן מציין כי הנאשם מטופל לאור מצבו הרפואי במרפאת כאב ואף פנה בבקשה לקבלת היתר לשימוש בקנביס רפואי, עם זאת לאור התמשכות ההליכים הבירוקרטיים טרם קיבל את הרישיון. שירות המבחן התרשם כי מעבר לצריכתו היומיומית של הנאשם בקנביס, עליה דיווח לשירות, לא קיימת אינדיקציה לבעייתיות נוספת בתחום זה, ובדיקת השתן שמסר הנאשם העידה על שימוש בקנביס.</w:t>
      </w:r>
    </w:p>
    <w:p w14:paraId="049C4435" w14:textId="77777777" w:rsidR="00E85721" w:rsidRDefault="00E85721" w:rsidP="00E85721">
      <w:pPr>
        <w:spacing w:line="360" w:lineRule="auto"/>
        <w:ind w:left="720"/>
        <w:jc w:val="both"/>
        <w:rPr>
          <w:rtl/>
        </w:rPr>
      </w:pPr>
      <w:r>
        <w:rPr>
          <w:rFonts w:hint="cs"/>
          <w:rtl/>
        </w:rPr>
        <w:t>שירות המבחן מציין כי כגורמי סיכוי ניתן להצביע על היציבות התעסוקתית בה מחזיק הנאשם ומאמציו לקדם את קבלת ההיתר לקנביס רפואי. ללא התערבות טיפולית והפסקת השימוש בסם, קיים סיכון להישנות התנהגות שולית, ובהעדר נכונות מצד הנאשם להשתלב בהליך טיפולי, אין השירות בא בהמלצה טיפולית-שיקומית בעניינו.</w:t>
      </w:r>
    </w:p>
    <w:p w14:paraId="79F155CE" w14:textId="77777777" w:rsidR="00E85721" w:rsidRDefault="00E85721" w:rsidP="00E85721">
      <w:pPr>
        <w:spacing w:line="360" w:lineRule="auto"/>
        <w:ind w:left="720"/>
        <w:jc w:val="both"/>
        <w:rPr>
          <w:rtl/>
        </w:rPr>
      </w:pPr>
    </w:p>
    <w:p w14:paraId="3A75B4A6" w14:textId="77777777" w:rsidR="00E85721" w:rsidRDefault="00E85721" w:rsidP="00E85721">
      <w:pPr>
        <w:spacing w:line="360" w:lineRule="auto"/>
        <w:ind w:left="720"/>
        <w:jc w:val="both"/>
        <w:rPr>
          <w:rtl/>
        </w:rPr>
      </w:pPr>
      <w:r>
        <w:rPr>
          <w:rFonts w:hint="cs"/>
          <w:rtl/>
        </w:rPr>
        <w:t>גם בתסקירו העדכני של השירות (4.8.20) בהינתן שיתוף הפעולה החלקי של הנאשם עם השירות לא בא השירות בהמלצה טיפולית בעניינו. עם זאת השירות מעדכן, מפיו של הנאשם, כי במהלך חודש יוני השנה הפסיק לצרוך מהסם ומטופל בטיפול תרופתי כפי שהומלץ במרפאת הכאב.</w:t>
      </w:r>
    </w:p>
    <w:p w14:paraId="50A02509" w14:textId="77777777" w:rsidR="00E85721" w:rsidRDefault="00E85721" w:rsidP="00E85721">
      <w:pPr>
        <w:spacing w:line="360" w:lineRule="auto"/>
        <w:ind w:left="720"/>
        <w:jc w:val="both"/>
        <w:rPr>
          <w:rtl/>
        </w:rPr>
      </w:pPr>
    </w:p>
    <w:p w14:paraId="2AB9B738" w14:textId="77777777" w:rsidR="00E85721" w:rsidRPr="00CE3DCC" w:rsidRDefault="00E85721" w:rsidP="00E85721">
      <w:pPr>
        <w:pStyle w:val="a9"/>
        <w:numPr>
          <w:ilvl w:val="0"/>
          <w:numId w:val="1"/>
        </w:numPr>
        <w:spacing w:line="360" w:lineRule="auto"/>
        <w:jc w:val="both"/>
      </w:pPr>
      <w:r>
        <w:rPr>
          <w:rFonts w:hint="cs"/>
          <w:rtl/>
        </w:rPr>
        <w:t xml:space="preserve">התקבלה חוו"ד הממונה על עבודות השירות, לפיה הנאשם נמצא מתאים לביצוע עבודות שירות, ללא כל מגבלות. </w:t>
      </w:r>
    </w:p>
    <w:p w14:paraId="31B696DE" w14:textId="77777777" w:rsidR="00E85721" w:rsidRPr="00CE3DCC" w:rsidRDefault="00E85721" w:rsidP="00E85721">
      <w:pPr>
        <w:spacing w:line="360" w:lineRule="auto"/>
        <w:jc w:val="both"/>
      </w:pPr>
    </w:p>
    <w:p w14:paraId="44C68CFA" w14:textId="77777777" w:rsidR="00E85721" w:rsidRDefault="00E85721" w:rsidP="00E85721">
      <w:pPr>
        <w:numPr>
          <w:ilvl w:val="0"/>
          <w:numId w:val="1"/>
        </w:numPr>
        <w:spacing w:line="360" w:lineRule="auto"/>
        <w:jc w:val="both"/>
      </w:pPr>
      <w:r>
        <w:rPr>
          <w:rFonts w:hint="cs"/>
          <w:rtl/>
        </w:rPr>
        <w:t xml:space="preserve">לאחר שנתתי דעתי לטעמים שמניתי לעיל ובתוך כך לנסיבות שאינן קשורות בביצוע העבירות, לאור חלוף הזמן, של כמעט שנתיים שהנאשם אינו מסתבך עם החוק, העדר פתיחת תיקים חדשים, מצבו הרפואי של הנאשם, היציבות התעסוקתית בה מחזיק, בהינתן שעול פרנסת הבית וילדיו הקטינים מוטלים על כתפיו, בשים לב שעברו של הנאשם התיישן, עם זאת גילה העדר מוטיבציה לטיפול במסגרת שירות המבחן - מצאתי למקם את הנאשם, לא בלי התלבטות, </w:t>
      </w:r>
      <w:r w:rsidRPr="00887A48">
        <w:rPr>
          <w:rFonts w:hint="cs"/>
          <w:b/>
          <w:bCs/>
          <w:rtl/>
        </w:rPr>
        <w:t>לקראת השליש התחתון</w:t>
      </w:r>
      <w:r>
        <w:rPr>
          <w:rFonts w:hint="cs"/>
          <w:rtl/>
        </w:rPr>
        <w:t xml:space="preserve"> של מתחם העונש ההולם, תוך הטלת רכיב של מאסר שירוצה בדרך של עבודות שירות, בכפוף לחוו"ד הממונה שהתקבלה לתיק, לצד ענישה נלווית וחילוט הרכוש בהתאם להסכמת ההגנה.</w:t>
      </w:r>
    </w:p>
    <w:p w14:paraId="101B33DB" w14:textId="77777777" w:rsidR="00E85721" w:rsidRPr="000B2603" w:rsidRDefault="00E85721" w:rsidP="00E85721">
      <w:pPr>
        <w:spacing w:line="360" w:lineRule="auto"/>
        <w:ind w:left="720"/>
        <w:jc w:val="both"/>
        <w:rPr>
          <w:rtl/>
        </w:rPr>
      </w:pPr>
    </w:p>
    <w:p w14:paraId="7EA114A6" w14:textId="77777777" w:rsidR="00E85721" w:rsidRDefault="00E85721" w:rsidP="00E85721">
      <w:pPr>
        <w:spacing w:line="360" w:lineRule="auto"/>
        <w:ind w:left="720"/>
        <w:jc w:val="both"/>
        <w:rPr>
          <w:rtl/>
        </w:rPr>
      </w:pPr>
      <w:r>
        <w:rPr>
          <w:rFonts w:hint="cs"/>
          <w:rtl/>
        </w:rPr>
        <w:t xml:space="preserve">עוד לקחתי בחשבון כי הנאשם שהה </w:t>
      </w:r>
      <w:r w:rsidRPr="00CA0A64">
        <w:rPr>
          <w:rFonts w:hint="cs"/>
          <w:b/>
          <w:bCs/>
          <w:rtl/>
        </w:rPr>
        <w:t>תקופה ארוכה</w:t>
      </w:r>
      <w:r>
        <w:rPr>
          <w:rFonts w:hint="cs"/>
          <w:rtl/>
        </w:rPr>
        <w:t xml:space="preserve"> בתנאים מגבילים, תוך ששמר עליהם קלה כחמורה ומבלי שנרשמו לחובתו הפרות כלשהן.</w:t>
      </w:r>
    </w:p>
    <w:p w14:paraId="04A21813" w14:textId="77777777" w:rsidR="00E85721" w:rsidRDefault="00E85721" w:rsidP="00E85721">
      <w:pPr>
        <w:spacing w:line="360" w:lineRule="auto"/>
        <w:ind w:left="720"/>
        <w:jc w:val="both"/>
        <w:rPr>
          <w:rtl/>
        </w:rPr>
      </w:pPr>
    </w:p>
    <w:p w14:paraId="59823671" w14:textId="77777777" w:rsidR="00E85721" w:rsidRDefault="00E85721" w:rsidP="00E85721">
      <w:pPr>
        <w:numPr>
          <w:ilvl w:val="0"/>
          <w:numId w:val="1"/>
        </w:numPr>
        <w:spacing w:line="360" w:lineRule="auto"/>
        <w:jc w:val="both"/>
      </w:pPr>
      <w:r>
        <w:rPr>
          <w:rFonts w:hint="cs"/>
          <w:rtl/>
        </w:rPr>
        <w:t xml:space="preserve">לא מצאתי לחרוג בתיק זה ממתחם העונש ההולם, כהוראת </w:t>
      </w:r>
      <w:hyperlink r:id="rId28" w:history="1">
        <w:r w:rsidR="00AF3EA4" w:rsidRPr="00AF3EA4">
          <w:rPr>
            <w:rStyle w:val="Hyperlink"/>
            <w:rFonts w:hint="eastAsia"/>
            <w:rtl/>
          </w:rPr>
          <w:t>סעיף</w:t>
        </w:r>
        <w:r w:rsidR="00AF3EA4" w:rsidRPr="00AF3EA4">
          <w:rPr>
            <w:rStyle w:val="Hyperlink"/>
            <w:rtl/>
          </w:rPr>
          <w:t xml:space="preserve"> 40ד</w:t>
        </w:r>
      </w:hyperlink>
      <w:r>
        <w:rPr>
          <w:rFonts w:hint="cs"/>
          <w:rtl/>
        </w:rPr>
        <w:t xml:space="preserve"> ל</w:t>
      </w:r>
      <w:hyperlink r:id="rId29" w:history="1">
        <w:r w:rsidR="00B775FE" w:rsidRPr="00B775FE">
          <w:rPr>
            <w:color w:val="0000FF"/>
            <w:u w:val="single"/>
            <w:rtl/>
          </w:rPr>
          <w:t>חוק העונשין</w:t>
        </w:r>
      </w:hyperlink>
      <w:r>
        <w:rPr>
          <w:rFonts w:hint="cs"/>
          <w:rtl/>
        </w:rPr>
        <w:t xml:space="preserve">. לא מצאתי נסיבות שמצדיקות זאת, בהינתן שהנאשם עשה דין לעצמו תוך שימוש בסם, עוד בטרם פנה לקבלת  היתר לקנביס רפואי, החזיק בכמות ניכרת של סם והעדר מוטיבציה לטיפול. </w:t>
      </w:r>
    </w:p>
    <w:p w14:paraId="736F66F6" w14:textId="77777777" w:rsidR="00E85721" w:rsidRPr="00CA0A64" w:rsidRDefault="00E85721" w:rsidP="00E85721">
      <w:pPr>
        <w:spacing w:line="360" w:lineRule="auto"/>
        <w:jc w:val="both"/>
      </w:pPr>
    </w:p>
    <w:p w14:paraId="13CDEA60" w14:textId="77777777" w:rsidR="00E85721" w:rsidRPr="00D1489A" w:rsidRDefault="00E85721" w:rsidP="00E85721">
      <w:pPr>
        <w:numPr>
          <w:ilvl w:val="0"/>
          <w:numId w:val="1"/>
        </w:numPr>
        <w:spacing w:line="360" w:lineRule="auto"/>
        <w:jc w:val="both"/>
        <w:rPr>
          <w:b/>
          <w:bCs/>
        </w:rPr>
      </w:pPr>
      <w:r w:rsidRPr="00D1489A">
        <w:rPr>
          <w:rFonts w:hint="cs"/>
          <w:b/>
          <w:bCs/>
          <w:rtl/>
        </w:rPr>
        <w:t>אשר על כן, מצאתי לגזור על הנאשם את העונשים הבאים:</w:t>
      </w:r>
    </w:p>
    <w:p w14:paraId="5DA513DB" w14:textId="77777777" w:rsidR="00E85721" w:rsidRDefault="00E85721" w:rsidP="00E85721">
      <w:pPr>
        <w:pStyle w:val="a9"/>
        <w:rPr>
          <w:rtl/>
        </w:rPr>
      </w:pPr>
    </w:p>
    <w:p w14:paraId="20F78E21" w14:textId="77777777" w:rsidR="00E85721" w:rsidRDefault="00E85721" w:rsidP="00E85721">
      <w:pPr>
        <w:spacing w:line="360" w:lineRule="auto"/>
        <w:ind w:left="1440" w:hanging="720"/>
        <w:jc w:val="both"/>
        <w:rPr>
          <w:rtl/>
        </w:rPr>
      </w:pPr>
      <w:r>
        <w:rPr>
          <w:rFonts w:hint="cs"/>
          <w:rtl/>
        </w:rPr>
        <w:t>1.</w:t>
      </w:r>
      <w:r>
        <w:rPr>
          <w:rtl/>
        </w:rPr>
        <w:tab/>
      </w:r>
      <w:r>
        <w:rPr>
          <w:rFonts w:hint="cs"/>
          <w:rtl/>
        </w:rPr>
        <w:t>90 ימי מאסר שירוצו בדרך של עבודות שירות, ללא ניכוי ימי מעצר, בכפוף לחוו"ד הממונה על עבודות השירות.</w:t>
      </w:r>
    </w:p>
    <w:p w14:paraId="54144C19" w14:textId="77777777" w:rsidR="00E85721" w:rsidRDefault="00E85721" w:rsidP="00E85721">
      <w:pPr>
        <w:spacing w:line="360" w:lineRule="auto"/>
        <w:ind w:left="1440"/>
        <w:jc w:val="both"/>
        <w:rPr>
          <w:rtl/>
        </w:rPr>
      </w:pPr>
      <w:r>
        <w:rPr>
          <w:rFonts w:hint="cs"/>
          <w:rtl/>
        </w:rPr>
        <w:t>על הנאשם להתייצב לתחילת ריצוי עבודות השירות ביום 1.11.20, עד השעה 08:30, כשהוא מצויד בתעודת זהות, במפקדת שב"ס, מחוז המרכז, יחידת עבודות השירות רמלה.</w:t>
      </w:r>
    </w:p>
    <w:p w14:paraId="29B83932" w14:textId="77777777" w:rsidR="00E85721" w:rsidRDefault="00E85721" w:rsidP="00E85721">
      <w:pPr>
        <w:spacing w:line="360" w:lineRule="auto"/>
        <w:ind w:left="720"/>
        <w:jc w:val="both"/>
        <w:rPr>
          <w:rtl/>
        </w:rPr>
      </w:pPr>
    </w:p>
    <w:p w14:paraId="1B76EC0A" w14:textId="77777777" w:rsidR="00E85721" w:rsidRPr="005B05F8" w:rsidRDefault="00E85721" w:rsidP="00E85721">
      <w:pPr>
        <w:spacing w:line="360" w:lineRule="auto"/>
        <w:ind w:left="1440"/>
        <w:jc w:val="both"/>
        <w:rPr>
          <w:b/>
          <w:bCs/>
          <w:rtl/>
        </w:rPr>
      </w:pPr>
      <w:r w:rsidRPr="005B05F8">
        <w:rPr>
          <w:rFonts w:hint="cs"/>
          <w:b/>
          <w:bCs/>
          <w:rtl/>
        </w:rPr>
        <w:t>אני מ</w:t>
      </w:r>
      <w:r>
        <w:rPr>
          <w:rFonts w:hint="cs"/>
          <w:b/>
          <w:bCs/>
          <w:rtl/>
        </w:rPr>
        <w:t>ז</w:t>
      </w:r>
      <w:r w:rsidRPr="005B05F8">
        <w:rPr>
          <w:rFonts w:hint="cs"/>
          <w:b/>
          <w:bCs/>
          <w:rtl/>
        </w:rPr>
        <w:t>היר את הנאשם כי אי מילוי עבודות השירות עלול להוביל להפסקתן וריצוי יתרת התקופה מאחורי סורג ובריח.</w:t>
      </w:r>
    </w:p>
    <w:p w14:paraId="3C49E9F0" w14:textId="77777777" w:rsidR="00E85721" w:rsidRDefault="00E85721" w:rsidP="00E85721">
      <w:pPr>
        <w:spacing w:line="360" w:lineRule="auto"/>
        <w:ind w:left="720"/>
        <w:jc w:val="both"/>
        <w:rPr>
          <w:rtl/>
        </w:rPr>
      </w:pPr>
    </w:p>
    <w:p w14:paraId="7AA07FC4" w14:textId="77777777" w:rsidR="00E85721" w:rsidRDefault="00E85721" w:rsidP="00E85721">
      <w:pPr>
        <w:spacing w:line="360" w:lineRule="auto"/>
        <w:ind w:left="1440" w:hanging="720"/>
        <w:jc w:val="both"/>
        <w:rPr>
          <w:rtl/>
        </w:rPr>
      </w:pPr>
      <w:r>
        <w:rPr>
          <w:rFonts w:hint="cs"/>
          <w:rtl/>
        </w:rPr>
        <w:t xml:space="preserve">2. </w:t>
      </w:r>
      <w:r>
        <w:rPr>
          <w:rtl/>
        </w:rPr>
        <w:tab/>
      </w:r>
      <w:r>
        <w:rPr>
          <w:rFonts w:hint="cs"/>
          <w:rtl/>
        </w:rPr>
        <w:t>מאסר על תנאי בן 6 חודשים למשך 3 שנים והתנאי שהנאשם לא יעבור בתקופה זו עבירה על פקודת הסמים מסוג פשע.</w:t>
      </w:r>
    </w:p>
    <w:p w14:paraId="7A526B66" w14:textId="77777777" w:rsidR="00E85721" w:rsidRDefault="00E85721" w:rsidP="00E85721">
      <w:pPr>
        <w:spacing w:line="360" w:lineRule="auto"/>
        <w:ind w:left="720"/>
        <w:jc w:val="both"/>
        <w:rPr>
          <w:rtl/>
        </w:rPr>
      </w:pPr>
    </w:p>
    <w:p w14:paraId="46EF2928" w14:textId="77777777" w:rsidR="00E85721" w:rsidRDefault="00E85721" w:rsidP="00E85721">
      <w:pPr>
        <w:spacing w:line="360" w:lineRule="auto"/>
        <w:ind w:left="1440" w:hanging="720"/>
        <w:jc w:val="both"/>
        <w:rPr>
          <w:rtl/>
        </w:rPr>
      </w:pPr>
      <w:r>
        <w:rPr>
          <w:rFonts w:hint="cs"/>
          <w:rtl/>
        </w:rPr>
        <w:t xml:space="preserve">3. </w:t>
      </w:r>
      <w:r>
        <w:rPr>
          <w:rtl/>
        </w:rPr>
        <w:tab/>
      </w:r>
      <w:r>
        <w:rPr>
          <w:rFonts w:hint="cs"/>
          <w:rtl/>
        </w:rPr>
        <w:t>אני מחלט, בהסכמת ההגנה, אופנוע מסוג פיאג'ו מ.ר 22-687-79 וטלפונים ניידים, שנתפסו ברשות הנאשם לטובת קרן החילוט שלפי פקודת הסמים.</w:t>
      </w:r>
    </w:p>
    <w:p w14:paraId="600ABC2B" w14:textId="77777777" w:rsidR="00E85721" w:rsidRDefault="00E85721" w:rsidP="00E85721">
      <w:pPr>
        <w:spacing w:line="360" w:lineRule="auto"/>
        <w:ind w:left="720" w:firstLine="720"/>
        <w:jc w:val="both"/>
        <w:rPr>
          <w:rtl/>
        </w:rPr>
      </w:pPr>
    </w:p>
    <w:p w14:paraId="16E1B941" w14:textId="77777777" w:rsidR="00E85721" w:rsidRDefault="00E85721" w:rsidP="00E85721">
      <w:pPr>
        <w:spacing w:line="360" w:lineRule="auto"/>
        <w:ind w:left="720" w:firstLine="720"/>
        <w:jc w:val="both"/>
        <w:rPr>
          <w:rtl/>
        </w:rPr>
      </w:pPr>
      <w:r>
        <w:rPr>
          <w:rFonts w:hint="cs"/>
          <w:rtl/>
        </w:rPr>
        <w:t>לאור נסיבותיו של הנאשם ומשפחתו, לא מצאתי להטיל רכיבים כספיים נוספים.</w:t>
      </w:r>
    </w:p>
    <w:p w14:paraId="6C8CC136" w14:textId="77777777" w:rsidR="00E85721" w:rsidRDefault="00E85721" w:rsidP="00E85721">
      <w:pPr>
        <w:spacing w:line="360" w:lineRule="auto"/>
        <w:ind w:left="1440"/>
        <w:jc w:val="both"/>
        <w:rPr>
          <w:rtl/>
        </w:rPr>
      </w:pPr>
    </w:p>
    <w:p w14:paraId="6EDD2335" w14:textId="77777777" w:rsidR="00E85721" w:rsidRDefault="00E85721" w:rsidP="00E85721">
      <w:pPr>
        <w:spacing w:line="360" w:lineRule="auto"/>
        <w:ind w:left="1440"/>
        <w:jc w:val="both"/>
      </w:pPr>
      <w:r>
        <w:rPr>
          <w:rFonts w:hint="cs"/>
          <w:rtl/>
        </w:rPr>
        <w:t>לאור העובדה כי העבירות מושא תיקנו לא בוצעו בהקשר לשימוש ברכב, עברו התעבורתי של הנאשם מורכב ברובו מברירות משפט, לא מצאתי להורות על פסילת רישיון הנהיגה של הנאשם.</w:t>
      </w:r>
    </w:p>
    <w:p w14:paraId="349CAC5A" w14:textId="77777777" w:rsidR="00E85721" w:rsidRPr="00B861D3" w:rsidRDefault="00E85721" w:rsidP="00E85721">
      <w:pPr>
        <w:pStyle w:val="a9"/>
        <w:rPr>
          <w:rtl/>
        </w:rPr>
      </w:pPr>
    </w:p>
    <w:p w14:paraId="798CDB86" w14:textId="77777777" w:rsidR="00E85721" w:rsidRPr="00CE3DCC" w:rsidRDefault="00E85721" w:rsidP="00E85721">
      <w:pPr>
        <w:spacing w:line="360" w:lineRule="auto"/>
        <w:jc w:val="both"/>
        <w:rPr>
          <w:rtl/>
        </w:rPr>
      </w:pPr>
    </w:p>
    <w:p w14:paraId="2BCE93ED" w14:textId="77777777" w:rsidR="00E85721" w:rsidRPr="007A4819" w:rsidRDefault="00E85721" w:rsidP="00E85721">
      <w:pPr>
        <w:spacing w:line="360" w:lineRule="auto"/>
        <w:ind w:left="720"/>
        <w:jc w:val="both"/>
        <w:rPr>
          <w:rFonts w:ascii="Arial" w:hAnsi="Arial"/>
          <w:rtl/>
        </w:rPr>
      </w:pPr>
      <w:r w:rsidRPr="007A4819">
        <w:rPr>
          <w:rFonts w:ascii="Arial" w:hAnsi="Arial"/>
          <w:rtl/>
        </w:rPr>
        <w:t xml:space="preserve">צו כללי למוצגים – </w:t>
      </w:r>
      <w:r>
        <w:rPr>
          <w:rFonts w:ascii="Arial" w:hAnsi="Arial" w:hint="cs"/>
          <w:rtl/>
        </w:rPr>
        <w:t xml:space="preserve">סמים ומשקל יושמדו. </w:t>
      </w:r>
      <w:r w:rsidRPr="007A4819">
        <w:rPr>
          <w:rFonts w:ascii="Arial" w:hAnsi="Arial"/>
          <w:rtl/>
        </w:rPr>
        <w:t xml:space="preserve">ככל שישנם מוצגים </w:t>
      </w:r>
      <w:r>
        <w:rPr>
          <w:rFonts w:ascii="Arial" w:hAnsi="Arial" w:hint="cs"/>
          <w:rtl/>
        </w:rPr>
        <w:t xml:space="preserve">נוספים </w:t>
      </w:r>
      <w:r w:rsidRPr="007A4819">
        <w:rPr>
          <w:rFonts w:ascii="Arial" w:hAnsi="Arial"/>
          <w:rtl/>
        </w:rPr>
        <w:t>בתיק זה יטופלו בהתאם להחלטת קצין משטרה מוסמך.</w:t>
      </w:r>
    </w:p>
    <w:p w14:paraId="2F0DA279" w14:textId="77777777" w:rsidR="00E85721" w:rsidRPr="007A4819" w:rsidRDefault="00E85721" w:rsidP="00E85721">
      <w:pPr>
        <w:spacing w:line="360" w:lineRule="auto"/>
        <w:jc w:val="both"/>
        <w:rPr>
          <w:rFonts w:ascii="Arial" w:hAnsi="Arial"/>
          <w:rtl/>
        </w:rPr>
      </w:pPr>
    </w:p>
    <w:p w14:paraId="391EB85A" w14:textId="77777777" w:rsidR="00E85721" w:rsidRDefault="00E85721" w:rsidP="00E85721">
      <w:pPr>
        <w:spacing w:line="360" w:lineRule="auto"/>
        <w:ind w:left="720"/>
        <w:jc w:val="both"/>
        <w:rPr>
          <w:rFonts w:ascii="Arial" w:hAnsi="Arial"/>
          <w:rtl/>
        </w:rPr>
      </w:pPr>
      <w:r w:rsidRPr="007A4819">
        <w:rPr>
          <w:rFonts w:ascii="Arial" w:hAnsi="Arial"/>
          <w:rtl/>
        </w:rPr>
        <w:t>ככל שקיימים פיקדונות בתיק זה או בתיקים קשורים – מ"י/מ"ת – יוחזרו לנאשם או למי מטעמו בכפוף לכל דין או החלטה אחרת.</w:t>
      </w:r>
    </w:p>
    <w:p w14:paraId="6A93179B" w14:textId="77777777" w:rsidR="00E85721" w:rsidRPr="007A4819" w:rsidRDefault="00E85721" w:rsidP="00E85721">
      <w:pPr>
        <w:spacing w:line="360" w:lineRule="auto"/>
        <w:jc w:val="both"/>
        <w:rPr>
          <w:rFonts w:ascii="Calibri" w:hAnsi="Calibri"/>
        </w:rPr>
      </w:pPr>
    </w:p>
    <w:p w14:paraId="27FD7704" w14:textId="77777777" w:rsidR="00E85721" w:rsidRDefault="00E85721" w:rsidP="00E85721">
      <w:pPr>
        <w:spacing w:line="360" w:lineRule="auto"/>
        <w:ind w:firstLine="720"/>
        <w:jc w:val="both"/>
        <w:rPr>
          <w:rFonts w:ascii="Arial" w:hAnsi="Arial"/>
          <w:sz w:val="22"/>
          <w:szCs w:val="22"/>
          <w:rtl/>
        </w:rPr>
      </w:pPr>
      <w:r w:rsidRPr="007A4819">
        <w:rPr>
          <w:rFonts w:ascii="Arial" w:hAnsi="Arial"/>
          <w:b/>
          <w:bCs/>
          <w:rtl/>
        </w:rPr>
        <w:t>זכות ערעור לבית המשפט המחוזי בתל אביב בתוך 45 ימים מהיום</w:t>
      </w:r>
      <w:r w:rsidRPr="007A4819">
        <w:rPr>
          <w:rFonts w:ascii="Arial" w:hAnsi="Arial"/>
          <w:rtl/>
        </w:rPr>
        <w:t>.</w:t>
      </w:r>
    </w:p>
    <w:p w14:paraId="41CBA8E6" w14:textId="77777777" w:rsidR="00E85721" w:rsidRDefault="00E85721" w:rsidP="00E85721">
      <w:pPr>
        <w:spacing w:line="360" w:lineRule="auto"/>
        <w:ind w:firstLine="720"/>
        <w:jc w:val="both"/>
        <w:rPr>
          <w:rFonts w:ascii="Arial" w:hAnsi="Arial"/>
          <w:sz w:val="22"/>
          <w:szCs w:val="22"/>
          <w:rtl/>
        </w:rPr>
      </w:pPr>
    </w:p>
    <w:p w14:paraId="3D1B4E3B" w14:textId="77777777" w:rsidR="00E85721" w:rsidRPr="005B05F8" w:rsidRDefault="00E85721" w:rsidP="00E85721">
      <w:pPr>
        <w:spacing w:line="360" w:lineRule="auto"/>
        <w:ind w:firstLine="720"/>
        <w:jc w:val="both"/>
        <w:rPr>
          <w:rFonts w:ascii="Arial" w:hAnsi="Arial"/>
          <w:rtl/>
        </w:rPr>
      </w:pPr>
      <w:r w:rsidRPr="005B05F8">
        <w:rPr>
          <w:rFonts w:ascii="Arial" w:hAnsi="Arial" w:hint="cs"/>
          <w:rtl/>
        </w:rPr>
        <w:t>המזכירות תעביר העתק מגזר הדין לשירות המבחן ולממונה על עבודות השירות.</w:t>
      </w:r>
    </w:p>
    <w:p w14:paraId="5B94FCA2" w14:textId="77777777" w:rsidR="00E85721" w:rsidRPr="00B05847" w:rsidRDefault="00E85721" w:rsidP="00E85721">
      <w:pPr>
        <w:jc w:val="both"/>
        <w:rPr>
          <w:rtl/>
        </w:rPr>
      </w:pPr>
    </w:p>
    <w:p w14:paraId="7DACAC76" w14:textId="77777777" w:rsidR="00E85721" w:rsidRPr="00B05847" w:rsidRDefault="00E85721" w:rsidP="00E85721">
      <w:pPr>
        <w:jc w:val="both"/>
        <w:rPr>
          <w:rtl/>
        </w:rPr>
      </w:pPr>
    </w:p>
    <w:p w14:paraId="6461345C" w14:textId="77777777" w:rsidR="00E85721" w:rsidRDefault="00B775FE" w:rsidP="00E85721">
      <w:pPr>
        <w:spacing w:line="360" w:lineRule="auto"/>
        <w:ind w:firstLine="720"/>
        <w:jc w:val="both"/>
        <w:rPr>
          <w:rFonts w:ascii="Arial" w:hAnsi="Arial"/>
          <w:rtl/>
        </w:rPr>
      </w:pPr>
      <w:bookmarkStart w:id="8" w:name="Nitan"/>
      <w:r>
        <w:rPr>
          <w:rFonts w:ascii="Arial" w:hAnsi="Arial"/>
          <w:rtl/>
        </w:rPr>
        <w:t xml:space="preserve">ניתן היום,  י"ז אלול תש"פ, 06 ספטמבר 2020, במעמד  הצדדים. </w:t>
      </w:r>
      <w:bookmarkEnd w:id="8"/>
    </w:p>
    <w:p w14:paraId="00229341" w14:textId="77777777" w:rsidR="00E85721" w:rsidRPr="00B775FE" w:rsidRDefault="00B775FE" w:rsidP="00E85721">
      <w:pPr>
        <w:spacing w:line="360" w:lineRule="auto"/>
        <w:ind w:firstLine="720"/>
        <w:jc w:val="both"/>
        <w:rPr>
          <w:rFonts w:ascii="Arial" w:hAnsi="Arial"/>
          <w:color w:val="FFFFFF"/>
          <w:sz w:val="2"/>
          <w:szCs w:val="2"/>
        </w:rPr>
      </w:pPr>
      <w:r w:rsidRPr="00B775FE">
        <w:rPr>
          <w:rFonts w:ascii="Arial" w:hAnsi="Arial"/>
          <w:color w:val="FFFFFF"/>
          <w:sz w:val="2"/>
          <w:szCs w:val="2"/>
          <w:rtl/>
        </w:rPr>
        <w:t>5129371</w:t>
      </w:r>
    </w:p>
    <w:p w14:paraId="4977D252" w14:textId="77777777" w:rsidR="00E85721" w:rsidRPr="00B775FE" w:rsidRDefault="00B775FE" w:rsidP="00E85721">
      <w:pPr>
        <w:jc w:val="both"/>
        <w:rPr>
          <w:color w:val="FFFFFF"/>
          <w:sz w:val="2"/>
          <w:szCs w:val="2"/>
          <w:rtl/>
        </w:rPr>
      </w:pPr>
      <w:r w:rsidRPr="00B775FE">
        <w:rPr>
          <w:color w:val="FFFFFF"/>
          <w:sz w:val="2"/>
          <w:szCs w:val="2"/>
          <w:rtl/>
        </w:rPr>
        <w:t>54678313</w:t>
      </w:r>
    </w:p>
    <w:p w14:paraId="14CC65FD" w14:textId="77777777" w:rsidR="00E85721" w:rsidRPr="00250B83" w:rsidRDefault="00E85721" w:rsidP="00B775FE">
      <w:pPr>
        <w:jc w:val="right"/>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007166BE" w14:textId="77777777" w:rsidR="00E85721" w:rsidRPr="00250B83" w:rsidRDefault="00E85721" w:rsidP="00E85721">
      <w:pPr>
        <w:jc w:val="right"/>
        <w:rPr>
          <w:rFonts w:ascii="Arial" w:hAnsi="Arial"/>
          <w:rtl/>
        </w:rPr>
      </w:pPr>
    </w:p>
    <w:p w14:paraId="197F339C" w14:textId="77777777" w:rsidR="00B775FE" w:rsidRDefault="00B775FE" w:rsidP="00B775FE">
      <w:pPr>
        <w:rPr>
          <w:rtl/>
        </w:rPr>
      </w:pPr>
    </w:p>
    <w:p w14:paraId="3FEB9E12" w14:textId="77777777" w:rsidR="00B775FE" w:rsidRDefault="00B775FE" w:rsidP="00B775FE">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4D1BF8EF" w14:textId="77777777" w:rsidR="00AF3EA4" w:rsidRPr="00AF3EA4" w:rsidRDefault="00AF3EA4" w:rsidP="00AF3EA4">
      <w:pPr>
        <w:keepNext/>
        <w:rPr>
          <w:rFonts w:ascii="David" w:hAnsi="David"/>
          <w:color w:val="000000"/>
          <w:sz w:val="22"/>
          <w:szCs w:val="22"/>
          <w:rtl/>
        </w:rPr>
      </w:pPr>
    </w:p>
    <w:p w14:paraId="4529C9A2" w14:textId="77777777" w:rsidR="00AF3EA4" w:rsidRPr="00AF3EA4" w:rsidRDefault="00AF3EA4" w:rsidP="00AF3EA4">
      <w:pPr>
        <w:keepNext/>
        <w:rPr>
          <w:rFonts w:ascii="David" w:hAnsi="David"/>
          <w:color w:val="000000"/>
          <w:sz w:val="22"/>
          <w:szCs w:val="22"/>
          <w:rtl/>
        </w:rPr>
      </w:pPr>
      <w:r w:rsidRPr="00AF3EA4">
        <w:rPr>
          <w:rFonts w:ascii="David" w:hAnsi="David"/>
          <w:color w:val="000000"/>
          <w:sz w:val="22"/>
          <w:szCs w:val="22"/>
          <w:rtl/>
        </w:rPr>
        <w:t>רועי פרי 54678313-/</w:t>
      </w:r>
    </w:p>
    <w:p w14:paraId="6F291966" w14:textId="77777777" w:rsidR="00B775FE" w:rsidRPr="00B775FE" w:rsidRDefault="00AF3EA4" w:rsidP="00AF3EA4">
      <w:pPr>
        <w:rPr>
          <w:rFonts w:hint="cs"/>
          <w:color w:val="0000FF"/>
          <w:u w:val="single"/>
        </w:rPr>
      </w:pPr>
      <w:r w:rsidRPr="00AF3EA4">
        <w:rPr>
          <w:color w:val="000000"/>
          <w:u w:val="single"/>
          <w:rtl/>
        </w:rPr>
        <w:t>נוסח מסמך זה כפוף לשינויי ניסוח ועריכה</w:t>
      </w:r>
      <w:r w:rsidR="00FA4548">
        <w:rPr>
          <w:rFonts w:hint="cs"/>
          <w:color w:val="0000FF"/>
          <w:u w:val="single"/>
          <w:rtl/>
        </w:rPr>
        <w:t xml:space="preserve"> </w:t>
      </w:r>
    </w:p>
    <w:sectPr w:rsidR="00B775FE" w:rsidRPr="00B775FE" w:rsidSect="00AF3EA4">
      <w:headerReference w:type="even" r:id="rId31"/>
      <w:headerReference w:type="default" r:id="rId32"/>
      <w:footerReference w:type="even" r:id="rId33"/>
      <w:footerReference w:type="default" r:id="rId34"/>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EFEFB9" w14:textId="77777777" w:rsidR="007E0E20" w:rsidRDefault="007E0E20" w:rsidP="008E2745">
      <w:r>
        <w:separator/>
      </w:r>
    </w:p>
  </w:endnote>
  <w:endnote w:type="continuationSeparator" w:id="0">
    <w:p w14:paraId="0029C8F3" w14:textId="77777777" w:rsidR="007E0E20" w:rsidRDefault="007E0E20" w:rsidP="008E2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74089" w14:textId="77777777" w:rsidR="00AF3EA4" w:rsidRDefault="00AF3EA4" w:rsidP="00AF3EA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593CE0A" w14:textId="77777777" w:rsidR="00004AF0" w:rsidRPr="00AF3EA4" w:rsidRDefault="00AF3EA4" w:rsidP="00AF3EA4">
    <w:pPr>
      <w:pStyle w:val="a5"/>
      <w:pBdr>
        <w:top w:val="single" w:sz="4" w:space="1" w:color="auto"/>
        <w:between w:val="single" w:sz="4" w:space="0" w:color="auto"/>
      </w:pBdr>
      <w:spacing w:after="60"/>
      <w:jc w:val="center"/>
      <w:rPr>
        <w:rFonts w:ascii="FrankRuehl" w:hAnsi="FrankRuehl" w:cs="FrankRuehl"/>
        <w:color w:val="000000"/>
      </w:rPr>
    </w:pPr>
    <w:r w:rsidRPr="00AF3EA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DE599" w14:textId="77777777" w:rsidR="00AF3EA4" w:rsidRDefault="00AF3EA4" w:rsidP="00AF3EA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B4901">
      <w:rPr>
        <w:rFonts w:ascii="FrankRuehl" w:hAnsi="FrankRuehl" w:cs="FrankRuehl"/>
        <w:noProof/>
        <w:rtl/>
      </w:rPr>
      <w:t>1</w:t>
    </w:r>
    <w:r>
      <w:rPr>
        <w:rFonts w:ascii="FrankRuehl" w:hAnsi="FrankRuehl" w:cs="FrankRuehl"/>
        <w:rtl/>
      </w:rPr>
      <w:fldChar w:fldCharType="end"/>
    </w:r>
  </w:p>
  <w:p w14:paraId="1FADEBC3" w14:textId="77777777" w:rsidR="00004AF0" w:rsidRPr="00AF3EA4" w:rsidRDefault="00AF3EA4" w:rsidP="00AF3EA4">
    <w:pPr>
      <w:pStyle w:val="a5"/>
      <w:pBdr>
        <w:top w:val="single" w:sz="4" w:space="1" w:color="auto"/>
        <w:between w:val="single" w:sz="4" w:space="0" w:color="auto"/>
      </w:pBdr>
      <w:spacing w:after="60"/>
      <w:jc w:val="center"/>
      <w:rPr>
        <w:rFonts w:ascii="FrankRuehl" w:hAnsi="FrankRuehl" w:cs="FrankRuehl"/>
        <w:color w:val="000000"/>
      </w:rPr>
    </w:pPr>
    <w:r w:rsidRPr="00AF3EA4">
      <w:rPr>
        <w:rFonts w:ascii="FrankRuehl" w:hAnsi="FrankRuehl" w:cs="FrankRuehl"/>
        <w:color w:val="000000"/>
      </w:rPr>
      <w:pict w14:anchorId="024A83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9FBED" w14:textId="77777777" w:rsidR="007E0E20" w:rsidRDefault="007E0E20" w:rsidP="008E2745">
      <w:r>
        <w:separator/>
      </w:r>
    </w:p>
  </w:footnote>
  <w:footnote w:type="continuationSeparator" w:id="0">
    <w:p w14:paraId="3339269E" w14:textId="77777777" w:rsidR="007E0E20" w:rsidRDefault="007E0E20" w:rsidP="008E27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10A54" w14:textId="77777777" w:rsidR="00B775FE" w:rsidRPr="00AF3EA4" w:rsidRDefault="00AF3EA4" w:rsidP="00AF3EA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80761-01-19</w:t>
    </w:r>
    <w:r>
      <w:rPr>
        <w:rFonts w:ascii="David" w:hAnsi="David"/>
        <w:color w:val="000000"/>
        <w:sz w:val="22"/>
        <w:szCs w:val="22"/>
        <w:rtl/>
      </w:rPr>
      <w:tab/>
      <w:t xml:space="preserve"> מדינת ישראל נ' מרדכי פרץ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20C5B" w14:textId="77777777" w:rsidR="00B775FE" w:rsidRPr="00AF3EA4" w:rsidRDefault="00AF3EA4" w:rsidP="00AF3EA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80761-01-19</w:t>
    </w:r>
    <w:r>
      <w:rPr>
        <w:rFonts w:ascii="David" w:hAnsi="David"/>
        <w:color w:val="000000"/>
        <w:sz w:val="22"/>
        <w:szCs w:val="22"/>
        <w:rtl/>
      </w:rPr>
      <w:tab/>
      <w:t xml:space="preserve"> מדינת ישראל נ' מרדכי פרץ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501C45"/>
    <w:multiLevelType w:val="hybridMultilevel"/>
    <w:tmpl w:val="AF0A92C4"/>
    <w:lvl w:ilvl="0" w:tplc="CCAC99E4">
      <w:start w:val="1"/>
      <w:numFmt w:val="decimal"/>
      <w:lvlText w:val="%1."/>
      <w:lvlJc w:val="left"/>
      <w:pPr>
        <w:ind w:left="720" w:hanging="360"/>
      </w:pPr>
      <w:rPr>
        <w:b w:val="0"/>
        <w:bCs w:val="0"/>
      </w:rPr>
    </w:lvl>
    <w:lvl w:ilvl="1" w:tplc="60E0F12C">
      <w:start w:val="1"/>
      <w:numFmt w:val="lowerLetter"/>
      <w:lvlText w:val="%2."/>
      <w:lvlJc w:val="left"/>
      <w:pPr>
        <w:ind w:left="1440" w:hanging="360"/>
      </w:pPr>
    </w:lvl>
    <w:lvl w:ilvl="2" w:tplc="ADB69D5A">
      <w:start w:val="1"/>
      <w:numFmt w:val="lowerRoman"/>
      <w:lvlText w:val="%3."/>
      <w:lvlJc w:val="right"/>
      <w:pPr>
        <w:ind w:left="2160" w:hanging="180"/>
      </w:pPr>
    </w:lvl>
    <w:lvl w:ilvl="3" w:tplc="07B05DB6">
      <w:start w:val="1"/>
      <w:numFmt w:val="decimal"/>
      <w:lvlText w:val="%4."/>
      <w:lvlJc w:val="left"/>
      <w:pPr>
        <w:ind w:left="2880" w:hanging="360"/>
      </w:pPr>
    </w:lvl>
    <w:lvl w:ilvl="4" w:tplc="6FC0B49A">
      <w:start w:val="1"/>
      <w:numFmt w:val="lowerLetter"/>
      <w:lvlText w:val="%5."/>
      <w:lvlJc w:val="left"/>
      <w:pPr>
        <w:ind w:left="3600" w:hanging="360"/>
      </w:pPr>
    </w:lvl>
    <w:lvl w:ilvl="5" w:tplc="17F2F136">
      <w:start w:val="1"/>
      <w:numFmt w:val="lowerRoman"/>
      <w:lvlText w:val="%6."/>
      <w:lvlJc w:val="right"/>
      <w:pPr>
        <w:ind w:left="4320" w:hanging="180"/>
      </w:pPr>
    </w:lvl>
    <w:lvl w:ilvl="6" w:tplc="399EC75C">
      <w:start w:val="1"/>
      <w:numFmt w:val="decimal"/>
      <w:lvlText w:val="%7."/>
      <w:lvlJc w:val="left"/>
      <w:pPr>
        <w:ind w:left="5040" w:hanging="360"/>
      </w:pPr>
    </w:lvl>
    <w:lvl w:ilvl="7" w:tplc="D2324E1E">
      <w:start w:val="1"/>
      <w:numFmt w:val="lowerLetter"/>
      <w:lvlText w:val="%8."/>
      <w:lvlJc w:val="left"/>
      <w:pPr>
        <w:ind w:left="5760" w:hanging="360"/>
      </w:pPr>
    </w:lvl>
    <w:lvl w:ilvl="8" w:tplc="48E6018E">
      <w:start w:val="1"/>
      <w:numFmt w:val="lowerRoman"/>
      <w:lvlText w:val="%9."/>
      <w:lvlJc w:val="right"/>
      <w:pPr>
        <w:ind w:left="6480" w:hanging="180"/>
      </w:pPr>
    </w:lvl>
  </w:abstractNum>
  <w:num w:numId="1" w16cid:durableId="12201709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85721"/>
    <w:rsid w:val="00004AF0"/>
    <w:rsid w:val="002E1744"/>
    <w:rsid w:val="00300D06"/>
    <w:rsid w:val="005409A7"/>
    <w:rsid w:val="007E0E20"/>
    <w:rsid w:val="008B4AF9"/>
    <w:rsid w:val="008E2745"/>
    <w:rsid w:val="00A13ABF"/>
    <w:rsid w:val="00AB4901"/>
    <w:rsid w:val="00AF3EA4"/>
    <w:rsid w:val="00B775FE"/>
    <w:rsid w:val="00C501AB"/>
    <w:rsid w:val="00C650FD"/>
    <w:rsid w:val="00CB659E"/>
    <w:rsid w:val="00E85721"/>
    <w:rsid w:val="00F73EF6"/>
    <w:rsid w:val="00FA45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C015CD"/>
  <w15:chartTrackingRefBased/>
  <w15:docId w15:val="{7E99DA60-5244-4EC1-8866-80D8A8CE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572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85721"/>
    <w:pPr>
      <w:tabs>
        <w:tab w:val="center" w:pos="4153"/>
        <w:tab w:val="right" w:pos="8306"/>
      </w:tabs>
    </w:pPr>
  </w:style>
  <w:style w:type="character" w:customStyle="1" w:styleId="a4">
    <w:name w:val="כותרת עליונה תו"/>
    <w:link w:val="a3"/>
    <w:rsid w:val="00E85721"/>
    <w:rPr>
      <w:rFonts w:ascii="Times New Roman" w:eastAsia="Times New Roman" w:hAnsi="Times New Roman" w:cs="David"/>
      <w:sz w:val="24"/>
      <w:szCs w:val="24"/>
    </w:rPr>
  </w:style>
  <w:style w:type="paragraph" w:styleId="a5">
    <w:name w:val="footer"/>
    <w:basedOn w:val="a"/>
    <w:link w:val="a6"/>
    <w:rsid w:val="00E85721"/>
    <w:pPr>
      <w:tabs>
        <w:tab w:val="center" w:pos="4153"/>
        <w:tab w:val="right" w:pos="8306"/>
      </w:tabs>
    </w:pPr>
  </w:style>
  <w:style w:type="character" w:customStyle="1" w:styleId="a6">
    <w:name w:val="כותרת תחתונה תו"/>
    <w:link w:val="a5"/>
    <w:rsid w:val="00E85721"/>
    <w:rPr>
      <w:rFonts w:ascii="Times New Roman" w:eastAsia="Times New Roman" w:hAnsi="Times New Roman" w:cs="David"/>
      <w:sz w:val="24"/>
      <w:szCs w:val="24"/>
    </w:rPr>
  </w:style>
  <w:style w:type="table" w:styleId="a7">
    <w:name w:val="Table Grid"/>
    <w:basedOn w:val="a1"/>
    <w:rsid w:val="00E8572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85721"/>
  </w:style>
  <w:style w:type="paragraph" w:styleId="a9">
    <w:name w:val="List Paragraph"/>
    <w:basedOn w:val="a"/>
    <w:qFormat/>
    <w:rsid w:val="00E85721"/>
    <w:pPr>
      <w:ind w:left="720"/>
      <w:contextualSpacing/>
    </w:pPr>
  </w:style>
  <w:style w:type="character" w:styleId="Hyperlink">
    <w:name w:val="Hyperlink"/>
    <w:rsid w:val="00B775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24206827" TargetMode="External"/><Relationship Id="rId26" Type="http://schemas.openxmlformats.org/officeDocument/2006/relationships/hyperlink" Target="http://www.nevo.co.il/case/23652935" TargetMode="External"/><Relationship Id="rId3" Type="http://schemas.openxmlformats.org/officeDocument/2006/relationships/settings" Target="settings.xml"/><Relationship Id="rId21" Type="http://schemas.openxmlformats.org/officeDocument/2006/relationships/hyperlink" Target="http://www.nevo.co.il/case/23895427"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70301/275"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0591775"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4206827"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 TargetMode="External"/><Relationship Id="rId24" Type="http://schemas.openxmlformats.org/officeDocument/2006/relationships/hyperlink" Target="http://www.nevo.co.il/case/22715927"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275" TargetMode="External"/><Relationship Id="rId23" Type="http://schemas.openxmlformats.org/officeDocument/2006/relationships/hyperlink" Target="http://www.nevo.co.il/case/24221325" TargetMode="External"/><Relationship Id="rId28" Type="http://schemas.openxmlformats.org/officeDocument/2006/relationships/hyperlink" Target="http://www.nevo.co.il/law/70301/40d" TargetMode="External"/><Relationship Id="rId36"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21017469"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4266644" TargetMode="External"/><Relationship Id="rId27" Type="http://schemas.openxmlformats.org/officeDocument/2006/relationships/hyperlink" Target="http://www.nevo.co.il/case/25227233"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1938</Words>
  <Characters>9691</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11606</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http://www.nevo.co.il/law/70301/40d</vt:lpwstr>
      </vt:variant>
      <vt:variant>
        <vt:lpwstr/>
      </vt:variant>
      <vt:variant>
        <vt:i4>3407985</vt:i4>
      </vt:variant>
      <vt:variant>
        <vt:i4>60</vt:i4>
      </vt:variant>
      <vt:variant>
        <vt:i4>0</vt:i4>
      </vt:variant>
      <vt:variant>
        <vt:i4>5</vt:i4>
      </vt:variant>
      <vt:variant>
        <vt:lpwstr>http://www.nevo.co.il/case/25227233</vt:lpwstr>
      </vt:variant>
      <vt:variant>
        <vt:lpwstr/>
      </vt:variant>
      <vt:variant>
        <vt:i4>3473531</vt:i4>
      </vt:variant>
      <vt:variant>
        <vt:i4>57</vt:i4>
      </vt:variant>
      <vt:variant>
        <vt:i4>0</vt:i4>
      </vt:variant>
      <vt:variant>
        <vt:i4>5</vt:i4>
      </vt:variant>
      <vt:variant>
        <vt:lpwstr>http://www.nevo.co.il/case/23652935</vt:lpwstr>
      </vt:variant>
      <vt:variant>
        <vt:lpwstr/>
      </vt:variant>
      <vt:variant>
        <vt:i4>3211386</vt:i4>
      </vt:variant>
      <vt:variant>
        <vt:i4>54</vt:i4>
      </vt:variant>
      <vt:variant>
        <vt:i4>0</vt:i4>
      </vt:variant>
      <vt:variant>
        <vt:i4>5</vt:i4>
      </vt:variant>
      <vt:variant>
        <vt:lpwstr>http://www.nevo.co.il/case/20591775</vt:lpwstr>
      </vt:variant>
      <vt:variant>
        <vt:lpwstr/>
      </vt:variant>
      <vt:variant>
        <vt:i4>3276926</vt:i4>
      </vt:variant>
      <vt:variant>
        <vt:i4>51</vt:i4>
      </vt:variant>
      <vt:variant>
        <vt:i4>0</vt:i4>
      </vt:variant>
      <vt:variant>
        <vt:i4>5</vt:i4>
      </vt:variant>
      <vt:variant>
        <vt:lpwstr>http://www.nevo.co.il/case/22715927</vt:lpwstr>
      </vt:variant>
      <vt:variant>
        <vt:lpwstr/>
      </vt:variant>
      <vt:variant>
        <vt:i4>3342449</vt:i4>
      </vt:variant>
      <vt:variant>
        <vt:i4>48</vt:i4>
      </vt:variant>
      <vt:variant>
        <vt:i4>0</vt:i4>
      </vt:variant>
      <vt:variant>
        <vt:i4>5</vt:i4>
      </vt:variant>
      <vt:variant>
        <vt:lpwstr>http://www.nevo.co.il/case/24221325</vt:lpwstr>
      </vt:variant>
      <vt:variant>
        <vt:lpwstr/>
      </vt:variant>
      <vt:variant>
        <vt:i4>3276912</vt:i4>
      </vt:variant>
      <vt:variant>
        <vt:i4>45</vt:i4>
      </vt:variant>
      <vt:variant>
        <vt:i4>0</vt:i4>
      </vt:variant>
      <vt:variant>
        <vt:i4>5</vt:i4>
      </vt:variant>
      <vt:variant>
        <vt:lpwstr>http://www.nevo.co.il/case/24266644</vt:lpwstr>
      </vt:variant>
      <vt:variant>
        <vt:lpwstr/>
      </vt:variant>
      <vt:variant>
        <vt:i4>3997818</vt:i4>
      </vt:variant>
      <vt:variant>
        <vt:i4>42</vt:i4>
      </vt:variant>
      <vt:variant>
        <vt:i4>0</vt:i4>
      </vt:variant>
      <vt:variant>
        <vt:i4>5</vt:i4>
      </vt:variant>
      <vt:variant>
        <vt:lpwstr>http://www.nevo.co.il/case/23895427</vt:lpwstr>
      </vt:variant>
      <vt:variant>
        <vt:lpwstr/>
      </vt:variant>
      <vt:variant>
        <vt:i4>3407992</vt:i4>
      </vt:variant>
      <vt:variant>
        <vt:i4>39</vt:i4>
      </vt:variant>
      <vt:variant>
        <vt:i4>0</vt:i4>
      </vt:variant>
      <vt:variant>
        <vt:i4>5</vt:i4>
      </vt:variant>
      <vt:variant>
        <vt:lpwstr>http://www.nevo.co.il/case/24206827</vt:lpwstr>
      </vt:variant>
      <vt:variant>
        <vt:lpwstr/>
      </vt:variant>
      <vt:variant>
        <vt:i4>3342448</vt:i4>
      </vt:variant>
      <vt:variant>
        <vt:i4>36</vt:i4>
      </vt:variant>
      <vt:variant>
        <vt:i4>0</vt:i4>
      </vt:variant>
      <vt:variant>
        <vt:i4>5</vt:i4>
      </vt:variant>
      <vt:variant>
        <vt:lpwstr>http://www.nevo.co.il/case/21017469</vt:lpwstr>
      </vt:variant>
      <vt:variant>
        <vt:lpwstr/>
      </vt:variant>
      <vt:variant>
        <vt:i4>3407992</vt:i4>
      </vt:variant>
      <vt:variant>
        <vt:i4>33</vt:i4>
      </vt:variant>
      <vt:variant>
        <vt:i4>0</vt:i4>
      </vt:variant>
      <vt:variant>
        <vt:i4>5</vt:i4>
      </vt:variant>
      <vt:variant>
        <vt:lpwstr>http://www.nevo.co.il/case/24206827</vt:lpwstr>
      </vt:variant>
      <vt:variant>
        <vt:lpwstr/>
      </vt:variant>
      <vt:variant>
        <vt:i4>7995492</vt:i4>
      </vt:variant>
      <vt:variant>
        <vt:i4>30</vt:i4>
      </vt:variant>
      <vt:variant>
        <vt:i4>0</vt:i4>
      </vt:variant>
      <vt:variant>
        <vt:i4>5</vt:i4>
      </vt:variant>
      <vt:variant>
        <vt:lpwstr>http://www.nevo.co.il/law/70301</vt:lpwstr>
      </vt:variant>
      <vt:variant>
        <vt:lpwstr/>
      </vt:variant>
      <vt:variant>
        <vt:i4>7995492</vt:i4>
      </vt:variant>
      <vt:variant>
        <vt:i4>27</vt:i4>
      </vt:variant>
      <vt:variant>
        <vt:i4>0</vt:i4>
      </vt:variant>
      <vt:variant>
        <vt:i4>5</vt:i4>
      </vt:variant>
      <vt:variant>
        <vt:lpwstr>http://www.nevo.co.il/law/70301</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2025-04-23T00:03:00Z</dcterms:created>
  <dcterms:modified xsi:type="dcterms:W3CDTF">2025-04-23T00:03:00Z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80761</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מרדכי פרץ</vt:lpwstr>
  </property>
  <property fmtid="{D5CDD505-2E9C-101B-9397-08002B2CF9AE}" pid="10" name="LAWYER">
    <vt:lpwstr>שני דרי;רעות בן משה</vt:lpwstr>
  </property>
  <property fmtid="{D5CDD505-2E9C-101B-9397-08002B2CF9AE}" pid="11" name="JUDGE">
    <vt:lpwstr>רועי פרי</vt:lpwstr>
  </property>
  <property fmtid="{D5CDD505-2E9C-101B-9397-08002B2CF9AE}" pid="12" name="CITY">
    <vt:lpwstr>ת"א</vt:lpwstr>
  </property>
  <property fmtid="{D5CDD505-2E9C-101B-9397-08002B2CF9AE}" pid="13" name="DATE">
    <vt:lpwstr>20200906</vt:lpwstr>
  </property>
  <property fmtid="{D5CDD505-2E9C-101B-9397-08002B2CF9AE}" pid="14" name="TYPE_N_DATE">
    <vt:lpwstr>38020200906</vt:lpwstr>
  </property>
  <property fmtid="{D5CDD505-2E9C-101B-9397-08002B2CF9AE}" pid="15" name="WORDNUMPAGES">
    <vt:lpwstr>6</vt:lpwstr>
  </property>
  <property fmtid="{D5CDD505-2E9C-101B-9397-08002B2CF9AE}" pid="16" name="TYPE_ABS_DATE">
    <vt:lpwstr>380020200906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24206827:2;21017469;23895427;24266644;24221325;22715927;20591775;23652935;25227233</vt:lpwstr>
  </property>
  <property fmtid="{D5CDD505-2E9C-101B-9397-08002B2CF9AE}" pid="36" name="LAWLISTTMP1">
    <vt:lpwstr>4216/007.a;007.c</vt:lpwstr>
  </property>
  <property fmtid="{D5CDD505-2E9C-101B-9397-08002B2CF9AE}" pid="37" name="LAWLISTTMP2">
    <vt:lpwstr>70301/275;040d</vt:lpwstr>
  </property>
</Properties>
</file>