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3666F" w:rsidRPr="004F3BFC" w14:paraId="7696DDB7" w14:textId="77777777" w:rsidTr="00E519D2">
        <w:trPr>
          <w:trHeight w:hRule="exact" w:val="418"/>
          <w:jc w:val="center"/>
        </w:trPr>
        <w:tc>
          <w:tcPr>
            <w:tcW w:w="8721" w:type="dxa"/>
            <w:gridSpan w:val="2"/>
          </w:tcPr>
          <w:p w14:paraId="1129405D" w14:textId="77777777" w:rsidR="0063666F" w:rsidRPr="004F3BFC" w:rsidRDefault="0063666F" w:rsidP="00EE071D">
            <w:pPr>
              <w:pStyle w:val="a3"/>
              <w:jc w:val="center"/>
              <w:rPr>
                <w:rFonts w:ascii="Tahoma" w:hAnsi="Tahoma" w:cs="Tahoma"/>
                <w:color w:val="000080"/>
                <w:rtl/>
              </w:rPr>
            </w:pPr>
            <w:bookmarkStart w:id="0" w:name="FirstLawyer"/>
            <w:bookmarkStart w:id="1" w:name="LastJudge"/>
            <w:r w:rsidRPr="004F3BFC">
              <w:rPr>
                <w:rFonts w:ascii="Tahoma" w:hAnsi="Tahoma" w:cs="Tahoma"/>
                <w:b/>
                <w:bCs/>
                <w:color w:val="000080"/>
                <w:rtl/>
              </w:rPr>
              <w:t>בית משפט השלום בפתח תקווה</w:t>
            </w:r>
          </w:p>
        </w:tc>
      </w:tr>
      <w:tr w:rsidR="0063666F" w:rsidRPr="004F3BFC" w14:paraId="0E558C18" w14:textId="77777777" w:rsidTr="00E519D2">
        <w:trPr>
          <w:trHeight w:val="337"/>
          <w:jc w:val="center"/>
        </w:trPr>
        <w:tc>
          <w:tcPr>
            <w:tcW w:w="5054" w:type="dxa"/>
          </w:tcPr>
          <w:p w14:paraId="14C49C96" w14:textId="77777777" w:rsidR="0063666F" w:rsidRPr="004F3BFC" w:rsidRDefault="0063666F" w:rsidP="00EE071D">
            <w:pPr>
              <w:rPr>
                <w:rFonts w:cs="FrankRuehl"/>
                <w:sz w:val="28"/>
                <w:szCs w:val="28"/>
                <w:rtl/>
              </w:rPr>
            </w:pPr>
            <w:r w:rsidRPr="004F3BFC">
              <w:rPr>
                <w:rFonts w:cs="FrankRuehl"/>
                <w:sz w:val="28"/>
                <w:szCs w:val="28"/>
                <w:rtl/>
              </w:rPr>
              <w:t>ת"פ</w:t>
            </w:r>
            <w:r w:rsidRPr="004F3BFC">
              <w:rPr>
                <w:rFonts w:cs="FrankRuehl" w:hint="cs"/>
                <w:sz w:val="28"/>
                <w:szCs w:val="28"/>
                <w:rtl/>
              </w:rPr>
              <w:t xml:space="preserve"> </w:t>
            </w:r>
            <w:r w:rsidRPr="004F3BFC">
              <w:rPr>
                <w:rFonts w:cs="FrankRuehl"/>
                <w:sz w:val="28"/>
                <w:szCs w:val="28"/>
                <w:rtl/>
              </w:rPr>
              <w:t>23577-02-19</w:t>
            </w:r>
            <w:r w:rsidRPr="004F3BFC">
              <w:rPr>
                <w:rFonts w:cs="FrankRuehl" w:hint="cs"/>
                <w:sz w:val="28"/>
                <w:szCs w:val="28"/>
                <w:rtl/>
              </w:rPr>
              <w:t xml:space="preserve"> </w:t>
            </w:r>
            <w:r w:rsidRPr="004F3BFC">
              <w:rPr>
                <w:rFonts w:cs="FrankRuehl"/>
                <w:sz w:val="28"/>
                <w:szCs w:val="28"/>
                <w:rtl/>
              </w:rPr>
              <w:t>מדינת ישראל נ' יורוביץ</w:t>
            </w:r>
          </w:p>
          <w:p w14:paraId="55B7D792" w14:textId="77777777" w:rsidR="0063666F" w:rsidRPr="004F3BFC" w:rsidRDefault="0063666F" w:rsidP="00EE071D">
            <w:pPr>
              <w:pStyle w:val="a3"/>
              <w:rPr>
                <w:rFonts w:cs="FrankRuehl"/>
                <w:sz w:val="28"/>
                <w:szCs w:val="28"/>
                <w:rtl/>
              </w:rPr>
            </w:pPr>
          </w:p>
        </w:tc>
        <w:tc>
          <w:tcPr>
            <w:tcW w:w="3667" w:type="dxa"/>
          </w:tcPr>
          <w:p w14:paraId="08D5D4E8" w14:textId="77777777" w:rsidR="0063666F" w:rsidRPr="004F3BFC" w:rsidRDefault="0063666F" w:rsidP="00EE071D">
            <w:pPr>
              <w:pStyle w:val="a3"/>
              <w:jc w:val="right"/>
              <w:rPr>
                <w:rFonts w:cs="FrankRuehl"/>
                <w:sz w:val="28"/>
                <w:szCs w:val="28"/>
                <w:rtl/>
              </w:rPr>
            </w:pPr>
          </w:p>
        </w:tc>
      </w:tr>
    </w:tbl>
    <w:p w14:paraId="02EC36F6" w14:textId="77777777" w:rsidR="0063666F" w:rsidRPr="004F3BFC" w:rsidRDefault="0063666F" w:rsidP="0063666F">
      <w:pPr>
        <w:pStyle w:val="a3"/>
        <w:rPr>
          <w:rtl/>
        </w:rPr>
      </w:pPr>
      <w:r w:rsidRPr="004F3BFC">
        <w:rPr>
          <w:rFonts w:hint="cs"/>
          <w:rtl/>
        </w:rPr>
        <w:t xml:space="preserve"> </w:t>
      </w:r>
    </w:p>
    <w:p w14:paraId="3B051E5C" w14:textId="77777777" w:rsidR="0063666F" w:rsidRPr="004F3BFC" w:rsidRDefault="0063666F" w:rsidP="0063666F">
      <w:pPr>
        <w:rPr>
          <w:rtl/>
        </w:rPr>
      </w:pPr>
    </w:p>
    <w:p w14:paraId="4E6A8298" w14:textId="77777777" w:rsidR="0063666F" w:rsidRPr="004F3BFC" w:rsidRDefault="0063666F" w:rsidP="0063666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3666F" w:rsidRPr="004F3BFC" w14:paraId="48AEFF75" w14:textId="77777777" w:rsidTr="0063666F">
        <w:trPr>
          <w:trHeight w:val="295"/>
          <w:jc w:val="center"/>
        </w:trPr>
        <w:tc>
          <w:tcPr>
            <w:tcW w:w="923" w:type="dxa"/>
            <w:tcBorders>
              <w:top w:val="nil"/>
              <w:left w:val="nil"/>
              <w:bottom w:val="nil"/>
              <w:right w:val="nil"/>
            </w:tcBorders>
            <w:shd w:val="clear" w:color="auto" w:fill="auto"/>
          </w:tcPr>
          <w:p w14:paraId="6720E386" w14:textId="77777777" w:rsidR="0063666F" w:rsidRPr="004F3BFC" w:rsidRDefault="0063666F" w:rsidP="0063666F">
            <w:pPr>
              <w:jc w:val="both"/>
              <w:rPr>
                <w:rFonts w:ascii="Arial" w:hAnsi="Arial" w:cs="FrankRuehl"/>
                <w:sz w:val="28"/>
                <w:szCs w:val="28"/>
              </w:rPr>
            </w:pPr>
            <w:r w:rsidRPr="004F3BFC">
              <w:rPr>
                <w:rFonts w:ascii="Arial" w:hAnsi="Arial" w:cs="FrankRuehl" w:hint="cs"/>
                <w:sz w:val="28"/>
                <w:szCs w:val="28"/>
                <w:rtl/>
              </w:rPr>
              <w:t>ב</w:t>
            </w:r>
            <w:r w:rsidRPr="004F3BF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3C57181" w14:textId="77777777" w:rsidR="0063666F" w:rsidRPr="004F3BFC" w:rsidRDefault="0063666F" w:rsidP="00EE071D">
            <w:pPr>
              <w:rPr>
                <w:rFonts w:ascii="Arial" w:hAnsi="Arial"/>
                <w:b/>
                <w:bCs/>
                <w:rtl/>
              </w:rPr>
            </w:pPr>
            <w:r w:rsidRPr="004F3BFC">
              <w:rPr>
                <w:rFonts w:ascii="Arial" w:hAnsi="Arial" w:hint="cs"/>
                <w:b/>
                <w:bCs/>
                <w:rtl/>
              </w:rPr>
              <w:t>כבוד ה</w:t>
            </w:r>
            <w:r w:rsidRPr="004F3BFC">
              <w:rPr>
                <w:rFonts w:ascii="Arial" w:hAnsi="Arial"/>
                <w:b/>
                <w:bCs/>
                <w:rtl/>
              </w:rPr>
              <w:t>שופט</w:t>
            </w:r>
            <w:r w:rsidRPr="004F3BFC">
              <w:rPr>
                <w:rFonts w:ascii="Arial" w:hAnsi="Arial" w:hint="cs"/>
                <w:b/>
                <w:bCs/>
                <w:rtl/>
              </w:rPr>
              <w:t xml:space="preserve">  </w:t>
            </w:r>
            <w:r w:rsidRPr="004F3BFC">
              <w:rPr>
                <w:rFonts w:ascii="Arial" w:hAnsi="Arial"/>
                <w:b/>
                <w:bCs/>
                <w:rtl/>
              </w:rPr>
              <w:t>דרור קלייטמן</w:t>
            </w:r>
          </w:p>
          <w:p w14:paraId="78A05C4B" w14:textId="77777777" w:rsidR="0063666F" w:rsidRPr="004F3BFC" w:rsidRDefault="0063666F" w:rsidP="00EE071D">
            <w:pPr>
              <w:rPr>
                <w:rtl/>
              </w:rPr>
            </w:pPr>
          </w:p>
          <w:p w14:paraId="3B01A1F5" w14:textId="77777777" w:rsidR="0063666F" w:rsidRPr="004F3BFC" w:rsidRDefault="0063666F" w:rsidP="0063666F">
            <w:pPr>
              <w:jc w:val="both"/>
              <w:rPr>
                <w:rFonts w:ascii="Arial" w:hAnsi="Arial" w:cs="FrankRuehl"/>
                <w:sz w:val="28"/>
                <w:szCs w:val="28"/>
              </w:rPr>
            </w:pPr>
          </w:p>
        </w:tc>
      </w:tr>
      <w:tr w:rsidR="0063666F" w:rsidRPr="004F3BFC" w14:paraId="5431DD24" w14:textId="77777777" w:rsidTr="0063666F">
        <w:trPr>
          <w:trHeight w:val="355"/>
          <w:jc w:val="center"/>
        </w:trPr>
        <w:tc>
          <w:tcPr>
            <w:tcW w:w="923" w:type="dxa"/>
            <w:tcBorders>
              <w:top w:val="nil"/>
              <w:left w:val="nil"/>
              <w:bottom w:val="nil"/>
              <w:right w:val="nil"/>
            </w:tcBorders>
            <w:shd w:val="clear" w:color="auto" w:fill="auto"/>
          </w:tcPr>
          <w:p w14:paraId="7C8B01F8" w14:textId="77777777" w:rsidR="0063666F" w:rsidRPr="004F3BFC" w:rsidRDefault="0063666F" w:rsidP="0063666F">
            <w:pPr>
              <w:jc w:val="both"/>
              <w:rPr>
                <w:rFonts w:ascii="Arial" w:hAnsi="Arial" w:cs="FrankRuehl"/>
                <w:sz w:val="28"/>
                <w:szCs w:val="28"/>
              </w:rPr>
            </w:pPr>
            <w:bookmarkStart w:id="2" w:name="FirstAppellant"/>
            <w:r w:rsidRPr="004F3BF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BD77875" w14:textId="77777777" w:rsidR="0063666F" w:rsidRPr="004F3BFC" w:rsidRDefault="0063666F" w:rsidP="00EE071D">
            <w:r w:rsidRPr="004F3BFC">
              <w:rPr>
                <w:rFonts w:ascii="Arial" w:hAnsi="Arial" w:cs="FrankRuehl"/>
                <w:sz w:val="28"/>
                <w:szCs w:val="28"/>
                <w:rtl/>
              </w:rPr>
              <w:t>מדינת ישראל</w:t>
            </w:r>
            <w:r w:rsidRPr="004F3BFC">
              <w:rPr>
                <w:rFonts w:ascii="Arial" w:hAnsi="Arial" w:cs="FrankRuehl"/>
                <w:sz w:val="28"/>
                <w:szCs w:val="28"/>
                <w:rtl/>
              </w:rPr>
              <w:br/>
            </w:r>
            <w:r w:rsidRPr="004F3BFC">
              <w:rPr>
                <w:rFonts w:hint="cs"/>
                <w:rtl/>
              </w:rPr>
              <w:t>באמצעות ב"כ עו"ד שחר לדובסקי- פרקליטות מחוז מרכז</w:t>
            </w:r>
          </w:p>
        </w:tc>
        <w:tc>
          <w:tcPr>
            <w:tcW w:w="3771" w:type="dxa"/>
            <w:tcBorders>
              <w:top w:val="nil"/>
              <w:left w:val="nil"/>
              <w:bottom w:val="nil"/>
              <w:right w:val="nil"/>
            </w:tcBorders>
            <w:shd w:val="clear" w:color="auto" w:fill="auto"/>
          </w:tcPr>
          <w:p w14:paraId="143519F7" w14:textId="77777777" w:rsidR="0063666F" w:rsidRPr="004F3BFC" w:rsidRDefault="0063666F" w:rsidP="0063666F">
            <w:pPr>
              <w:jc w:val="both"/>
              <w:rPr>
                <w:rFonts w:ascii="Arial" w:hAnsi="Arial" w:cs="FrankRuehl"/>
                <w:sz w:val="28"/>
                <w:szCs w:val="28"/>
              </w:rPr>
            </w:pPr>
          </w:p>
        </w:tc>
      </w:tr>
      <w:bookmarkEnd w:id="2"/>
      <w:tr w:rsidR="0063666F" w:rsidRPr="004F3BFC" w14:paraId="59437A82" w14:textId="77777777" w:rsidTr="0063666F">
        <w:trPr>
          <w:trHeight w:val="355"/>
          <w:jc w:val="center"/>
        </w:trPr>
        <w:tc>
          <w:tcPr>
            <w:tcW w:w="923" w:type="dxa"/>
            <w:tcBorders>
              <w:top w:val="nil"/>
              <w:left w:val="nil"/>
              <w:bottom w:val="nil"/>
              <w:right w:val="nil"/>
            </w:tcBorders>
            <w:shd w:val="clear" w:color="auto" w:fill="auto"/>
          </w:tcPr>
          <w:p w14:paraId="17FD81B3" w14:textId="77777777" w:rsidR="0063666F" w:rsidRPr="004F3BFC" w:rsidRDefault="0063666F" w:rsidP="0063666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3657EC6" w14:textId="77777777" w:rsidR="0063666F" w:rsidRPr="004F3BFC" w:rsidRDefault="0063666F" w:rsidP="0063666F">
            <w:pPr>
              <w:jc w:val="both"/>
              <w:rPr>
                <w:rtl/>
              </w:rPr>
            </w:pPr>
          </w:p>
        </w:tc>
        <w:tc>
          <w:tcPr>
            <w:tcW w:w="3771" w:type="dxa"/>
            <w:tcBorders>
              <w:top w:val="nil"/>
              <w:left w:val="nil"/>
              <w:bottom w:val="nil"/>
              <w:right w:val="nil"/>
            </w:tcBorders>
            <w:shd w:val="clear" w:color="auto" w:fill="auto"/>
          </w:tcPr>
          <w:p w14:paraId="17BD6E77" w14:textId="77777777" w:rsidR="0063666F" w:rsidRPr="004F3BFC" w:rsidRDefault="0063666F" w:rsidP="0063666F">
            <w:pPr>
              <w:jc w:val="right"/>
              <w:rPr>
                <w:rFonts w:ascii="Arial" w:hAnsi="Arial" w:cs="FrankRuehl"/>
                <w:sz w:val="28"/>
                <w:szCs w:val="28"/>
                <w:rtl/>
              </w:rPr>
            </w:pPr>
            <w:r w:rsidRPr="004F3BFC">
              <w:rPr>
                <w:rFonts w:ascii="Arial" w:hAnsi="Arial" w:cs="FrankRuehl" w:hint="cs"/>
                <w:sz w:val="28"/>
                <w:szCs w:val="28"/>
                <w:rtl/>
              </w:rPr>
              <w:t>ה</w:t>
            </w:r>
            <w:r w:rsidRPr="004F3BFC">
              <w:rPr>
                <w:rFonts w:ascii="Arial" w:hAnsi="Arial" w:cs="FrankRuehl"/>
                <w:sz w:val="28"/>
                <w:szCs w:val="28"/>
                <w:rtl/>
              </w:rPr>
              <w:t>מאשימה</w:t>
            </w:r>
          </w:p>
        </w:tc>
      </w:tr>
      <w:tr w:rsidR="0063666F" w:rsidRPr="004F3BFC" w14:paraId="4F8C8BD0" w14:textId="77777777" w:rsidTr="0063666F">
        <w:trPr>
          <w:trHeight w:val="355"/>
          <w:jc w:val="center"/>
        </w:trPr>
        <w:tc>
          <w:tcPr>
            <w:tcW w:w="923" w:type="dxa"/>
            <w:tcBorders>
              <w:top w:val="nil"/>
              <w:left w:val="nil"/>
              <w:bottom w:val="nil"/>
              <w:right w:val="nil"/>
            </w:tcBorders>
            <w:shd w:val="clear" w:color="auto" w:fill="auto"/>
          </w:tcPr>
          <w:p w14:paraId="0CBFBEAC" w14:textId="77777777" w:rsidR="0063666F" w:rsidRPr="004F3BFC" w:rsidRDefault="0063666F" w:rsidP="0063666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302801C" w14:textId="77777777" w:rsidR="0063666F" w:rsidRPr="004F3BFC" w:rsidRDefault="0063666F" w:rsidP="0063666F">
            <w:pPr>
              <w:jc w:val="center"/>
              <w:rPr>
                <w:rFonts w:ascii="Arial" w:hAnsi="Arial" w:cs="FrankRuehl"/>
                <w:b/>
                <w:bCs/>
                <w:sz w:val="28"/>
                <w:szCs w:val="28"/>
                <w:rtl/>
              </w:rPr>
            </w:pPr>
          </w:p>
          <w:p w14:paraId="01F991C9" w14:textId="77777777" w:rsidR="0063666F" w:rsidRPr="004F3BFC" w:rsidRDefault="0063666F" w:rsidP="0063666F">
            <w:pPr>
              <w:jc w:val="center"/>
              <w:rPr>
                <w:rFonts w:ascii="Arial" w:hAnsi="Arial" w:cs="FrankRuehl"/>
                <w:b/>
                <w:bCs/>
                <w:sz w:val="28"/>
                <w:szCs w:val="28"/>
                <w:rtl/>
              </w:rPr>
            </w:pPr>
            <w:r w:rsidRPr="004F3BFC">
              <w:rPr>
                <w:rFonts w:ascii="Arial" w:hAnsi="Arial" w:cs="FrankRuehl"/>
                <w:b/>
                <w:bCs/>
                <w:sz w:val="28"/>
                <w:szCs w:val="28"/>
                <w:rtl/>
              </w:rPr>
              <w:t>נגד</w:t>
            </w:r>
          </w:p>
          <w:p w14:paraId="5E5A76CD" w14:textId="77777777" w:rsidR="0063666F" w:rsidRPr="004F3BFC" w:rsidRDefault="0063666F" w:rsidP="0063666F">
            <w:pPr>
              <w:jc w:val="both"/>
              <w:rPr>
                <w:rFonts w:ascii="Arial" w:hAnsi="Arial" w:cs="FrankRuehl"/>
                <w:sz w:val="28"/>
                <w:szCs w:val="28"/>
              </w:rPr>
            </w:pPr>
          </w:p>
        </w:tc>
      </w:tr>
      <w:tr w:rsidR="0063666F" w:rsidRPr="004F3BFC" w14:paraId="3A451ED5" w14:textId="77777777" w:rsidTr="0063666F">
        <w:trPr>
          <w:trHeight w:val="355"/>
          <w:jc w:val="center"/>
        </w:trPr>
        <w:tc>
          <w:tcPr>
            <w:tcW w:w="923" w:type="dxa"/>
            <w:tcBorders>
              <w:top w:val="nil"/>
              <w:left w:val="nil"/>
              <w:bottom w:val="nil"/>
              <w:right w:val="nil"/>
            </w:tcBorders>
            <w:shd w:val="clear" w:color="auto" w:fill="auto"/>
          </w:tcPr>
          <w:p w14:paraId="5DDC8646" w14:textId="77777777" w:rsidR="0063666F" w:rsidRPr="004F3BFC" w:rsidRDefault="0063666F" w:rsidP="00EE071D">
            <w:pPr>
              <w:rPr>
                <w:rFonts w:ascii="Arial" w:hAnsi="Arial" w:cs="FrankRuehl"/>
                <w:sz w:val="28"/>
                <w:szCs w:val="28"/>
                <w:rtl/>
              </w:rPr>
            </w:pPr>
          </w:p>
        </w:tc>
        <w:tc>
          <w:tcPr>
            <w:tcW w:w="4126" w:type="dxa"/>
            <w:tcBorders>
              <w:top w:val="nil"/>
              <w:left w:val="nil"/>
              <w:bottom w:val="nil"/>
              <w:right w:val="nil"/>
            </w:tcBorders>
            <w:shd w:val="clear" w:color="auto" w:fill="auto"/>
          </w:tcPr>
          <w:p w14:paraId="701811DB" w14:textId="77777777" w:rsidR="0063666F" w:rsidRPr="004F3BFC" w:rsidRDefault="0063666F" w:rsidP="00EE071D">
            <w:pPr>
              <w:rPr>
                <w:rtl/>
              </w:rPr>
            </w:pPr>
            <w:r w:rsidRPr="004F3BFC">
              <w:rPr>
                <w:rFonts w:ascii="Arial" w:hAnsi="Arial" w:cs="FrankRuehl"/>
                <w:sz w:val="28"/>
                <w:szCs w:val="28"/>
                <w:rtl/>
              </w:rPr>
              <w:t>ישראל יורוביץ</w:t>
            </w:r>
            <w:r w:rsidRPr="004F3BFC">
              <w:rPr>
                <w:rFonts w:ascii="Arial" w:hAnsi="Arial" w:cs="FrankRuehl"/>
                <w:sz w:val="28"/>
                <w:szCs w:val="28"/>
                <w:rtl/>
              </w:rPr>
              <w:br/>
            </w:r>
            <w:r w:rsidRPr="004F3BFC">
              <w:rPr>
                <w:rFonts w:hint="cs"/>
                <w:rtl/>
              </w:rPr>
              <w:t>באמצעות ב"כ עו"ד טל ליטן</w:t>
            </w:r>
          </w:p>
        </w:tc>
        <w:tc>
          <w:tcPr>
            <w:tcW w:w="3771" w:type="dxa"/>
            <w:tcBorders>
              <w:top w:val="nil"/>
              <w:left w:val="nil"/>
              <w:bottom w:val="nil"/>
              <w:right w:val="nil"/>
            </w:tcBorders>
            <w:shd w:val="clear" w:color="auto" w:fill="auto"/>
          </w:tcPr>
          <w:p w14:paraId="6671E402" w14:textId="77777777" w:rsidR="0063666F" w:rsidRPr="004F3BFC" w:rsidRDefault="0063666F" w:rsidP="0063666F">
            <w:pPr>
              <w:jc w:val="right"/>
              <w:rPr>
                <w:rFonts w:ascii="Arial" w:hAnsi="Arial" w:cs="FrankRuehl"/>
                <w:sz w:val="28"/>
                <w:szCs w:val="28"/>
              </w:rPr>
            </w:pPr>
          </w:p>
        </w:tc>
      </w:tr>
      <w:tr w:rsidR="0063666F" w:rsidRPr="004F3BFC" w14:paraId="2E2C64AC" w14:textId="77777777" w:rsidTr="0063666F">
        <w:trPr>
          <w:trHeight w:val="355"/>
          <w:jc w:val="center"/>
        </w:trPr>
        <w:tc>
          <w:tcPr>
            <w:tcW w:w="923" w:type="dxa"/>
            <w:tcBorders>
              <w:top w:val="nil"/>
              <w:left w:val="nil"/>
              <w:bottom w:val="nil"/>
              <w:right w:val="nil"/>
            </w:tcBorders>
            <w:shd w:val="clear" w:color="auto" w:fill="auto"/>
          </w:tcPr>
          <w:p w14:paraId="08BC9FC2" w14:textId="77777777" w:rsidR="0063666F" w:rsidRPr="004F3BFC" w:rsidRDefault="0063666F" w:rsidP="0063666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74988CD" w14:textId="77777777" w:rsidR="0063666F" w:rsidRPr="004F3BFC" w:rsidRDefault="0063666F" w:rsidP="0063666F">
            <w:pPr>
              <w:jc w:val="both"/>
              <w:rPr>
                <w:rtl/>
              </w:rPr>
            </w:pPr>
          </w:p>
        </w:tc>
        <w:tc>
          <w:tcPr>
            <w:tcW w:w="3771" w:type="dxa"/>
            <w:tcBorders>
              <w:top w:val="nil"/>
              <w:left w:val="nil"/>
              <w:bottom w:val="nil"/>
              <w:right w:val="nil"/>
            </w:tcBorders>
            <w:shd w:val="clear" w:color="auto" w:fill="auto"/>
          </w:tcPr>
          <w:p w14:paraId="6B120A92" w14:textId="77777777" w:rsidR="0063666F" w:rsidRPr="004F3BFC" w:rsidRDefault="0063666F" w:rsidP="0063666F">
            <w:pPr>
              <w:jc w:val="right"/>
              <w:rPr>
                <w:rFonts w:ascii="Arial" w:hAnsi="Arial" w:cs="FrankRuehl"/>
                <w:sz w:val="28"/>
                <w:szCs w:val="28"/>
              </w:rPr>
            </w:pPr>
            <w:r w:rsidRPr="004F3BFC">
              <w:rPr>
                <w:rFonts w:ascii="Arial" w:hAnsi="Arial" w:cs="FrankRuehl" w:hint="cs"/>
                <w:sz w:val="28"/>
                <w:szCs w:val="28"/>
                <w:rtl/>
              </w:rPr>
              <w:t>ה</w:t>
            </w:r>
            <w:r w:rsidRPr="004F3BFC">
              <w:rPr>
                <w:rFonts w:ascii="Arial" w:hAnsi="Arial" w:cs="FrankRuehl"/>
                <w:sz w:val="28"/>
                <w:szCs w:val="28"/>
                <w:rtl/>
              </w:rPr>
              <w:t>נאשם</w:t>
            </w:r>
          </w:p>
        </w:tc>
      </w:tr>
    </w:tbl>
    <w:p w14:paraId="781EE808" w14:textId="77777777" w:rsidR="00B86815" w:rsidRDefault="00B86815" w:rsidP="00B86815">
      <w:pPr>
        <w:rPr>
          <w:rtl/>
        </w:rPr>
      </w:pPr>
      <w:bookmarkStart w:id="3" w:name="LawTable"/>
      <w:bookmarkEnd w:id="3"/>
    </w:p>
    <w:p w14:paraId="54B87B08" w14:textId="77777777" w:rsidR="00B86815" w:rsidRPr="00B86815" w:rsidRDefault="00B86815" w:rsidP="00B86815">
      <w:pPr>
        <w:spacing w:before="120" w:after="120" w:line="240" w:lineRule="exact"/>
        <w:ind w:left="283" w:hanging="283"/>
        <w:jc w:val="both"/>
        <w:rPr>
          <w:rFonts w:ascii="FrankRuehl" w:hAnsi="FrankRuehl" w:cs="FrankRuehl"/>
          <w:rtl/>
        </w:rPr>
      </w:pPr>
    </w:p>
    <w:p w14:paraId="4454D31F" w14:textId="77777777" w:rsidR="00B86815" w:rsidRPr="00B86815" w:rsidRDefault="00B86815" w:rsidP="00B86815">
      <w:pPr>
        <w:spacing w:before="120" w:after="120" w:line="240" w:lineRule="exact"/>
        <w:ind w:left="283" w:hanging="283"/>
        <w:jc w:val="both"/>
        <w:rPr>
          <w:rFonts w:ascii="FrankRuehl" w:hAnsi="FrankRuehl" w:cs="FrankRuehl"/>
          <w:rtl/>
        </w:rPr>
      </w:pPr>
    </w:p>
    <w:p w14:paraId="053437B6" w14:textId="77777777" w:rsidR="00B86815" w:rsidRPr="00B86815" w:rsidRDefault="00B86815" w:rsidP="00B86815">
      <w:pPr>
        <w:spacing w:before="120" w:after="120" w:line="240" w:lineRule="exact"/>
        <w:ind w:left="283" w:hanging="283"/>
        <w:jc w:val="both"/>
        <w:rPr>
          <w:rFonts w:ascii="FrankRuehl" w:hAnsi="FrankRuehl" w:cs="FrankRuehl"/>
          <w:rtl/>
        </w:rPr>
      </w:pPr>
      <w:r w:rsidRPr="00B86815">
        <w:rPr>
          <w:rFonts w:ascii="FrankRuehl" w:hAnsi="FrankRuehl" w:cs="FrankRuehl"/>
          <w:rtl/>
        </w:rPr>
        <w:t xml:space="preserve">חקיקה שאוזכרה: </w:t>
      </w:r>
    </w:p>
    <w:p w14:paraId="3F4A06BA" w14:textId="77777777" w:rsidR="00B86815" w:rsidRPr="00B86815" w:rsidRDefault="00B86815" w:rsidP="00B86815">
      <w:pPr>
        <w:spacing w:before="120" w:after="120" w:line="240" w:lineRule="exact"/>
        <w:ind w:left="283" w:hanging="283"/>
        <w:jc w:val="both"/>
        <w:rPr>
          <w:rFonts w:ascii="FrankRuehl" w:hAnsi="FrankRuehl" w:cs="FrankRuehl"/>
          <w:rtl/>
        </w:rPr>
      </w:pPr>
      <w:hyperlink r:id="rId7" w:history="1">
        <w:r w:rsidRPr="00B86815">
          <w:rPr>
            <w:rFonts w:ascii="FrankRuehl" w:hAnsi="FrankRuehl" w:cs="FrankRuehl"/>
            <w:color w:val="0000FF"/>
            <w:rtl/>
          </w:rPr>
          <w:t>פקודת הסמים המסוכנים [נוסח חדש], תשל"ג-1973</w:t>
        </w:r>
      </w:hyperlink>
      <w:r w:rsidRPr="00B86815">
        <w:rPr>
          <w:rFonts w:ascii="FrankRuehl" w:hAnsi="FrankRuehl" w:cs="FrankRuehl"/>
          <w:rtl/>
        </w:rPr>
        <w:t xml:space="preserve">: סע'  </w:t>
      </w:r>
      <w:hyperlink r:id="rId8" w:history="1">
        <w:r w:rsidRPr="00B86815">
          <w:rPr>
            <w:rFonts w:ascii="FrankRuehl" w:hAnsi="FrankRuehl" w:cs="FrankRuehl"/>
            <w:color w:val="0000FF"/>
            <w:rtl/>
          </w:rPr>
          <w:t>6</w:t>
        </w:r>
      </w:hyperlink>
      <w:r w:rsidRPr="00B86815">
        <w:rPr>
          <w:rFonts w:ascii="FrankRuehl" w:hAnsi="FrankRuehl" w:cs="FrankRuehl"/>
          <w:rtl/>
        </w:rPr>
        <w:t xml:space="preserve">, </w:t>
      </w:r>
      <w:hyperlink r:id="rId9" w:history="1">
        <w:r w:rsidRPr="00B86815">
          <w:rPr>
            <w:rFonts w:ascii="FrankRuehl" w:hAnsi="FrankRuehl" w:cs="FrankRuehl"/>
            <w:color w:val="0000FF"/>
            <w:rtl/>
          </w:rPr>
          <w:t>7.א.</w:t>
        </w:r>
      </w:hyperlink>
      <w:r w:rsidRPr="00B86815">
        <w:rPr>
          <w:rFonts w:ascii="FrankRuehl" w:hAnsi="FrankRuehl" w:cs="FrankRuehl"/>
          <w:rtl/>
        </w:rPr>
        <w:t xml:space="preserve">, </w:t>
      </w:r>
      <w:hyperlink r:id="rId10" w:history="1">
        <w:r w:rsidRPr="00B86815">
          <w:rPr>
            <w:rFonts w:ascii="FrankRuehl" w:hAnsi="FrankRuehl" w:cs="FrankRuehl"/>
            <w:color w:val="0000FF"/>
            <w:rtl/>
          </w:rPr>
          <w:t>7.ג</w:t>
        </w:r>
      </w:hyperlink>
      <w:r w:rsidRPr="00B86815">
        <w:rPr>
          <w:rFonts w:ascii="FrankRuehl" w:hAnsi="FrankRuehl" w:cs="FrankRuehl"/>
          <w:rtl/>
        </w:rPr>
        <w:t xml:space="preserve">, </w:t>
      </w:r>
      <w:hyperlink r:id="rId11" w:history="1">
        <w:r w:rsidRPr="00B86815">
          <w:rPr>
            <w:rFonts w:ascii="FrankRuehl" w:hAnsi="FrankRuehl" w:cs="FrankRuehl"/>
            <w:color w:val="0000FF"/>
            <w:rtl/>
          </w:rPr>
          <w:t>9.א.</w:t>
        </w:r>
      </w:hyperlink>
      <w:r w:rsidRPr="00B86815">
        <w:rPr>
          <w:rFonts w:ascii="FrankRuehl" w:hAnsi="FrankRuehl" w:cs="FrankRuehl"/>
          <w:rtl/>
        </w:rPr>
        <w:t xml:space="preserve">, </w:t>
      </w:r>
      <w:hyperlink r:id="rId12" w:history="1">
        <w:r w:rsidRPr="00B86815">
          <w:rPr>
            <w:rFonts w:ascii="FrankRuehl" w:hAnsi="FrankRuehl" w:cs="FrankRuehl"/>
            <w:color w:val="0000FF"/>
            <w:rtl/>
          </w:rPr>
          <w:t>9.ד</w:t>
        </w:r>
      </w:hyperlink>
      <w:r w:rsidRPr="00B86815">
        <w:rPr>
          <w:rFonts w:ascii="FrankRuehl" w:hAnsi="FrankRuehl" w:cs="FrankRuehl"/>
          <w:rtl/>
        </w:rPr>
        <w:t xml:space="preserve">, </w:t>
      </w:r>
      <w:hyperlink r:id="rId13" w:history="1">
        <w:r w:rsidRPr="00B86815">
          <w:rPr>
            <w:rFonts w:ascii="FrankRuehl" w:hAnsi="FrankRuehl" w:cs="FrankRuehl"/>
            <w:color w:val="0000FF"/>
            <w:rtl/>
          </w:rPr>
          <w:t>10</w:t>
        </w:r>
      </w:hyperlink>
    </w:p>
    <w:p w14:paraId="15F0DD99" w14:textId="77777777" w:rsidR="00B86815" w:rsidRPr="00B86815" w:rsidRDefault="00B86815" w:rsidP="00B86815">
      <w:pPr>
        <w:spacing w:before="120" w:after="120" w:line="240" w:lineRule="exact"/>
        <w:ind w:left="283" w:hanging="283"/>
        <w:jc w:val="both"/>
        <w:rPr>
          <w:rFonts w:ascii="FrankRuehl" w:hAnsi="FrankRuehl" w:cs="FrankRuehl"/>
          <w:rtl/>
        </w:rPr>
      </w:pPr>
      <w:hyperlink r:id="rId14" w:history="1">
        <w:r w:rsidRPr="00B86815">
          <w:rPr>
            <w:rFonts w:ascii="FrankRuehl" w:hAnsi="FrankRuehl" w:cs="FrankRuehl"/>
            <w:color w:val="0000FF"/>
            <w:rtl/>
          </w:rPr>
          <w:t>חוק העונשין, תשל"ז-1977</w:t>
        </w:r>
      </w:hyperlink>
      <w:r w:rsidRPr="00B86815">
        <w:rPr>
          <w:rFonts w:ascii="FrankRuehl" w:hAnsi="FrankRuehl" w:cs="FrankRuehl"/>
          <w:rtl/>
        </w:rPr>
        <w:t xml:space="preserve">: סע'  </w:t>
      </w:r>
      <w:hyperlink r:id="rId15" w:history="1">
        <w:r w:rsidRPr="00B86815">
          <w:rPr>
            <w:rFonts w:ascii="FrankRuehl" w:hAnsi="FrankRuehl" w:cs="FrankRuehl"/>
            <w:color w:val="0000FF"/>
            <w:rtl/>
          </w:rPr>
          <w:t>40ד (א)</w:t>
        </w:r>
      </w:hyperlink>
      <w:r w:rsidRPr="00B86815">
        <w:rPr>
          <w:rFonts w:ascii="FrankRuehl" w:hAnsi="FrankRuehl" w:cs="FrankRuehl"/>
          <w:rtl/>
        </w:rPr>
        <w:t xml:space="preserve">, </w:t>
      </w:r>
      <w:hyperlink r:id="rId16" w:history="1">
        <w:r w:rsidRPr="00B86815">
          <w:rPr>
            <w:rFonts w:ascii="FrankRuehl" w:hAnsi="FrankRuehl" w:cs="FrankRuehl"/>
            <w:color w:val="0000FF"/>
            <w:rtl/>
          </w:rPr>
          <w:t>400</w:t>
        </w:r>
      </w:hyperlink>
    </w:p>
    <w:p w14:paraId="5471E9C2" w14:textId="77777777" w:rsidR="00B86815" w:rsidRPr="00B86815" w:rsidRDefault="00B86815" w:rsidP="00B86815">
      <w:pPr>
        <w:rPr>
          <w:rtl/>
        </w:rPr>
      </w:pPr>
      <w:bookmarkStart w:id="4" w:name="LawTable_End"/>
      <w:bookmarkEnd w:id="4"/>
    </w:p>
    <w:p w14:paraId="312193A4" w14:textId="77777777" w:rsidR="0063666F" w:rsidRPr="00E519D2" w:rsidRDefault="0063666F" w:rsidP="00E519D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3666F" w14:paraId="7D5D1077" w14:textId="77777777" w:rsidTr="0063666F">
        <w:trPr>
          <w:trHeight w:val="355"/>
          <w:jc w:val="center"/>
        </w:trPr>
        <w:tc>
          <w:tcPr>
            <w:tcW w:w="8820" w:type="dxa"/>
            <w:tcBorders>
              <w:top w:val="nil"/>
              <w:left w:val="nil"/>
              <w:bottom w:val="nil"/>
              <w:right w:val="nil"/>
            </w:tcBorders>
            <w:shd w:val="clear" w:color="auto" w:fill="auto"/>
          </w:tcPr>
          <w:p w14:paraId="7029BE16" w14:textId="77777777" w:rsidR="004F3BFC" w:rsidRPr="004F3BFC" w:rsidRDefault="004F3BFC" w:rsidP="004F3BFC">
            <w:pPr>
              <w:jc w:val="center"/>
              <w:rPr>
                <w:rFonts w:ascii="Arial" w:hAnsi="Arial" w:cs="FrankRuehl"/>
                <w:b/>
                <w:bCs/>
                <w:sz w:val="32"/>
                <w:szCs w:val="32"/>
                <w:u w:val="single"/>
                <w:rtl/>
              </w:rPr>
            </w:pPr>
            <w:bookmarkStart w:id="5" w:name="PsakDin" w:colFirst="0" w:colLast="0"/>
            <w:bookmarkEnd w:id="0"/>
            <w:bookmarkEnd w:id="1"/>
            <w:r w:rsidRPr="004F3BFC">
              <w:rPr>
                <w:rFonts w:ascii="Arial" w:hAnsi="Arial" w:cs="FrankRuehl"/>
                <w:b/>
                <w:bCs/>
                <w:sz w:val="32"/>
                <w:szCs w:val="32"/>
                <w:u w:val="single"/>
                <w:rtl/>
              </w:rPr>
              <w:t>גזר דין</w:t>
            </w:r>
          </w:p>
          <w:p w14:paraId="0C6E4516" w14:textId="77777777" w:rsidR="0063666F" w:rsidRPr="004F3BFC" w:rsidRDefault="0063666F" w:rsidP="004F3BFC">
            <w:pPr>
              <w:jc w:val="center"/>
              <w:rPr>
                <w:rFonts w:ascii="Arial" w:hAnsi="Arial" w:cs="FrankRuehl"/>
                <w:bCs/>
                <w:sz w:val="32"/>
                <w:szCs w:val="32"/>
                <w:u w:val="single"/>
                <w:rtl/>
              </w:rPr>
            </w:pPr>
          </w:p>
        </w:tc>
      </w:tr>
      <w:bookmarkEnd w:id="5"/>
    </w:tbl>
    <w:p w14:paraId="764D9D43" w14:textId="77777777" w:rsidR="0063666F" w:rsidRPr="00C41998" w:rsidRDefault="0063666F" w:rsidP="0063666F">
      <w:pPr>
        <w:rPr>
          <w:rFonts w:ascii="Arial" w:hAnsi="Arial"/>
          <w:rtl/>
        </w:rPr>
      </w:pPr>
    </w:p>
    <w:p w14:paraId="1A97133F" w14:textId="77777777" w:rsidR="0063666F" w:rsidRPr="00C41998" w:rsidRDefault="0063666F" w:rsidP="0063666F">
      <w:pPr>
        <w:numPr>
          <w:ilvl w:val="0"/>
          <w:numId w:val="1"/>
        </w:numPr>
        <w:spacing w:after="160" w:line="480" w:lineRule="auto"/>
        <w:contextualSpacing/>
        <w:rPr>
          <w:rFonts w:ascii="David" w:hAnsi="David"/>
        </w:rPr>
      </w:pPr>
      <w:bookmarkStart w:id="6" w:name="ABSTRACT_START"/>
      <w:bookmarkEnd w:id="6"/>
      <w:r w:rsidRPr="00C41998">
        <w:rPr>
          <w:rFonts w:ascii="David" w:hAnsi="David"/>
          <w:rtl/>
        </w:rPr>
        <w:t>הנאשם הורשע, בהתאם להודאתו, במסגרת הסדר טיעון, בכתב אישום מתוקן, בביצוע עבירה  של</w:t>
      </w:r>
      <w:r w:rsidRPr="00C41998">
        <w:rPr>
          <w:rFonts w:ascii="David" w:hAnsi="David"/>
          <w:b/>
          <w:bCs/>
          <w:rtl/>
        </w:rPr>
        <w:t xml:space="preserve"> גידול סמים מסוכנים</w:t>
      </w:r>
      <w:r w:rsidRPr="00C41998">
        <w:rPr>
          <w:rFonts w:ascii="David" w:hAnsi="David"/>
          <w:rtl/>
        </w:rPr>
        <w:t xml:space="preserve"> בהתאם </w:t>
      </w:r>
      <w:hyperlink r:id="rId17" w:history="1">
        <w:r w:rsidR="00E519D2" w:rsidRPr="00E519D2">
          <w:rPr>
            <w:rStyle w:val="Hyperlink"/>
            <w:rFonts w:ascii="David" w:hAnsi="David"/>
            <w:rtl/>
          </w:rPr>
          <w:t>לסעיף 6</w:t>
        </w:r>
      </w:hyperlink>
      <w:r w:rsidRPr="00C41998">
        <w:rPr>
          <w:rFonts w:ascii="David" w:hAnsi="David"/>
          <w:rtl/>
        </w:rPr>
        <w:t xml:space="preserve"> ל</w:t>
      </w:r>
      <w:hyperlink r:id="rId18" w:history="1">
        <w:r w:rsidR="004F3BFC" w:rsidRPr="004F3BFC">
          <w:rPr>
            <w:rFonts w:ascii="David" w:hAnsi="David"/>
            <w:color w:val="0000FF"/>
            <w:u w:val="single"/>
            <w:rtl/>
          </w:rPr>
          <w:t>פקודת הסמים המסוכנים</w:t>
        </w:r>
      </w:hyperlink>
      <w:r w:rsidRPr="00C41998">
        <w:rPr>
          <w:rFonts w:ascii="David" w:hAnsi="David"/>
          <w:rtl/>
        </w:rPr>
        <w:t xml:space="preserve"> (נוסח חדש), התשל"ג -1973 </w:t>
      </w:r>
      <w:bookmarkStart w:id="7" w:name="ABSTRACT_END"/>
      <w:bookmarkEnd w:id="7"/>
      <w:r w:rsidRPr="00C41998">
        <w:rPr>
          <w:rFonts w:ascii="David" w:hAnsi="David"/>
          <w:rtl/>
        </w:rPr>
        <w:t>(להלן: "הפקודה").</w:t>
      </w:r>
    </w:p>
    <w:p w14:paraId="30CA0DC3" w14:textId="77777777" w:rsidR="0063666F" w:rsidRPr="00C41998" w:rsidRDefault="0063666F" w:rsidP="0063666F">
      <w:pPr>
        <w:numPr>
          <w:ilvl w:val="0"/>
          <w:numId w:val="1"/>
        </w:numPr>
        <w:spacing w:after="160" w:line="480" w:lineRule="auto"/>
        <w:contextualSpacing/>
        <w:rPr>
          <w:rFonts w:ascii="David" w:hAnsi="David"/>
        </w:rPr>
      </w:pPr>
      <w:r w:rsidRPr="00C41998">
        <w:rPr>
          <w:rFonts w:ascii="David" w:hAnsi="David"/>
          <w:rtl/>
        </w:rPr>
        <w:t>על פי עובדות כתב האישום המתוקן, בתאריך 31.08.2018 שכר הנאשם דירה ברח' רבי יוסף קארו באלעד (להלן: "הדירה").</w:t>
      </w:r>
    </w:p>
    <w:p w14:paraId="527EBC51" w14:textId="77777777" w:rsidR="0063666F" w:rsidRPr="00C41998" w:rsidRDefault="0063666F" w:rsidP="0063666F">
      <w:pPr>
        <w:numPr>
          <w:ilvl w:val="0"/>
          <w:numId w:val="1"/>
        </w:numPr>
        <w:spacing w:after="160" w:line="480" w:lineRule="auto"/>
        <w:contextualSpacing/>
        <w:rPr>
          <w:rFonts w:ascii="David" w:hAnsi="David"/>
        </w:rPr>
      </w:pPr>
      <w:r w:rsidRPr="00C41998">
        <w:rPr>
          <w:rFonts w:ascii="David" w:hAnsi="David"/>
          <w:rtl/>
        </w:rPr>
        <w:t xml:space="preserve">במועד זה או בסמוך אליו הקים הנאשם יחד עם אחרים שזהותם אינה ידועה למאשימה (להלן: "האחרים") מעבדה לגידול קנבוס (להלן: "הסם"). לשם כך השתמשו בשני חדרי </w:t>
      </w:r>
      <w:r w:rsidRPr="00C41998">
        <w:rPr>
          <w:rFonts w:ascii="David" w:hAnsi="David"/>
          <w:rtl/>
        </w:rPr>
        <w:lastRenderedPageBreak/>
        <w:t xml:space="preserve">הדירה וכן ביצעו הכנה בחדר הרחצה למעבדה נוספת. הנאשם והאחרים, ציידו את הדירה ב-13 שנאים, 13 בתי מנורה, 4 מאוורים, שני מזגנים ושתי תעלות אוורור. </w:t>
      </w:r>
    </w:p>
    <w:p w14:paraId="630B5E65" w14:textId="77777777" w:rsidR="0063666F" w:rsidRPr="00C41998" w:rsidRDefault="0063666F" w:rsidP="0063666F">
      <w:pPr>
        <w:numPr>
          <w:ilvl w:val="0"/>
          <w:numId w:val="1"/>
        </w:numPr>
        <w:spacing w:after="160" w:line="480" w:lineRule="auto"/>
        <w:contextualSpacing/>
        <w:rPr>
          <w:rFonts w:ascii="David" w:hAnsi="David"/>
        </w:rPr>
      </w:pPr>
      <w:r w:rsidRPr="00C41998">
        <w:rPr>
          <w:rFonts w:ascii="David" w:hAnsi="David"/>
          <w:rtl/>
        </w:rPr>
        <w:t xml:space="preserve">בתאריך 27.01.19 נתפסו בדירה 60 שתילים של  הסם במשקל כולל של כ-40 ק"ג נטו. </w:t>
      </w:r>
    </w:p>
    <w:p w14:paraId="463122E8" w14:textId="77777777" w:rsidR="0063666F" w:rsidRPr="00C41998" w:rsidRDefault="0063666F" w:rsidP="0063666F">
      <w:pPr>
        <w:numPr>
          <w:ilvl w:val="0"/>
          <w:numId w:val="1"/>
        </w:numPr>
        <w:spacing w:after="160" w:line="480" w:lineRule="auto"/>
        <w:contextualSpacing/>
        <w:rPr>
          <w:rFonts w:ascii="David" w:hAnsi="David"/>
        </w:rPr>
      </w:pPr>
      <w:r w:rsidRPr="00C41998">
        <w:rPr>
          <w:rFonts w:ascii="David" w:hAnsi="David"/>
          <w:rtl/>
        </w:rPr>
        <w:t>במסגרת הסדר דיוני, הודה הנאשם בכתב אישום מתוקן ונשלח לקבלת תסקיר שירות המבחן, ללא הסכמות בין הצדדים בכל הנוגע לעונש.</w:t>
      </w:r>
    </w:p>
    <w:p w14:paraId="6614EC6E" w14:textId="77777777" w:rsidR="0063666F" w:rsidRPr="00C41998" w:rsidRDefault="0063666F" w:rsidP="0063666F">
      <w:pPr>
        <w:spacing w:after="160" w:line="480" w:lineRule="auto"/>
        <w:jc w:val="both"/>
        <w:rPr>
          <w:rFonts w:ascii="David" w:hAnsi="David"/>
          <w:b/>
          <w:bCs/>
          <w:u w:val="single"/>
          <w:rtl/>
        </w:rPr>
      </w:pPr>
      <w:r w:rsidRPr="00C41998">
        <w:rPr>
          <w:rFonts w:ascii="David" w:hAnsi="David"/>
          <w:b/>
          <w:bCs/>
          <w:u w:val="single"/>
          <w:rtl/>
        </w:rPr>
        <w:t>תסקיר שירות המבחן</w:t>
      </w:r>
    </w:p>
    <w:p w14:paraId="4BBF231C"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 xml:space="preserve">בתסקיר שהתקבל בתאריך 29.12.20, מתאר שירות המבחן את נסיבות חייו של הנאשם אשר הינו בן 46, נשוי בשנית ואב לשלושה ילדים מנישואיו הראשונים, בגילאי 11-22. והוא מגדל כעת יחד עם אשתו הנוכחית 5 ילדים מנישואיה הקודמים. נישואיו הקודמים הסתיימו בהליך גירושין ארוך וקשה המלווה במאבקים בין בני הזוג על משמורת ילדיהם ועירוב גורמי רווחה בכך.  </w:t>
      </w:r>
    </w:p>
    <w:p w14:paraId="7EB2B944"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 xml:space="preserve">הנאשם עובד כשנה וחצי כמנהל מחלקת גבייה, לוגיסטיקה ושירות לקוחות. בעל רקע תעסוקתי יציב אשר ברובו כולל עבודה לאורך תקופות ארוכות. בשנת 2018 פוטר בשל צמצום כוח עבודה. </w:t>
      </w:r>
    </w:p>
    <w:p w14:paraId="297A6C93"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לחובתו של הנאשם הרשעה אחת משנת 2016 בגין עבירה של בניה בסטייה מהיתר. לא תלויים ועומדים נגדו תיקים הממתינים לבירור דין מלבד התיק הנוכחי.</w:t>
      </w:r>
    </w:p>
    <w:p w14:paraId="58A41B71"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שירות המבחן תיאר את הנאשם כאדם אשר לאורך חייו ניהל אורח חיים נורמטיבי, אך בעקבות משבר הפיטורים שחווה פנה לפתרונות שוליים וזאת מתוך צורך במענים מהירים וקלים ומבלי לשקול את משמעות מעשיו. התרשמות שירות המבחן כי הליך המעצר היווה עבורו גבול ברור באשר לבעייתיות שבבחירותיו השוליות.</w:t>
      </w:r>
    </w:p>
    <w:p w14:paraId="2ABDA84D"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הנאשם השתלב לאורך מעצרו בקבוצה לעצורי בית. הגיע למפגשים ושיתף פעולה. בבדיקות השתן נמצא נקי מסמים. שירות המבחן ציין כי בלט שהנאשם מתקשה לבחון לעומק את בחירותיו ברקע לעבירה והומלץ לו לפנות לטיפול פסיכולוגי פרטי על מנת להעמיק אודות המניעים הרגשיים שהובילו אותו לביצוע העבירה.</w:t>
      </w:r>
    </w:p>
    <w:p w14:paraId="48EE5B2D"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 xml:space="preserve">הנאשם אכן עשה זאת והחל מחודש פברואר 2020 עבר טיפול פרטני במרכז "התחלה חדשה". </w:t>
      </w:r>
    </w:p>
    <w:p w14:paraId="7B2CB8F1"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lastRenderedPageBreak/>
        <w:t>שירות המבחן ציין כי הנאשם מסר שביצע את העבירה מתוך תחושת שעמום וסקרנות ושלל שהחזיק בסם לצריכה עצמית או שנועד למכירה. הוא טען כי לא היה לו כל מניע כלכלי בביצוע העבירה. לתפיסתו, גידול הסם העניק לו תחושה של מסוגלות ומשמעות בתקופה המורכבת בה היה מצוי. הוא הביע צער ובושה ונכונות לשאת בענישה על מעשיו.</w:t>
      </w:r>
    </w:p>
    <w:p w14:paraId="7DBFEF75"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שירות המבחן התרשם כי התנהגותו של הנאשם בביצוע העבירה חריגה להתנהלותו לאורך שנות חייו והם מעריכים כי הוא מכיר בחומרת התנהגותו והליך המעצר סייע לו לערוך שינוי בדפוסי התנהלותו. ההערכה היא כי המשך השתלבותו של הנאשם בהליך טיפולי תסייע בהפחתת הסיכון להישנות ביצוע עבירות.</w:t>
      </w:r>
    </w:p>
    <w:p w14:paraId="475249B9"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המלצת שירות המבחן היא לענישה שיקומית- טיפולית במסגרת צו מבחן לצד ענישה בדרך של מאסר בעבודות שירות שיציב עבור הנאשם גבול ברור ויסייע בהפנמת חומרת מעשיו אך יאפשר לו להמשיך את ההליך השיקומי.</w:t>
      </w:r>
    </w:p>
    <w:p w14:paraId="3AE31F8A"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לבית המשפט הוגש גם סיכום ביניים לטיפול אותו עובר הנאשם במרכז "התחלה חדשה". בסיכום זה מתוארות קורות חייו של הנאשם בדומה למתואר בתסקיר שירות המבחן. מתואר כי הנאשם משולב בטיפול פרטני של פעם בשבוע ועד עתה נערכו עמו 36 פגישות. הנאשם מגלה מוטיבציה רבה לטיפול ומשתף פעולה באופן מלא. הערכת המטפלים בנאשם כי נוצר שינוי משמעותי בדפוסיו. ההמלצה היא תישקל ענישה שיקומית הולמת בעניינו.</w:t>
      </w:r>
    </w:p>
    <w:p w14:paraId="363DC919" w14:textId="77777777" w:rsidR="0063666F" w:rsidRPr="00C41998" w:rsidRDefault="0063666F" w:rsidP="0063666F">
      <w:pPr>
        <w:spacing w:after="160" w:line="480" w:lineRule="auto"/>
        <w:jc w:val="both"/>
        <w:rPr>
          <w:rFonts w:ascii="David" w:hAnsi="David"/>
        </w:rPr>
      </w:pPr>
      <w:r w:rsidRPr="00C41998">
        <w:rPr>
          <w:rFonts w:ascii="David" w:hAnsi="David"/>
          <w:b/>
          <w:bCs/>
          <w:u w:val="single"/>
          <w:rtl/>
        </w:rPr>
        <w:t>ראיות לעונש</w:t>
      </w:r>
      <w:r w:rsidRPr="00C41998">
        <w:rPr>
          <w:rFonts w:ascii="David" w:hAnsi="David"/>
          <w:rtl/>
        </w:rPr>
        <w:t xml:space="preserve">  </w:t>
      </w:r>
    </w:p>
    <w:p w14:paraId="7B58A75C"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מטעם המאשימה הוגשו גיליון ההרשעות הקודמות של הנאשם ותמונות מעבדת הסמים.</w:t>
      </w:r>
    </w:p>
    <w:p w14:paraId="1319681D"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מטעם הנאשם העידה הגב' מלכי רייף שמשמשת כעוזרת קהילתי באשדוד. היא תיארה כי מכירה את הנאשם מצעירותו, מאחר והוא קרוב משפחה של בעלה. היא תיארה את הסכסוך בין הנאשם לאשתו הראשונה וטענה כי הנאשם הוא שדואג לשני ילדיו הנמצאים בחזקת אשתו הראשונה וכי אם הנאשם יישלח לכלא ייגרם להם נזק קשה.</w:t>
      </w:r>
    </w:p>
    <w:p w14:paraId="50BBE565"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עוד העיד בנו של הנאשם, מר דודי יורוביץ. גם הוא תיאר את הסכסוך בין הנאשם לאשתו הראשונה שהיא אמו של העד. וגם הוא טען כי הנאשם הוא האדם היחיד בעולם שדואג לשני אחיו ואם הנאשם יישלח לכלא, לא יהיה מי שיטפל באחיו.</w:t>
      </w:r>
    </w:p>
    <w:p w14:paraId="535C2AC2" w14:textId="77777777" w:rsidR="0063666F" w:rsidRPr="00C41998" w:rsidRDefault="0063666F" w:rsidP="0063666F">
      <w:pPr>
        <w:spacing w:after="160" w:line="480" w:lineRule="auto"/>
        <w:jc w:val="both"/>
        <w:rPr>
          <w:rFonts w:ascii="David" w:hAnsi="David"/>
        </w:rPr>
      </w:pPr>
      <w:r w:rsidRPr="00C41998">
        <w:rPr>
          <w:rFonts w:ascii="David" w:hAnsi="David"/>
          <w:b/>
          <w:bCs/>
          <w:u w:val="single"/>
          <w:rtl/>
        </w:rPr>
        <w:t>טיעוני הצדדים</w:t>
      </w:r>
      <w:r w:rsidRPr="00C41998">
        <w:rPr>
          <w:rFonts w:ascii="David" w:hAnsi="David"/>
          <w:rtl/>
        </w:rPr>
        <w:t xml:space="preserve">  </w:t>
      </w:r>
    </w:p>
    <w:p w14:paraId="11E130DE"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ב"כ המאשימה, עו"ד שחר לדובסקי, חזר על המתואר בכתב האישום המתוקן והצביע על הערכים המוגנים שנפגעו כתוצאה מהעבירה אותה ביצע הנאשם. הוא ציין כי לצורך ביצוע העבירה שכר הנאשם דירה באלפי שקלים וציידה בציוד רב. עתר למתחם ענישה הנע בין16-32 חודשי מאסר בפועל לצד ענישה נלווית. הפנה לפסיקה התומכת במתחם זה. הסכים כי יש לשקול לזכות הנאשם את הודאתו, חיסכון בזמן שיפוטי ועבר כמעט ללא הרשעות, כך גם את ההבטים החיוביים שעולים מהתסקיר. הוא סבור כי השיקום הנטען על ידי הנאשם אינו מצדיק חריגה מהמתחם, מה עוד שניתן ללמוד כי הנאשם מציג מניעים שונים למעשהו ועולות תהיות בעניין לקיחת האחריות מצדו. הוא עתר למיקום הנאשם בשליש התחתון של המתחם לצד ענישה נלווית וחילוט הרכוש שנתפס.</w:t>
      </w:r>
    </w:p>
    <w:p w14:paraId="071C66B4"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ב"כ הנאשם, עו"ד טל ליטן, טען כי המתחם אליו עתרה במאשימה אינו מתאים למקרה זה. הוא סבור כי בעת שישנו שינוי לסם מסוג קאנביס מטעמה של המדינה, לרבות אישורים שניתנים לגידול סם זה, יש לשנות אף את יחס המדינה לעבירות שעניינן בסם מסוג זה. באשר לנסיבות הקשורות בביצוע העבירה, טען שלא ניתן לומר שמדובר על מעבדה שתוכננה בקפידה רבה ואף המשאבים שהושקעו בה אינם משמעותיים. כמות השתילים אינה רבה ואין מדובר בתקופה ארוכה. לא כרוכה גניבת חשמל בביצוע העבירה. הוא הפנה  לפסיקה בעבירות מעין אלו ועל גזרי דין בהם נקבעה סטייה מהמתחם גם כאשר היה מדובר בגידול בהיקפים גדולים מזה שבפנינו. לנוכח זאת הוא עתר למתחם הנע בין 10-30 חודשי מאסר בפועל לצד ענישה נלווית. בכל הנוגע לנסיבות שאינן קשורות בביצוע העבירה, הצביע ב"כ הנאשם על השינוי המשמעותי אותו עבר הנאשם, אשר מתואר בתסקיר שירות המבחן ובחוות הדעת שהוגשה ממרכז "התחלה חדשה". הוא הדגיש את הטיפו הארוך בו מצוי הנאשם, 20 חודשים וכל זאת במימון פרטי ובעת משבר הקורונה. הוא את נסיבות חייו של הנאשם אשר הביאו אותו לנקודה משברית בגינה ביצע את העבירה בה הורשע. הצביע על מערכת היחסים הקשה של הנאשם עם אשתו הראשונה ואת העובדה כי הוא עסוק כיום בדאגה לילדיו הקטינים אשר מצויים בחזקתה. הוא הפנה להמלצת שירות המבחן על כך שענישה מתאימה תהיה בדרך של עבודות שירות. הוא סבור שההליך המשמעותי אותו עבר הנאשם מצדיק סטייה מהמתחם, מה עוד שאין מדובר בסטייה גדולה. אשר על כן הוא עתר לענישה בדמות מאסר שירוצה בעבודות שירות שיאפשר לנאשם להמשיך באורח חייו הנורמטיבי.</w:t>
      </w:r>
    </w:p>
    <w:p w14:paraId="679CC7C0"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הנאשם עצמו אמר שהוא מתבייש בעבירה אותה ביצע ומבין את חומרתה,  הוא תיאר את הקשיים אותם חווה בחייו, טרם נישואיו הראשונים וביתר בעת שאת בתקופת נישואים זו ולאחריה בסכסוך הגירושין ובמאבק על החזקה בילדיו. הוא טען שהשמתו במאסר כעת תהווה "גזר דין מוות" לילדיו ומשפחתו תתפרק. ביקש כי לא יוטל עליו עונש מאסר.</w:t>
      </w:r>
    </w:p>
    <w:p w14:paraId="04A81215" w14:textId="77777777" w:rsidR="0063666F" w:rsidRDefault="0063666F" w:rsidP="0063666F">
      <w:pPr>
        <w:spacing w:after="160" w:line="480" w:lineRule="auto"/>
        <w:jc w:val="both"/>
        <w:rPr>
          <w:rFonts w:ascii="David" w:hAnsi="David"/>
          <w:b/>
          <w:bCs/>
          <w:u w:val="single"/>
          <w:rtl/>
        </w:rPr>
      </w:pPr>
    </w:p>
    <w:p w14:paraId="3ECA505F" w14:textId="77777777" w:rsidR="0063666F" w:rsidRPr="00C41998" w:rsidRDefault="0063666F" w:rsidP="0063666F">
      <w:pPr>
        <w:spacing w:after="160" w:line="480" w:lineRule="auto"/>
        <w:jc w:val="both"/>
        <w:rPr>
          <w:rFonts w:ascii="David" w:hAnsi="David"/>
          <w:rtl/>
        </w:rPr>
      </w:pPr>
      <w:r w:rsidRPr="00C41998">
        <w:rPr>
          <w:rFonts w:ascii="David" w:hAnsi="David"/>
          <w:b/>
          <w:bCs/>
          <w:u w:val="single"/>
          <w:rtl/>
        </w:rPr>
        <w:t>דיון והכרעה</w:t>
      </w:r>
    </w:p>
    <w:p w14:paraId="727A34CF" w14:textId="77777777" w:rsidR="0063666F" w:rsidRPr="00C41998" w:rsidRDefault="0063666F" w:rsidP="0063666F">
      <w:pPr>
        <w:spacing w:after="160" w:line="480" w:lineRule="auto"/>
        <w:jc w:val="both"/>
        <w:rPr>
          <w:rFonts w:ascii="David" w:hAnsi="David"/>
          <w:u w:val="single"/>
        </w:rPr>
      </w:pPr>
      <w:r w:rsidRPr="00C41998">
        <w:rPr>
          <w:rFonts w:ascii="David" w:hAnsi="David"/>
          <w:rtl/>
        </w:rPr>
        <w:t xml:space="preserve">   </w:t>
      </w:r>
      <w:r w:rsidRPr="00C41998">
        <w:rPr>
          <w:rFonts w:ascii="David" w:hAnsi="David"/>
          <w:u w:val="single"/>
          <w:rtl/>
        </w:rPr>
        <w:t>מתחם העונש</w:t>
      </w:r>
    </w:p>
    <w:p w14:paraId="5548E368"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הערך החברתי המוגן אשר נפגע כתוצאה מהעבירה אותה ביצע הנאשם הינו שמירה על בריאות הציבור והצורך להילחם בתופעת גידול הסמים בשל הנזקים החברתיים שנגרמים בעטיה. כאשר נאמר כבר רבות על ידי בתי המשפט השונים, לרבות בית המשפט העליון, בדבר חשיבות המלחמה בתופעה זו.</w:t>
      </w:r>
    </w:p>
    <w:p w14:paraId="6848F082"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בפתח דבריו טען ב"כ הנאשם כי על בית משפט לתת יחס שונה לעבירות שעניינן סם מסוג קאנביס. איני מקבל טענה זו. רק לאחרונה חזר והדגיש בית המשפט העליון ב</w:t>
      </w:r>
      <w:hyperlink r:id="rId19" w:history="1">
        <w:r w:rsidR="004F3BFC" w:rsidRPr="004F3BFC">
          <w:rPr>
            <w:rFonts w:ascii="David" w:hAnsi="David"/>
            <w:color w:val="0000FF"/>
            <w:u w:val="single"/>
            <w:rtl/>
          </w:rPr>
          <w:t>ע"פ 6922/20</w:t>
        </w:r>
      </w:hyperlink>
      <w:r w:rsidRPr="00C41998">
        <w:rPr>
          <w:rFonts w:ascii="David" w:hAnsi="David"/>
          <w:rtl/>
        </w:rPr>
        <w:t xml:space="preserve"> </w:t>
      </w:r>
      <w:r w:rsidRPr="00C41998">
        <w:rPr>
          <w:rFonts w:ascii="David" w:hAnsi="David"/>
          <w:b/>
          <w:bCs/>
          <w:rtl/>
        </w:rPr>
        <w:t xml:space="preserve">שחר חן נ' מדינת ישראל </w:t>
      </w:r>
      <w:r w:rsidRPr="00C41998">
        <w:rPr>
          <w:rFonts w:ascii="David" w:hAnsi="David"/>
          <w:rtl/>
        </w:rPr>
        <w:t xml:space="preserve">(3.2.21) כי: " </w:t>
      </w:r>
      <w:r w:rsidRPr="00C41998">
        <w:rPr>
          <w:rFonts w:ascii="David" w:hAnsi="David"/>
          <w:b/>
          <w:bCs/>
          <w:rtl/>
        </w:rPr>
        <w:t xml:space="preserve">ראינו לנכון להעיר הערה, ולהבהיר: </w:t>
      </w:r>
      <w:hyperlink r:id="rId20" w:history="1">
        <w:r w:rsidR="004F3BFC" w:rsidRPr="004F3BFC">
          <w:rPr>
            <w:rFonts w:ascii="David" w:hAnsi="David"/>
            <w:b/>
            <w:bCs/>
            <w:color w:val="0000FF"/>
            <w:u w:val="single"/>
            <w:rtl/>
          </w:rPr>
          <w:t>פקודת הסמים המסוכנים</w:t>
        </w:r>
      </w:hyperlink>
      <w:r w:rsidRPr="00C41998">
        <w:rPr>
          <w:rFonts w:ascii="David" w:hAnsi="David"/>
          <w:b/>
          <w:bCs/>
          <w:rtl/>
        </w:rPr>
        <w:t xml:space="preserve"> [נוסח חדש], התשל"ג-1973, קובעת במפורש כי קנאביס הריהו "סם מסוכן" (שם, סעיף 1 והתוספת הראשונה). כך קבע המחוקק. קביעתו זו – היא הדין הנוהג והמחייב. "סחר בסמים הוא סחר בסמים", ותפיסה שלפיה סחר בסמים 'קלים' איננו סחר בסמים מסוכנים – משוללת יסוד; אין לה אחיזה לא בדין המצוי, לא בדין הראוי</w:t>
      </w:r>
      <w:r w:rsidRPr="00C41998">
        <w:rPr>
          <w:rFonts w:ascii="David" w:hAnsi="David"/>
          <w:rtl/>
        </w:rPr>
        <w:t>".</w:t>
      </w:r>
    </w:p>
    <w:p w14:paraId="513FA25D"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בכל הנוגע לנאשמים שהורשעו בהקמת "מעבדות סם" הדגיש בית המשפט העליון ב</w:t>
      </w:r>
      <w:hyperlink r:id="rId21" w:history="1">
        <w:r w:rsidR="004F3BFC" w:rsidRPr="004F3BFC">
          <w:rPr>
            <w:rFonts w:ascii="David" w:hAnsi="David"/>
            <w:color w:val="0000FF"/>
            <w:u w:val="single"/>
            <w:rtl/>
          </w:rPr>
          <w:t>ע"פ 2596/18</w:t>
        </w:r>
      </w:hyperlink>
      <w:r w:rsidRPr="00C41998">
        <w:rPr>
          <w:rFonts w:ascii="David" w:hAnsi="David"/>
          <w:rtl/>
        </w:rPr>
        <w:t xml:space="preserve"> </w:t>
      </w:r>
      <w:r w:rsidRPr="00C41998">
        <w:rPr>
          <w:rFonts w:ascii="David" w:hAnsi="David"/>
          <w:b/>
          <w:bCs/>
          <w:rtl/>
        </w:rPr>
        <w:t xml:space="preserve">כפיר זנזורי נגד מדינת ישראל </w:t>
      </w:r>
      <w:r w:rsidRPr="00C41998">
        <w:rPr>
          <w:rFonts w:ascii="David" w:hAnsi="David"/>
          <w:rtl/>
        </w:rPr>
        <w:t xml:space="preserve">(12.8.18): " </w:t>
      </w:r>
      <w:r w:rsidRPr="00C41998">
        <w:rPr>
          <w:rFonts w:ascii="David" w:hAnsi="David"/>
          <w:b/>
          <w:b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w:t>
      </w:r>
    </w:p>
    <w:p w14:paraId="11449C49" w14:textId="77777777" w:rsidR="0063666F" w:rsidRPr="00C41998" w:rsidRDefault="0063666F" w:rsidP="0063666F">
      <w:pPr>
        <w:numPr>
          <w:ilvl w:val="0"/>
          <w:numId w:val="1"/>
        </w:numPr>
        <w:spacing w:after="160" w:line="480" w:lineRule="auto"/>
        <w:contextualSpacing/>
        <w:jc w:val="both"/>
        <w:rPr>
          <w:rFonts w:ascii="David" w:hAnsi="David"/>
          <w:rtl/>
        </w:rPr>
      </w:pPr>
      <w:r w:rsidRPr="00C41998">
        <w:rPr>
          <w:rFonts w:ascii="David" w:hAnsi="David"/>
          <w:rtl/>
        </w:rPr>
        <w:t>באשר לנסיבות הקשורות בביצוע העבירה, שקלתי לחומרא את העובדה כי מדובר בעבירה שהצריכה תכנון מוקדם ותיאום עם אחרים, כך גם השקעת משאבים לא מבוטלת בשכירת הדירה ובהתקנת הציוד. כך גם את התקופה המשמעותית בה פעלה המעבדה, קרוב לחמישה חודשים.</w:t>
      </w:r>
    </w:p>
    <w:p w14:paraId="102C4F79"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Calibri" w:hAnsi="Calibri" w:hint="eastAsia"/>
          <w:rtl/>
        </w:rPr>
        <w:t>בבחינת</w:t>
      </w:r>
      <w:r w:rsidRPr="00C41998">
        <w:rPr>
          <w:rFonts w:ascii="Calibri" w:hAnsi="Calibri"/>
          <w:rtl/>
        </w:rPr>
        <w:t xml:space="preserve"> </w:t>
      </w:r>
      <w:r w:rsidRPr="00C41998">
        <w:rPr>
          <w:rFonts w:ascii="Calibri" w:hAnsi="Calibri" w:hint="eastAsia"/>
          <w:rtl/>
        </w:rPr>
        <w:t>מדיניות</w:t>
      </w:r>
      <w:r w:rsidRPr="00C41998">
        <w:rPr>
          <w:rFonts w:ascii="Calibri" w:hAnsi="Calibri"/>
          <w:rtl/>
        </w:rPr>
        <w:t xml:space="preserve"> </w:t>
      </w:r>
      <w:r w:rsidRPr="00C41998">
        <w:rPr>
          <w:rFonts w:ascii="Calibri" w:hAnsi="Calibri" w:hint="eastAsia"/>
          <w:rtl/>
        </w:rPr>
        <w:t>הענישה</w:t>
      </w:r>
      <w:r w:rsidRPr="00C41998">
        <w:rPr>
          <w:rFonts w:ascii="Calibri" w:hAnsi="Calibri"/>
          <w:rtl/>
        </w:rPr>
        <w:t xml:space="preserve"> </w:t>
      </w:r>
      <w:r w:rsidRPr="00C41998">
        <w:rPr>
          <w:rFonts w:ascii="Calibri" w:hAnsi="Calibri" w:hint="eastAsia"/>
          <w:rtl/>
        </w:rPr>
        <w:t>הנוהגת</w:t>
      </w:r>
      <w:r w:rsidRPr="00C41998">
        <w:rPr>
          <w:rFonts w:ascii="Calibri" w:hAnsi="Calibri"/>
          <w:rtl/>
        </w:rPr>
        <w:t xml:space="preserve"> </w:t>
      </w:r>
      <w:r w:rsidRPr="00C41998">
        <w:rPr>
          <w:rFonts w:ascii="Calibri" w:hAnsi="Calibri" w:hint="eastAsia"/>
          <w:rtl/>
        </w:rPr>
        <w:t>ניתן</w:t>
      </w:r>
      <w:r w:rsidRPr="00C41998">
        <w:rPr>
          <w:rFonts w:ascii="Calibri" w:hAnsi="Calibri"/>
          <w:rtl/>
        </w:rPr>
        <w:t xml:space="preserve"> </w:t>
      </w:r>
      <w:r w:rsidRPr="00C41998">
        <w:rPr>
          <w:rFonts w:ascii="Calibri" w:hAnsi="Calibri" w:hint="eastAsia"/>
          <w:rtl/>
        </w:rPr>
        <w:t>להצביע</w:t>
      </w:r>
      <w:r w:rsidRPr="00C41998">
        <w:rPr>
          <w:rFonts w:ascii="Calibri" w:hAnsi="Calibri"/>
          <w:rtl/>
        </w:rPr>
        <w:t xml:space="preserve"> </w:t>
      </w:r>
      <w:r w:rsidRPr="00C41998">
        <w:rPr>
          <w:rFonts w:ascii="Calibri" w:hAnsi="Calibri" w:hint="eastAsia"/>
          <w:rtl/>
        </w:rPr>
        <w:t>על</w:t>
      </w:r>
      <w:r w:rsidRPr="00C41998">
        <w:rPr>
          <w:rFonts w:ascii="Calibri" w:hAnsi="Calibri"/>
          <w:rtl/>
        </w:rPr>
        <w:t xml:space="preserve"> </w:t>
      </w:r>
      <w:r w:rsidRPr="00C41998">
        <w:rPr>
          <w:rFonts w:ascii="Calibri" w:hAnsi="Calibri" w:hint="eastAsia"/>
          <w:rtl/>
        </w:rPr>
        <w:t>מקרים</w:t>
      </w:r>
      <w:r w:rsidRPr="00C41998">
        <w:rPr>
          <w:rFonts w:ascii="Calibri" w:hAnsi="Calibri"/>
          <w:rtl/>
        </w:rPr>
        <w:t xml:space="preserve"> </w:t>
      </w:r>
      <w:r w:rsidRPr="00C41998">
        <w:rPr>
          <w:rFonts w:ascii="Calibri" w:hAnsi="Calibri" w:hint="eastAsia"/>
          <w:rtl/>
        </w:rPr>
        <w:t>דומים</w:t>
      </w:r>
      <w:r w:rsidRPr="00C41998">
        <w:rPr>
          <w:rFonts w:ascii="Calibri" w:hAnsi="Calibri"/>
          <w:rtl/>
        </w:rPr>
        <w:t xml:space="preserve">, </w:t>
      </w:r>
      <w:r w:rsidRPr="00C41998">
        <w:rPr>
          <w:rFonts w:ascii="Calibri" w:hAnsi="Calibri" w:hint="eastAsia"/>
          <w:rtl/>
        </w:rPr>
        <w:t>לרבות</w:t>
      </w:r>
      <w:r w:rsidRPr="00C41998">
        <w:rPr>
          <w:rFonts w:ascii="Calibri" w:hAnsi="Calibri"/>
          <w:rtl/>
        </w:rPr>
        <w:t xml:space="preserve"> </w:t>
      </w:r>
      <w:r w:rsidRPr="00C41998">
        <w:rPr>
          <w:rFonts w:ascii="Calibri" w:hAnsi="Calibri" w:hint="eastAsia"/>
          <w:rtl/>
        </w:rPr>
        <w:t>אלו</w:t>
      </w:r>
      <w:r w:rsidRPr="00C41998">
        <w:rPr>
          <w:rFonts w:ascii="Calibri" w:hAnsi="Calibri"/>
          <w:rtl/>
        </w:rPr>
        <w:t xml:space="preserve"> </w:t>
      </w:r>
      <w:r w:rsidRPr="00C41998">
        <w:rPr>
          <w:rFonts w:ascii="Calibri" w:hAnsi="Calibri" w:hint="eastAsia"/>
          <w:rtl/>
        </w:rPr>
        <w:t>שהוצגו</w:t>
      </w:r>
      <w:r w:rsidRPr="00C41998">
        <w:rPr>
          <w:rFonts w:ascii="Calibri" w:hAnsi="Calibri"/>
          <w:rtl/>
        </w:rPr>
        <w:t xml:space="preserve"> </w:t>
      </w:r>
      <w:r w:rsidRPr="00C41998">
        <w:rPr>
          <w:rFonts w:ascii="Calibri" w:hAnsi="Calibri" w:hint="eastAsia"/>
          <w:rtl/>
        </w:rPr>
        <w:t>בפניי</w:t>
      </w:r>
      <w:r w:rsidRPr="00C41998">
        <w:rPr>
          <w:rFonts w:ascii="Calibri" w:hAnsi="Calibri"/>
          <w:rtl/>
        </w:rPr>
        <w:t xml:space="preserve"> </w:t>
      </w:r>
      <w:r w:rsidRPr="00C41998">
        <w:rPr>
          <w:rFonts w:ascii="Calibri" w:hAnsi="Calibri" w:hint="eastAsia"/>
          <w:rtl/>
        </w:rPr>
        <w:t>על</w:t>
      </w:r>
      <w:r w:rsidRPr="00C41998">
        <w:rPr>
          <w:rFonts w:ascii="Calibri" w:hAnsi="Calibri"/>
          <w:rtl/>
        </w:rPr>
        <w:t xml:space="preserve"> </w:t>
      </w:r>
      <w:r w:rsidRPr="00C41998">
        <w:rPr>
          <w:rFonts w:ascii="Calibri" w:hAnsi="Calibri" w:hint="eastAsia"/>
          <w:rtl/>
        </w:rPr>
        <w:t>ידי</w:t>
      </w:r>
      <w:r w:rsidRPr="00C41998">
        <w:rPr>
          <w:rFonts w:ascii="Calibri" w:hAnsi="Calibri"/>
          <w:rtl/>
        </w:rPr>
        <w:t xml:space="preserve"> </w:t>
      </w:r>
      <w:r w:rsidRPr="00C41998">
        <w:rPr>
          <w:rFonts w:ascii="Calibri" w:hAnsi="Calibri" w:hint="eastAsia"/>
          <w:rtl/>
        </w:rPr>
        <w:t>הצדדים</w:t>
      </w:r>
      <w:r w:rsidRPr="00C41998">
        <w:rPr>
          <w:rFonts w:ascii="Calibri" w:hAnsi="Calibri"/>
          <w:rtl/>
        </w:rPr>
        <w:t xml:space="preserve">, </w:t>
      </w:r>
      <w:r w:rsidRPr="00C41998">
        <w:rPr>
          <w:rFonts w:ascii="Calibri" w:hAnsi="Calibri" w:hint="eastAsia"/>
          <w:rtl/>
        </w:rPr>
        <w:t>העוסקים</w:t>
      </w:r>
      <w:r w:rsidRPr="00C41998">
        <w:rPr>
          <w:rFonts w:ascii="Calibri" w:hAnsi="Calibri"/>
          <w:rtl/>
        </w:rPr>
        <w:t xml:space="preserve"> </w:t>
      </w:r>
      <w:r w:rsidRPr="00C41998">
        <w:rPr>
          <w:rFonts w:ascii="Calibri" w:hAnsi="Calibri" w:hint="eastAsia"/>
          <w:rtl/>
        </w:rPr>
        <w:t>בביצוע</w:t>
      </w:r>
      <w:r w:rsidRPr="00C41998">
        <w:rPr>
          <w:rFonts w:ascii="Calibri" w:hAnsi="Calibri"/>
          <w:rtl/>
        </w:rPr>
        <w:t xml:space="preserve"> </w:t>
      </w:r>
      <w:r w:rsidRPr="00C41998">
        <w:rPr>
          <w:rFonts w:ascii="Calibri" w:hAnsi="Calibri" w:hint="eastAsia"/>
          <w:rtl/>
        </w:rPr>
        <w:t>עבירה</w:t>
      </w:r>
      <w:r w:rsidRPr="00C41998">
        <w:rPr>
          <w:rFonts w:ascii="Calibri" w:hAnsi="Calibri"/>
          <w:rtl/>
        </w:rPr>
        <w:t xml:space="preserve"> </w:t>
      </w:r>
      <w:r w:rsidRPr="00C41998">
        <w:rPr>
          <w:rFonts w:ascii="Calibri" w:hAnsi="Calibri" w:hint="eastAsia"/>
          <w:rtl/>
        </w:rPr>
        <w:t>של</w:t>
      </w:r>
      <w:r w:rsidRPr="00C41998">
        <w:rPr>
          <w:rFonts w:ascii="Calibri" w:hAnsi="Calibri"/>
          <w:rtl/>
        </w:rPr>
        <w:t xml:space="preserve"> </w:t>
      </w:r>
      <w:r w:rsidRPr="00C41998">
        <w:rPr>
          <w:rFonts w:ascii="Calibri" w:hAnsi="Calibri" w:hint="eastAsia"/>
          <w:rtl/>
        </w:rPr>
        <w:t>גידול</w:t>
      </w:r>
      <w:r w:rsidRPr="00C41998">
        <w:rPr>
          <w:rFonts w:ascii="Calibri" w:hAnsi="Calibri"/>
          <w:rtl/>
        </w:rPr>
        <w:t xml:space="preserve"> </w:t>
      </w:r>
      <w:r w:rsidRPr="00C41998">
        <w:rPr>
          <w:rFonts w:ascii="Calibri" w:hAnsi="Calibri" w:hint="eastAsia"/>
          <w:rtl/>
        </w:rPr>
        <w:t>סמים</w:t>
      </w:r>
      <w:r w:rsidRPr="00C41998">
        <w:rPr>
          <w:rFonts w:ascii="Calibri" w:hAnsi="Calibri"/>
          <w:rtl/>
        </w:rPr>
        <w:t xml:space="preserve"> </w:t>
      </w:r>
      <w:r w:rsidRPr="00C41998">
        <w:rPr>
          <w:rFonts w:ascii="Calibri" w:hAnsi="Calibri" w:hint="eastAsia"/>
          <w:rtl/>
        </w:rPr>
        <w:t>במעבדה</w:t>
      </w:r>
      <w:r w:rsidRPr="00C41998">
        <w:rPr>
          <w:rFonts w:ascii="Calibri" w:hAnsi="Calibri"/>
          <w:rtl/>
        </w:rPr>
        <w:t xml:space="preserve">, </w:t>
      </w:r>
      <w:r w:rsidRPr="00C41998">
        <w:rPr>
          <w:rFonts w:ascii="Calibri" w:hAnsi="Calibri" w:hint="eastAsia"/>
          <w:rtl/>
        </w:rPr>
        <w:t>כמפורט</w:t>
      </w:r>
      <w:r w:rsidRPr="00C41998">
        <w:rPr>
          <w:rFonts w:ascii="Calibri" w:hAnsi="Calibri"/>
          <w:rtl/>
        </w:rPr>
        <w:t xml:space="preserve"> </w:t>
      </w:r>
      <w:r w:rsidRPr="00C41998">
        <w:rPr>
          <w:rFonts w:ascii="Calibri" w:hAnsi="Calibri" w:hint="eastAsia"/>
          <w:rtl/>
        </w:rPr>
        <w:t>להלן</w:t>
      </w:r>
      <w:r w:rsidRPr="00C41998">
        <w:rPr>
          <w:rFonts w:ascii="Calibri" w:hAnsi="Calibri"/>
          <w:rtl/>
        </w:rPr>
        <w:t>:</w:t>
      </w:r>
    </w:p>
    <w:p w14:paraId="0EF19C38" w14:textId="77777777" w:rsidR="0063666F" w:rsidRPr="00C41998" w:rsidRDefault="0063666F" w:rsidP="0063666F">
      <w:pPr>
        <w:numPr>
          <w:ilvl w:val="0"/>
          <w:numId w:val="2"/>
        </w:numPr>
        <w:spacing w:after="160" w:line="480" w:lineRule="auto"/>
        <w:contextualSpacing/>
        <w:jc w:val="both"/>
        <w:rPr>
          <w:rFonts w:ascii="David" w:hAnsi="David"/>
          <w:rtl/>
        </w:rPr>
      </w:pPr>
      <w:r w:rsidRPr="00C41998">
        <w:rPr>
          <w:rFonts w:ascii="David" w:hAnsi="David"/>
          <w:rtl/>
        </w:rPr>
        <w:t>ב</w:t>
      </w:r>
      <w:hyperlink r:id="rId22" w:history="1">
        <w:r w:rsidR="004F3BFC" w:rsidRPr="004F3BFC">
          <w:rPr>
            <w:rFonts w:ascii="David" w:hAnsi="David"/>
            <w:color w:val="0000FF"/>
            <w:u w:val="single"/>
            <w:rtl/>
          </w:rPr>
          <w:t>רע"פ 6041/18</w:t>
        </w:r>
      </w:hyperlink>
      <w:r w:rsidRPr="00C41998">
        <w:rPr>
          <w:rFonts w:ascii="David" w:hAnsi="David"/>
          <w:rtl/>
        </w:rPr>
        <w:t xml:space="preserve"> </w:t>
      </w:r>
      <w:r w:rsidRPr="00C41998">
        <w:rPr>
          <w:rFonts w:ascii="David" w:hAnsi="David"/>
          <w:b/>
          <w:bCs/>
          <w:rtl/>
        </w:rPr>
        <w:t>כהן נ' מדינת ישראל</w:t>
      </w:r>
      <w:r w:rsidRPr="00C41998">
        <w:rPr>
          <w:rFonts w:ascii="David" w:hAnsi="David"/>
          <w:rtl/>
        </w:rPr>
        <w:t xml:space="preserve"> (22.10.2018), אושר עונש של 20 חודשי מאסר בפועל וענישה נלווית, וכן מתחם ענישה שנע בין 18-36 חודשי מאסר בפועל, לנאשם שגידל סם מסוכן מסוג קנאביס במשקל של כמעט 40 ק"ג וגניבת חשמל בשווי כ-40,000 ₪. הנאשם נעדר עבר פלילי, לא ניהל הליך הוכחות, טופל ביחידה להתמכרויות ועבר הליך גמילה מסמים. המלצת שירות המבחן הייתה לגזור עליו עונש של מאסר בעבודות שירות וצו מבחן.</w:t>
      </w:r>
    </w:p>
    <w:p w14:paraId="6602B9DA" w14:textId="77777777" w:rsidR="0063666F" w:rsidRPr="00C41998" w:rsidRDefault="0063666F" w:rsidP="0063666F">
      <w:pPr>
        <w:numPr>
          <w:ilvl w:val="0"/>
          <w:numId w:val="2"/>
        </w:numPr>
        <w:spacing w:after="160" w:line="480" w:lineRule="auto"/>
        <w:contextualSpacing/>
        <w:jc w:val="both"/>
        <w:rPr>
          <w:rFonts w:ascii="David" w:hAnsi="David"/>
          <w:rtl/>
        </w:rPr>
      </w:pPr>
      <w:r w:rsidRPr="00C41998">
        <w:rPr>
          <w:rFonts w:ascii="David" w:hAnsi="David"/>
          <w:rtl/>
        </w:rPr>
        <w:t>ב</w:t>
      </w:r>
      <w:hyperlink r:id="rId23" w:history="1">
        <w:r w:rsidR="004F3BFC" w:rsidRPr="004F3BFC">
          <w:rPr>
            <w:rFonts w:ascii="David" w:hAnsi="David"/>
            <w:color w:val="0000FF"/>
            <w:u w:val="single"/>
            <w:rtl/>
          </w:rPr>
          <w:t>עפ"ג (מחוזי מרכז) 22444-01-17</w:t>
        </w:r>
      </w:hyperlink>
      <w:r w:rsidRPr="00C41998">
        <w:rPr>
          <w:rFonts w:ascii="David" w:hAnsi="David"/>
          <w:rtl/>
        </w:rPr>
        <w:t xml:space="preserve"> </w:t>
      </w:r>
      <w:r w:rsidRPr="00C41998">
        <w:rPr>
          <w:rFonts w:ascii="David" w:hAnsi="David"/>
          <w:b/>
          <w:bCs/>
          <w:rtl/>
        </w:rPr>
        <w:t>רובין נ' מדינת ישראל</w:t>
      </w:r>
      <w:r w:rsidRPr="00C41998">
        <w:rPr>
          <w:rFonts w:ascii="David" w:hAnsi="David"/>
          <w:rtl/>
        </w:rPr>
        <w:t xml:space="preserve"> (20.6.2017), הורשע הנאשם על יסוד הודאתו בגידול 162 שתילי קנאביס במשקל של כ-22.2 ק"ג. הנאשם היה נעדר עבר פלילי מכל מין וסוג שהוא. בגזר הדין נקבע מתחם עונשי הנע בין 10-30 חודשי מאסר בפועל. בית המשפט דחה טענותיו כי ביצע את העבירות על מנת להקל בכאבים מהם הוא סובל בשל בעיותיו הרפואיות, והוא נדון ל-14 חודשי מאסר בפועל וקנס כספי בסך 25,000 ₪. ערעור שהגיש הנאשם נדחה (למעט הפחתת הקנס ל-5,000 ₪). </w:t>
      </w:r>
    </w:p>
    <w:p w14:paraId="11A0D22A" w14:textId="77777777" w:rsidR="0063666F" w:rsidRPr="00C41998" w:rsidRDefault="0063666F" w:rsidP="0063666F">
      <w:pPr>
        <w:numPr>
          <w:ilvl w:val="0"/>
          <w:numId w:val="2"/>
        </w:numPr>
        <w:spacing w:after="160" w:line="480" w:lineRule="auto"/>
        <w:contextualSpacing/>
        <w:jc w:val="both"/>
        <w:rPr>
          <w:rFonts w:ascii="David" w:hAnsi="David"/>
          <w:rtl/>
        </w:rPr>
      </w:pPr>
      <w:r w:rsidRPr="00C41998">
        <w:rPr>
          <w:rFonts w:ascii="David" w:hAnsi="David"/>
          <w:rtl/>
        </w:rPr>
        <w:t>ב</w:t>
      </w:r>
      <w:hyperlink r:id="rId24" w:history="1">
        <w:r w:rsidR="004F3BFC" w:rsidRPr="004F3BFC">
          <w:rPr>
            <w:rFonts w:ascii="David" w:hAnsi="David"/>
            <w:color w:val="0000FF"/>
            <w:u w:val="single"/>
            <w:rtl/>
          </w:rPr>
          <w:t>ת"פ (מחוזי מרכז) 4460-04-18</w:t>
        </w:r>
      </w:hyperlink>
      <w:r w:rsidRPr="00C41998">
        <w:rPr>
          <w:rFonts w:ascii="David" w:hAnsi="David"/>
          <w:rtl/>
        </w:rPr>
        <w:t xml:space="preserve"> </w:t>
      </w:r>
      <w:r w:rsidRPr="00C41998">
        <w:rPr>
          <w:rFonts w:ascii="David" w:hAnsi="David"/>
          <w:b/>
          <w:bCs/>
          <w:rtl/>
        </w:rPr>
        <w:t>מדינת ישראל נ' ברבי</w:t>
      </w:r>
      <w:r w:rsidRPr="00C41998">
        <w:rPr>
          <w:rFonts w:ascii="David" w:hAnsi="David"/>
          <w:rtl/>
        </w:rPr>
        <w:t xml:space="preserve"> (28.5.2019), הורשע הנאשם על יסוד הודאתו בגידול 334 שתילי קנאביס במשקל של כ- 73.6 ק"ג. נאשם ללא עבר פלילי עם המלצה חיובית של שירות המבחן. בית המשפט קבע מתחם שבין 20 ל-46 חודשי מאסר בפועל, והשית על הנאשם 20 חודשי מאסר בפועל.</w:t>
      </w:r>
    </w:p>
    <w:p w14:paraId="61AB534C" w14:textId="77777777" w:rsidR="0063666F" w:rsidRPr="00C41998" w:rsidRDefault="0063666F" w:rsidP="0063666F">
      <w:pPr>
        <w:numPr>
          <w:ilvl w:val="0"/>
          <w:numId w:val="2"/>
        </w:numPr>
        <w:spacing w:after="160" w:line="480" w:lineRule="auto"/>
        <w:contextualSpacing/>
        <w:jc w:val="both"/>
        <w:rPr>
          <w:rFonts w:ascii="David" w:hAnsi="David"/>
          <w:rtl/>
        </w:rPr>
      </w:pPr>
      <w:r w:rsidRPr="00C41998">
        <w:rPr>
          <w:rFonts w:ascii="David" w:hAnsi="David"/>
          <w:rtl/>
        </w:rPr>
        <w:t>ב</w:t>
      </w:r>
      <w:hyperlink r:id="rId25" w:history="1">
        <w:r w:rsidR="004F3BFC" w:rsidRPr="004F3BFC">
          <w:rPr>
            <w:rFonts w:ascii="David" w:hAnsi="David"/>
            <w:color w:val="0000FF"/>
            <w:u w:val="single"/>
            <w:rtl/>
          </w:rPr>
          <w:t>ת"פ (פ"ת) 19454-04-18</w:t>
        </w:r>
      </w:hyperlink>
      <w:r w:rsidRPr="00C41998">
        <w:rPr>
          <w:rFonts w:ascii="David" w:hAnsi="David"/>
          <w:rtl/>
        </w:rPr>
        <w:t xml:space="preserve"> </w:t>
      </w:r>
      <w:r w:rsidRPr="00C41998">
        <w:rPr>
          <w:rFonts w:ascii="David" w:hAnsi="David"/>
          <w:b/>
          <w:bCs/>
          <w:rtl/>
        </w:rPr>
        <w:t>מדינת ישראל נ' זרחי</w:t>
      </w:r>
      <w:r w:rsidRPr="00C41998">
        <w:rPr>
          <w:rFonts w:ascii="David" w:hAnsi="David"/>
          <w:rtl/>
        </w:rPr>
        <w:t xml:space="preserve"> (30.5.2019), הורשע הנאשם על יסוד הודאתו בגידול 271 שתילי קנאביס במשקל של כ- 60 ק"ג. נאשם ללא עבר פלילי ועם המלצה של שירות המבחן להורות על מאסר לריצוי בעבודות שירות. בגזר הדין נקבע מתחם עונשי הנע בין 20-36 חודשי מאסר בפועל. עונשו של הנאשם הועמד על 20 חודשי מאסר בפועל. </w:t>
      </w:r>
    </w:p>
    <w:p w14:paraId="04A773BD" w14:textId="77777777" w:rsidR="0063666F" w:rsidRPr="00C41998" w:rsidRDefault="0063666F" w:rsidP="0063666F">
      <w:pPr>
        <w:numPr>
          <w:ilvl w:val="0"/>
          <w:numId w:val="2"/>
        </w:numPr>
        <w:spacing w:after="160" w:line="480" w:lineRule="auto"/>
        <w:contextualSpacing/>
        <w:jc w:val="both"/>
        <w:rPr>
          <w:rFonts w:ascii="David" w:hAnsi="David"/>
          <w:rtl/>
        </w:rPr>
      </w:pPr>
      <w:r w:rsidRPr="00C41998">
        <w:rPr>
          <w:rFonts w:ascii="David" w:hAnsi="David"/>
          <w:rtl/>
        </w:rPr>
        <w:t>ב</w:t>
      </w:r>
      <w:hyperlink r:id="rId26" w:history="1">
        <w:r w:rsidR="004F3BFC" w:rsidRPr="004F3BFC">
          <w:rPr>
            <w:rFonts w:ascii="David" w:hAnsi="David"/>
            <w:color w:val="0000FF"/>
            <w:u w:val="single"/>
            <w:rtl/>
          </w:rPr>
          <w:t>ת"פ (קריות) 16673-04-17</w:t>
        </w:r>
      </w:hyperlink>
      <w:r w:rsidRPr="00C41998">
        <w:rPr>
          <w:rFonts w:ascii="David" w:hAnsi="David"/>
          <w:rtl/>
        </w:rPr>
        <w:t xml:space="preserve"> </w:t>
      </w:r>
      <w:r w:rsidRPr="00C41998">
        <w:rPr>
          <w:rFonts w:ascii="David" w:hAnsi="David"/>
          <w:b/>
          <w:bCs/>
          <w:rtl/>
        </w:rPr>
        <w:t>מדינת ישראל נ' טרגנו</w:t>
      </w:r>
      <w:r w:rsidRPr="00C41998">
        <w:rPr>
          <w:rFonts w:ascii="David" w:hAnsi="David"/>
          <w:rtl/>
        </w:rPr>
        <w:t xml:space="preserve"> (17.1.2019), הנאשם הורשע על יסוד הודאתו בגידול 534 שתילי קנאביס במשקל של כ- 38.3. ק"ג וגניבת חשמל בשווי כ- 30,000 ₪. הנאשם נעדר עבר פלילי ושירות המבחן הצביע על הליך שיקומי. בגזר הדין נקבע מתחם עונשי הנע בין 10 ל-30 חודשי מאסר בפועל. נגזרו עליו תוך סטייה מהמתחם 6 חודשי מאסר בעבודות שירות וענישה נלווית. </w:t>
      </w:r>
    </w:p>
    <w:p w14:paraId="270FC712" w14:textId="77777777" w:rsidR="0063666F" w:rsidRPr="00C41998" w:rsidRDefault="0063666F" w:rsidP="0063666F">
      <w:pPr>
        <w:numPr>
          <w:ilvl w:val="0"/>
          <w:numId w:val="2"/>
        </w:numPr>
        <w:spacing w:after="160" w:line="480" w:lineRule="auto"/>
        <w:contextualSpacing/>
        <w:jc w:val="both"/>
        <w:rPr>
          <w:rFonts w:ascii="David" w:hAnsi="David"/>
          <w:rtl/>
        </w:rPr>
      </w:pPr>
      <w:r w:rsidRPr="00C41998">
        <w:rPr>
          <w:rFonts w:ascii="David" w:hAnsi="David"/>
          <w:rtl/>
        </w:rPr>
        <w:t>ב</w:t>
      </w:r>
      <w:hyperlink r:id="rId27" w:history="1">
        <w:r w:rsidR="004F3BFC" w:rsidRPr="004F3BFC">
          <w:rPr>
            <w:rFonts w:ascii="David" w:hAnsi="David"/>
            <w:color w:val="0000FF"/>
            <w:u w:val="single"/>
            <w:rtl/>
          </w:rPr>
          <w:t>ת"פ (ת"א) 44986-07-15</w:t>
        </w:r>
      </w:hyperlink>
      <w:r w:rsidRPr="00C41998">
        <w:rPr>
          <w:rFonts w:ascii="David" w:hAnsi="David"/>
          <w:rtl/>
        </w:rPr>
        <w:t xml:space="preserve"> </w:t>
      </w:r>
      <w:r w:rsidRPr="00C41998">
        <w:rPr>
          <w:rFonts w:ascii="David" w:hAnsi="David"/>
          <w:b/>
          <w:bCs/>
          <w:rtl/>
        </w:rPr>
        <w:t>מדינת ישראל נ' סופר</w:t>
      </w:r>
      <w:r w:rsidRPr="00C41998">
        <w:rPr>
          <w:rFonts w:ascii="David" w:hAnsi="David"/>
          <w:rtl/>
        </w:rPr>
        <w:t xml:space="preserve"> (23.4.2017), הורשע הנאשם על יסוד הודאתו בגידול 250 שתילי קנאביס במשקל של כ-34 ק"ג. לנאשם היו הרשעות קודמות במגוון עבירות. בגזר הדין נקבע מתחם עונשי הנע בין 17-30 חודשי מאסר בפועל. עונשו של הנאשם הועמד על 14 חודשי מאסר בפועל לאחר שנמצא שיש לחרוג מהמתחם בעניינו לאור הליך שיקום משמעותי שעבר. </w:t>
      </w:r>
    </w:p>
    <w:p w14:paraId="2354B3DD" w14:textId="77777777" w:rsidR="0063666F" w:rsidRPr="00C41998" w:rsidRDefault="0063666F" w:rsidP="0063666F">
      <w:pPr>
        <w:numPr>
          <w:ilvl w:val="0"/>
          <w:numId w:val="2"/>
        </w:numPr>
        <w:spacing w:after="160" w:line="480" w:lineRule="auto"/>
        <w:contextualSpacing/>
        <w:jc w:val="both"/>
        <w:rPr>
          <w:rFonts w:ascii="David" w:hAnsi="David"/>
          <w:rtl/>
        </w:rPr>
      </w:pPr>
      <w:r w:rsidRPr="00C41998">
        <w:rPr>
          <w:rFonts w:ascii="David" w:hAnsi="David"/>
          <w:rtl/>
        </w:rPr>
        <w:t>ב</w:t>
      </w:r>
      <w:hyperlink r:id="rId28" w:history="1">
        <w:r w:rsidR="004F3BFC" w:rsidRPr="004F3BFC">
          <w:rPr>
            <w:rFonts w:ascii="David" w:hAnsi="David"/>
            <w:color w:val="0000FF"/>
            <w:u w:val="single"/>
            <w:rtl/>
          </w:rPr>
          <w:t>ת"פ (פ"ת) 3001-08-12</w:t>
        </w:r>
      </w:hyperlink>
      <w:r w:rsidRPr="00C41998">
        <w:rPr>
          <w:rFonts w:ascii="David" w:hAnsi="David"/>
          <w:rtl/>
        </w:rPr>
        <w:t xml:space="preserve"> </w:t>
      </w:r>
      <w:r w:rsidRPr="00C41998">
        <w:rPr>
          <w:rFonts w:ascii="David" w:hAnsi="David"/>
          <w:b/>
          <w:bCs/>
          <w:rtl/>
        </w:rPr>
        <w:t>מדינת ישראל נ' משה עמר</w:t>
      </w:r>
      <w:r w:rsidRPr="00C41998">
        <w:rPr>
          <w:rFonts w:ascii="David" w:hAnsi="David"/>
          <w:rtl/>
        </w:rPr>
        <w:t xml:space="preserve"> (24.3.2014), הורשע הנאשם על יסוד הודאתו בגידול סם מסוכן מסוג קנאביס במשקל של כ-35.89 ק"ג. לחובתו של הנאשם הרשעה אחת קודמת בעבירות סמים. בגזר הדין נקבע מתחם עונשי הנע בין 10-30 חודשי מאסר בפועל, לצד קנס משמעותי. עונשו של הנאשם הועמד על 13 חודשי מאסר בפועל וקנס כספי בסך 15,000 ₪. </w:t>
      </w:r>
    </w:p>
    <w:p w14:paraId="0384F337" w14:textId="77777777" w:rsidR="0063666F" w:rsidRPr="00C41998" w:rsidRDefault="0063666F" w:rsidP="0063666F">
      <w:pPr>
        <w:numPr>
          <w:ilvl w:val="0"/>
          <w:numId w:val="2"/>
        </w:numPr>
        <w:spacing w:after="160" w:line="480" w:lineRule="auto"/>
        <w:contextualSpacing/>
        <w:jc w:val="both"/>
        <w:rPr>
          <w:rFonts w:ascii="David" w:hAnsi="David"/>
          <w:color w:val="000000"/>
          <w:rtl/>
        </w:rPr>
      </w:pPr>
      <w:r w:rsidRPr="00C41998">
        <w:rPr>
          <w:rFonts w:ascii="David" w:hAnsi="David"/>
          <w:rtl/>
        </w:rPr>
        <w:t xml:space="preserve"> </w:t>
      </w:r>
      <w:hyperlink r:id="rId29" w:history="1">
        <w:r w:rsidRPr="00C41998">
          <w:rPr>
            <w:rFonts w:ascii="David" w:hAnsi="David"/>
            <w:color w:val="0563C1"/>
            <w:u w:val="single"/>
            <w:rtl/>
          </w:rPr>
          <w:t>רע"פ 6041/18</w:t>
        </w:r>
        <w:r w:rsidR="004F3BFC">
          <w:rPr>
            <w:rFonts w:ascii="David" w:hAnsi="David"/>
            <w:color w:val="0563C1"/>
            <w:u w:val="single"/>
            <w:rtl/>
          </w:rPr>
          <w:t xml:space="preserve"> </w:t>
        </w:r>
        <w:r w:rsidRPr="00C41998">
          <w:rPr>
            <w:rFonts w:ascii="David" w:hAnsi="David"/>
            <w:b/>
            <w:bCs/>
            <w:color w:val="0563C1"/>
            <w:u w:val="single"/>
            <w:rtl/>
          </w:rPr>
          <w:t>יוסי כהן נ' מדינת ישראל</w:t>
        </w:r>
        <w:r w:rsidR="004F3BFC">
          <w:rPr>
            <w:rFonts w:ascii="David" w:hAnsi="David"/>
            <w:color w:val="0563C1"/>
            <w:u w:val="single"/>
            <w:rtl/>
          </w:rPr>
          <w:t xml:space="preserve"> </w:t>
        </w:r>
        <w:r w:rsidRPr="00C41998">
          <w:rPr>
            <w:rFonts w:ascii="David" w:hAnsi="David"/>
            <w:color w:val="0563C1"/>
            <w:u w:val="single"/>
            <w:rtl/>
          </w:rPr>
          <w:t>(22.10.2018)‏</w:t>
        </w:r>
      </w:hyperlink>
      <w:r w:rsidRPr="00C41998">
        <w:rPr>
          <w:rFonts w:ascii="David" w:hAnsi="David"/>
          <w:color w:val="000000"/>
          <w:rtl/>
        </w:rPr>
        <w:t xml:space="preserve">‏  מפי כ' השופט ג' קרא. הורשע המבקש על-פי הודאתו במסגרת הסדר טיעון, שלא כלל הסכמה לעונש, בעובדות כתב אישום מתוקן בעבירה של ייצור, הכנה והפקת סם מסוכן בניגוד </w:t>
      </w:r>
      <w:hyperlink r:id="rId30" w:history="1">
        <w:r w:rsidR="00E519D2" w:rsidRPr="00E519D2">
          <w:rPr>
            <w:rStyle w:val="Hyperlink"/>
            <w:rFonts w:ascii="David" w:hAnsi="David"/>
            <w:rtl/>
          </w:rPr>
          <w:t>לסעיף 6</w:t>
        </w:r>
      </w:hyperlink>
      <w:r w:rsidRPr="00C41998">
        <w:rPr>
          <w:rFonts w:ascii="David" w:hAnsi="David"/>
          <w:color w:val="000000"/>
          <w:rtl/>
        </w:rPr>
        <w:t xml:space="preserve"> לפקודת הסמים, ובעבירה של גניבת חשמל, לפי </w:t>
      </w:r>
      <w:hyperlink r:id="rId31" w:history="1">
        <w:r w:rsidR="00E519D2" w:rsidRPr="00E519D2">
          <w:rPr>
            <w:rStyle w:val="Hyperlink"/>
            <w:rFonts w:ascii="David" w:hAnsi="David"/>
            <w:rtl/>
          </w:rPr>
          <w:t>סעיף 400</w:t>
        </w:r>
      </w:hyperlink>
      <w:r w:rsidRPr="00C41998">
        <w:rPr>
          <w:rFonts w:ascii="David" w:hAnsi="David"/>
          <w:color w:val="000000"/>
          <w:rtl/>
        </w:rPr>
        <w:t xml:space="preserve"> ל</w:t>
      </w:r>
      <w:hyperlink r:id="rId32" w:history="1">
        <w:r w:rsidR="004F3BFC" w:rsidRPr="004F3BFC">
          <w:rPr>
            <w:rFonts w:ascii="David" w:hAnsi="David"/>
            <w:color w:val="0000FF"/>
            <w:u w:val="single"/>
            <w:rtl/>
          </w:rPr>
          <w:t>חוק העונשין</w:t>
        </w:r>
      </w:hyperlink>
      <w:r w:rsidRPr="00C41998">
        <w:rPr>
          <w:rFonts w:ascii="David" w:hAnsi="David"/>
          <w:color w:val="000000"/>
          <w:rtl/>
        </w:rPr>
        <w:t xml:space="preserve">. הסם בו עסקינן הינו קנבוס במשקל של 39.5503 ק"ג וערך גניבת החשמל עמד על 40,000 ₪, שירות המבחן ערך מספר תסקרים חיובים אשר המליצו על העמדתו בצו מבחן למשך שנה לצד הטלת עונש מאסר בדרך של עבודות שירות. </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בשלום</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נקבע</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מתחם</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הענישה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בין</w:t>
      </w:r>
      <w:r w:rsidRPr="00C41998">
        <w:rPr>
          <w:rFonts w:ascii="FrankRuehl" w:hAnsi="FrankRuehl"/>
          <w:color w:val="000000"/>
          <w:spacing w:val="10"/>
          <w:shd w:val="clear" w:color="auto" w:fill="FFFFFF"/>
          <w:rtl/>
        </w:rPr>
        <w:t xml:space="preserve"> 18 </w:t>
      </w:r>
      <w:r w:rsidRPr="00C41998">
        <w:rPr>
          <w:rFonts w:ascii="FrankRuehl" w:hAnsi="FrankRuehl" w:hint="eastAsia"/>
          <w:color w:val="000000"/>
          <w:spacing w:val="10"/>
          <w:shd w:val="clear" w:color="auto" w:fill="FFFFFF"/>
          <w:rtl/>
        </w:rPr>
        <w:t>ל</w:t>
      </w:r>
      <w:r w:rsidRPr="00C41998">
        <w:rPr>
          <w:rFonts w:ascii="FrankRuehl" w:hAnsi="FrankRuehl"/>
          <w:color w:val="000000"/>
          <w:spacing w:val="10"/>
          <w:shd w:val="clear" w:color="auto" w:fill="FFFFFF"/>
          <w:rtl/>
        </w:rPr>
        <w:t xml:space="preserve">-36 </w:t>
      </w:r>
      <w:r w:rsidRPr="00C41998">
        <w:rPr>
          <w:rFonts w:ascii="FrankRuehl" w:hAnsi="FrankRuehl" w:hint="eastAsia"/>
          <w:color w:val="000000"/>
          <w:spacing w:val="10"/>
          <w:shd w:val="clear" w:color="auto" w:fill="FFFFFF"/>
          <w:rtl/>
        </w:rPr>
        <w:t>חודשי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מאסר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בפועל</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לקולא</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נרשמה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הודאתו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של</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המבקש</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היעדר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עברו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הפלילי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גילו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הצעיר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מעצרו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למשך</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חודש</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ולתקופה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ארוכה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במעצר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באיזוק</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אלקטרוני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ונישואיו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הטריים</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בסופו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של</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דבר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הוטלו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על</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המבקש</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העונשים</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הבאים</w:t>
      </w:r>
      <w:r w:rsidRPr="00C41998">
        <w:rPr>
          <w:rFonts w:ascii="FrankRuehl" w:hAnsi="FrankRuehl"/>
          <w:color w:val="000000"/>
          <w:spacing w:val="10"/>
          <w:shd w:val="clear" w:color="auto" w:fill="FFFFFF"/>
          <w:rtl/>
        </w:rPr>
        <w:t xml:space="preserve">: 20 </w:t>
      </w:r>
      <w:r w:rsidRPr="00C41998">
        <w:rPr>
          <w:rFonts w:ascii="FrankRuehl" w:hAnsi="FrankRuehl" w:hint="eastAsia"/>
          <w:color w:val="000000"/>
          <w:spacing w:val="10"/>
          <w:shd w:val="clear" w:color="auto" w:fill="FFFFFF"/>
          <w:rtl/>
        </w:rPr>
        <w:t>חודשי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מאסר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בפועל</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בניכוי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ימי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מעצרו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ערעור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המבקש</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לבית</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המשפט</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המחוזי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על</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חומרת</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עונש</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המאסר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בפועל</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נדחה</w:t>
      </w:r>
      <w:r w:rsidRPr="00C41998">
        <w:rPr>
          <w:rFonts w:ascii="FrankRuehl" w:hAnsi="FrankRuehl"/>
          <w:color w:val="000000"/>
          <w:spacing w:val="10"/>
          <w:shd w:val="clear" w:color="auto" w:fill="FFFFFF"/>
        </w:rPr>
        <w:t>,</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בין</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היתר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קבע</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העליון</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כי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כלל</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ידוע</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הוא</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כי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אין</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עדיפות</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ברורה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לשיקולי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שיקום</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על</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פני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שיקולים</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כגון</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שמירה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על</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שלום</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הציבור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או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שיקולי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הרתעה</w:t>
      </w:r>
      <w:r w:rsidR="004F3BFC">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וכי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העקרון</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המנחה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בענישה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הוא</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עקרון</w:t>
      </w:r>
      <w:r w:rsidR="004F3BFC">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ההלימה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שלו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זכות</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הבכורה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ההליך</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הטיפולי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אותו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עובר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המבקש</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נלקח</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בחשבון</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הן</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בעת</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גזירת</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דינו</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בבית</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משפט</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השלום</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והן</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בערעור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לבית</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המשפט</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המחוזי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אולם</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נמצא</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כי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אין</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באמור</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בתסקירי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שירות</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המבחן</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כדי</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לגרום</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לחריגה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לקולא</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ממתחם</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הענישה</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שנקבע</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עקב</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חומרת</w:t>
      </w:r>
      <w:r w:rsidRPr="00C41998">
        <w:rPr>
          <w:rFonts w:ascii="FrankRuehl" w:hAnsi="FrankRuehl"/>
          <w:color w:val="000000"/>
          <w:spacing w:val="10"/>
          <w:shd w:val="clear" w:color="auto" w:fill="FFFFFF"/>
          <w:rtl/>
        </w:rPr>
        <w:t xml:space="preserve"> </w:t>
      </w:r>
      <w:r w:rsidRPr="00C41998">
        <w:rPr>
          <w:rFonts w:ascii="FrankRuehl" w:hAnsi="FrankRuehl" w:hint="eastAsia"/>
          <w:color w:val="000000"/>
          <w:spacing w:val="10"/>
          <w:shd w:val="clear" w:color="auto" w:fill="FFFFFF"/>
          <w:rtl/>
        </w:rPr>
        <w:t>מעשיו</w:t>
      </w:r>
      <w:r w:rsidRPr="00C41998">
        <w:rPr>
          <w:rFonts w:ascii="David" w:hAnsi="David"/>
          <w:color w:val="000000"/>
          <w:rtl/>
        </w:rPr>
        <w:t xml:space="preserve">. בהתאם לאמור נדחה הערעור. </w:t>
      </w:r>
    </w:p>
    <w:p w14:paraId="1E7334DD" w14:textId="77777777" w:rsidR="0063666F" w:rsidRPr="00C41998" w:rsidRDefault="00AD1AB6" w:rsidP="0063666F">
      <w:pPr>
        <w:numPr>
          <w:ilvl w:val="0"/>
          <w:numId w:val="2"/>
        </w:numPr>
        <w:spacing w:after="160" w:line="480" w:lineRule="auto"/>
        <w:contextualSpacing/>
        <w:jc w:val="both"/>
        <w:rPr>
          <w:rFonts w:ascii="David" w:hAnsi="David"/>
          <w:color w:val="000000"/>
          <w:rtl/>
        </w:rPr>
      </w:pPr>
      <w:hyperlink r:id="rId33" w:history="1">
        <w:r w:rsidR="0063666F" w:rsidRPr="00C41998">
          <w:rPr>
            <w:rFonts w:ascii="David" w:hAnsi="David"/>
            <w:color w:val="0563C1"/>
            <w:u w:val="single"/>
            <w:rtl/>
          </w:rPr>
          <w:t>עפ"ג (מחוזי מרכז) 14676-04-19</w:t>
        </w:r>
        <w:r w:rsidR="004F3BFC">
          <w:rPr>
            <w:rFonts w:ascii="David" w:hAnsi="David"/>
            <w:color w:val="0563C1"/>
            <w:u w:val="single"/>
            <w:rtl/>
          </w:rPr>
          <w:t xml:space="preserve"> </w:t>
        </w:r>
        <w:r w:rsidR="0063666F" w:rsidRPr="00C41998">
          <w:rPr>
            <w:rFonts w:ascii="David" w:hAnsi="David"/>
            <w:b/>
            <w:bCs/>
            <w:color w:val="0563C1"/>
            <w:u w:val="single"/>
            <w:rtl/>
          </w:rPr>
          <w:t>פרקליטות מחוז מרכז - פלילי נ' דוד אלקיים</w:t>
        </w:r>
        <w:r w:rsidR="004F3BFC">
          <w:rPr>
            <w:rFonts w:ascii="David" w:hAnsi="David"/>
            <w:color w:val="0563C1"/>
            <w:u w:val="single"/>
            <w:rtl/>
          </w:rPr>
          <w:t xml:space="preserve"> </w:t>
        </w:r>
        <w:r w:rsidR="0063666F" w:rsidRPr="00C41998">
          <w:rPr>
            <w:rFonts w:ascii="David" w:hAnsi="David"/>
            <w:color w:val="0563C1"/>
            <w:u w:val="single"/>
            <w:rtl/>
          </w:rPr>
          <w:t>(24.09.2019)‏</w:t>
        </w:r>
      </w:hyperlink>
      <w:r w:rsidR="0063666F" w:rsidRPr="00C41998">
        <w:rPr>
          <w:rFonts w:ascii="David" w:hAnsi="David"/>
          <w:color w:val="000000"/>
          <w:rtl/>
        </w:rPr>
        <w:t xml:space="preserve">‏  : הורשע המערער על פי הודאתו בעבירה של יצור, הכנה והפקת סם מסוכן, לפי </w:t>
      </w:r>
      <w:hyperlink r:id="rId34" w:history="1">
        <w:r w:rsidR="00E519D2" w:rsidRPr="00E519D2">
          <w:rPr>
            <w:rStyle w:val="Hyperlink"/>
            <w:rFonts w:ascii="David" w:hAnsi="David"/>
            <w:rtl/>
          </w:rPr>
          <w:t>סעיף 6</w:t>
        </w:r>
      </w:hyperlink>
      <w:r w:rsidR="0063666F" w:rsidRPr="00C41998">
        <w:rPr>
          <w:rFonts w:ascii="David" w:hAnsi="David"/>
          <w:color w:val="000000"/>
          <w:rtl/>
        </w:rPr>
        <w:t xml:space="preserve"> לפקודה הסמים המסוכנים, הוטלו העונשים: </w:t>
      </w:r>
      <w:r w:rsidR="0063666F" w:rsidRPr="00C41998">
        <w:rPr>
          <w:rFonts w:ascii="David" w:hAnsi="David"/>
          <w:b/>
          <w:bCs/>
          <w:color w:val="000000"/>
          <w:rtl/>
        </w:rPr>
        <w:t>6 חודשי מאסר שיבוצעו בדרך של עבודות שירות;</w:t>
      </w:r>
      <w:r w:rsidR="0063666F" w:rsidRPr="00C41998">
        <w:rPr>
          <w:rFonts w:ascii="David" w:hAnsi="David"/>
          <w:color w:val="000000"/>
          <w:rtl/>
        </w:rPr>
        <w:t xml:space="preserve"> צו מבחן ל-18 חודשים, קנס של 5,000 ₪ . במקרה דנן דובר על מאות שתילי קנבוס במשקל כולל של 43.9 ק"ג נטו. התקבלו מספר תסקירים, בעל עבר פלילי מכביד אשר רובו התיישן. במהלך ההליך שהה בקהילה טיפולית למשך 10 חודשים מבלי להשלים את תקופת הטיפול המלאה. לאחר השחרור השתלב בטיפול במסגרת היחידה להתמכרויות. שיתף פעולה באופן מלא עם שירות המבחן. בשלום נקבע מתחם הנע בין 18 ל-36 חודשי מאסר בפועל. המשיב הודה במיוחס לו ונטל אחריות על מעשיו, שהה 3 חודשים במעצר ועבר את ההליך השיקומי. בסך הכול היה המערער שותף בהליך טיפולי במשך כשנתיים.  במחוזי הוחמר עונשו ל-9 חודשי מאסר בדרך של עבודות שירות והוכבד הקנס ל15,000 ₪. </w:t>
      </w:r>
    </w:p>
    <w:p w14:paraId="44BFB862" w14:textId="77777777" w:rsidR="0063666F" w:rsidRPr="00C41998" w:rsidRDefault="00AD1AB6" w:rsidP="0063666F">
      <w:pPr>
        <w:numPr>
          <w:ilvl w:val="0"/>
          <w:numId w:val="2"/>
        </w:numPr>
        <w:spacing w:after="160" w:line="480" w:lineRule="auto"/>
        <w:contextualSpacing/>
        <w:jc w:val="both"/>
        <w:rPr>
          <w:rFonts w:ascii="David" w:hAnsi="David"/>
          <w:color w:val="000000"/>
        </w:rPr>
      </w:pPr>
      <w:hyperlink r:id="rId35" w:history="1">
        <w:r w:rsidR="0063666F" w:rsidRPr="00C41998">
          <w:rPr>
            <w:rFonts w:ascii="David" w:hAnsi="David"/>
            <w:color w:val="0563C1"/>
            <w:u w:val="single"/>
            <w:rtl/>
          </w:rPr>
          <w:t>ת"פ (שלום רמ') 63596-02-18</w:t>
        </w:r>
        <w:r w:rsidR="004F3BFC">
          <w:rPr>
            <w:rFonts w:ascii="David" w:hAnsi="David"/>
            <w:color w:val="0563C1"/>
            <w:u w:val="single"/>
            <w:rtl/>
          </w:rPr>
          <w:t xml:space="preserve"> </w:t>
        </w:r>
        <w:r w:rsidR="0063666F" w:rsidRPr="00C41998">
          <w:rPr>
            <w:rFonts w:ascii="David" w:hAnsi="David"/>
            <w:b/>
            <w:bCs/>
            <w:color w:val="0563C1"/>
            <w:u w:val="single"/>
            <w:rtl/>
          </w:rPr>
          <w:t>מדינת ישראל נ' סאמר אבו עלאן</w:t>
        </w:r>
        <w:r w:rsidR="004F3BFC">
          <w:rPr>
            <w:rFonts w:ascii="David" w:hAnsi="David"/>
            <w:color w:val="0563C1"/>
            <w:u w:val="single"/>
            <w:rtl/>
          </w:rPr>
          <w:t xml:space="preserve"> </w:t>
        </w:r>
        <w:r w:rsidR="0063666F" w:rsidRPr="00C41998">
          <w:rPr>
            <w:rFonts w:ascii="David" w:hAnsi="David"/>
            <w:color w:val="0563C1"/>
            <w:u w:val="single"/>
            <w:rtl/>
          </w:rPr>
          <w:t>(14.02.2019)‏</w:t>
        </w:r>
      </w:hyperlink>
      <w:r w:rsidR="0063666F" w:rsidRPr="00C41998">
        <w:rPr>
          <w:rFonts w:ascii="David" w:hAnsi="David"/>
          <w:color w:val="000000"/>
          <w:rtl/>
        </w:rPr>
        <w:t xml:space="preserve">‏ הנאשם </w:t>
      </w:r>
      <w:r w:rsidR="004F3BFC">
        <w:rPr>
          <w:rFonts w:ascii="David" w:hAnsi="David"/>
          <w:color w:val="000000"/>
          <w:rtl/>
        </w:rPr>
        <w:t xml:space="preserve"> </w:t>
      </w:r>
      <w:r w:rsidR="0063666F" w:rsidRPr="00C41998">
        <w:rPr>
          <w:rFonts w:ascii="David" w:hAnsi="David"/>
          <w:color w:val="000000"/>
          <w:rtl/>
        </w:rPr>
        <w:t xml:space="preserve">הורשע לפי הודאתו בכתב-האישום בעבירות של ייצור, הכנה והפקת סם מסוכן, לפי </w:t>
      </w:r>
      <w:hyperlink r:id="rId36" w:history="1">
        <w:r w:rsidR="00E519D2" w:rsidRPr="00E519D2">
          <w:rPr>
            <w:rStyle w:val="Hyperlink"/>
            <w:rFonts w:ascii="David" w:hAnsi="David"/>
            <w:rtl/>
          </w:rPr>
          <w:t>סעיף 6</w:t>
        </w:r>
      </w:hyperlink>
      <w:r w:rsidR="0063666F" w:rsidRPr="00C41998">
        <w:rPr>
          <w:rFonts w:ascii="David" w:hAnsi="David"/>
          <w:color w:val="000000"/>
          <w:rtl/>
        </w:rPr>
        <w:t xml:space="preserve"> לפקודת הסמים והחזקת סם שלא לצריכה עצמית לפי סעיף </w:t>
      </w:r>
      <w:hyperlink r:id="rId37" w:history="1">
        <w:r w:rsidR="00E519D2" w:rsidRPr="00E519D2">
          <w:rPr>
            <w:rStyle w:val="Hyperlink"/>
            <w:rFonts w:ascii="David" w:hAnsi="David"/>
            <w:rtl/>
          </w:rPr>
          <w:t>7 (א) + 7 (ג)</w:t>
        </w:r>
      </w:hyperlink>
      <w:r w:rsidR="0063666F" w:rsidRPr="00C41998">
        <w:rPr>
          <w:rFonts w:ascii="David" w:hAnsi="David"/>
          <w:color w:val="000000"/>
          <w:rtl/>
        </w:rPr>
        <w:t xml:space="preserve"> רישא לפקודת הסמים. על פי עובדות כתב האישום הנאשם שכר למשך שלושה חודשים חנייה פנימית ומרתף ברמלה בהם הקים מעבדה לייצור סם מסוג קנבוס. במעבדה נתפסו 191 שתילים במשקל כולל של 42.5 ק"ג נטו. נקבע מתחם הנע בין </w:t>
      </w:r>
      <w:r w:rsidR="004F3BFC">
        <w:rPr>
          <w:rFonts w:ascii="David" w:hAnsi="David"/>
          <w:color w:val="000000"/>
          <w:shd w:val="clear" w:color="auto" w:fill="FFFFFF"/>
        </w:rPr>
        <w:t xml:space="preserve"> </w:t>
      </w:r>
      <w:r w:rsidR="0063666F" w:rsidRPr="00C41998">
        <w:rPr>
          <w:rFonts w:ascii="David" w:hAnsi="David"/>
          <w:b/>
          <w:bCs/>
          <w:color w:val="000000"/>
          <w:shd w:val="clear" w:color="auto" w:fill="FFFFFF"/>
        </w:rPr>
        <w:t xml:space="preserve">10 – 36 </w:t>
      </w:r>
      <w:r w:rsidR="0063666F" w:rsidRPr="00C41998">
        <w:rPr>
          <w:rFonts w:ascii="David" w:hAnsi="David"/>
          <w:b/>
          <w:bCs/>
          <w:color w:val="000000"/>
          <w:shd w:val="clear" w:color="auto" w:fill="FFFFFF"/>
          <w:rtl/>
        </w:rPr>
        <w:t>חודשי מאסר בפועל</w:t>
      </w:r>
      <w:r w:rsidR="0063666F" w:rsidRPr="00C41998">
        <w:rPr>
          <w:rFonts w:ascii="David" w:hAnsi="David"/>
          <w:color w:val="000000"/>
          <w:rtl/>
        </w:rPr>
        <w:t xml:space="preserve">, נעדר עבר פלילי, הודה במיוחס לו וחסך זמן שיפוטי. מדובר על מעבדה במדרג הנמוך שהושקע בה רק ציוד בסיסי. הנאשם היה עצור במשך כמעט חודשיים, תסקיר חיובי ביותר. ביצע הליך שיקומי, מסר בדיקות שתן נקיות.  לפיכך נגזרו עליו 6 חודשי מאסר בפועל בדרך של עבודות שירות, מע"ת וקנס בסך של 20,000 ₪. </w:t>
      </w:r>
    </w:p>
    <w:p w14:paraId="0A1166FD" w14:textId="77777777" w:rsidR="0063666F" w:rsidRPr="00C41998" w:rsidRDefault="004F3BFC" w:rsidP="0063666F">
      <w:pPr>
        <w:numPr>
          <w:ilvl w:val="0"/>
          <w:numId w:val="2"/>
        </w:numPr>
        <w:spacing w:after="160" w:line="480" w:lineRule="auto"/>
        <w:contextualSpacing/>
        <w:jc w:val="both"/>
        <w:rPr>
          <w:rFonts w:ascii="David" w:hAnsi="David"/>
          <w:rtl/>
        </w:rPr>
      </w:pPr>
      <w:hyperlink r:id="rId38" w:history="1">
        <w:r w:rsidRPr="004F3BFC">
          <w:rPr>
            <w:rFonts w:ascii="David" w:hAnsi="David"/>
            <w:color w:val="0000FF"/>
            <w:u w:val="single"/>
            <w:rtl/>
          </w:rPr>
          <w:t>עפ"ג (ת"א)  6605-08-20</w:t>
        </w:r>
      </w:hyperlink>
      <w:r w:rsidR="0063666F">
        <w:rPr>
          <w:rFonts w:ascii="David" w:hAnsi="David" w:hint="cs"/>
          <w:rtl/>
        </w:rPr>
        <w:t xml:space="preserve"> </w:t>
      </w:r>
      <w:r w:rsidR="0063666F" w:rsidRPr="00C41998">
        <w:rPr>
          <w:rFonts w:ascii="David" w:hAnsi="David" w:hint="cs"/>
          <w:b/>
          <w:bCs/>
          <w:rtl/>
        </w:rPr>
        <w:t>ע</w:t>
      </w:r>
      <w:r w:rsidR="0063666F" w:rsidRPr="00C41998">
        <w:rPr>
          <w:rFonts w:ascii="David" w:hAnsi="David"/>
          <w:b/>
          <w:bCs/>
          <w:rtl/>
        </w:rPr>
        <w:t>מר נ' מדינת ישראל</w:t>
      </w:r>
      <w:r w:rsidR="0063666F">
        <w:rPr>
          <w:rFonts w:ascii="David" w:hAnsi="David" w:hint="cs"/>
          <w:rtl/>
        </w:rPr>
        <w:t xml:space="preserve"> (6.12.20)</w:t>
      </w:r>
      <w:r w:rsidR="0063666F" w:rsidRPr="00C41998">
        <w:rPr>
          <w:rFonts w:ascii="David" w:hAnsi="David"/>
          <w:rtl/>
        </w:rPr>
        <w:t xml:space="preserve">: המערער הורשע על יסוד הודאתו בבית המשפט קמא בעבירות של גידול סם מסוכן, לפי </w:t>
      </w:r>
      <w:hyperlink r:id="rId39" w:history="1">
        <w:r w:rsidR="00E519D2" w:rsidRPr="00E519D2">
          <w:rPr>
            <w:rStyle w:val="Hyperlink"/>
            <w:rFonts w:ascii="David" w:hAnsi="David"/>
            <w:rtl/>
          </w:rPr>
          <w:t>ס' 6</w:t>
        </w:r>
      </w:hyperlink>
      <w:r w:rsidR="0063666F" w:rsidRPr="00C41998">
        <w:rPr>
          <w:rFonts w:ascii="David" w:hAnsi="David"/>
          <w:rtl/>
        </w:rPr>
        <w:t xml:space="preserve"> לפקודת הסמים, החזקת סם שלא לצריכה עצמית, עבירה לפי </w:t>
      </w:r>
      <w:hyperlink r:id="rId40" w:history="1">
        <w:r w:rsidR="00E519D2" w:rsidRPr="00E519D2">
          <w:rPr>
            <w:rStyle w:val="Hyperlink"/>
            <w:rFonts w:ascii="David" w:hAnsi="David"/>
            <w:rtl/>
          </w:rPr>
          <w:t>ס' 7(א)+7(ג)</w:t>
        </w:r>
      </w:hyperlink>
      <w:r w:rsidR="0063666F" w:rsidRPr="00C41998">
        <w:rPr>
          <w:rFonts w:ascii="David" w:hAnsi="David"/>
          <w:rtl/>
        </w:rPr>
        <w:t xml:space="preserve"> רישא לפקודת הסמים, החזקת חצרים לשם הכנסת סם מסוכן, עבירה לפי </w:t>
      </w:r>
      <w:hyperlink r:id="rId41" w:history="1">
        <w:r w:rsidR="00E519D2" w:rsidRPr="00E519D2">
          <w:rPr>
            <w:rStyle w:val="Hyperlink"/>
            <w:rFonts w:ascii="David" w:hAnsi="David"/>
            <w:rtl/>
          </w:rPr>
          <w:t>ס' 9(א)+(ד)</w:t>
        </w:r>
      </w:hyperlink>
      <w:r w:rsidR="0063666F" w:rsidRPr="00C41998">
        <w:rPr>
          <w:rFonts w:ascii="David" w:hAnsi="David"/>
          <w:rtl/>
        </w:rPr>
        <w:t xml:space="preserve">,רישא לפקודת הסמים והחזקת כלים, עבירה לפי </w:t>
      </w:r>
      <w:hyperlink r:id="rId42" w:history="1">
        <w:r w:rsidR="00E519D2" w:rsidRPr="00E519D2">
          <w:rPr>
            <w:rStyle w:val="Hyperlink"/>
            <w:rFonts w:ascii="David" w:hAnsi="David"/>
            <w:rtl/>
          </w:rPr>
          <w:t>ס' 10</w:t>
        </w:r>
      </w:hyperlink>
      <w:r w:rsidR="0063666F" w:rsidRPr="00C41998">
        <w:rPr>
          <w:rFonts w:ascii="David" w:hAnsi="David"/>
          <w:rtl/>
        </w:rPr>
        <w:t xml:space="preserve"> לפקודת הסמים. על פי עובדות כתב האישום, הקים ותפעל המערער מעבדתם סמים, בה נתפסו 252 שתילים במשקל כולל של 45.75 ק"ג. המערער הודה במיוחס לו ללא הסדר, הופנה לתסקיר ולממונה. בית המשפט קמא קבע מתחם הנע בין 18 ל36 חודשי מאסר בפועל וגזר על הנאשם עונש של 15 חודשי מאסר בפועל בניכוי ימי מעצרו, מע"ת וקנס בסך 5,000 ₪. המערער נטול עבר פלילי, במחוזי אושרר מתחם הענישה הנ"ל. המחוזי החליט להקל בעונשו של המערער בעקבות הישגיו הטיפוליים לאורך ההליך. בהתאם לכך הומתק עונשו ל-12 חודשי מאסר בפועל. </w:t>
      </w:r>
    </w:p>
    <w:p w14:paraId="58A8B427"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לנוכח האמור לעיל, אני קובע כי מתחם הענישה ההולם בנסיבות כתב אישום זה  נע בין 15-30 חודשי מאסר בפועל לצד ענישה נלווית.</w:t>
      </w:r>
    </w:p>
    <w:p w14:paraId="5B141781" w14:textId="77777777" w:rsidR="0063666F" w:rsidRPr="00C41998" w:rsidRDefault="0063666F" w:rsidP="0063666F">
      <w:pPr>
        <w:spacing w:after="160" w:line="480" w:lineRule="auto"/>
        <w:jc w:val="both"/>
        <w:rPr>
          <w:rFonts w:ascii="David" w:hAnsi="David"/>
        </w:rPr>
      </w:pPr>
      <w:r w:rsidRPr="00C41998">
        <w:rPr>
          <w:rFonts w:ascii="David" w:hAnsi="David"/>
          <w:u w:val="single"/>
          <w:rtl/>
        </w:rPr>
        <w:t>גזירת העונש</w:t>
      </w:r>
      <w:r w:rsidRPr="00C41998">
        <w:rPr>
          <w:rFonts w:ascii="David" w:hAnsi="David"/>
          <w:rtl/>
        </w:rPr>
        <w:t xml:space="preserve">  </w:t>
      </w:r>
    </w:p>
    <w:p w14:paraId="2CD699D0"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בכלל הנסיבות שאינן קשורות לבצוע העבירה, שקלתי לקולא את הודאת הנאשם וחיסכון בזמן שיפוטי וכן בצורך בהעדת עדים. עוד נשקלה העובדה כי ניתן ללמוד מגיליון הרשעותיו הקודמות של הנאשם הכולל הרשעה אחת בבנייה בסטייה מהיתר וכן מהתסקיר שהוגש בעניינו כי מדובר בנאשם החי באורח חיים נורמטיבי והעבירה בה הורשע חריגה להתנהלות חייו. יש לשקול לזכותו את ההליך הטיפולי הארוך בו הוא מצוי ומשתף עמו פעולה באופן מלא. כפי שעולה מעדות העדים שהובאו לעניין העונש ואף מדברי הנאשם עצמו, לנאשם ומשפחתו ייגרם נזק משמעותי כתוצאה מענישתו של הנאשם בדרך של מאסר בפועל.</w:t>
      </w:r>
    </w:p>
    <w:p w14:paraId="3FD79442"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 xml:space="preserve">עתירת ב"כ הנאשם היא כי בית המשפט יפעל בהליך זה בהתאם לסעיף </w:t>
      </w:r>
      <w:hyperlink r:id="rId43" w:history="1">
        <w:r w:rsidR="00E519D2" w:rsidRPr="00E519D2">
          <w:rPr>
            <w:rStyle w:val="Hyperlink"/>
            <w:rFonts w:ascii="David" w:hAnsi="David"/>
            <w:rtl/>
          </w:rPr>
          <w:t>40ד (א)</w:t>
        </w:r>
      </w:hyperlink>
      <w:r w:rsidRPr="00C41998">
        <w:rPr>
          <w:rFonts w:ascii="David" w:hAnsi="David"/>
          <w:rtl/>
        </w:rPr>
        <w:t xml:space="preserve"> ל</w:t>
      </w:r>
      <w:hyperlink r:id="rId44" w:history="1">
        <w:r w:rsidR="004F3BFC" w:rsidRPr="004F3BFC">
          <w:rPr>
            <w:rFonts w:ascii="David" w:hAnsi="David"/>
            <w:color w:val="0000FF"/>
            <w:u w:val="single"/>
            <w:rtl/>
          </w:rPr>
          <w:t>חוק העונשין</w:t>
        </w:r>
      </w:hyperlink>
      <w:r w:rsidRPr="00C41998">
        <w:rPr>
          <w:rFonts w:ascii="David" w:hAnsi="David"/>
          <w:rtl/>
        </w:rPr>
        <w:t xml:space="preserve"> הקובע כי לאחר שנקבע מתחם העונש ההולם, רשאי בית המשפט לחרוג ממתחם העונש ההולם אם מצא כי הנאשם השתקם או כי יש סיכוי של ממש כי ישתקם.</w:t>
      </w:r>
    </w:p>
    <w:p w14:paraId="4C5F7DB2" w14:textId="77777777" w:rsidR="0063666F" w:rsidRPr="00C41998" w:rsidRDefault="0063666F" w:rsidP="0063666F">
      <w:pPr>
        <w:numPr>
          <w:ilvl w:val="0"/>
          <w:numId w:val="1"/>
        </w:numPr>
        <w:spacing w:after="160" w:line="480" w:lineRule="auto"/>
        <w:contextualSpacing/>
        <w:jc w:val="both"/>
        <w:rPr>
          <w:rFonts w:ascii="David" w:hAnsi="David"/>
          <w:b/>
          <w:bCs/>
        </w:rPr>
      </w:pPr>
      <w:r w:rsidRPr="00C41998">
        <w:rPr>
          <w:rFonts w:ascii="David" w:hAnsi="David"/>
          <w:rtl/>
        </w:rPr>
        <w:t>ב</w:t>
      </w:r>
      <w:hyperlink r:id="rId45" w:history="1">
        <w:r w:rsidR="004F3BFC" w:rsidRPr="004F3BFC">
          <w:rPr>
            <w:rFonts w:ascii="David" w:hAnsi="David"/>
            <w:color w:val="0000FF"/>
            <w:u w:val="single"/>
            <w:rtl/>
          </w:rPr>
          <w:t>עפ"ג 27388-03-20</w:t>
        </w:r>
      </w:hyperlink>
      <w:r w:rsidRPr="00C41998">
        <w:rPr>
          <w:rFonts w:ascii="David" w:hAnsi="David"/>
          <w:rtl/>
        </w:rPr>
        <w:t xml:space="preserve"> </w:t>
      </w:r>
      <w:r w:rsidRPr="00C41998">
        <w:rPr>
          <w:rFonts w:ascii="David" w:hAnsi="David"/>
          <w:b/>
          <w:bCs/>
          <w:rtl/>
        </w:rPr>
        <w:t xml:space="preserve">מדינת ישראל נ' סויסה </w:t>
      </w:r>
      <w:r w:rsidRPr="00C41998">
        <w:rPr>
          <w:rFonts w:ascii="David" w:hAnsi="David"/>
          <w:rtl/>
        </w:rPr>
        <w:t xml:space="preserve">(14.12.20). אשר ערעור עליו נדחה לפני מספר ימים בבית המשפט העליון. היה מדובר בערעור על גזר דינו של בית המשפט השלום, בעניינו של נאשם שהורשע גם כן בהקמת מעבדת סמים מסוג קנבוס במשקל כולל של 37.95 ק"ג. ונקבע כי: " </w:t>
      </w:r>
      <w:r w:rsidRPr="00C41998">
        <w:rPr>
          <w:rFonts w:ascii="David" w:hAnsi="David"/>
          <w:b/>
          <w:bCs/>
          <w:rtl/>
        </w:rPr>
        <w:t>בשנים האחרונות, ניתנו לא מעט פסקי-דין של בית-המשפט העליון וגזרי-דין של בתי-המשפט המחוזיים, במקרים של "מעבדות" לגידול קנבוס, שבהם נגזר-דינם של נאשמים או הוקל עונשם של מערערים למאסר לנשיאה בדרך של עבודות שירות, גם כשכמות הסם שנתפסה הייתה גבוהה באופן משמעותי מזו שבענייננו. עם זאת, עיון בפסיקה הנ"ל מצביע על כך, כי ענישה מקלה זו אינה בגדר הכלל, אלא אושרה במקרים של שיקום "יוצא דופן" או "דרמטי" בעניינם של נאשמים נעדרי עבר פלילי או עבר פלילי מינורי"</w:t>
      </w:r>
      <w:r w:rsidRPr="00C41998">
        <w:rPr>
          <w:rFonts w:ascii="David" w:hAnsi="David"/>
          <w:rtl/>
        </w:rPr>
        <w:t>.</w:t>
      </w:r>
    </w:p>
    <w:p w14:paraId="0665E7B7" w14:textId="77777777" w:rsidR="0063666F" w:rsidRPr="00C41998" w:rsidRDefault="0063666F" w:rsidP="0063666F">
      <w:pPr>
        <w:numPr>
          <w:ilvl w:val="0"/>
          <w:numId w:val="1"/>
        </w:numPr>
        <w:spacing w:after="160" w:line="480" w:lineRule="auto"/>
        <w:contextualSpacing/>
        <w:jc w:val="both"/>
        <w:rPr>
          <w:rFonts w:ascii="David" w:hAnsi="David"/>
          <w:b/>
          <w:bCs/>
        </w:rPr>
      </w:pPr>
      <w:r w:rsidRPr="00C41998">
        <w:rPr>
          <w:rFonts w:ascii="David" w:hAnsi="David"/>
          <w:rtl/>
        </w:rPr>
        <w:t>איני סבור כי ניתן לקבוע כי ההליך השיקומי אותו עובר הנאשם הינו הליך</w:t>
      </w:r>
      <w:r w:rsidRPr="00C41998">
        <w:rPr>
          <w:rFonts w:ascii="David" w:hAnsi="David"/>
          <w:b/>
          <w:bCs/>
          <w:rtl/>
        </w:rPr>
        <w:t xml:space="preserve"> </w:t>
      </w:r>
      <w:r w:rsidRPr="00C41998">
        <w:rPr>
          <w:rFonts w:ascii="David" w:hAnsi="David"/>
          <w:rtl/>
        </w:rPr>
        <w:t xml:space="preserve">יוצא דופן או דרמטי. </w:t>
      </w:r>
    </w:p>
    <w:p w14:paraId="0E7706FD"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למסקנה זו הגעתי בין היתר לנוכח התרשמות שירות המבחן אשר הובעה בתסקיר על כך כי בלט במפגשי הקבוצה הטיפולית כי הנאשם התקשה לבחון לעומק את בחירותיו ברקע לעב</w:t>
      </w:r>
      <w:r>
        <w:rPr>
          <w:rFonts w:ascii="David" w:hAnsi="David" w:hint="cs"/>
          <w:rtl/>
        </w:rPr>
        <w:t>י</w:t>
      </w:r>
      <w:r w:rsidRPr="00C41998">
        <w:rPr>
          <w:rFonts w:ascii="David" w:hAnsi="David"/>
          <w:rtl/>
        </w:rPr>
        <w:t>רה. התרשמות זו עולה בקנה אחד עם התרשמותי. לשירות המבחן הסביר הנאשם כי הרקע לביצוע העבירה הוא תחושת שעמום וסקרנות, אולם הוא שלל אפשרות כי צרך את הסם שגידל או כי עמד למכרו וכי היה לו מניע כלכלי בגידולו. הסבר זה תמוה מאד.  השקעת ממון רב בשכירת דירה למשך חמישה חודשים וציודה בציוד רב ויקר, ללא כל מטרה מלבד הפגת שעמום?. תמיהה זו גוברת לנוכח ההסבר אותו נתן הנאשם למרכז "התחלה חדשה" ולפיו העבירה בוצעה על רקע לחצי פרנסה, בעקבות פיטוריו וכן הלחץ בפן המשפחתי שתואר לעיל. שוב עולה התמיהה כיצד לחצי פרנסה עולים בקנה אחד עם השקעת משאבים ללא כל רצון לרווח כלכלי אלא להפגת השעמום. התמיהה מתגברת שבעתיים לנוכח תיאור הנאשם כי נעצר על ידי המשטרה שגילתה את מעבדת הסמים, כשהוא שב מחופשה משפחתית בתאילנד. לא ברור כיצד עובדה זו מתיישבת עם לחצי פרנסה כתוצאה מאבטלה ואי רצון להפקת רווח מביצוע העבירה.</w:t>
      </w:r>
    </w:p>
    <w:p w14:paraId="0753D189"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מן האמור לעיל אני למד כי גם עם הנאשם לקח אחריות על ביצוע העבירה, עד עתה לא נתן לכך הסבר המניח את הדעת. וקשה להלום הגדרה של שיקום דרמטי או יוצא דופן עם אי נטילת אחריות מלאה ואמיתית על המניע לביצוע העבירה.</w:t>
      </w:r>
    </w:p>
    <w:p w14:paraId="359A1C08" w14:textId="77777777" w:rsidR="0063666F" w:rsidRPr="00C41998" w:rsidRDefault="0063666F" w:rsidP="0063666F">
      <w:pPr>
        <w:numPr>
          <w:ilvl w:val="0"/>
          <w:numId w:val="1"/>
        </w:numPr>
        <w:spacing w:after="160" w:line="480" w:lineRule="auto"/>
        <w:contextualSpacing/>
        <w:jc w:val="both"/>
        <w:rPr>
          <w:rFonts w:ascii="David" w:hAnsi="David"/>
        </w:rPr>
      </w:pPr>
      <w:r w:rsidRPr="00C41998">
        <w:rPr>
          <w:rFonts w:ascii="David" w:hAnsi="David"/>
          <w:rtl/>
        </w:rPr>
        <w:t>לנוכח זאת, אתחשב בנסיבות שאינן קשורות לביצוע העבירה ואמקם את הנאשם בתחתית מתחם הענישה, אולם לא מצאתי עילה מספקת לסטייה ממתחם זה.</w:t>
      </w:r>
    </w:p>
    <w:p w14:paraId="74323FA3" w14:textId="77777777" w:rsidR="0063666F" w:rsidRPr="00C41998" w:rsidRDefault="0063666F" w:rsidP="0063666F">
      <w:pPr>
        <w:spacing w:after="160" w:line="480" w:lineRule="auto"/>
        <w:ind w:left="360"/>
        <w:contextualSpacing/>
        <w:jc w:val="both"/>
        <w:rPr>
          <w:rFonts w:ascii="Calibri" w:hAnsi="Calibri"/>
        </w:rPr>
      </w:pPr>
      <w:r>
        <w:rPr>
          <w:rFonts w:ascii="David" w:hAnsi="David" w:hint="cs"/>
          <w:rtl/>
        </w:rPr>
        <w:t xml:space="preserve">35. </w:t>
      </w:r>
      <w:r w:rsidRPr="00C41998">
        <w:rPr>
          <w:rFonts w:ascii="David" w:hAnsi="David"/>
          <w:rtl/>
        </w:rPr>
        <w:t>לאחר ששקלתי את כל האמור לעיל, אני גוזר על הנאשם את העונשים הבאים:</w:t>
      </w:r>
    </w:p>
    <w:p w14:paraId="46C03D29" w14:textId="77777777" w:rsidR="0063666F" w:rsidRPr="00C41998" w:rsidRDefault="0063666F" w:rsidP="0063666F">
      <w:pPr>
        <w:numPr>
          <w:ilvl w:val="0"/>
          <w:numId w:val="3"/>
        </w:numPr>
        <w:spacing w:after="160" w:line="480" w:lineRule="auto"/>
        <w:contextualSpacing/>
        <w:jc w:val="both"/>
        <w:rPr>
          <w:rFonts w:ascii="Calibri" w:hAnsi="Calibri"/>
        </w:rPr>
      </w:pPr>
      <w:r w:rsidRPr="00C41998">
        <w:rPr>
          <w:rFonts w:ascii="David" w:hAnsi="David"/>
          <w:rtl/>
        </w:rPr>
        <w:t>15 חודשי מאסר בפועל, בניכוי ימי מעצרו בין התאריכים 31.1-11.2.19.</w:t>
      </w:r>
    </w:p>
    <w:p w14:paraId="57F72BEE" w14:textId="77777777" w:rsidR="0063666F" w:rsidRPr="00C41998" w:rsidRDefault="0063666F" w:rsidP="0063666F">
      <w:pPr>
        <w:numPr>
          <w:ilvl w:val="0"/>
          <w:numId w:val="3"/>
        </w:numPr>
        <w:spacing w:after="160" w:line="480" w:lineRule="auto"/>
        <w:contextualSpacing/>
        <w:jc w:val="both"/>
        <w:rPr>
          <w:rFonts w:ascii="Calibri" w:hAnsi="Calibri"/>
        </w:rPr>
      </w:pPr>
      <w:r w:rsidRPr="00C41998">
        <w:rPr>
          <w:rFonts w:ascii="David" w:hAnsi="David"/>
          <w:rtl/>
        </w:rPr>
        <w:t xml:space="preserve">8 חודשי מאסר על תנאי למשך שלש שנים החל </w:t>
      </w:r>
      <w:r>
        <w:rPr>
          <w:rFonts w:ascii="David" w:hAnsi="David" w:hint="cs"/>
          <w:rtl/>
        </w:rPr>
        <w:t>מיום שחרורו ממאסרו</w:t>
      </w:r>
      <w:r w:rsidRPr="00C41998">
        <w:rPr>
          <w:rFonts w:ascii="David" w:hAnsi="David"/>
          <w:rtl/>
        </w:rPr>
        <w:t xml:space="preserve"> והתנאי הוא שלא יעבור עבירה מסוג פשע על פי </w:t>
      </w:r>
      <w:hyperlink r:id="rId46" w:history="1">
        <w:r w:rsidR="004F3BFC" w:rsidRPr="004F3BFC">
          <w:rPr>
            <w:rFonts w:ascii="David" w:hAnsi="David"/>
            <w:color w:val="0000FF"/>
            <w:u w:val="single"/>
            <w:rtl/>
          </w:rPr>
          <w:t>פקודת הסמים המסוכנים</w:t>
        </w:r>
      </w:hyperlink>
      <w:r w:rsidRPr="00C41998">
        <w:rPr>
          <w:rFonts w:ascii="David" w:hAnsi="David"/>
          <w:rtl/>
        </w:rPr>
        <w:t>.</w:t>
      </w:r>
    </w:p>
    <w:p w14:paraId="405D21BA" w14:textId="77777777" w:rsidR="0063666F" w:rsidRPr="00C41998" w:rsidRDefault="0063666F" w:rsidP="0063666F">
      <w:pPr>
        <w:numPr>
          <w:ilvl w:val="0"/>
          <w:numId w:val="3"/>
        </w:numPr>
        <w:spacing w:after="160" w:line="480" w:lineRule="auto"/>
        <w:contextualSpacing/>
        <w:jc w:val="both"/>
        <w:rPr>
          <w:rFonts w:ascii="Calibri" w:hAnsi="Calibri"/>
        </w:rPr>
      </w:pPr>
      <w:r w:rsidRPr="00C41998">
        <w:rPr>
          <w:rFonts w:ascii="David" w:hAnsi="David"/>
          <w:rtl/>
        </w:rPr>
        <w:t xml:space="preserve">3 חודשי מאסר על תנאי למשך שלש שנים החל </w:t>
      </w:r>
      <w:r>
        <w:rPr>
          <w:rFonts w:ascii="David" w:hAnsi="David" w:hint="cs"/>
          <w:rtl/>
        </w:rPr>
        <w:t>מיום שחרורו ממאסרו</w:t>
      </w:r>
      <w:r w:rsidRPr="00C41998">
        <w:rPr>
          <w:rFonts w:ascii="David" w:hAnsi="David"/>
          <w:rtl/>
        </w:rPr>
        <w:t xml:space="preserve"> והתנאי שלא יעבור עבירה מסוג עוון על </w:t>
      </w:r>
      <w:hyperlink r:id="rId47" w:history="1">
        <w:r w:rsidR="004F3BFC" w:rsidRPr="004F3BFC">
          <w:rPr>
            <w:rFonts w:ascii="David" w:hAnsi="David"/>
            <w:color w:val="0000FF"/>
            <w:u w:val="single"/>
            <w:rtl/>
          </w:rPr>
          <w:t>פקודת הסמים המסוכנים</w:t>
        </w:r>
      </w:hyperlink>
      <w:r w:rsidRPr="00C41998">
        <w:rPr>
          <w:rFonts w:ascii="David" w:hAnsi="David"/>
          <w:rtl/>
        </w:rPr>
        <w:t>.</w:t>
      </w:r>
    </w:p>
    <w:p w14:paraId="4FE3B55C" w14:textId="77777777" w:rsidR="0063666F" w:rsidRPr="00C41998" w:rsidRDefault="0063666F" w:rsidP="0063666F">
      <w:pPr>
        <w:numPr>
          <w:ilvl w:val="0"/>
          <w:numId w:val="3"/>
        </w:numPr>
        <w:spacing w:after="160" w:line="480" w:lineRule="auto"/>
        <w:contextualSpacing/>
        <w:jc w:val="both"/>
        <w:rPr>
          <w:rFonts w:ascii="Calibri" w:hAnsi="Calibri"/>
        </w:rPr>
      </w:pPr>
      <w:r w:rsidRPr="00C41998">
        <w:rPr>
          <w:rFonts w:ascii="David" w:hAnsi="David"/>
          <w:rtl/>
        </w:rPr>
        <w:t xml:space="preserve">קנס בסך 10,000 ₪ או 100 ימי מאסר תמורתו, אשר </w:t>
      </w:r>
      <w:r>
        <w:rPr>
          <w:rFonts w:ascii="David" w:hAnsi="David" w:hint="cs"/>
          <w:rtl/>
        </w:rPr>
        <w:t xml:space="preserve">יקוזז מההפקדה מצויה בתיק המ"ת. </w:t>
      </w:r>
    </w:p>
    <w:p w14:paraId="6DB16DA0" w14:textId="77777777" w:rsidR="0063666F" w:rsidRPr="00C41998" w:rsidRDefault="0063666F" w:rsidP="0063666F">
      <w:pPr>
        <w:numPr>
          <w:ilvl w:val="0"/>
          <w:numId w:val="3"/>
        </w:numPr>
        <w:spacing w:after="160" w:line="480" w:lineRule="auto"/>
        <w:contextualSpacing/>
        <w:jc w:val="both"/>
        <w:rPr>
          <w:rFonts w:ascii="Calibri" w:hAnsi="Calibri"/>
        </w:rPr>
      </w:pPr>
      <w:r w:rsidRPr="00C41998">
        <w:rPr>
          <w:rFonts w:ascii="David" w:hAnsi="David"/>
          <w:rtl/>
        </w:rPr>
        <w:t>חילוט הרכוש המפורט בבקשה לחילוט שצורפה לכתב האישום .</w:t>
      </w:r>
    </w:p>
    <w:p w14:paraId="4AC77FD8" w14:textId="77777777" w:rsidR="0063666F" w:rsidRPr="00C41998" w:rsidRDefault="0063666F" w:rsidP="0063666F">
      <w:pPr>
        <w:spacing w:after="160" w:line="480" w:lineRule="auto"/>
        <w:ind w:left="1080"/>
        <w:contextualSpacing/>
        <w:rPr>
          <w:rFonts w:ascii="David" w:hAnsi="David"/>
          <w:rtl/>
        </w:rPr>
      </w:pPr>
    </w:p>
    <w:p w14:paraId="628070E3" w14:textId="77777777" w:rsidR="0063666F" w:rsidRPr="00C41998" w:rsidRDefault="0063666F" w:rsidP="0063666F">
      <w:pPr>
        <w:spacing w:after="160" w:line="480" w:lineRule="auto"/>
        <w:jc w:val="center"/>
        <w:rPr>
          <w:rFonts w:ascii="David" w:hAnsi="David"/>
          <w:b/>
          <w:bCs/>
        </w:rPr>
      </w:pPr>
      <w:r w:rsidRPr="00C41998">
        <w:rPr>
          <w:rFonts w:ascii="David" w:hAnsi="David"/>
          <w:b/>
          <w:bCs/>
          <w:rtl/>
        </w:rPr>
        <w:t>זכות ערעור לבית המשפט המחוזי מרכז-לוד בתוך 45 יום</w:t>
      </w:r>
    </w:p>
    <w:p w14:paraId="7477921F" w14:textId="77777777" w:rsidR="0063666F" w:rsidRPr="00B05847" w:rsidRDefault="0063666F" w:rsidP="0063666F">
      <w:pPr>
        <w:rPr>
          <w:rtl/>
        </w:rPr>
      </w:pPr>
    </w:p>
    <w:p w14:paraId="2A2DB16A" w14:textId="77777777" w:rsidR="0063666F" w:rsidRDefault="004F3BFC" w:rsidP="0063666F">
      <w:pPr>
        <w:pStyle w:val="12"/>
        <w:rPr>
          <w:b w:val="0"/>
          <w:bCs w:val="0"/>
          <w:u w:val="none"/>
          <w:rtl/>
        </w:rPr>
      </w:pPr>
      <w:bookmarkStart w:id="8" w:name="Nitan"/>
      <w:r w:rsidRPr="004F3BFC">
        <w:rPr>
          <w:rFonts w:ascii="Arial" w:hAnsi="Arial"/>
          <w:b w:val="0"/>
          <w:bCs w:val="0"/>
          <w:color w:val="FFFFFF"/>
          <w:sz w:val="2"/>
          <w:szCs w:val="2"/>
          <w:u w:val="none"/>
          <w:rtl/>
        </w:rPr>
        <w:t>5129371</w:t>
      </w:r>
      <w:r>
        <w:rPr>
          <w:rFonts w:ascii="Arial" w:hAnsi="Arial"/>
          <w:b w:val="0"/>
          <w:bCs w:val="0"/>
          <w:u w:val="none"/>
          <w:rtl/>
        </w:rPr>
        <w:t xml:space="preserve">ניתן היום,  כ"ה אדר תשפ"א, 09 מרץ 2021, בנוכחות הצדדים- ב"כ המאשימה, המתמחה- הגב' </w:t>
      </w:r>
      <w:bookmarkEnd w:id="8"/>
      <w:r w:rsidR="0063666F">
        <w:rPr>
          <w:b w:val="0"/>
          <w:bCs w:val="0"/>
          <w:u w:val="none"/>
          <w:rtl/>
        </w:rPr>
        <w:t>ספיר דואני</w:t>
      </w:r>
      <w:r w:rsidR="0063666F">
        <w:rPr>
          <w:rFonts w:hint="cs"/>
          <w:b w:val="0"/>
          <w:bCs w:val="0"/>
          <w:u w:val="none"/>
          <w:rtl/>
        </w:rPr>
        <w:t xml:space="preserve">, </w:t>
      </w:r>
      <w:r w:rsidR="0063666F">
        <w:rPr>
          <w:b w:val="0"/>
          <w:bCs w:val="0"/>
          <w:u w:val="none"/>
          <w:rtl/>
        </w:rPr>
        <w:t>הנאשם וב"כ עו"ד קרינה אבאל בשם עו"ד טל ליטן</w:t>
      </w:r>
    </w:p>
    <w:p w14:paraId="35FBF69E" w14:textId="77777777" w:rsidR="0063666F" w:rsidRPr="004F3BFC" w:rsidRDefault="004F3BFC" w:rsidP="0063666F">
      <w:pPr>
        <w:spacing w:line="360" w:lineRule="auto"/>
        <w:jc w:val="both"/>
        <w:rPr>
          <w:rFonts w:cs="FrankRuehl"/>
          <w:color w:val="FFFFFF"/>
          <w:sz w:val="2"/>
          <w:szCs w:val="2"/>
          <w:rtl/>
        </w:rPr>
      </w:pPr>
      <w:r w:rsidRPr="004F3BFC">
        <w:rPr>
          <w:rFonts w:cs="FrankRuehl"/>
          <w:color w:val="FFFFFF"/>
          <w:sz w:val="2"/>
          <w:szCs w:val="2"/>
          <w:rtl/>
        </w:rPr>
        <w:t>54678313</w:t>
      </w:r>
    </w:p>
    <w:p w14:paraId="1E30CD56" w14:textId="77777777" w:rsidR="0063666F" w:rsidRDefault="0063666F" w:rsidP="004F3BF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1423016" w14:textId="77777777" w:rsidR="0063666F" w:rsidRDefault="0063666F" w:rsidP="0063666F">
      <w:pPr>
        <w:jc w:val="center"/>
        <w:rPr>
          <w:rFonts w:ascii="Arial" w:hAnsi="Arial" w:cs="FrankRuehl"/>
          <w:sz w:val="28"/>
          <w:szCs w:val="28"/>
          <w:rtl/>
        </w:rPr>
      </w:pPr>
    </w:p>
    <w:p w14:paraId="733B9FA5" w14:textId="77777777" w:rsidR="0063666F" w:rsidRDefault="0063666F" w:rsidP="0063666F">
      <w:pPr>
        <w:rPr>
          <w:rFonts w:cs="FrankRuehl"/>
          <w:sz w:val="28"/>
          <w:szCs w:val="28"/>
          <w:rtl/>
        </w:rPr>
      </w:pPr>
    </w:p>
    <w:p w14:paraId="51686D1C" w14:textId="77777777" w:rsidR="0063666F" w:rsidRDefault="0063666F" w:rsidP="0063666F">
      <w:pPr>
        <w:pStyle w:val="a3"/>
        <w:jc w:val="center"/>
        <w:rPr>
          <w:rtl/>
        </w:rPr>
      </w:pPr>
    </w:p>
    <w:p w14:paraId="2E2EA1DE" w14:textId="77777777" w:rsidR="009E47F9" w:rsidRPr="004F3BFC" w:rsidRDefault="009E47F9" w:rsidP="004F3BFC">
      <w:pPr>
        <w:keepNext/>
        <w:rPr>
          <w:rFonts w:ascii="David" w:hAnsi="David"/>
          <w:color w:val="000000"/>
          <w:sz w:val="22"/>
          <w:szCs w:val="22"/>
          <w:rtl/>
        </w:rPr>
      </w:pPr>
    </w:p>
    <w:p w14:paraId="4E047B31" w14:textId="77777777" w:rsidR="004F3BFC" w:rsidRPr="004F3BFC" w:rsidRDefault="004F3BFC" w:rsidP="004F3BFC">
      <w:pPr>
        <w:keepNext/>
        <w:rPr>
          <w:rFonts w:ascii="David" w:hAnsi="David"/>
          <w:color w:val="000000"/>
          <w:sz w:val="22"/>
          <w:szCs w:val="22"/>
          <w:rtl/>
        </w:rPr>
      </w:pPr>
      <w:r w:rsidRPr="004F3BFC">
        <w:rPr>
          <w:rFonts w:ascii="David" w:hAnsi="David"/>
          <w:color w:val="000000"/>
          <w:sz w:val="22"/>
          <w:szCs w:val="22"/>
          <w:rtl/>
        </w:rPr>
        <w:t>דרור קלייטמן 54678313</w:t>
      </w:r>
    </w:p>
    <w:p w14:paraId="1CF6F3D3" w14:textId="77777777" w:rsidR="004F3BFC" w:rsidRDefault="004F3BFC" w:rsidP="004F3BFC">
      <w:pPr>
        <w:rPr>
          <w:rFonts w:hint="cs"/>
        </w:rPr>
      </w:pPr>
      <w:r w:rsidRPr="004F3BFC">
        <w:rPr>
          <w:color w:val="000000"/>
          <w:rtl/>
        </w:rPr>
        <w:t>נוסח מסמך זה כפוף לשינויי ניסוח ועריכה</w:t>
      </w:r>
      <w:r w:rsidR="00C70D63">
        <w:rPr>
          <w:rFonts w:hint="cs"/>
          <w:rtl/>
        </w:rPr>
        <w:t xml:space="preserve"> </w:t>
      </w:r>
    </w:p>
    <w:p w14:paraId="48F4A424" w14:textId="77777777" w:rsidR="004F3BFC" w:rsidRDefault="004F3BFC" w:rsidP="004F3BFC">
      <w:pPr>
        <w:rPr>
          <w:rtl/>
        </w:rPr>
      </w:pPr>
    </w:p>
    <w:p w14:paraId="6C49E5A6" w14:textId="77777777" w:rsidR="004F3BFC" w:rsidRDefault="004F3BFC" w:rsidP="004F3BFC">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69FBF2B6" w14:textId="77777777" w:rsidR="004F3BFC" w:rsidRPr="004F3BFC" w:rsidRDefault="004F3BFC" w:rsidP="004F3BFC">
      <w:pPr>
        <w:jc w:val="center"/>
        <w:rPr>
          <w:color w:val="0000FF"/>
          <w:u w:val="single"/>
        </w:rPr>
      </w:pPr>
    </w:p>
    <w:sectPr w:rsidR="004F3BFC" w:rsidRPr="004F3BFC" w:rsidSect="004F3BFC">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C5CAE" w14:textId="77777777" w:rsidR="003A015B" w:rsidRDefault="003A015B" w:rsidP="00AD1AB6">
      <w:r>
        <w:separator/>
      </w:r>
    </w:p>
  </w:endnote>
  <w:endnote w:type="continuationSeparator" w:id="0">
    <w:p w14:paraId="74D43B7A" w14:textId="77777777" w:rsidR="003A015B" w:rsidRDefault="003A015B" w:rsidP="00AD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60182" w14:textId="77777777" w:rsidR="004F3BFC" w:rsidRDefault="004F3BFC" w:rsidP="004F3B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E490BA" w14:textId="77777777" w:rsidR="00EE071D" w:rsidRPr="004F3BFC" w:rsidRDefault="004F3BFC" w:rsidP="004F3BF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3D7E0" w14:textId="77777777" w:rsidR="004F3BFC" w:rsidRDefault="004F3BFC" w:rsidP="004F3B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5BCA">
      <w:rPr>
        <w:rFonts w:ascii="FrankRuehl" w:hAnsi="FrankRuehl" w:cs="FrankRuehl"/>
        <w:noProof/>
        <w:rtl/>
      </w:rPr>
      <w:t>1</w:t>
    </w:r>
    <w:r>
      <w:rPr>
        <w:rFonts w:ascii="FrankRuehl" w:hAnsi="FrankRuehl" w:cs="FrankRuehl"/>
        <w:rtl/>
      </w:rPr>
      <w:fldChar w:fldCharType="end"/>
    </w:r>
  </w:p>
  <w:p w14:paraId="641DAAB4" w14:textId="77777777" w:rsidR="00EE071D" w:rsidRPr="004F3BFC" w:rsidRDefault="004F3BFC" w:rsidP="004F3BF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1AA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D44E2" w14:textId="77777777" w:rsidR="003A015B" w:rsidRDefault="003A015B" w:rsidP="00AD1AB6">
      <w:r>
        <w:separator/>
      </w:r>
    </w:p>
  </w:footnote>
  <w:footnote w:type="continuationSeparator" w:id="0">
    <w:p w14:paraId="0F302EAE" w14:textId="77777777" w:rsidR="003A015B" w:rsidRDefault="003A015B" w:rsidP="00AD1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00965" w14:textId="77777777" w:rsidR="004F3BFC" w:rsidRPr="004F3BFC" w:rsidRDefault="004F3BFC" w:rsidP="004F3B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23577-02-19</w:t>
    </w:r>
    <w:r>
      <w:rPr>
        <w:rFonts w:ascii="David" w:hAnsi="David"/>
        <w:color w:val="000000"/>
        <w:sz w:val="22"/>
        <w:szCs w:val="22"/>
        <w:rtl/>
      </w:rPr>
      <w:tab/>
      <w:t xml:space="preserve"> מדינת ישראל נ' ישראל יורוביץ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338A2" w14:textId="77777777" w:rsidR="004F3BFC" w:rsidRPr="004F3BFC" w:rsidRDefault="004F3BFC" w:rsidP="004F3B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23577-02-19</w:t>
    </w:r>
    <w:r>
      <w:rPr>
        <w:rFonts w:ascii="David" w:hAnsi="David"/>
        <w:color w:val="000000"/>
        <w:sz w:val="22"/>
        <w:szCs w:val="22"/>
        <w:rtl/>
      </w:rPr>
      <w:tab/>
      <w:t xml:space="preserve"> מדינת ישראל נ' ישראל יורוביץ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6565E"/>
    <w:multiLevelType w:val="hybridMultilevel"/>
    <w:tmpl w:val="D4F8E9FE"/>
    <w:lvl w:ilvl="0" w:tplc="4FC21532">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4B41038"/>
    <w:multiLevelType w:val="hybridMultilevel"/>
    <w:tmpl w:val="E3C6E02A"/>
    <w:lvl w:ilvl="0" w:tplc="1F1A834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1B15A01"/>
    <w:multiLevelType w:val="hybridMultilevel"/>
    <w:tmpl w:val="7674A9D8"/>
    <w:lvl w:ilvl="0" w:tplc="720EEF2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7184956">
    <w:abstractNumId w:val="2"/>
  </w:num>
  <w:num w:numId="2" w16cid:durableId="1907378725">
    <w:abstractNumId w:val="1"/>
  </w:num>
  <w:num w:numId="3" w16cid:durableId="74248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666F"/>
    <w:rsid w:val="00147E3F"/>
    <w:rsid w:val="001B5A3B"/>
    <w:rsid w:val="003A015B"/>
    <w:rsid w:val="004F3BFC"/>
    <w:rsid w:val="0063666F"/>
    <w:rsid w:val="00852EE4"/>
    <w:rsid w:val="009800C1"/>
    <w:rsid w:val="009E47F9"/>
    <w:rsid w:val="00AD1AB6"/>
    <w:rsid w:val="00B86815"/>
    <w:rsid w:val="00BB7F5C"/>
    <w:rsid w:val="00C70D63"/>
    <w:rsid w:val="00D25E32"/>
    <w:rsid w:val="00D66483"/>
    <w:rsid w:val="00E519D2"/>
    <w:rsid w:val="00EE071D"/>
    <w:rsid w:val="00F55B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6E9019"/>
  <w15:chartTrackingRefBased/>
  <w15:docId w15:val="{7E6A0600-6B5C-451D-803F-C8709F9B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66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3666F"/>
    <w:pPr>
      <w:tabs>
        <w:tab w:val="center" w:pos="4153"/>
        <w:tab w:val="right" w:pos="8306"/>
      </w:tabs>
    </w:pPr>
  </w:style>
  <w:style w:type="character" w:customStyle="1" w:styleId="a4">
    <w:name w:val="כותרת עליונה תו"/>
    <w:link w:val="a3"/>
    <w:rsid w:val="0063666F"/>
    <w:rPr>
      <w:rFonts w:ascii="Times New Roman" w:eastAsia="Times New Roman" w:hAnsi="Times New Roman" w:cs="David"/>
      <w:sz w:val="24"/>
      <w:szCs w:val="24"/>
    </w:rPr>
  </w:style>
  <w:style w:type="paragraph" w:styleId="a5">
    <w:name w:val="footer"/>
    <w:basedOn w:val="a"/>
    <w:link w:val="a6"/>
    <w:rsid w:val="0063666F"/>
    <w:pPr>
      <w:tabs>
        <w:tab w:val="center" w:pos="4153"/>
        <w:tab w:val="right" w:pos="8306"/>
      </w:tabs>
    </w:pPr>
  </w:style>
  <w:style w:type="character" w:customStyle="1" w:styleId="a6">
    <w:name w:val="כותרת תחתונה תו"/>
    <w:link w:val="a5"/>
    <w:rsid w:val="0063666F"/>
    <w:rPr>
      <w:rFonts w:ascii="Times New Roman" w:eastAsia="Times New Roman" w:hAnsi="Times New Roman" w:cs="David"/>
      <w:sz w:val="24"/>
      <w:szCs w:val="24"/>
    </w:rPr>
  </w:style>
  <w:style w:type="table" w:styleId="a7">
    <w:name w:val="Table Grid"/>
    <w:basedOn w:val="a1"/>
    <w:rsid w:val="006366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3666F"/>
  </w:style>
  <w:style w:type="paragraph" w:customStyle="1" w:styleId="12">
    <w:name w:val="רגיל + ‏12 נק'"/>
    <w:aliases w:val="מיושר לשני הצדדים,מרווח בין שורות:  שורה וחצי"/>
    <w:basedOn w:val="a"/>
    <w:rsid w:val="0063666F"/>
    <w:rPr>
      <w:b/>
      <w:bCs/>
      <w:u w:val="single"/>
    </w:rPr>
  </w:style>
  <w:style w:type="character" w:styleId="Hyperlink">
    <w:name w:val="Hyperlink"/>
    <w:rsid w:val="004F3B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2526505" TargetMode="External"/><Relationship Id="rId39" Type="http://schemas.openxmlformats.org/officeDocument/2006/relationships/hyperlink" Target="http://www.nevo.co.il/law/4216/6" TargetMode="External"/><Relationship Id="rId21" Type="http://schemas.openxmlformats.org/officeDocument/2006/relationships/hyperlink" Target="http://www.nevo.co.il/case/23827604" TargetMode="External"/><Relationship Id="rId34" Type="http://schemas.openxmlformats.org/officeDocument/2006/relationships/hyperlink" Target="http://www.nevo.co.il/law/4216/6" TargetMode="External"/><Relationship Id="rId42" Type="http://schemas.openxmlformats.org/officeDocument/2006/relationships/hyperlink" Target="http://www.nevo.co.il/law/4216/10" TargetMode="External"/><Relationship Id="rId47" Type="http://schemas.openxmlformats.org/officeDocument/2006/relationships/hyperlink" Target="http://www.nevo.co.il/law/4216"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9" Type="http://schemas.openxmlformats.org/officeDocument/2006/relationships/hyperlink" Target="https://www.nevo.co.il/psika_html/elyon/18060410-Q01.htm" TargetMode="External"/><Relationship Id="rId11" Type="http://schemas.openxmlformats.org/officeDocument/2006/relationships/hyperlink" Target="http://www.nevo.co.il/law/4216/9.a." TargetMode="External"/><Relationship Id="rId24" Type="http://schemas.openxmlformats.org/officeDocument/2006/relationships/hyperlink" Target="http://www.nevo.co.il/case/23840868"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7.a.;7.c" TargetMode="External"/><Relationship Id="rId40" Type="http://schemas.openxmlformats.org/officeDocument/2006/relationships/hyperlink" Target="http://www.nevo.co.il/law/4216/7.a.;7.c" TargetMode="External"/><Relationship Id="rId45" Type="http://schemas.openxmlformats.org/officeDocument/2006/relationships/hyperlink" Target="http://www.nevo.co.il/case/26535850"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case/27052935" TargetMode="External"/><Relationship Id="rId31" Type="http://schemas.openxmlformats.org/officeDocument/2006/relationships/hyperlink" Target="http://www.nevo.co.il/law/70301/400" TargetMode="External"/><Relationship Id="rId44" Type="http://schemas.openxmlformats.org/officeDocument/2006/relationships/hyperlink" Target="http://www.nevo.co.il/law/70301"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4929127" TargetMode="External"/><Relationship Id="rId27" Type="http://schemas.openxmlformats.org/officeDocument/2006/relationships/hyperlink" Target="http://www.nevo.co.il/case/20456248" TargetMode="External"/><Relationship Id="rId30" Type="http://schemas.openxmlformats.org/officeDocument/2006/relationships/hyperlink" Target="http://www.nevo.co.il/law/4216/6" TargetMode="External"/><Relationship Id="rId35" Type="http://schemas.openxmlformats.org/officeDocument/2006/relationships/hyperlink" Target="https://www.nevo.co.il/psika_html/shalom/SH-18-02-63596-888.htm" TargetMode="External"/><Relationship Id="rId43" Type="http://schemas.openxmlformats.org/officeDocument/2006/relationships/hyperlink" Target="http://www.nevo.co.il/law/70301/40d.a"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9.d"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23859425" TargetMode="External"/><Relationship Id="rId33" Type="http://schemas.openxmlformats.org/officeDocument/2006/relationships/hyperlink" Target="https://www.nevo.co.il/psika_html/mechozi/ME-19-04-14676-186.htm" TargetMode="External"/><Relationship Id="rId38" Type="http://schemas.openxmlformats.org/officeDocument/2006/relationships/hyperlink" Target="http://www.nevo.co.il/case/26896442"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yperlink" Target="http://www.nevo.co.il/law/4216/9.a.;9.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case/22110173" TargetMode="External"/><Relationship Id="rId28" Type="http://schemas.openxmlformats.org/officeDocument/2006/relationships/hyperlink" Target="http://www.nevo.co.il/case/3888303" TargetMode="External"/><Relationship Id="rId36" Type="http://schemas.openxmlformats.org/officeDocument/2006/relationships/hyperlink" Target="http://www.nevo.co.il/law/4216/6"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3410</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20425</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3604601</vt:i4>
      </vt:variant>
      <vt:variant>
        <vt:i4>114</vt:i4>
      </vt:variant>
      <vt:variant>
        <vt:i4>0</vt:i4>
      </vt:variant>
      <vt:variant>
        <vt:i4>5</vt:i4>
      </vt:variant>
      <vt:variant>
        <vt:lpwstr>http://www.nevo.co.il/case/26535850</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5177418</vt:i4>
      </vt:variant>
      <vt:variant>
        <vt:i4>105</vt:i4>
      </vt:variant>
      <vt:variant>
        <vt:i4>0</vt:i4>
      </vt:variant>
      <vt:variant>
        <vt:i4>5</vt:i4>
      </vt:variant>
      <vt:variant>
        <vt:lpwstr>http://www.nevo.co.il/law/4216/10</vt:lpwstr>
      </vt:variant>
      <vt:variant>
        <vt:lpwstr/>
      </vt:variant>
      <vt:variant>
        <vt:i4>3342451</vt:i4>
      </vt:variant>
      <vt:variant>
        <vt:i4>102</vt:i4>
      </vt:variant>
      <vt:variant>
        <vt:i4>0</vt:i4>
      </vt:variant>
      <vt:variant>
        <vt:i4>5</vt:i4>
      </vt:variant>
      <vt:variant>
        <vt:lpwstr>http://www.nevo.co.il/law/4216/9.a.;9.d</vt:lpwstr>
      </vt:variant>
      <vt:variant>
        <vt:lpwstr/>
      </vt:variant>
      <vt:variant>
        <vt:i4>3997821</vt:i4>
      </vt:variant>
      <vt:variant>
        <vt:i4>99</vt:i4>
      </vt:variant>
      <vt:variant>
        <vt:i4>0</vt:i4>
      </vt:variant>
      <vt:variant>
        <vt:i4>5</vt:i4>
      </vt:variant>
      <vt:variant>
        <vt:lpwstr>http://www.nevo.co.il/law/4216/7.a.;7.c</vt:lpwstr>
      </vt:variant>
      <vt:variant>
        <vt:lpwstr/>
      </vt:variant>
      <vt:variant>
        <vt:i4>4718666</vt:i4>
      </vt:variant>
      <vt:variant>
        <vt:i4>96</vt:i4>
      </vt:variant>
      <vt:variant>
        <vt:i4>0</vt:i4>
      </vt:variant>
      <vt:variant>
        <vt:i4>5</vt:i4>
      </vt:variant>
      <vt:variant>
        <vt:lpwstr>http://www.nevo.co.il/law/4216/6</vt:lpwstr>
      </vt:variant>
      <vt:variant>
        <vt:lpwstr/>
      </vt:variant>
      <vt:variant>
        <vt:i4>3670143</vt:i4>
      </vt:variant>
      <vt:variant>
        <vt:i4>93</vt:i4>
      </vt:variant>
      <vt:variant>
        <vt:i4>0</vt:i4>
      </vt:variant>
      <vt:variant>
        <vt:i4>5</vt:i4>
      </vt:variant>
      <vt:variant>
        <vt:lpwstr>http://www.nevo.co.il/case/26896442</vt:lpwstr>
      </vt:variant>
      <vt:variant>
        <vt:lpwstr/>
      </vt:variant>
      <vt:variant>
        <vt:i4>3997821</vt:i4>
      </vt:variant>
      <vt:variant>
        <vt:i4>90</vt:i4>
      </vt:variant>
      <vt:variant>
        <vt:i4>0</vt:i4>
      </vt:variant>
      <vt:variant>
        <vt:i4>5</vt:i4>
      </vt:variant>
      <vt:variant>
        <vt:lpwstr>http://www.nevo.co.il/law/4216/7.a.;7.c</vt:lpwstr>
      </vt:variant>
      <vt:variant>
        <vt:lpwstr/>
      </vt:variant>
      <vt:variant>
        <vt:i4>4718666</vt:i4>
      </vt:variant>
      <vt:variant>
        <vt:i4>87</vt:i4>
      </vt:variant>
      <vt:variant>
        <vt:i4>0</vt:i4>
      </vt:variant>
      <vt:variant>
        <vt:i4>5</vt:i4>
      </vt:variant>
      <vt:variant>
        <vt:lpwstr>http://www.nevo.co.il/law/4216/6</vt:lpwstr>
      </vt:variant>
      <vt:variant>
        <vt:lpwstr/>
      </vt:variant>
      <vt:variant>
        <vt:i4>6684745</vt:i4>
      </vt:variant>
      <vt:variant>
        <vt:i4>84</vt:i4>
      </vt:variant>
      <vt:variant>
        <vt:i4>0</vt:i4>
      </vt:variant>
      <vt:variant>
        <vt:i4>5</vt:i4>
      </vt:variant>
      <vt:variant>
        <vt:lpwstr>https://www.nevo.co.il/psika_html/shalom/SH-18-02-63596-888.htm</vt:lpwstr>
      </vt:variant>
      <vt:variant>
        <vt:lpwstr/>
      </vt:variant>
      <vt:variant>
        <vt:i4>4718666</vt:i4>
      </vt:variant>
      <vt:variant>
        <vt:i4>81</vt:i4>
      </vt:variant>
      <vt:variant>
        <vt:i4>0</vt:i4>
      </vt:variant>
      <vt:variant>
        <vt:i4>5</vt:i4>
      </vt:variant>
      <vt:variant>
        <vt:lpwstr>http://www.nevo.co.il/law/4216/6</vt:lpwstr>
      </vt:variant>
      <vt:variant>
        <vt:lpwstr/>
      </vt:variant>
      <vt:variant>
        <vt:i4>1507360</vt:i4>
      </vt:variant>
      <vt:variant>
        <vt:i4>78</vt:i4>
      </vt:variant>
      <vt:variant>
        <vt:i4>0</vt:i4>
      </vt:variant>
      <vt:variant>
        <vt:i4>5</vt:i4>
      </vt:variant>
      <vt:variant>
        <vt:lpwstr>https://www.nevo.co.il/psika_html/mechozi/ME-19-04-14676-186.htm</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http://www.nevo.co.il/law/70301/400</vt:lpwstr>
      </vt:variant>
      <vt:variant>
        <vt:lpwstr/>
      </vt:variant>
      <vt:variant>
        <vt:i4>4718666</vt:i4>
      </vt:variant>
      <vt:variant>
        <vt:i4>69</vt:i4>
      </vt:variant>
      <vt:variant>
        <vt:i4>0</vt:i4>
      </vt:variant>
      <vt:variant>
        <vt:i4>5</vt:i4>
      </vt:variant>
      <vt:variant>
        <vt:lpwstr>http://www.nevo.co.il/law/4216/6</vt:lpwstr>
      </vt:variant>
      <vt:variant>
        <vt:lpwstr/>
      </vt:variant>
      <vt:variant>
        <vt:i4>5374005</vt:i4>
      </vt:variant>
      <vt:variant>
        <vt:i4>66</vt:i4>
      </vt:variant>
      <vt:variant>
        <vt:i4>0</vt:i4>
      </vt:variant>
      <vt:variant>
        <vt:i4>5</vt:i4>
      </vt:variant>
      <vt:variant>
        <vt:lpwstr>https://www.nevo.co.il/psika_html/elyon/18060410-Q01.htm</vt:lpwstr>
      </vt:variant>
      <vt:variant>
        <vt:lpwstr/>
      </vt:variant>
      <vt:variant>
        <vt:i4>3866740</vt:i4>
      </vt:variant>
      <vt:variant>
        <vt:i4>63</vt:i4>
      </vt:variant>
      <vt:variant>
        <vt:i4>0</vt:i4>
      </vt:variant>
      <vt:variant>
        <vt:i4>5</vt:i4>
      </vt:variant>
      <vt:variant>
        <vt:lpwstr>http://www.nevo.co.il/case/3888303</vt:lpwstr>
      </vt:variant>
      <vt:variant>
        <vt:lpwstr/>
      </vt:variant>
      <vt:variant>
        <vt:i4>3407987</vt:i4>
      </vt:variant>
      <vt:variant>
        <vt:i4>60</vt:i4>
      </vt:variant>
      <vt:variant>
        <vt:i4>0</vt:i4>
      </vt:variant>
      <vt:variant>
        <vt:i4>5</vt:i4>
      </vt:variant>
      <vt:variant>
        <vt:lpwstr>http://www.nevo.co.il/case/20456248</vt:lpwstr>
      </vt:variant>
      <vt:variant>
        <vt:lpwstr/>
      </vt:variant>
      <vt:variant>
        <vt:i4>3211377</vt:i4>
      </vt:variant>
      <vt:variant>
        <vt:i4>57</vt:i4>
      </vt:variant>
      <vt:variant>
        <vt:i4>0</vt:i4>
      </vt:variant>
      <vt:variant>
        <vt:i4>5</vt:i4>
      </vt:variant>
      <vt:variant>
        <vt:lpwstr>http://www.nevo.co.il/case/22526505</vt:lpwstr>
      </vt:variant>
      <vt:variant>
        <vt:lpwstr/>
      </vt:variant>
      <vt:variant>
        <vt:i4>3211382</vt:i4>
      </vt:variant>
      <vt:variant>
        <vt:i4>54</vt:i4>
      </vt:variant>
      <vt:variant>
        <vt:i4>0</vt:i4>
      </vt:variant>
      <vt:variant>
        <vt:i4>5</vt:i4>
      </vt:variant>
      <vt:variant>
        <vt:lpwstr>http://www.nevo.co.il/case/23859425</vt:lpwstr>
      </vt:variant>
      <vt:variant>
        <vt:lpwstr/>
      </vt:variant>
      <vt:variant>
        <vt:i4>3932283</vt:i4>
      </vt:variant>
      <vt:variant>
        <vt:i4>51</vt:i4>
      </vt:variant>
      <vt:variant>
        <vt:i4>0</vt:i4>
      </vt:variant>
      <vt:variant>
        <vt:i4>5</vt:i4>
      </vt:variant>
      <vt:variant>
        <vt:lpwstr>http://www.nevo.co.il/case/23840868</vt:lpwstr>
      </vt:variant>
      <vt:variant>
        <vt:lpwstr/>
      </vt:variant>
      <vt:variant>
        <vt:i4>3407990</vt:i4>
      </vt:variant>
      <vt:variant>
        <vt:i4>48</vt:i4>
      </vt:variant>
      <vt:variant>
        <vt:i4>0</vt:i4>
      </vt:variant>
      <vt:variant>
        <vt:i4>5</vt:i4>
      </vt:variant>
      <vt:variant>
        <vt:lpwstr>http://www.nevo.co.il/case/22110173</vt:lpwstr>
      </vt:variant>
      <vt:variant>
        <vt:lpwstr/>
      </vt:variant>
      <vt:variant>
        <vt:i4>3145843</vt:i4>
      </vt:variant>
      <vt:variant>
        <vt:i4>45</vt:i4>
      </vt:variant>
      <vt:variant>
        <vt:i4>0</vt:i4>
      </vt:variant>
      <vt:variant>
        <vt:i4>5</vt:i4>
      </vt:variant>
      <vt:variant>
        <vt:lpwstr>http://www.nevo.co.il/case/24929127</vt:lpwstr>
      </vt:variant>
      <vt:variant>
        <vt:lpwstr/>
      </vt:variant>
      <vt:variant>
        <vt:i4>3997811</vt:i4>
      </vt:variant>
      <vt:variant>
        <vt:i4>42</vt:i4>
      </vt:variant>
      <vt:variant>
        <vt:i4>0</vt:i4>
      </vt:variant>
      <vt:variant>
        <vt:i4>5</vt:i4>
      </vt:variant>
      <vt:variant>
        <vt:lpwstr>http://www.nevo.co.il/case/23827604</vt:lpwstr>
      </vt:variant>
      <vt:variant>
        <vt:lpwstr/>
      </vt:variant>
      <vt:variant>
        <vt:i4>8257637</vt:i4>
      </vt:variant>
      <vt:variant>
        <vt:i4>39</vt:i4>
      </vt:variant>
      <vt:variant>
        <vt:i4>0</vt:i4>
      </vt:variant>
      <vt:variant>
        <vt:i4>5</vt:i4>
      </vt:variant>
      <vt:variant>
        <vt:lpwstr>http://www.nevo.co.il/law/4216</vt:lpwstr>
      </vt:variant>
      <vt:variant>
        <vt:lpwstr/>
      </vt:variant>
      <vt:variant>
        <vt:i4>3342463</vt:i4>
      </vt:variant>
      <vt:variant>
        <vt:i4>36</vt:i4>
      </vt:variant>
      <vt:variant>
        <vt:i4>0</vt:i4>
      </vt:variant>
      <vt:variant>
        <vt:i4>5</vt:i4>
      </vt:variant>
      <vt:variant>
        <vt:lpwstr>http://www.nevo.co.il/case/27052935</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2025-04-23T00:03:00Z</dcterms:created>
  <dcterms:modified xsi:type="dcterms:W3CDTF">2025-04-23T00:03:00Z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23577</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ישראל יורוביץ</vt:lpwstr>
  </property>
  <property fmtid="{D5CDD505-2E9C-101B-9397-08002B2CF9AE}" pid="10" name="LAWYER">
    <vt:lpwstr>שחר לדובסקי;טל ליטן</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20210309</vt:lpwstr>
  </property>
  <property fmtid="{D5CDD505-2E9C-101B-9397-08002B2CF9AE}" pid="14" name="TYPE_N_DATE">
    <vt:lpwstr>38020210309</vt:lpwstr>
  </property>
  <property fmtid="{D5CDD505-2E9C-101B-9397-08002B2CF9AE}" pid="15" name="WORDNUMPAGES">
    <vt:lpwstr>12</vt:lpwstr>
  </property>
  <property fmtid="{D5CDD505-2E9C-101B-9397-08002B2CF9AE}" pid="16" name="TYPE_ABS_DATE">
    <vt:lpwstr>380020210309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27052935;23827604;24929127;22110173;23840868;23859425;22526505;20456248;3888303;26896442;26535850</vt:lpwstr>
  </property>
  <property fmtid="{D5CDD505-2E9C-101B-9397-08002B2CF9AE}" pid="36" name="LAWLISTTMP1">
    <vt:lpwstr>4216/006:5;007.a:2;007.c:2;009.a;009.d;010</vt:lpwstr>
  </property>
  <property fmtid="{D5CDD505-2E9C-101B-9397-08002B2CF9AE}" pid="37" name="LAWLISTTMP2">
    <vt:lpwstr>70301/400;040d.a</vt:lpwstr>
  </property>
</Properties>
</file>