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4E2E25" w:rsidRPr="00AE477D" w14:paraId="332CFE49" w14:textId="77777777" w:rsidTr="001026DE">
        <w:trPr>
          <w:trHeight w:hRule="exact" w:val="418"/>
          <w:jc w:val="center"/>
        </w:trPr>
        <w:tc>
          <w:tcPr>
            <w:tcW w:w="8721" w:type="dxa"/>
            <w:gridSpan w:val="2"/>
          </w:tcPr>
          <w:p w14:paraId="5E2E5984" w14:textId="77777777" w:rsidR="004E2E25" w:rsidRPr="00AE477D" w:rsidRDefault="004E2E25" w:rsidP="00BF66CF">
            <w:pPr>
              <w:pStyle w:val="a3"/>
              <w:jc w:val="center"/>
              <w:rPr>
                <w:rFonts w:ascii="Tahoma" w:hAnsi="Tahoma" w:cs="Tahoma"/>
                <w:color w:val="000080"/>
                <w:rtl/>
              </w:rPr>
            </w:pPr>
            <w:bookmarkStart w:id="0" w:name="FirstLawyer"/>
            <w:bookmarkStart w:id="1" w:name="LastJudge"/>
            <w:r w:rsidRPr="00AE477D">
              <w:rPr>
                <w:rFonts w:ascii="FrankRuehl" w:hAnsi="FrankRuehl" w:cs="FrankRuehl"/>
                <w:b/>
                <w:bCs/>
                <w:color w:val="000080"/>
                <w:sz w:val="28"/>
                <w:szCs w:val="28"/>
                <w:rtl/>
              </w:rPr>
              <w:t>בית משפט השלום בירושלים</w:t>
            </w:r>
          </w:p>
        </w:tc>
      </w:tr>
      <w:tr w:rsidR="004E2E25" w:rsidRPr="00AE477D" w14:paraId="5D099854" w14:textId="77777777" w:rsidTr="001026DE">
        <w:trPr>
          <w:trHeight w:val="337"/>
          <w:jc w:val="center"/>
        </w:trPr>
        <w:tc>
          <w:tcPr>
            <w:tcW w:w="5063" w:type="dxa"/>
          </w:tcPr>
          <w:p w14:paraId="60240E7C" w14:textId="77777777" w:rsidR="004E2E25" w:rsidRPr="00AE477D" w:rsidRDefault="004E2E25" w:rsidP="00BF66CF">
            <w:pPr>
              <w:rPr>
                <w:rFonts w:cs="FrankRuehl"/>
                <w:sz w:val="28"/>
                <w:szCs w:val="28"/>
                <w:rtl/>
              </w:rPr>
            </w:pPr>
            <w:r w:rsidRPr="00AE477D">
              <w:rPr>
                <w:rFonts w:cs="FrankRuehl"/>
                <w:sz w:val="28"/>
                <w:szCs w:val="28"/>
                <w:rtl/>
              </w:rPr>
              <w:t>ת"פ</w:t>
            </w:r>
            <w:r w:rsidRPr="00AE477D">
              <w:rPr>
                <w:rFonts w:cs="FrankRuehl" w:hint="cs"/>
                <w:sz w:val="28"/>
                <w:szCs w:val="28"/>
                <w:rtl/>
              </w:rPr>
              <w:t xml:space="preserve"> </w:t>
            </w:r>
            <w:r w:rsidRPr="00AE477D">
              <w:rPr>
                <w:rFonts w:cs="FrankRuehl"/>
                <w:sz w:val="28"/>
                <w:szCs w:val="28"/>
                <w:rtl/>
              </w:rPr>
              <w:t>375-02-19</w:t>
            </w:r>
            <w:r w:rsidRPr="00AE477D">
              <w:rPr>
                <w:rFonts w:cs="FrankRuehl" w:hint="cs"/>
                <w:sz w:val="28"/>
                <w:szCs w:val="28"/>
                <w:rtl/>
              </w:rPr>
              <w:t xml:space="preserve"> </w:t>
            </w:r>
            <w:r w:rsidRPr="00AE477D">
              <w:rPr>
                <w:rFonts w:cs="FrankRuehl"/>
                <w:sz w:val="28"/>
                <w:szCs w:val="28"/>
                <w:rtl/>
              </w:rPr>
              <w:t>מדינת ישראל נ' אבו אלהוה(אחר/נוסף)</w:t>
            </w:r>
          </w:p>
          <w:p w14:paraId="624C8E53" w14:textId="77777777" w:rsidR="004E2E25" w:rsidRPr="00AE477D" w:rsidRDefault="004E2E25" w:rsidP="00BF66CF">
            <w:pPr>
              <w:pStyle w:val="a3"/>
              <w:rPr>
                <w:rFonts w:cs="FrankRuehl"/>
                <w:sz w:val="28"/>
                <w:szCs w:val="28"/>
                <w:rtl/>
              </w:rPr>
            </w:pPr>
          </w:p>
        </w:tc>
        <w:tc>
          <w:tcPr>
            <w:tcW w:w="3658" w:type="dxa"/>
          </w:tcPr>
          <w:p w14:paraId="2DFCF9D8" w14:textId="77777777" w:rsidR="004E2E25" w:rsidRPr="00AE477D" w:rsidRDefault="004E2E25" w:rsidP="00BF66CF">
            <w:pPr>
              <w:pStyle w:val="a3"/>
              <w:jc w:val="right"/>
              <w:rPr>
                <w:rFonts w:cs="FrankRuehl"/>
                <w:sz w:val="28"/>
                <w:szCs w:val="28"/>
                <w:rtl/>
              </w:rPr>
            </w:pPr>
          </w:p>
        </w:tc>
      </w:tr>
    </w:tbl>
    <w:p w14:paraId="5425A595" w14:textId="77777777" w:rsidR="004E2E25" w:rsidRPr="00AE477D" w:rsidRDefault="004E2E25" w:rsidP="004E2E25">
      <w:pPr>
        <w:pStyle w:val="a3"/>
        <w:rPr>
          <w:rtl/>
        </w:rPr>
      </w:pPr>
      <w:r w:rsidRPr="00AE477D">
        <w:rPr>
          <w:rFonts w:hint="cs"/>
          <w:rtl/>
        </w:rPr>
        <w:t xml:space="preserve"> </w:t>
      </w:r>
    </w:p>
    <w:p w14:paraId="434E2184" w14:textId="77777777" w:rsidR="004E2E25" w:rsidRPr="00AE477D" w:rsidRDefault="004E2E25" w:rsidP="004E2E25">
      <w:pPr>
        <w:rPr>
          <w:rtl/>
        </w:rPr>
      </w:pPr>
    </w:p>
    <w:p w14:paraId="27689D5F" w14:textId="77777777" w:rsidR="004E2E25" w:rsidRPr="00AE477D" w:rsidRDefault="004E2E25" w:rsidP="004E2E2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E2E25" w:rsidRPr="00AE477D" w14:paraId="23C3E7A6" w14:textId="77777777" w:rsidTr="004E2E25">
        <w:trPr>
          <w:trHeight w:val="295"/>
          <w:jc w:val="center"/>
        </w:trPr>
        <w:tc>
          <w:tcPr>
            <w:tcW w:w="923" w:type="dxa"/>
            <w:tcBorders>
              <w:top w:val="nil"/>
              <w:left w:val="nil"/>
              <w:bottom w:val="nil"/>
              <w:right w:val="nil"/>
            </w:tcBorders>
            <w:shd w:val="clear" w:color="auto" w:fill="auto"/>
          </w:tcPr>
          <w:p w14:paraId="736A05DF" w14:textId="77777777" w:rsidR="004E2E25" w:rsidRPr="00AE477D" w:rsidRDefault="004E2E25" w:rsidP="004E2E25">
            <w:pPr>
              <w:jc w:val="both"/>
              <w:rPr>
                <w:rFonts w:ascii="FrankRuehl" w:hAnsi="FrankRuehl" w:cs="FrankRuehl"/>
                <w:b/>
                <w:bCs/>
                <w:sz w:val="28"/>
                <w:szCs w:val="28"/>
              </w:rPr>
            </w:pPr>
            <w:r w:rsidRPr="00AE477D">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5703D57" w14:textId="77777777" w:rsidR="004E2E25" w:rsidRPr="00AE477D" w:rsidRDefault="004E2E25" w:rsidP="00BF66CF">
            <w:pPr>
              <w:rPr>
                <w:rFonts w:ascii="FrankRuehl" w:hAnsi="FrankRuehl" w:cs="FrankRuehl"/>
                <w:b/>
                <w:bCs/>
                <w:sz w:val="28"/>
                <w:szCs w:val="28"/>
                <w:rtl/>
              </w:rPr>
            </w:pPr>
            <w:r w:rsidRPr="00AE477D">
              <w:rPr>
                <w:rFonts w:ascii="FrankRuehl" w:hAnsi="FrankRuehl" w:cs="FrankRuehl"/>
                <w:b/>
                <w:bCs/>
                <w:sz w:val="28"/>
                <w:szCs w:val="28"/>
                <w:rtl/>
              </w:rPr>
              <w:t>כבוד השופט  דוד שאול גבאי ריכטר</w:t>
            </w:r>
          </w:p>
          <w:p w14:paraId="7DEDF9DC" w14:textId="77777777" w:rsidR="004E2E25" w:rsidRPr="00AE477D" w:rsidRDefault="004E2E25" w:rsidP="00BF66CF">
            <w:pPr>
              <w:rPr>
                <w:rFonts w:ascii="FrankRuehl" w:hAnsi="FrankRuehl" w:cs="FrankRuehl"/>
                <w:b/>
                <w:bCs/>
                <w:sz w:val="28"/>
                <w:szCs w:val="28"/>
                <w:rtl/>
              </w:rPr>
            </w:pPr>
          </w:p>
          <w:p w14:paraId="2D976329" w14:textId="77777777" w:rsidR="004E2E25" w:rsidRPr="00AE477D" w:rsidRDefault="004E2E25" w:rsidP="004E2E25">
            <w:pPr>
              <w:jc w:val="both"/>
              <w:rPr>
                <w:rFonts w:ascii="FrankRuehl" w:hAnsi="FrankRuehl" w:cs="FrankRuehl"/>
                <w:b/>
                <w:bCs/>
                <w:sz w:val="28"/>
                <w:szCs w:val="28"/>
              </w:rPr>
            </w:pPr>
          </w:p>
        </w:tc>
      </w:tr>
      <w:tr w:rsidR="004E2E25" w:rsidRPr="00AE477D" w14:paraId="029067D1" w14:textId="77777777" w:rsidTr="004E2E25">
        <w:trPr>
          <w:trHeight w:val="355"/>
          <w:jc w:val="center"/>
        </w:trPr>
        <w:tc>
          <w:tcPr>
            <w:tcW w:w="923" w:type="dxa"/>
            <w:tcBorders>
              <w:top w:val="nil"/>
              <w:left w:val="nil"/>
              <w:bottom w:val="nil"/>
              <w:right w:val="nil"/>
            </w:tcBorders>
            <w:shd w:val="clear" w:color="auto" w:fill="auto"/>
          </w:tcPr>
          <w:p w14:paraId="2D9A9749" w14:textId="77777777" w:rsidR="004E2E25" w:rsidRPr="00AE477D" w:rsidRDefault="004E2E25" w:rsidP="004E2E25">
            <w:pPr>
              <w:jc w:val="both"/>
              <w:rPr>
                <w:rFonts w:ascii="FrankRuehl" w:hAnsi="FrankRuehl" w:cs="FrankRuehl"/>
                <w:b/>
                <w:bCs/>
                <w:sz w:val="28"/>
                <w:szCs w:val="28"/>
              </w:rPr>
            </w:pPr>
            <w:bookmarkStart w:id="2" w:name="FirstAppellant"/>
            <w:r w:rsidRPr="00AE477D">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1EAA860A" w14:textId="77777777" w:rsidR="004E2E25" w:rsidRPr="00AE477D" w:rsidRDefault="004E2E25" w:rsidP="00BF66CF">
            <w:pPr>
              <w:rPr>
                <w:rFonts w:ascii="FrankRuehl" w:hAnsi="FrankRuehl" w:cs="FrankRuehl"/>
                <w:b/>
                <w:bCs/>
                <w:sz w:val="28"/>
                <w:szCs w:val="28"/>
              </w:rPr>
            </w:pPr>
            <w:r w:rsidRPr="00AE477D">
              <w:rPr>
                <w:rFonts w:ascii="FrankRuehl" w:hAnsi="FrankRuehl" w:cs="FrankRuehl"/>
                <w:b/>
                <w:bCs/>
                <w:sz w:val="28"/>
                <w:szCs w:val="28"/>
                <w:rtl/>
              </w:rPr>
              <w:t>מדינת ישראל</w:t>
            </w:r>
            <w:r w:rsidRPr="00AE477D">
              <w:rPr>
                <w:rFonts w:ascii="FrankRuehl" w:hAnsi="FrankRuehl" w:cs="FrankRuehl"/>
                <w:b/>
                <w:bCs/>
                <w:sz w:val="28"/>
                <w:szCs w:val="28"/>
                <w:rtl/>
              </w:rPr>
              <w:br/>
            </w:r>
            <w:r w:rsidRPr="00AE477D">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0EE50228" w14:textId="77777777" w:rsidR="004E2E25" w:rsidRPr="00AE477D" w:rsidRDefault="004E2E25" w:rsidP="004E2E25">
            <w:pPr>
              <w:jc w:val="both"/>
              <w:rPr>
                <w:rFonts w:ascii="FrankRuehl" w:hAnsi="FrankRuehl" w:cs="FrankRuehl"/>
                <w:b/>
                <w:bCs/>
                <w:sz w:val="28"/>
                <w:szCs w:val="28"/>
              </w:rPr>
            </w:pPr>
          </w:p>
        </w:tc>
      </w:tr>
      <w:bookmarkEnd w:id="2"/>
      <w:tr w:rsidR="004E2E25" w:rsidRPr="00AE477D" w14:paraId="1534A60B" w14:textId="77777777" w:rsidTr="004E2E25">
        <w:trPr>
          <w:trHeight w:val="355"/>
          <w:jc w:val="center"/>
        </w:trPr>
        <w:tc>
          <w:tcPr>
            <w:tcW w:w="923" w:type="dxa"/>
            <w:tcBorders>
              <w:top w:val="nil"/>
              <w:left w:val="nil"/>
              <w:bottom w:val="nil"/>
              <w:right w:val="nil"/>
            </w:tcBorders>
            <w:shd w:val="clear" w:color="auto" w:fill="auto"/>
          </w:tcPr>
          <w:p w14:paraId="78EB61A3" w14:textId="77777777" w:rsidR="004E2E25" w:rsidRPr="00AE477D" w:rsidRDefault="004E2E25" w:rsidP="004E2E2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790DAA91" w14:textId="77777777" w:rsidR="004E2E25" w:rsidRPr="00AE477D" w:rsidRDefault="004E2E25" w:rsidP="004E2E2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1C55734A" w14:textId="77777777" w:rsidR="004E2E25" w:rsidRPr="00AE477D" w:rsidRDefault="004E2E25" w:rsidP="004E2E25">
            <w:pPr>
              <w:jc w:val="right"/>
              <w:rPr>
                <w:rFonts w:ascii="FrankRuehl" w:hAnsi="FrankRuehl" w:cs="FrankRuehl"/>
                <w:b/>
                <w:bCs/>
                <w:sz w:val="28"/>
                <w:szCs w:val="28"/>
                <w:rtl/>
              </w:rPr>
            </w:pPr>
            <w:r w:rsidRPr="00AE477D">
              <w:rPr>
                <w:rFonts w:ascii="FrankRuehl" w:hAnsi="FrankRuehl" w:cs="FrankRuehl"/>
                <w:b/>
                <w:bCs/>
                <w:sz w:val="28"/>
                <w:szCs w:val="28"/>
                <w:rtl/>
              </w:rPr>
              <w:t>המאשימה</w:t>
            </w:r>
          </w:p>
        </w:tc>
      </w:tr>
      <w:tr w:rsidR="004E2E25" w:rsidRPr="00AE477D" w14:paraId="508E396E" w14:textId="77777777" w:rsidTr="004E2E25">
        <w:trPr>
          <w:trHeight w:val="355"/>
          <w:jc w:val="center"/>
        </w:trPr>
        <w:tc>
          <w:tcPr>
            <w:tcW w:w="923" w:type="dxa"/>
            <w:tcBorders>
              <w:top w:val="nil"/>
              <w:left w:val="nil"/>
              <w:bottom w:val="nil"/>
              <w:right w:val="nil"/>
            </w:tcBorders>
            <w:shd w:val="clear" w:color="auto" w:fill="auto"/>
          </w:tcPr>
          <w:p w14:paraId="1FD2A467" w14:textId="77777777" w:rsidR="004E2E25" w:rsidRPr="00AE477D" w:rsidRDefault="004E2E25" w:rsidP="004E2E25">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6EF9C3EE" w14:textId="77777777" w:rsidR="004E2E25" w:rsidRPr="00AE477D" w:rsidRDefault="004E2E25" w:rsidP="004E2E25">
            <w:pPr>
              <w:jc w:val="center"/>
              <w:rPr>
                <w:rFonts w:ascii="FrankRuehl" w:hAnsi="FrankRuehl" w:cs="FrankRuehl"/>
                <w:b/>
                <w:bCs/>
                <w:sz w:val="28"/>
                <w:szCs w:val="28"/>
                <w:rtl/>
              </w:rPr>
            </w:pPr>
          </w:p>
          <w:p w14:paraId="7EDE6A5B" w14:textId="77777777" w:rsidR="004E2E25" w:rsidRPr="00AE477D" w:rsidRDefault="004E2E25" w:rsidP="004E2E25">
            <w:pPr>
              <w:jc w:val="center"/>
              <w:rPr>
                <w:rFonts w:ascii="FrankRuehl" w:hAnsi="FrankRuehl" w:cs="FrankRuehl"/>
                <w:b/>
                <w:bCs/>
                <w:sz w:val="28"/>
                <w:szCs w:val="28"/>
                <w:rtl/>
              </w:rPr>
            </w:pPr>
            <w:r w:rsidRPr="00AE477D">
              <w:rPr>
                <w:rFonts w:ascii="FrankRuehl" w:hAnsi="FrankRuehl" w:cs="FrankRuehl"/>
                <w:b/>
                <w:bCs/>
                <w:sz w:val="28"/>
                <w:szCs w:val="28"/>
                <w:rtl/>
              </w:rPr>
              <w:t>נגד</w:t>
            </w:r>
          </w:p>
          <w:p w14:paraId="35A330A7" w14:textId="77777777" w:rsidR="004E2E25" w:rsidRPr="00AE477D" w:rsidRDefault="004E2E25" w:rsidP="004E2E25">
            <w:pPr>
              <w:jc w:val="both"/>
              <w:rPr>
                <w:rFonts w:ascii="FrankRuehl" w:hAnsi="FrankRuehl" w:cs="FrankRuehl"/>
                <w:b/>
                <w:bCs/>
                <w:sz w:val="28"/>
                <w:szCs w:val="28"/>
              </w:rPr>
            </w:pPr>
          </w:p>
        </w:tc>
      </w:tr>
      <w:tr w:rsidR="004E2E25" w:rsidRPr="00AE477D" w14:paraId="2EA8190D" w14:textId="77777777" w:rsidTr="004E2E25">
        <w:trPr>
          <w:trHeight w:val="355"/>
          <w:jc w:val="center"/>
        </w:trPr>
        <w:tc>
          <w:tcPr>
            <w:tcW w:w="923" w:type="dxa"/>
            <w:tcBorders>
              <w:top w:val="nil"/>
              <w:left w:val="nil"/>
              <w:bottom w:val="nil"/>
              <w:right w:val="nil"/>
            </w:tcBorders>
            <w:shd w:val="clear" w:color="auto" w:fill="auto"/>
          </w:tcPr>
          <w:p w14:paraId="7B3E04BA" w14:textId="77777777" w:rsidR="004E2E25" w:rsidRPr="00AE477D" w:rsidRDefault="004E2E25" w:rsidP="00BF66CF">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1548569F" w14:textId="77777777" w:rsidR="004E2E25" w:rsidRPr="00AE477D" w:rsidRDefault="004E2E25" w:rsidP="00BF66CF">
            <w:pPr>
              <w:rPr>
                <w:rFonts w:ascii="FrankRuehl" w:hAnsi="FrankRuehl" w:cs="FrankRuehl"/>
                <w:b/>
                <w:bCs/>
                <w:sz w:val="28"/>
                <w:szCs w:val="28"/>
                <w:rtl/>
              </w:rPr>
            </w:pPr>
            <w:r w:rsidRPr="00AE477D">
              <w:rPr>
                <w:rFonts w:ascii="FrankRuehl" w:hAnsi="FrankRuehl" w:cs="FrankRuehl"/>
                <w:b/>
                <w:bCs/>
                <w:sz w:val="28"/>
                <w:szCs w:val="28"/>
                <w:rtl/>
              </w:rPr>
              <w:t>ח</w:t>
            </w:r>
            <w:r w:rsidRPr="00AE477D">
              <w:rPr>
                <w:rFonts w:ascii="FrankRuehl" w:hAnsi="FrankRuehl" w:cs="FrankRuehl" w:hint="cs"/>
                <w:b/>
                <w:bCs/>
                <w:sz w:val="28"/>
                <w:szCs w:val="28"/>
                <w:rtl/>
              </w:rPr>
              <w:t>'</w:t>
            </w:r>
            <w:r w:rsidRPr="00AE477D">
              <w:rPr>
                <w:rFonts w:ascii="FrankRuehl" w:hAnsi="FrankRuehl" w:cs="FrankRuehl"/>
                <w:b/>
                <w:bCs/>
                <w:sz w:val="28"/>
                <w:szCs w:val="28"/>
                <w:rtl/>
              </w:rPr>
              <w:t>אלד אבו אלהוה</w:t>
            </w:r>
            <w:r w:rsidRPr="00AE477D">
              <w:rPr>
                <w:rFonts w:ascii="FrankRuehl" w:hAnsi="FrankRuehl" w:cs="FrankRuehl" w:hint="cs"/>
                <w:b/>
                <w:bCs/>
                <w:sz w:val="28"/>
                <w:szCs w:val="28"/>
                <w:rtl/>
              </w:rPr>
              <w:t>,</w:t>
            </w:r>
            <w:r w:rsidRPr="00AE477D">
              <w:rPr>
                <w:rFonts w:ascii="FrankRuehl" w:hAnsi="FrankRuehl" w:cs="FrankRuehl"/>
                <w:b/>
                <w:bCs/>
                <w:sz w:val="28"/>
                <w:szCs w:val="28"/>
                <w:rtl/>
              </w:rPr>
              <w:t xml:space="preserve"> </w:t>
            </w:r>
            <w:r w:rsidRPr="00AE477D">
              <w:rPr>
                <w:rFonts w:ascii="FrankRuehl" w:hAnsi="FrankRuehl" w:cs="FrankRuehl" w:hint="cs"/>
                <w:b/>
                <w:bCs/>
                <w:sz w:val="28"/>
                <w:szCs w:val="28"/>
                <w:rtl/>
              </w:rPr>
              <w:t xml:space="preserve">ת"ז </w:t>
            </w:r>
            <w:r w:rsidR="00AE477D">
              <w:rPr>
                <w:rFonts w:ascii="FrankRuehl" w:hAnsi="FrankRuehl" w:cs="FrankRuehl"/>
                <w:b/>
                <w:bCs/>
                <w:sz w:val="28"/>
                <w:szCs w:val="28"/>
              </w:rPr>
              <w:t>xxxxxxxxx</w:t>
            </w:r>
            <w:r w:rsidRPr="00AE477D">
              <w:rPr>
                <w:rFonts w:ascii="FrankRuehl" w:hAnsi="FrankRuehl" w:cs="FrankRuehl"/>
                <w:b/>
                <w:bCs/>
                <w:sz w:val="28"/>
                <w:szCs w:val="28"/>
                <w:rtl/>
              </w:rPr>
              <w:br/>
              <w:t>ע"י ב"כ עוה"ד יעקב ג'בר</w:t>
            </w:r>
          </w:p>
        </w:tc>
        <w:tc>
          <w:tcPr>
            <w:tcW w:w="3771" w:type="dxa"/>
            <w:tcBorders>
              <w:top w:val="nil"/>
              <w:left w:val="nil"/>
              <w:bottom w:val="nil"/>
              <w:right w:val="nil"/>
            </w:tcBorders>
            <w:shd w:val="clear" w:color="auto" w:fill="auto"/>
          </w:tcPr>
          <w:p w14:paraId="132FDFC4" w14:textId="77777777" w:rsidR="004E2E25" w:rsidRPr="00AE477D" w:rsidRDefault="004E2E25" w:rsidP="004E2E25">
            <w:pPr>
              <w:jc w:val="right"/>
              <w:rPr>
                <w:rFonts w:ascii="FrankRuehl" w:hAnsi="FrankRuehl" w:cs="FrankRuehl"/>
                <w:b/>
                <w:bCs/>
                <w:sz w:val="28"/>
                <w:szCs w:val="28"/>
              </w:rPr>
            </w:pPr>
          </w:p>
        </w:tc>
      </w:tr>
      <w:tr w:rsidR="004E2E25" w:rsidRPr="00AE477D" w14:paraId="5F4CF659" w14:textId="77777777" w:rsidTr="004E2E25">
        <w:trPr>
          <w:trHeight w:val="355"/>
          <w:jc w:val="center"/>
        </w:trPr>
        <w:tc>
          <w:tcPr>
            <w:tcW w:w="923" w:type="dxa"/>
            <w:tcBorders>
              <w:top w:val="nil"/>
              <w:left w:val="nil"/>
              <w:bottom w:val="nil"/>
              <w:right w:val="nil"/>
            </w:tcBorders>
            <w:shd w:val="clear" w:color="auto" w:fill="auto"/>
          </w:tcPr>
          <w:p w14:paraId="01D5E011" w14:textId="77777777" w:rsidR="004E2E25" w:rsidRPr="00AE477D" w:rsidRDefault="004E2E25" w:rsidP="004E2E2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501A593" w14:textId="77777777" w:rsidR="004E2E25" w:rsidRPr="00AE477D" w:rsidRDefault="004E2E25" w:rsidP="004E2E2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2B39B121" w14:textId="77777777" w:rsidR="004E2E25" w:rsidRPr="00AE477D" w:rsidRDefault="004E2E25" w:rsidP="004E2E25">
            <w:pPr>
              <w:jc w:val="right"/>
              <w:rPr>
                <w:rFonts w:ascii="FrankRuehl" w:hAnsi="FrankRuehl" w:cs="FrankRuehl"/>
                <w:b/>
                <w:bCs/>
                <w:sz w:val="28"/>
                <w:szCs w:val="28"/>
              </w:rPr>
            </w:pPr>
            <w:r w:rsidRPr="00AE477D">
              <w:rPr>
                <w:rFonts w:ascii="FrankRuehl" w:hAnsi="FrankRuehl" w:cs="FrankRuehl"/>
                <w:b/>
                <w:bCs/>
                <w:sz w:val="28"/>
                <w:szCs w:val="28"/>
                <w:rtl/>
              </w:rPr>
              <w:t xml:space="preserve">הנאשם </w:t>
            </w:r>
          </w:p>
        </w:tc>
      </w:tr>
    </w:tbl>
    <w:p w14:paraId="2693AE34" w14:textId="77777777" w:rsidR="001026DE" w:rsidRDefault="001026DE" w:rsidP="00AE477D">
      <w:pPr>
        <w:rPr>
          <w:rtl/>
        </w:rPr>
      </w:pPr>
    </w:p>
    <w:p w14:paraId="0A8ED869" w14:textId="77777777" w:rsidR="001026DE" w:rsidRPr="001026DE" w:rsidRDefault="001026DE" w:rsidP="001026DE">
      <w:pPr>
        <w:spacing w:after="120" w:line="240" w:lineRule="exact"/>
        <w:ind w:left="283" w:hanging="283"/>
        <w:jc w:val="both"/>
        <w:rPr>
          <w:rFonts w:ascii="FrankRuehl" w:hAnsi="FrankRuehl" w:cs="FrankRuehl"/>
          <w:rtl/>
        </w:rPr>
      </w:pPr>
    </w:p>
    <w:p w14:paraId="2510ED9E" w14:textId="77777777" w:rsidR="0016617F" w:rsidRDefault="0016617F" w:rsidP="0016617F">
      <w:pPr>
        <w:rPr>
          <w:rtl/>
        </w:rPr>
      </w:pPr>
      <w:bookmarkStart w:id="3" w:name="LawTable"/>
      <w:bookmarkEnd w:id="3"/>
    </w:p>
    <w:p w14:paraId="15788617" w14:textId="77777777" w:rsidR="0016617F" w:rsidRPr="0016617F" w:rsidRDefault="0016617F" w:rsidP="0016617F">
      <w:pPr>
        <w:spacing w:before="120" w:after="120" w:line="240" w:lineRule="exact"/>
        <w:ind w:left="283" w:hanging="283"/>
        <w:jc w:val="both"/>
        <w:rPr>
          <w:rFonts w:ascii="FrankRuehl" w:hAnsi="FrankRuehl" w:cs="FrankRuehl"/>
          <w:rtl/>
        </w:rPr>
      </w:pPr>
    </w:p>
    <w:p w14:paraId="4BBCE2F7" w14:textId="77777777" w:rsidR="0016617F" w:rsidRPr="0016617F" w:rsidRDefault="0016617F" w:rsidP="0016617F">
      <w:pPr>
        <w:spacing w:before="120" w:after="120" w:line="240" w:lineRule="exact"/>
        <w:ind w:left="283" w:hanging="283"/>
        <w:jc w:val="both"/>
        <w:rPr>
          <w:rFonts w:ascii="FrankRuehl" w:hAnsi="FrankRuehl" w:cs="FrankRuehl"/>
          <w:rtl/>
        </w:rPr>
      </w:pPr>
    </w:p>
    <w:p w14:paraId="285C09EE" w14:textId="77777777" w:rsidR="0016617F" w:rsidRPr="0016617F" w:rsidRDefault="0016617F" w:rsidP="0016617F">
      <w:pPr>
        <w:spacing w:before="120" w:after="120" w:line="240" w:lineRule="exact"/>
        <w:ind w:left="283" w:hanging="283"/>
        <w:jc w:val="both"/>
        <w:rPr>
          <w:rFonts w:ascii="FrankRuehl" w:hAnsi="FrankRuehl" w:cs="FrankRuehl"/>
          <w:rtl/>
        </w:rPr>
      </w:pPr>
      <w:r w:rsidRPr="0016617F">
        <w:rPr>
          <w:rFonts w:ascii="FrankRuehl" w:hAnsi="FrankRuehl" w:cs="FrankRuehl"/>
          <w:rtl/>
        </w:rPr>
        <w:t xml:space="preserve">חקיקה שאוזכרה: </w:t>
      </w:r>
    </w:p>
    <w:p w14:paraId="6DF5AE06" w14:textId="77777777" w:rsidR="0016617F" w:rsidRPr="0016617F" w:rsidRDefault="0016617F" w:rsidP="0016617F">
      <w:pPr>
        <w:spacing w:before="120" w:after="120" w:line="240" w:lineRule="exact"/>
        <w:ind w:left="283" w:hanging="283"/>
        <w:jc w:val="both"/>
        <w:rPr>
          <w:rFonts w:ascii="FrankRuehl" w:hAnsi="FrankRuehl" w:cs="FrankRuehl"/>
          <w:rtl/>
        </w:rPr>
      </w:pPr>
      <w:hyperlink r:id="rId7" w:history="1">
        <w:r w:rsidRPr="0016617F">
          <w:rPr>
            <w:rFonts w:ascii="FrankRuehl" w:hAnsi="FrankRuehl" w:cs="FrankRuehl"/>
            <w:color w:val="0000FF"/>
            <w:rtl/>
          </w:rPr>
          <w:t>פקודת הסמים המסוכנים [נוסח חדש], תשל"ג-1973</w:t>
        </w:r>
      </w:hyperlink>
      <w:r w:rsidRPr="0016617F">
        <w:rPr>
          <w:rFonts w:ascii="FrankRuehl" w:hAnsi="FrankRuehl" w:cs="FrankRuehl"/>
          <w:rtl/>
        </w:rPr>
        <w:t xml:space="preserve">: סע'  </w:t>
      </w:r>
      <w:hyperlink r:id="rId8" w:history="1">
        <w:r w:rsidRPr="0016617F">
          <w:rPr>
            <w:rFonts w:ascii="FrankRuehl" w:hAnsi="FrankRuehl" w:cs="FrankRuehl"/>
            <w:color w:val="0000FF"/>
            <w:rtl/>
          </w:rPr>
          <w:t>13</w:t>
        </w:r>
      </w:hyperlink>
      <w:r w:rsidRPr="0016617F">
        <w:rPr>
          <w:rFonts w:ascii="FrankRuehl" w:hAnsi="FrankRuehl" w:cs="FrankRuehl"/>
          <w:rtl/>
        </w:rPr>
        <w:t xml:space="preserve">, </w:t>
      </w:r>
      <w:hyperlink r:id="rId9" w:history="1">
        <w:r w:rsidRPr="0016617F">
          <w:rPr>
            <w:rFonts w:ascii="FrankRuehl" w:hAnsi="FrankRuehl" w:cs="FrankRuehl"/>
            <w:color w:val="0000FF"/>
            <w:rtl/>
          </w:rPr>
          <w:t>14</w:t>
        </w:r>
      </w:hyperlink>
      <w:r w:rsidRPr="0016617F">
        <w:rPr>
          <w:rFonts w:ascii="FrankRuehl" w:hAnsi="FrankRuehl" w:cs="FrankRuehl"/>
          <w:rtl/>
        </w:rPr>
        <w:t xml:space="preserve">, </w:t>
      </w:r>
      <w:hyperlink r:id="rId10" w:history="1">
        <w:r w:rsidRPr="0016617F">
          <w:rPr>
            <w:rFonts w:ascii="FrankRuehl" w:hAnsi="FrankRuehl" w:cs="FrankRuehl"/>
            <w:color w:val="0000FF"/>
            <w:rtl/>
          </w:rPr>
          <w:t>19.א</w:t>
        </w:r>
      </w:hyperlink>
    </w:p>
    <w:p w14:paraId="05220FB9" w14:textId="77777777" w:rsidR="0016617F" w:rsidRPr="0016617F" w:rsidRDefault="0016617F" w:rsidP="0016617F">
      <w:pPr>
        <w:spacing w:before="120" w:after="120" w:line="240" w:lineRule="exact"/>
        <w:ind w:left="283" w:hanging="283"/>
        <w:jc w:val="both"/>
        <w:rPr>
          <w:rFonts w:ascii="FrankRuehl" w:hAnsi="FrankRuehl" w:cs="FrankRuehl"/>
          <w:rtl/>
        </w:rPr>
      </w:pPr>
      <w:hyperlink r:id="rId11" w:history="1">
        <w:r w:rsidRPr="0016617F">
          <w:rPr>
            <w:rFonts w:ascii="FrankRuehl" w:hAnsi="FrankRuehl" w:cs="FrankRuehl"/>
            <w:color w:val="0000FF"/>
            <w:rtl/>
          </w:rPr>
          <w:t>חוק העונשין, תשל"ז-1977</w:t>
        </w:r>
      </w:hyperlink>
      <w:r w:rsidRPr="0016617F">
        <w:rPr>
          <w:rFonts w:ascii="FrankRuehl" w:hAnsi="FrankRuehl" w:cs="FrankRuehl"/>
          <w:rtl/>
        </w:rPr>
        <w:t xml:space="preserve">: סע'  </w:t>
      </w:r>
      <w:hyperlink r:id="rId12" w:history="1">
        <w:r w:rsidRPr="0016617F">
          <w:rPr>
            <w:rFonts w:ascii="FrankRuehl" w:hAnsi="FrankRuehl" w:cs="FrankRuehl"/>
            <w:color w:val="0000FF"/>
            <w:rtl/>
          </w:rPr>
          <w:t>40ט'</w:t>
        </w:r>
      </w:hyperlink>
      <w:r w:rsidRPr="0016617F">
        <w:rPr>
          <w:rFonts w:ascii="FrankRuehl" w:hAnsi="FrankRuehl" w:cs="FrankRuehl"/>
          <w:rtl/>
        </w:rPr>
        <w:t xml:space="preserve">, </w:t>
      </w:r>
      <w:hyperlink r:id="rId13" w:history="1">
        <w:r w:rsidRPr="0016617F">
          <w:rPr>
            <w:rFonts w:ascii="FrankRuehl" w:hAnsi="FrankRuehl" w:cs="FrankRuehl"/>
            <w:color w:val="0000FF"/>
            <w:rtl/>
          </w:rPr>
          <w:t>40יא</w:t>
        </w:r>
      </w:hyperlink>
    </w:p>
    <w:p w14:paraId="06C1E348" w14:textId="77777777" w:rsidR="0016617F" w:rsidRPr="0016617F" w:rsidRDefault="0016617F" w:rsidP="0016617F">
      <w:pPr>
        <w:rPr>
          <w:rtl/>
        </w:rPr>
      </w:pPr>
      <w:bookmarkStart w:id="4" w:name="LawTable_End"/>
      <w:bookmarkEnd w:id="4"/>
    </w:p>
    <w:p w14:paraId="5739080A" w14:textId="77777777" w:rsidR="004E2E25" w:rsidRPr="00AE477D" w:rsidRDefault="004E2E25" w:rsidP="004E2E2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2E25" w14:paraId="1923B749" w14:textId="77777777" w:rsidTr="004E2E25">
        <w:trPr>
          <w:trHeight w:val="355"/>
          <w:jc w:val="center"/>
        </w:trPr>
        <w:tc>
          <w:tcPr>
            <w:tcW w:w="8820" w:type="dxa"/>
            <w:tcBorders>
              <w:top w:val="nil"/>
              <w:left w:val="nil"/>
              <w:bottom w:val="nil"/>
              <w:right w:val="nil"/>
            </w:tcBorders>
            <w:shd w:val="clear" w:color="auto" w:fill="auto"/>
          </w:tcPr>
          <w:p w14:paraId="41F63B07" w14:textId="77777777" w:rsidR="00AE477D" w:rsidRPr="00AE477D" w:rsidRDefault="00AE477D" w:rsidP="00AE477D">
            <w:pPr>
              <w:jc w:val="center"/>
              <w:rPr>
                <w:rFonts w:ascii="Arial" w:hAnsi="Arial" w:cs="FrankRuehl"/>
                <w:b/>
                <w:bCs/>
                <w:sz w:val="32"/>
                <w:szCs w:val="32"/>
                <w:u w:val="single"/>
                <w:rtl/>
              </w:rPr>
            </w:pPr>
            <w:bookmarkStart w:id="5" w:name="PsakDin" w:colFirst="0" w:colLast="0"/>
            <w:bookmarkEnd w:id="0"/>
            <w:bookmarkEnd w:id="1"/>
            <w:r w:rsidRPr="00AE477D">
              <w:rPr>
                <w:rFonts w:ascii="Arial" w:hAnsi="Arial" w:cs="FrankRuehl"/>
                <w:b/>
                <w:bCs/>
                <w:sz w:val="32"/>
                <w:szCs w:val="32"/>
                <w:u w:val="single"/>
                <w:rtl/>
              </w:rPr>
              <w:t>גזר דין</w:t>
            </w:r>
          </w:p>
          <w:p w14:paraId="1E435BC1" w14:textId="77777777" w:rsidR="004E2E25" w:rsidRPr="00AE477D" w:rsidRDefault="004E2E25" w:rsidP="00AE477D">
            <w:pPr>
              <w:jc w:val="center"/>
              <w:rPr>
                <w:rFonts w:ascii="Arial" w:hAnsi="Arial" w:cs="FrankRuehl"/>
                <w:bCs/>
                <w:sz w:val="32"/>
                <w:szCs w:val="32"/>
                <w:u w:val="single"/>
                <w:rtl/>
              </w:rPr>
            </w:pPr>
          </w:p>
        </w:tc>
      </w:tr>
      <w:bookmarkEnd w:id="5"/>
    </w:tbl>
    <w:p w14:paraId="0A3B1987" w14:textId="77777777" w:rsidR="004E2E25" w:rsidRDefault="004E2E25" w:rsidP="004E2E25">
      <w:pPr>
        <w:rPr>
          <w:rFonts w:ascii="Arial" w:hAnsi="Arial"/>
          <w:rtl/>
        </w:rPr>
      </w:pPr>
    </w:p>
    <w:p w14:paraId="184F17C1" w14:textId="77777777" w:rsidR="004E2E25" w:rsidRDefault="004E2E25" w:rsidP="004E2E25">
      <w:pPr>
        <w:spacing w:line="360" w:lineRule="auto"/>
        <w:rPr>
          <w:rFonts w:cs="FrankRuehl"/>
          <w:b/>
          <w:bCs/>
          <w:sz w:val="28"/>
          <w:szCs w:val="28"/>
          <w:u w:val="single"/>
          <w:rtl/>
        </w:rPr>
      </w:pPr>
      <w:r>
        <w:rPr>
          <w:rFonts w:cs="FrankRuehl"/>
          <w:b/>
          <w:bCs/>
          <w:sz w:val="28"/>
          <w:szCs w:val="28"/>
          <w:u w:val="single"/>
          <w:rtl/>
        </w:rPr>
        <w:t>כתב האישום</w:t>
      </w:r>
      <w:r>
        <w:rPr>
          <w:rFonts w:cs="FrankRuehl" w:hint="cs"/>
          <w:b/>
          <w:bCs/>
          <w:sz w:val="28"/>
          <w:szCs w:val="28"/>
          <w:u w:val="single"/>
          <w:rtl/>
        </w:rPr>
        <w:t xml:space="preserve"> המתוקן</w:t>
      </w:r>
    </w:p>
    <w:p w14:paraId="2D4EF412" w14:textId="77777777" w:rsidR="004E2E25" w:rsidRPr="008D185F" w:rsidRDefault="004E2E25" w:rsidP="004E2E25">
      <w:pPr>
        <w:spacing w:line="360" w:lineRule="auto"/>
        <w:jc w:val="both"/>
        <w:rPr>
          <w:rFonts w:cs="FrankRuehl"/>
          <w:sz w:val="28"/>
          <w:szCs w:val="28"/>
          <w:rtl/>
        </w:rPr>
      </w:pPr>
      <w:bookmarkStart w:id="6" w:name="ABSTRACT_START"/>
      <w:bookmarkEnd w:id="6"/>
      <w:r>
        <w:rPr>
          <w:rFonts w:cs="FrankRuehl" w:hint="cs"/>
          <w:sz w:val="28"/>
          <w:szCs w:val="28"/>
          <w:rtl/>
        </w:rPr>
        <w:t>הרקע לכל האישומים הוא פעילות סמויה של סוכן משטרתי, אשר יצר קשר עם הנאשם במספר הזדמנויות וביקש לרכוש ממנו סם מסוג קוקאין.</w:t>
      </w:r>
    </w:p>
    <w:p w14:paraId="48F62FC7" w14:textId="77777777" w:rsidR="004E2E25" w:rsidRDefault="004E2E25" w:rsidP="004E2E25">
      <w:pPr>
        <w:rPr>
          <w:rFonts w:cs="FrankRuehl"/>
          <w:b/>
          <w:bCs/>
          <w:sz w:val="28"/>
          <w:szCs w:val="28"/>
          <w:u w:val="single"/>
          <w:rtl/>
        </w:rPr>
      </w:pPr>
      <w:bookmarkStart w:id="7" w:name="ABSTRACT_END"/>
      <w:bookmarkEnd w:id="7"/>
    </w:p>
    <w:p w14:paraId="2793CBF2" w14:textId="77777777" w:rsidR="004E2E25" w:rsidRPr="008D185F" w:rsidRDefault="004E2E25" w:rsidP="004E2E25">
      <w:pPr>
        <w:spacing w:line="360" w:lineRule="auto"/>
        <w:jc w:val="both"/>
        <w:rPr>
          <w:rFonts w:cs="FrankRuehl"/>
          <w:sz w:val="28"/>
          <w:szCs w:val="28"/>
          <w:rtl/>
        </w:rPr>
      </w:pPr>
      <w:r w:rsidRPr="008D185F">
        <w:rPr>
          <w:rFonts w:cs="FrankRuehl" w:hint="cs"/>
          <w:b/>
          <w:bCs/>
          <w:sz w:val="28"/>
          <w:szCs w:val="28"/>
          <w:u w:val="single"/>
          <w:rtl/>
        </w:rPr>
        <w:t>האישום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ביום 22.1.2019 יצר קשר הסוכן עם הנאשם והציג עצמו כמי שרוצה לרכוש סמים עבור חברו. הצדדים שוחחו מספר פעמים בטלפון על מנת לתאם את מקום המפגש, כמות הסם ומחירו. בשעה 17:00 הגיע הנאשם למקום הפגישה שנקבע והעביר לסוכן שקית ובה 0.6372 </w:t>
      </w:r>
      <w:r>
        <w:rPr>
          <w:rFonts w:cs="FrankRuehl" w:hint="cs"/>
          <w:sz w:val="28"/>
          <w:szCs w:val="28"/>
          <w:rtl/>
        </w:rPr>
        <w:lastRenderedPageBreak/>
        <w:t>גרם קוקאין וקיבל בתמורה 500 ₪.</w:t>
      </w:r>
      <w:r w:rsidRPr="00F92018">
        <w:rPr>
          <w:rFonts w:cs="FrankRuehl" w:hint="cs"/>
          <w:sz w:val="28"/>
          <w:szCs w:val="28"/>
          <w:rtl/>
        </w:rPr>
        <w:t xml:space="preserve"> </w:t>
      </w:r>
      <w:r>
        <w:rPr>
          <w:rFonts w:cs="FrankRuehl" w:hint="cs"/>
          <w:sz w:val="28"/>
          <w:szCs w:val="28"/>
          <w:rtl/>
        </w:rPr>
        <w:t xml:space="preserve">על כן, הורשע בביצוע עבירה של </w:t>
      </w:r>
      <w:r w:rsidRPr="00BE0AC3">
        <w:rPr>
          <w:rFonts w:cs="FrankRuehl"/>
          <w:b/>
          <w:bCs/>
          <w:sz w:val="28"/>
          <w:szCs w:val="28"/>
          <w:rtl/>
        </w:rPr>
        <w:t>סחר בסם מסוכן</w:t>
      </w:r>
      <w:r>
        <w:rPr>
          <w:rFonts w:cs="FrankRuehl"/>
          <w:sz w:val="28"/>
          <w:szCs w:val="28"/>
          <w:rtl/>
        </w:rPr>
        <w:t xml:space="preserve">, לפי סעיפים </w:t>
      </w:r>
      <w:hyperlink r:id="rId14" w:history="1">
        <w:r w:rsidR="001026DE" w:rsidRPr="001026DE">
          <w:rPr>
            <w:rStyle w:val="Hyperlink"/>
            <w:rFonts w:cs="FrankRuehl"/>
            <w:sz w:val="28"/>
            <w:szCs w:val="28"/>
            <w:rtl/>
          </w:rPr>
          <w:t>13 +19א</w:t>
        </w:r>
      </w:hyperlink>
      <w:r>
        <w:rPr>
          <w:rFonts w:cs="FrankRuehl"/>
          <w:sz w:val="28"/>
          <w:szCs w:val="28"/>
          <w:rtl/>
        </w:rPr>
        <w:t xml:space="preserve"> ל</w:t>
      </w:r>
      <w:hyperlink r:id="rId15" w:history="1">
        <w:r w:rsidR="00AE477D" w:rsidRPr="00AE477D">
          <w:rPr>
            <w:rFonts w:cs="FrankRuehl"/>
            <w:color w:val="0000FF"/>
            <w:sz w:val="28"/>
            <w:szCs w:val="28"/>
            <w:u w:val="single"/>
            <w:rtl/>
          </w:rPr>
          <w:t>פקודת הסמים המסוכנים</w:t>
        </w:r>
      </w:hyperlink>
      <w:r>
        <w:rPr>
          <w:rFonts w:cs="FrankRuehl" w:hint="cs"/>
          <w:sz w:val="28"/>
          <w:szCs w:val="28"/>
          <w:rtl/>
        </w:rPr>
        <w:t>.</w:t>
      </w:r>
    </w:p>
    <w:p w14:paraId="6C03D6E8" w14:textId="77777777" w:rsidR="004E2E25" w:rsidRDefault="004E2E25" w:rsidP="004E2E25">
      <w:pPr>
        <w:jc w:val="both"/>
        <w:rPr>
          <w:rFonts w:cs="FrankRuehl"/>
          <w:b/>
          <w:bCs/>
          <w:sz w:val="28"/>
          <w:szCs w:val="28"/>
          <w:u w:val="single"/>
          <w:rtl/>
        </w:rPr>
      </w:pPr>
    </w:p>
    <w:p w14:paraId="6A5873DF" w14:textId="77777777" w:rsidR="004E2E25" w:rsidRDefault="004E2E25" w:rsidP="004E2E25">
      <w:pPr>
        <w:spacing w:line="360" w:lineRule="auto"/>
        <w:jc w:val="both"/>
        <w:rPr>
          <w:rFonts w:cs="FrankRuehl"/>
          <w:sz w:val="28"/>
          <w:szCs w:val="28"/>
          <w:rtl/>
        </w:rPr>
      </w:pPr>
      <w:r>
        <w:rPr>
          <w:rFonts w:cs="FrankRuehl" w:hint="cs"/>
          <w:b/>
          <w:bCs/>
          <w:sz w:val="28"/>
          <w:szCs w:val="28"/>
          <w:u w:val="single"/>
          <w:rtl/>
        </w:rPr>
        <w:t>האישום השני</w:t>
      </w:r>
      <w:r>
        <w:rPr>
          <w:rFonts w:cs="FrankRuehl" w:hint="cs"/>
          <w:sz w:val="28"/>
          <w:szCs w:val="28"/>
          <w:rtl/>
        </w:rPr>
        <w:t xml:space="preserve"> </w:t>
      </w:r>
      <w:r>
        <w:rPr>
          <w:rFonts w:cs="FrankRuehl"/>
          <w:sz w:val="28"/>
          <w:szCs w:val="28"/>
          <w:rtl/>
        </w:rPr>
        <w:t>–</w:t>
      </w:r>
      <w:r>
        <w:rPr>
          <w:rFonts w:cs="FrankRuehl" w:hint="cs"/>
          <w:sz w:val="28"/>
          <w:szCs w:val="28"/>
          <w:rtl/>
        </w:rPr>
        <w:t xml:space="preserve"> ביום 23.1.2019 תיאמו הצדדים את המקום המפגש. בשעה 17:00, הגיע הסוכן למקום והנאשם מסר לו שקית שקיבל מאחר ובה 0.7691 גרם קוקאין וקיבל בתמורה 500 ₪. בגין כך, הורשע </w:t>
      </w:r>
      <w:r w:rsidRPr="00F92018">
        <w:rPr>
          <w:rFonts w:cs="FrankRuehl" w:hint="cs"/>
          <w:b/>
          <w:bCs/>
          <w:sz w:val="28"/>
          <w:szCs w:val="28"/>
          <w:rtl/>
        </w:rPr>
        <w:t>בתיווך להספקת סמים מסוכנים</w:t>
      </w:r>
      <w:r>
        <w:rPr>
          <w:rFonts w:cs="FrankRuehl" w:hint="cs"/>
          <w:sz w:val="28"/>
          <w:szCs w:val="28"/>
          <w:rtl/>
        </w:rPr>
        <w:t xml:space="preserve">, לפי סעיפים </w:t>
      </w:r>
      <w:hyperlink r:id="rId16" w:history="1">
        <w:r w:rsidR="001026DE" w:rsidRPr="001026DE">
          <w:rPr>
            <w:rStyle w:val="Hyperlink"/>
            <w:rFonts w:cs="FrankRuehl"/>
            <w:sz w:val="28"/>
            <w:szCs w:val="28"/>
            <w:rtl/>
          </w:rPr>
          <w:t>14 + 19א</w:t>
        </w:r>
      </w:hyperlink>
      <w:r>
        <w:rPr>
          <w:rFonts w:cs="FrankRuehl" w:hint="cs"/>
          <w:sz w:val="28"/>
          <w:szCs w:val="28"/>
          <w:rtl/>
        </w:rPr>
        <w:t xml:space="preserve"> ל</w:t>
      </w:r>
      <w:hyperlink r:id="rId17" w:history="1">
        <w:r w:rsidR="00AE477D" w:rsidRPr="00AE477D">
          <w:rPr>
            <w:rFonts w:cs="FrankRuehl"/>
            <w:color w:val="0000FF"/>
            <w:sz w:val="28"/>
            <w:szCs w:val="28"/>
            <w:u w:val="single"/>
            <w:rtl/>
          </w:rPr>
          <w:t>פקודת הסמים המסוכנים</w:t>
        </w:r>
      </w:hyperlink>
      <w:r>
        <w:rPr>
          <w:rFonts w:cs="FrankRuehl" w:hint="cs"/>
          <w:sz w:val="28"/>
          <w:szCs w:val="28"/>
          <w:rtl/>
        </w:rPr>
        <w:t xml:space="preserve">. </w:t>
      </w:r>
    </w:p>
    <w:p w14:paraId="5E6219F0" w14:textId="77777777" w:rsidR="004E2E25" w:rsidRDefault="004E2E25" w:rsidP="004E2E25">
      <w:pPr>
        <w:jc w:val="both"/>
        <w:rPr>
          <w:rFonts w:cs="FrankRuehl"/>
          <w:b/>
          <w:bCs/>
          <w:sz w:val="28"/>
          <w:szCs w:val="28"/>
          <w:u w:val="single"/>
          <w:rtl/>
        </w:rPr>
      </w:pPr>
    </w:p>
    <w:p w14:paraId="7489E38D" w14:textId="77777777" w:rsidR="004E2E25" w:rsidRPr="00F92018" w:rsidRDefault="004E2E25" w:rsidP="004E2E25">
      <w:pPr>
        <w:spacing w:line="360" w:lineRule="auto"/>
        <w:jc w:val="both"/>
        <w:rPr>
          <w:rFonts w:cs="FrankRuehl"/>
          <w:sz w:val="28"/>
          <w:szCs w:val="28"/>
        </w:rPr>
      </w:pPr>
      <w:r>
        <w:rPr>
          <w:rFonts w:cs="FrankRuehl" w:hint="cs"/>
          <w:b/>
          <w:bCs/>
          <w:sz w:val="28"/>
          <w:szCs w:val="28"/>
          <w:u w:val="single"/>
          <w:rtl/>
        </w:rPr>
        <w:t xml:space="preserve">האישום השלישי </w:t>
      </w:r>
      <w:r>
        <w:rPr>
          <w:rFonts w:cs="FrankRuehl"/>
          <w:b/>
          <w:bCs/>
          <w:sz w:val="28"/>
          <w:szCs w:val="28"/>
          <w:rtl/>
        </w:rPr>
        <w:t>–</w:t>
      </w:r>
      <w:r w:rsidRPr="00F92018">
        <w:rPr>
          <w:rFonts w:cs="FrankRuehl" w:hint="cs"/>
          <w:b/>
          <w:bCs/>
          <w:sz w:val="28"/>
          <w:szCs w:val="28"/>
          <w:rtl/>
        </w:rPr>
        <w:t xml:space="preserve"> </w:t>
      </w:r>
      <w:r>
        <w:rPr>
          <w:rFonts w:cs="FrankRuehl" w:hint="cs"/>
          <w:sz w:val="28"/>
          <w:szCs w:val="28"/>
          <w:rtl/>
        </w:rPr>
        <w:t xml:space="preserve">ביום 24.1.2019, לאחר תיאום בין הצדדים, נפגשו והנאשם העביר לסוכן שקית ובה 3.0763 גרם קוקאין בתמורה ל </w:t>
      </w:r>
      <w:r>
        <w:rPr>
          <w:rFonts w:cs="FrankRuehl"/>
          <w:sz w:val="28"/>
          <w:szCs w:val="28"/>
          <w:rtl/>
        </w:rPr>
        <w:t>–</w:t>
      </w:r>
      <w:r>
        <w:rPr>
          <w:rFonts w:cs="FrankRuehl" w:hint="cs"/>
          <w:sz w:val="28"/>
          <w:szCs w:val="28"/>
          <w:rtl/>
        </w:rPr>
        <w:t xml:space="preserve"> 2,000 ₪. על כן,  הורשע בביצוע עבירה של </w:t>
      </w:r>
      <w:r w:rsidRPr="00BE0AC3">
        <w:rPr>
          <w:rFonts w:cs="FrankRuehl"/>
          <w:b/>
          <w:bCs/>
          <w:sz w:val="28"/>
          <w:szCs w:val="28"/>
          <w:rtl/>
        </w:rPr>
        <w:t>סחר בסם מסוכן</w:t>
      </w:r>
      <w:r>
        <w:rPr>
          <w:rFonts w:cs="FrankRuehl"/>
          <w:sz w:val="28"/>
          <w:szCs w:val="28"/>
          <w:rtl/>
        </w:rPr>
        <w:t xml:space="preserve">, לפי סעיפים </w:t>
      </w:r>
      <w:hyperlink r:id="rId18" w:history="1">
        <w:r w:rsidR="001026DE" w:rsidRPr="001026DE">
          <w:rPr>
            <w:rStyle w:val="Hyperlink"/>
            <w:rFonts w:cs="FrankRuehl"/>
            <w:sz w:val="28"/>
            <w:szCs w:val="28"/>
            <w:rtl/>
          </w:rPr>
          <w:t>13 +19א</w:t>
        </w:r>
      </w:hyperlink>
      <w:r>
        <w:rPr>
          <w:rFonts w:cs="FrankRuehl"/>
          <w:sz w:val="28"/>
          <w:szCs w:val="28"/>
          <w:rtl/>
        </w:rPr>
        <w:t xml:space="preserve"> ל</w:t>
      </w:r>
      <w:hyperlink r:id="rId19" w:history="1">
        <w:r w:rsidR="00AE477D" w:rsidRPr="00AE477D">
          <w:rPr>
            <w:rFonts w:cs="FrankRuehl"/>
            <w:color w:val="0000FF"/>
            <w:sz w:val="28"/>
            <w:szCs w:val="28"/>
            <w:u w:val="single"/>
            <w:rtl/>
          </w:rPr>
          <w:t>פקודת הסמים המסוכנים</w:t>
        </w:r>
      </w:hyperlink>
      <w:r>
        <w:rPr>
          <w:rFonts w:cs="FrankRuehl" w:hint="cs"/>
          <w:sz w:val="28"/>
          <w:szCs w:val="28"/>
          <w:rtl/>
        </w:rPr>
        <w:t>.</w:t>
      </w:r>
    </w:p>
    <w:p w14:paraId="68EB907B" w14:textId="77777777" w:rsidR="004E2E25" w:rsidRDefault="004E2E25" w:rsidP="004E2E25">
      <w:pPr>
        <w:spacing w:line="360" w:lineRule="auto"/>
        <w:jc w:val="both"/>
        <w:rPr>
          <w:rFonts w:cs="FrankRuehl"/>
          <w:b/>
          <w:bCs/>
          <w:sz w:val="28"/>
          <w:szCs w:val="28"/>
          <w:u w:val="single"/>
          <w:rtl/>
        </w:rPr>
      </w:pPr>
    </w:p>
    <w:p w14:paraId="3012AD0E" w14:textId="77777777" w:rsidR="004E2E25" w:rsidRDefault="004E2E25" w:rsidP="004E2E25">
      <w:pPr>
        <w:spacing w:line="360" w:lineRule="auto"/>
        <w:jc w:val="both"/>
        <w:rPr>
          <w:rFonts w:cs="FrankRuehl"/>
          <w:b/>
          <w:bCs/>
          <w:sz w:val="28"/>
          <w:szCs w:val="28"/>
          <w:u w:val="single"/>
        </w:rPr>
      </w:pPr>
      <w:r>
        <w:rPr>
          <w:rFonts w:cs="FrankRuehl"/>
          <w:b/>
          <w:bCs/>
          <w:sz w:val="28"/>
          <w:szCs w:val="28"/>
          <w:u w:val="single"/>
          <w:rtl/>
        </w:rPr>
        <w:t>מהלך הדיון</w:t>
      </w:r>
    </w:p>
    <w:p w14:paraId="5785BAEA" w14:textId="77777777" w:rsidR="004E2E25" w:rsidRDefault="004E2E25" w:rsidP="004E2E25">
      <w:pPr>
        <w:spacing w:line="360" w:lineRule="auto"/>
        <w:jc w:val="both"/>
        <w:rPr>
          <w:rFonts w:cs="FrankRuehl"/>
          <w:sz w:val="28"/>
          <w:szCs w:val="28"/>
          <w:rtl/>
        </w:rPr>
      </w:pPr>
      <w:r>
        <w:rPr>
          <w:rFonts w:cs="FrankRuehl" w:hint="cs"/>
          <w:sz w:val="28"/>
          <w:szCs w:val="28"/>
          <w:rtl/>
        </w:rPr>
        <w:t>נגד הנאשם הוגש כתב אישום עם בקשה למעצר עד תום ההליכים ביום 1.2.2019</w:t>
      </w:r>
      <w:r>
        <w:rPr>
          <w:rFonts w:cs="FrankRuehl"/>
          <w:sz w:val="28"/>
          <w:szCs w:val="28"/>
          <w:rtl/>
        </w:rPr>
        <w:t xml:space="preserve">. הוא היה נתון במעצר ממש בין התאריכים </w:t>
      </w:r>
      <w:r>
        <w:rPr>
          <w:rFonts w:cs="FrankRuehl" w:hint="cs"/>
          <w:sz w:val="28"/>
          <w:szCs w:val="28"/>
          <w:rtl/>
        </w:rPr>
        <w:t>1.2.2019</w:t>
      </w:r>
      <w:r>
        <w:rPr>
          <w:rFonts w:cs="FrankRuehl"/>
          <w:sz w:val="28"/>
          <w:szCs w:val="28"/>
          <w:rtl/>
        </w:rPr>
        <w:t xml:space="preserve">, ועד ליום </w:t>
      </w:r>
      <w:r>
        <w:rPr>
          <w:rFonts w:cs="FrankRuehl" w:hint="cs"/>
          <w:sz w:val="28"/>
          <w:szCs w:val="28"/>
          <w:rtl/>
        </w:rPr>
        <w:t>20</w:t>
      </w:r>
      <w:r>
        <w:rPr>
          <w:rFonts w:cs="FrankRuehl"/>
          <w:sz w:val="28"/>
          <w:szCs w:val="28"/>
          <w:rtl/>
        </w:rPr>
        <w:t>.3.20</w:t>
      </w:r>
      <w:r>
        <w:rPr>
          <w:rFonts w:cs="FrankRuehl" w:hint="cs"/>
          <w:sz w:val="28"/>
          <w:szCs w:val="28"/>
          <w:rtl/>
        </w:rPr>
        <w:t>19</w:t>
      </w:r>
      <w:r>
        <w:rPr>
          <w:rFonts w:cs="FrankRuehl"/>
          <w:sz w:val="28"/>
          <w:szCs w:val="28"/>
          <w:rtl/>
        </w:rPr>
        <w:t xml:space="preserve">, מועד בו </w:t>
      </w:r>
      <w:r>
        <w:rPr>
          <w:rFonts w:cs="FrankRuehl" w:hint="cs"/>
          <w:sz w:val="28"/>
          <w:szCs w:val="28"/>
          <w:rtl/>
        </w:rPr>
        <w:t xml:space="preserve">שוחרר למעצר בית מלא לאחר קבלת תסקיר בעניינו. </w:t>
      </w:r>
      <w:r>
        <w:rPr>
          <w:rFonts w:cs="FrankRuehl"/>
          <w:sz w:val="28"/>
          <w:szCs w:val="28"/>
          <w:rtl/>
        </w:rPr>
        <w:t xml:space="preserve">הנאשם שולב בטיפול תחת פיקוח שירות המבחן, וביום </w:t>
      </w:r>
      <w:r>
        <w:rPr>
          <w:rFonts w:cs="FrankRuehl" w:hint="cs"/>
          <w:sz w:val="28"/>
          <w:szCs w:val="28"/>
          <w:rtl/>
        </w:rPr>
        <w:t>3</w:t>
      </w:r>
      <w:r>
        <w:rPr>
          <w:rFonts w:cs="FrankRuehl"/>
          <w:sz w:val="28"/>
          <w:szCs w:val="28"/>
          <w:rtl/>
        </w:rPr>
        <w:t>.</w:t>
      </w:r>
      <w:r>
        <w:rPr>
          <w:rFonts w:cs="FrankRuehl" w:hint="cs"/>
          <w:sz w:val="28"/>
          <w:szCs w:val="28"/>
          <w:rtl/>
        </w:rPr>
        <w:t>5</w:t>
      </w:r>
      <w:r>
        <w:rPr>
          <w:rFonts w:cs="FrankRuehl"/>
          <w:sz w:val="28"/>
          <w:szCs w:val="28"/>
          <w:rtl/>
        </w:rPr>
        <w:t>.</w:t>
      </w:r>
      <w:r>
        <w:rPr>
          <w:rFonts w:cs="FrankRuehl" w:hint="cs"/>
          <w:sz w:val="28"/>
          <w:szCs w:val="28"/>
          <w:rtl/>
        </w:rPr>
        <w:t>2020</w:t>
      </w:r>
      <w:r>
        <w:rPr>
          <w:rFonts w:cs="FrankRuehl"/>
          <w:sz w:val="28"/>
          <w:szCs w:val="28"/>
          <w:rtl/>
        </w:rPr>
        <w:t xml:space="preserve"> הקלתי בתנאיו, אך למעשה, לכל אורך תקופת משפטו, נותר הנאשם בתנאים מגבילים ניכרים.</w:t>
      </w:r>
    </w:p>
    <w:p w14:paraId="40609220" w14:textId="77777777" w:rsidR="004E2E25" w:rsidRDefault="004E2E25" w:rsidP="004E2E25">
      <w:pPr>
        <w:spacing w:line="360" w:lineRule="auto"/>
        <w:jc w:val="both"/>
        <w:rPr>
          <w:rFonts w:ascii="FrankRuehl" w:hAnsi="FrankRuehl" w:cs="FrankRuehl"/>
          <w:sz w:val="28"/>
          <w:szCs w:val="28"/>
          <w:rtl/>
        </w:rPr>
      </w:pPr>
    </w:p>
    <w:p w14:paraId="53D2BDC6" w14:textId="77777777" w:rsidR="004E2E25" w:rsidRDefault="004E2E25" w:rsidP="004E2E25">
      <w:pPr>
        <w:spacing w:line="360" w:lineRule="auto"/>
        <w:jc w:val="both"/>
        <w:rPr>
          <w:rtl/>
        </w:rPr>
      </w:pPr>
    </w:p>
    <w:p w14:paraId="56C74133" w14:textId="77777777" w:rsidR="004E2E25" w:rsidRDefault="004E2E25" w:rsidP="004E2E25">
      <w:pPr>
        <w:spacing w:line="360" w:lineRule="auto"/>
        <w:jc w:val="both"/>
        <w:rPr>
          <w:rFonts w:cs="FrankRuehl"/>
          <w:b/>
          <w:bCs/>
          <w:sz w:val="28"/>
          <w:szCs w:val="28"/>
          <w:u w:val="single"/>
          <w:rtl/>
        </w:rPr>
      </w:pPr>
      <w:r>
        <w:rPr>
          <w:rFonts w:cs="FrankRuehl"/>
          <w:b/>
          <w:bCs/>
          <w:sz w:val="28"/>
          <w:szCs w:val="28"/>
          <w:u w:val="single"/>
          <w:rtl/>
        </w:rPr>
        <w:t>תסקירי שירות המבחן</w:t>
      </w:r>
    </w:p>
    <w:p w14:paraId="351D2D6D" w14:textId="77777777" w:rsidR="004E2E25" w:rsidRDefault="004E2E25" w:rsidP="004E2E25">
      <w:pPr>
        <w:spacing w:line="360" w:lineRule="auto"/>
        <w:jc w:val="both"/>
        <w:rPr>
          <w:rFonts w:cs="FrankRuehl"/>
          <w:sz w:val="28"/>
          <w:szCs w:val="28"/>
          <w:rtl/>
        </w:rPr>
      </w:pPr>
      <w:r>
        <w:rPr>
          <w:rFonts w:cs="FrankRuehl"/>
          <w:sz w:val="28"/>
          <w:szCs w:val="28"/>
          <w:rtl/>
        </w:rPr>
        <w:t>בעניינו של הנאשם הוגשו שני תסקירים.</w:t>
      </w:r>
    </w:p>
    <w:p w14:paraId="3B6477A7" w14:textId="77777777" w:rsidR="004E2E25" w:rsidRDefault="004E2E25" w:rsidP="004E2E25">
      <w:pPr>
        <w:spacing w:line="360" w:lineRule="auto"/>
        <w:jc w:val="both"/>
        <w:rPr>
          <w:rFonts w:cs="FrankRuehl"/>
          <w:sz w:val="28"/>
          <w:szCs w:val="28"/>
          <w:rtl/>
        </w:rPr>
      </w:pPr>
      <w:r>
        <w:rPr>
          <w:rFonts w:cs="FrankRuehl"/>
          <w:sz w:val="28"/>
          <w:szCs w:val="28"/>
          <w:rtl/>
        </w:rPr>
        <w:t>מהתסקיר שהוגש בחודש פברו</w:t>
      </w:r>
      <w:r>
        <w:rPr>
          <w:rFonts w:cs="FrankRuehl" w:hint="cs"/>
          <w:sz w:val="28"/>
          <w:szCs w:val="28"/>
          <w:rtl/>
        </w:rPr>
        <w:t>אר 2020</w:t>
      </w:r>
      <w:r>
        <w:rPr>
          <w:rFonts w:cs="FrankRuehl"/>
          <w:sz w:val="28"/>
          <w:szCs w:val="28"/>
          <w:rtl/>
        </w:rPr>
        <w:t xml:space="preserve"> עולה, כי מדובר בנאשם כבן 4</w:t>
      </w:r>
      <w:r>
        <w:rPr>
          <w:rFonts w:cs="FrankRuehl" w:hint="cs"/>
          <w:sz w:val="28"/>
          <w:szCs w:val="28"/>
          <w:rtl/>
        </w:rPr>
        <w:t>2</w:t>
      </w:r>
      <w:r>
        <w:rPr>
          <w:rFonts w:cs="FrankRuehl"/>
          <w:sz w:val="28"/>
          <w:szCs w:val="28"/>
          <w:rtl/>
        </w:rPr>
        <w:t>, נשוי ואב לשישה</w:t>
      </w:r>
      <w:r>
        <w:rPr>
          <w:rFonts w:cs="FrankRuehl" w:hint="cs"/>
          <w:sz w:val="28"/>
          <w:szCs w:val="28"/>
          <w:rtl/>
        </w:rPr>
        <w:t xml:space="preserve"> ילדים קטנים</w:t>
      </w:r>
      <w:r>
        <w:rPr>
          <w:rFonts w:cs="FrankRuehl"/>
          <w:sz w:val="28"/>
          <w:szCs w:val="28"/>
          <w:rtl/>
        </w:rPr>
        <w:t xml:space="preserve">. טרם מעצרו עבד </w:t>
      </w:r>
      <w:r>
        <w:rPr>
          <w:rFonts w:cs="FrankRuehl" w:hint="cs"/>
          <w:sz w:val="28"/>
          <w:szCs w:val="28"/>
          <w:rtl/>
        </w:rPr>
        <w:t>בשטיפת כלים בבי"ח "שערי צדק"</w:t>
      </w:r>
      <w:r>
        <w:rPr>
          <w:rFonts w:cs="FrankRuehl"/>
          <w:sz w:val="28"/>
          <w:szCs w:val="28"/>
          <w:rtl/>
        </w:rPr>
        <w:t>. הוא סיים</w:t>
      </w:r>
      <w:r>
        <w:rPr>
          <w:rFonts w:cs="FrankRuehl" w:hint="cs"/>
          <w:sz w:val="28"/>
          <w:szCs w:val="28"/>
          <w:rtl/>
        </w:rPr>
        <w:t xml:space="preserve"> 10 </w:t>
      </w:r>
      <w:r>
        <w:rPr>
          <w:rFonts w:cs="FrankRuehl"/>
          <w:sz w:val="28"/>
          <w:szCs w:val="28"/>
          <w:rtl/>
        </w:rPr>
        <w:t>שנות לימוד,</w:t>
      </w:r>
      <w:r>
        <w:rPr>
          <w:rFonts w:cs="FrankRuehl" w:hint="cs"/>
          <w:sz w:val="28"/>
          <w:szCs w:val="28"/>
          <w:rtl/>
        </w:rPr>
        <w:t xml:space="preserve"> ואז החל לעבוד בעבודות מזדמנות.</w:t>
      </w:r>
      <w:r>
        <w:rPr>
          <w:rFonts w:cs="FrankRuehl"/>
          <w:sz w:val="28"/>
          <w:szCs w:val="28"/>
          <w:rtl/>
        </w:rPr>
        <w:t xml:space="preserve"> הוא שמר על יציבות תעסוקתית במשך ש</w:t>
      </w:r>
      <w:r>
        <w:rPr>
          <w:rFonts w:cs="FrankRuehl" w:hint="cs"/>
          <w:sz w:val="28"/>
          <w:szCs w:val="28"/>
          <w:rtl/>
        </w:rPr>
        <w:t>נ</w:t>
      </w:r>
      <w:r>
        <w:rPr>
          <w:rFonts w:cs="FrankRuehl"/>
          <w:sz w:val="28"/>
          <w:szCs w:val="28"/>
          <w:rtl/>
        </w:rPr>
        <w:t>ים</w:t>
      </w:r>
      <w:r>
        <w:rPr>
          <w:rFonts w:cs="FrankRuehl" w:hint="cs"/>
          <w:sz w:val="28"/>
          <w:szCs w:val="28"/>
          <w:rtl/>
        </w:rPr>
        <w:t>,</w:t>
      </w:r>
      <w:r>
        <w:rPr>
          <w:rFonts w:cs="FrankRuehl"/>
          <w:sz w:val="28"/>
          <w:szCs w:val="28"/>
          <w:rtl/>
        </w:rPr>
        <w:t xml:space="preserve"> כאשר </w:t>
      </w:r>
      <w:r>
        <w:rPr>
          <w:rFonts w:cs="FrankRuehl" w:hint="cs"/>
          <w:sz w:val="28"/>
          <w:szCs w:val="28"/>
          <w:rtl/>
        </w:rPr>
        <w:t>עבר במפעל אלומיניו</w:t>
      </w:r>
      <w:r>
        <w:rPr>
          <w:rFonts w:cs="FrankRuehl" w:hint="eastAsia"/>
          <w:sz w:val="28"/>
          <w:szCs w:val="28"/>
          <w:rtl/>
        </w:rPr>
        <w:t>ם</w:t>
      </w:r>
      <w:r>
        <w:rPr>
          <w:rFonts w:cs="FrankRuehl" w:hint="cs"/>
          <w:sz w:val="28"/>
          <w:szCs w:val="28"/>
          <w:rtl/>
        </w:rPr>
        <w:t xml:space="preserve"> אצל גיסו, אך בשל סכסוך שנתגלע ביניהם, עזב את המפעל והחל לעבוד בעבודות אלומיניום בחברה אחרת למשך שמונה חודשים</w:t>
      </w:r>
      <w:r>
        <w:rPr>
          <w:rFonts w:cs="FrankRuehl"/>
          <w:sz w:val="28"/>
          <w:szCs w:val="28"/>
          <w:rtl/>
        </w:rPr>
        <w:t xml:space="preserve">. </w:t>
      </w:r>
      <w:r>
        <w:rPr>
          <w:rFonts w:cs="FrankRuehl" w:hint="cs"/>
          <w:sz w:val="28"/>
          <w:szCs w:val="28"/>
          <w:rtl/>
        </w:rPr>
        <w:t>מעיון ברישומו הפלילי עולה, כי בעברו שתי הרשעות קודמות, כאשר האחרונה משנת 2005 בעבירות נשק, בגינן ריצה 30 חודשי מאסר בפועל. הנאשם שלל שימוש בסמים ומסר בדיקות נקיות לגילוי שרידי סם לכל אורך ההליך</w:t>
      </w:r>
      <w:r>
        <w:rPr>
          <w:rFonts w:cs="FrankRuehl"/>
          <w:sz w:val="28"/>
          <w:szCs w:val="28"/>
          <w:rtl/>
        </w:rPr>
        <w:t xml:space="preserve">. </w:t>
      </w:r>
      <w:r>
        <w:rPr>
          <w:rFonts w:cs="FrankRuehl" w:hint="cs"/>
          <w:sz w:val="28"/>
          <w:szCs w:val="28"/>
          <w:rtl/>
        </w:rPr>
        <w:t xml:space="preserve">שירות המבחן התרשם, כי הנאשם לקח אחריות חלקית למעשיו, תוך צמצום חומרת מעשיו והבעת עמדה קורבנית. השירות התרשם, כי הנאשם ראה במצוקתו הכלכלית גורם לגיטימי להתנהגותו. </w:t>
      </w:r>
      <w:r>
        <w:rPr>
          <w:rFonts w:cs="FrankRuehl"/>
          <w:sz w:val="28"/>
          <w:szCs w:val="28"/>
          <w:rtl/>
        </w:rPr>
        <w:t xml:space="preserve">הנאשם </w:t>
      </w:r>
      <w:r>
        <w:rPr>
          <w:rFonts w:cs="FrankRuehl" w:hint="cs"/>
          <w:sz w:val="28"/>
          <w:szCs w:val="28"/>
          <w:rtl/>
        </w:rPr>
        <w:t>ציין,</w:t>
      </w:r>
      <w:r>
        <w:rPr>
          <w:rFonts w:cs="FrankRuehl"/>
          <w:sz w:val="28"/>
          <w:szCs w:val="28"/>
          <w:rtl/>
        </w:rPr>
        <w:t xml:space="preserve"> כי ביצע את העבירות בשל הרצון בהשגת כסף קל</w:t>
      </w:r>
      <w:r>
        <w:rPr>
          <w:rFonts w:cs="FrankRuehl" w:hint="cs"/>
          <w:sz w:val="28"/>
          <w:szCs w:val="28"/>
          <w:rtl/>
        </w:rPr>
        <w:t xml:space="preserve">, בשל מצב כלכלי קשה אליו נקלע. הנאשם הביע רצון להשתתף בתכנית טיפולית במסגרת השירות ואף נקט בצעדים ממשיים בדרכים חוקיות </w:t>
      </w:r>
      <w:r>
        <w:rPr>
          <w:rFonts w:cs="FrankRuehl" w:hint="cs"/>
          <w:sz w:val="28"/>
          <w:szCs w:val="28"/>
          <w:rtl/>
        </w:rPr>
        <w:lastRenderedPageBreak/>
        <w:t xml:space="preserve">להגדיל את הכנסותיו ולצמצם את חובותיו בעזרת גורמי הרווחה. שירות המבחן התרשם, כי הטלת מאסר בפועל עלולה לדרדר את הנאשם חזרה לפשיעה. לפיכך המליץ השירות להטיל </w:t>
      </w:r>
      <w:r>
        <w:rPr>
          <w:rFonts w:cs="FrankRuehl"/>
          <w:sz w:val="28"/>
          <w:szCs w:val="28"/>
          <w:rtl/>
        </w:rPr>
        <w:t>על</w:t>
      </w:r>
      <w:r>
        <w:rPr>
          <w:rFonts w:cs="FrankRuehl" w:hint="cs"/>
          <w:sz w:val="28"/>
          <w:szCs w:val="28"/>
          <w:rtl/>
        </w:rPr>
        <w:t xml:space="preserve"> הנאשם</w:t>
      </w:r>
      <w:r>
        <w:rPr>
          <w:rFonts w:cs="FrankRuehl"/>
          <w:sz w:val="28"/>
          <w:szCs w:val="28"/>
          <w:rtl/>
        </w:rPr>
        <w:t xml:space="preserve"> מאסר בעבודות שירות, מאסר מותנה וצו מבחן למשך שנה, בעל אופי פיקוחי. </w:t>
      </w:r>
    </w:p>
    <w:p w14:paraId="184F1F55" w14:textId="77777777" w:rsidR="004E2E25" w:rsidRDefault="004E2E25" w:rsidP="004E2E25">
      <w:pPr>
        <w:spacing w:line="360" w:lineRule="auto"/>
        <w:jc w:val="both"/>
        <w:rPr>
          <w:rFonts w:cs="FrankRuehl"/>
          <w:b/>
          <w:bCs/>
          <w:sz w:val="28"/>
          <w:szCs w:val="28"/>
          <w:u w:val="single"/>
          <w:rtl/>
        </w:rPr>
      </w:pPr>
    </w:p>
    <w:p w14:paraId="2E71B54E" w14:textId="77777777" w:rsidR="004E2E25" w:rsidRDefault="004E2E25" w:rsidP="004E2E25">
      <w:pPr>
        <w:spacing w:line="360" w:lineRule="auto"/>
        <w:jc w:val="both"/>
        <w:rPr>
          <w:rFonts w:cs="FrankRuehl"/>
          <w:b/>
          <w:bCs/>
          <w:sz w:val="28"/>
          <w:szCs w:val="28"/>
          <w:u w:val="single"/>
        </w:rPr>
      </w:pPr>
      <w:r>
        <w:rPr>
          <w:rFonts w:cs="FrankRuehl"/>
          <w:b/>
          <w:bCs/>
          <w:sz w:val="28"/>
          <w:szCs w:val="28"/>
          <w:u w:val="single"/>
          <w:rtl/>
        </w:rPr>
        <w:t>חוות דעת של הממונה על עבודות השירות</w:t>
      </w:r>
    </w:p>
    <w:p w14:paraId="5B45385E" w14:textId="77777777" w:rsidR="004E2E25" w:rsidRDefault="004E2E25" w:rsidP="004E2E25">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הנאשם כשיר לבצע עבודות שירות ללא מגבלות, </w:t>
      </w:r>
      <w:r>
        <w:rPr>
          <w:rFonts w:cs="FrankRuehl" w:hint="cs"/>
          <w:sz w:val="28"/>
          <w:szCs w:val="28"/>
          <w:rtl/>
        </w:rPr>
        <w:t>במרכז הירושלמי לרכיבה טיפולית.</w:t>
      </w:r>
    </w:p>
    <w:p w14:paraId="09904F7C" w14:textId="77777777" w:rsidR="004E2E25" w:rsidRDefault="004E2E25" w:rsidP="004E2E25">
      <w:pPr>
        <w:spacing w:line="360" w:lineRule="auto"/>
        <w:jc w:val="both"/>
        <w:rPr>
          <w:rFonts w:cs="FrankRuehl"/>
          <w:sz w:val="28"/>
          <w:szCs w:val="28"/>
          <w:rtl/>
        </w:rPr>
      </w:pPr>
    </w:p>
    <w:p w14:paraId="0045F9A7" w14:textId="77777777" w:rsidR="004E2E25" w:rsidRDefault="004E2E25" w:rsidP="004E2E25">
      <w:pPr>
        <w:spacing w:line="360" w:lineRule="auto"/>
        <w:jc w:val="both"/>
        <w:rPr>
          <w:rFonts w:cs="FrankRuehl"/>
          <w:b/>
          <w:bCs/>
          <w:sz w:val="28"/>
          <w:szCs w:val="28"/>
          <w:u w:val="single"/>
          <w:rtl/>
        </w:rPr>
      </w:pPr>
      <w:r>
        <w:rPr>
          <w:rFonts w:cs="FrankRuehl"/>
          <w:b/>
          <w:bCs/>
          <w:sz w:val="28"/>
          <w:szCs w:val="28"/>
          <w:u w:val="single"/>
          <w:rtl/>
        </w:rPr>
        <w:t>טיעונים לעונש</w:t>
      </w:r>
    </w:p>
    <w:p w14:paraId="17873896" w14:textId="77777777" w:rsidR="004E2E25" w:rsidRDefault="004E2E25" w:rsidP="004E2E25">
      <w:pPr>
        <w:spacing w:line="360" w:lineRule="auto"/>
        <w:jc w:val="both"/>
        <w:rPr>
          <w:rFonts w:cs="FrankRuehl"/>
          <w:sz w:val="28"/>
          <w:szCs w:val="28"/>
          <w:rtl/>
        </w:rPr>
      </w:pPr>
      <w:r>
        <w:rPr>
          <w:rFonts w:cs="FrankRuehl"/>
          <w:sz w:val="28"/>
          <w:szCs w:val="28"/>
          <w:rtl/>
        </w:rPr>
        <w:t xml:space="preserve">הצדדים לא הגיעו להסכמה עונשית. </w:t>
      </w:r>
    </w:p>
    <w:p w14:paraId="39929FD2" w14:textId="77777777" w:rsidR="004E2E25" w:rsidRDefault="004E2E25" w:rsidP="004E2E25">
      <w:pPr>
        <w:spacing w:line="360" w:lineRule="auto"/>
        <w:jc w:val="both"/>
        <w:rPr>
          <w:rFonts w:cs="FrankRuehl"/>
          <w:sz w:val="28"/>
          <w:szCs w:val="28"/>
          <w:rtl/>
        </w:rPr>
      </w:pPr>
      <w:r>
        <w:rPr>
          <w:rFonts w:cs="FrankRuehl"/>
          <w:sz w:val="28"/>
          <w:szCs w:val="28"/>
          <w:rtl/>
        </w:rPr>
        <w:t xml:space="preserve">מחד, ב"כ המאשימה טען, כי </w:t>
      </w:r>
      <w:r>
        <w:rPr>
          <w:rFonts w:cs="FrankRuehl" w:hint="cs"/>
          <w:sz w:val="28"/>
          <w:szCs w:val="28"/>
          <w:rtl/>
        </w:rPr>
        <w:t xml:space="preserve">מדובר בנסיבות חמורות נוכח טיב הסם ונסיבות הסחר. הוא עתר למתחם ענישה שבין 8 </w:t>
      </w:r>
      <w:r>
        <w:rPr>
          <w:rFonts w:cs="FrankRuehl"/>
          <w:sz w:val="28"/>
          <w:szCs w:val="28"/>
          <w:rtl/>
        </w:rPr>
        <w:t>–</w:t>
      </w:r>
      <w:r>
        <w:rPr>
          <w:rFonts w:cs="FrankRuehl" w:hint="cs"/>
          <w:sz w:val="28"/>
          <w:szCs w:val="28"/>
          <w:rtl/>
        </w:rPr>
        <w:t xml:space="preserve"> 18 חודשי מאסר לכל אירוע, וביקש להטיל על הנאשם מאסר שלא יפחת מ-24 חודשים וענישה נלווית.</w:t>
      </w:r>
    </w:p>
    <w:p w14:paraId="490A0E84" w14:textId="77777777" w:rsidR="004E2E25" w:rsidRDefault="004E2E25" w:rsidP="004E2E25">
      <w:pPr>
        <w:spacing w:line="360" w:lineRule="auto"/>
        <w:jc w:val="both"/>
        <w:rPr>
          <w:rFonts w:cs="FrankRuehl"/>
          <w:sz w:val="28"/>
          <w:szCs w:val="28"/>
          <w:rtl/>
        </w:rPr>
      </w:pPr>
      <w:r>
        <w:rPr>
          <w:rFonts w:cs="FrankRuehl"/>
          <w:sz w:val="28"/>
          <w:szCs w:val="28"/>
          <w:rtl/>
        </w:rPr>
        <w:t>מאידך, הסניגור ביקשה לאמץ את המלצת שירות המבחן</w:t>
      </w:r>
      <w:r>
        <w:rPr>
          <w:rFonts w:cs="FrankRuehl" w:hint="cs"/>
          <w:sz w:val="28"/>
          <w:szCs w:val="28"/>
          <w:rtl/>
        </w:rPr>
        <w:t xml:space="preserve"> וביקש להימנע משליחת הנאשם למאסר, נוכח מצבו המשפחתי וחובותיו, והמענה שלדעת הסניגור, ניתן בהמלצות שירות המבחן לעניין הסיבות שהובילו לביצוע העבירה.</w:t>
      </w:r>
      <w:r>
        <w:rPr>
          <w:rFonts w:cs="FrankRuehl"/>
          <w:sz w:val="28"/>
          <w:szCs w:val="28"/>
          <w:rtl/>
        </w:rPr>
        <w:t xml:space="preserve"> </w:t>
      </w:r>
    </w:p>
    <w:p w14:paraId="21DBB818" w14:textId="77777777" w:rsidR="004E2E25" w:rsidRDefault="004E2E25" w:rsidP="004E2E25">
      <w:pPr>
        <w:spacing w:line="360" w:lineRule="auto"/>
        <w:jc w:val="both"/>
        <w:rPr>
          <w:rFonts w:cs="FrankRuehl"/>
          <w:b/>
          <w:bCs/>
          <w:sz w:val="28"/>
          <w:szCs w:val="28"/>
          <w:u w:val="single"/>
        </w:rPr>
      </w:pPr>
    </w:p>
    <w:p w14:paraId="053237E8" w14:textId="77777777" w:rsidR="004E2E25" w:rsidRDefault="004E2E25" w:rsidP="004E2E25">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29761D2" w14:textId="77777777" w:rsidR="004E2E25" w:rsidRDefault="004E2E25" w:rsidP="004E2E25">
      <w:pPr>
        <w:spacing w:line="360" w:lineRule="auto"/>
        <w:jc w:val="both"/>
        <w:rPr>
          <w:rFonts w:cs="FrankRuehl"/>
          <w:b/>
          <w:bCs/>
          <w:sz w:val="28"/>
          <w:szCs w:val="28"/>
          <w:u w:val="single"/>
          <w:rtl/>
        </w:rPr>
      </w:pPr>
    </w:p>
    <w:p w14:paraId="3490AB61" w14:textId="77777777" w:rsidR="004E2E25" w:rsidRDefault="004E2E25" w:rsidP="004E2E25">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העבירות אותן עבר הנאשם פוגעות בערך המוגן </w:t>
      </w:r>
      <w:r>
        <w:rPr>
          <w:rFonts w:cs="FrankRuehl" w:hint="cs"/>
          <w:sz w:val="28"/>
          <w:szCs w:val="28"/>
          <w:rtl/>
        </w:rPr>
        <w:t xml:space="preserve">של </w:t>
      </w:r>
      <w:r>
        <w:rPr>
          <w:rFonts w:cs="FrankRuehl"/>
          <w:sz w:val="28"/>
          <w:szCs w:val="28"/>
          <w:rtl/>
        </w:rPr>
        <w:t xml:space="preserve">שלום הציבור ובטחונו. הפצת סמים, בוודאי לאדם לא מוכר, למען בצע כסף, יש בה משום לחטוא ולהחטיא אחרים, ובעיקר, יש בה סיוע משמעותי להפצת נגע הסמים, על חולייו הקשים. בעבירות מסוג זה, הבכורה, בדרך כלל, נתונה לעקרון ההרתעה, ולכן ההעדפה היא להטלת עונשי מאסר בפועל  [ר': רע"פ 3343/07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w:t>
      </w:r>
      <w:r>
        <w:rPr>
          <w:rFonts w:cs="FrankRuehl" w:hint="cs"/>
          <w:sz w:val="28"/>
          <w:szCs w:val="28"/>
          <w:rtl/>
        </w:rPr>
        <w:t xml:space="preserve"> בענייננו מידת הפגיעה בערך המוגן בינונית.</w:t>
      </w:r>
    </w:p>
    <w:p w14:paraId="2D0B65E8" w14:textId="77777777" w:rsidR="004E2E25" w:rsidRDefault="004E2E25" w:rsidP="004E2E25">
      <w:pPr>
        <w:spacing w:line="360" w:lineRule="auto"/>
        <w:jc w:val="both"/>
        <w:rPr>
          <w:rFonts w:cs="FrankRuehl"/>
          <w:sz w:val="28"/>
          <w:szCs w:val="28"/>
          <w:rtl/>
        </w:rPr>
      </w:pPr>
    </w:p>
    <w:p w14:paraId="29513B91" w14:textId="77777777" w:rsidR="004E2E25" w:rsidRDefault="004E2E25" w:rsidP="004E2E25">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0" w:history="1">
        <w:r w:rsidR="001026DE" w:rsidRPr="001026DE">
          <w:rPr>
            <w:rStyle w:val="Hyperlink"/>
            <w:rFonts w:cs="FrankRuehl"/>
            <w:b/>
            <w:bCs/>
            <w:sz w:val="28"/>
            <w:szCs w:val="28"/>
            <w:rtl/>
          </w:rPr>
          <w:t>סעיף 40ט'</w:t>
        </w:r>
      </w:hyperlink>
      <w:r>
        <w:rPr>
          <w:rFonts w:cs="FrankRuehl"/>
          <w:b/>
          <w:bCs/>
          <w:sz w:val="28"/>
          <w:szCs w:val="28"/>
          <w:u w:val="single"/>
          <w:rtl/>
        </w:rPr>
        <w:t xml:space="preserve"> ל</w:t>
      </w:r>
      <w:hyperlink r:id="rId21" w:history="1">
        <w:r w:rsidR="00AE477D" w:rsidRPr="00AE477D">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בין הנסיבות הקשורות בביצוע העבירה יש לשקול את אלה, לעניין קביעת המתחם: מדובר בעבירות שבוצעו תוך כדי תכנון, יצירת קשר </w:t>
      </w:r>
      <w:r>
        <w:rPr>
          <w:rFonts w:cs="FrankRuehl" w:hint="cs"/>
          <w:sz w:val="28"/>
          <w:szCs w:val="28"/>
          <w:rtl/>
        </w:rPr>
        <w:t>עם הסוכן עמו לנאשם לא הייתה היכרות, תוך תיאום מקום המפגש וכמויות הסם</w:t>
      </w:r>
      <w:r>
        <w:rPr>
          <w:rFonts w:cs="FrankRuehl"/>
          <w:sz w:val="28"/>
          <w:szCs w:val="28"/>
          <w:rtl/>
        </w:rPr>
        <w:t>, כאשר הדבר בוצע מספר פעמים תמורת בצע כסף</w:t>
      </w:r>
      <w:r>
        <w:rPr>
          <w:rFonts w:cs="FrankRuehl" w:hint="cs"/>
          <w:sz w:val="28"/>
          <w:szCs w:val="28"/>
          <w:rtl/>
        </w:rPr>
        <w:t xml:space="preserve"> סמוך לקניון הומה אדם</w:t>
      </w:r>
      <w:r>
        <w:rPr>
          <w:rFonts w:cs="FrankRuehl"/>
          <w:sz w:val="28"/>
          <w:szCs w:val="28"/>
          <w:rtl/>
        </w:rPr>
        <w:t xml:space="preserve">; הנאשם אדם בוגר, אב לילדים </w:t>
      </w:r>
      <w:r>
        <w:rPr>
          <w:rFonts w:cs="FrankRuehl" w:hint="cs"/>
          <w:sz w:val="28"/>
          <w:szCs w:val="28"/>
          <w:rtl/>
        </w:rPr>
        <w:t>קטנים</w:t>
      </w:r>
      <w:r>
        <w:rPr>
          <w:rFonts w:cs="FrankRuehl"/>
          <w:sz w:val="28"/>
          <w:szCs w:val="28"/>
          <w:rtl/>
        </w:rPr>
        <w:t xml:space="preserve">, וחזקה שידע את הפסול שבמעשיו והוא אחראי להם באופן </w:t>
      </w:r>
      <w:r>
        <w:rPr>
          <w:rFonts w:cs="FrankRuehl" w:hint="cs"/>
          <w:sz w:val="28"/>
          <w:szCs w:val="28"/>
          <w:rtl/>
        </w:rPr>
        <w:t>בלעדי</w:t>
      </w:r>
      <w:r>
        <w:rPr>
          <w:rFonts w:cs="FrankRuehl"/>
          <w:sz w:val="28"/>
          <w:szCs w:val="28"/>
          <w:rtl/>
        </w:rPr>
        <w:t xml:space="preserve">; הנזק מעבירות סמים ידוע ופוטנציאל הנזק הוא רב. בפועל, מאחר שהסמים נמכרו לשוטר סמוי, לא נגרם נזק בפועל; השוטר, הוא שיזם </w:t>
      </w:r>
      <w:r>
        <w:rPr>
          <w:rFonts w:cs="FrankRuehl" w:hint="cs"/>
          <w:sz w:val="28"/>
          <w:szCs w:val="28"/>
          <w:rtl/>
        </w:rPr>
        <w:t>ה</w:t>
      </w:r>
      <w:r>
        <w:rPr>
          <w:rFonts w:cs="FrankRuehl"/>
          <w:sz w:val="28"/>
          <w:szCs w:val="28"/>
          <w:rtl/>
        </w:rPr>
        <w:t xml:space="preserve">פניה התחלתית לנאשם, ואולם, לאחר יוזמה זו של השוטר, הנאשם לא נמנע מלשוב ולספק לו סמים, ובאישום האחרון אף מדובר בכמות </w:t>
      </w:r>
      <w:r>
        <w:rPr>
          <w:rFonts w:cs="FrankRuehl" w:hint="cs"/>
          <w:sz w:val="28"/>
          <w:szCs w:val="28"/>
          <w:rtl/>
        </w:rPr>
        <w:t>של למעלה מ-3 גרם קוקאין, דבר המצביע על עליית מדרגה של ממש בחומרת המעשים והנגישות לסמים.</w:t>
      </w:r>
    </w:p>
    <w:p w14:paraId="2C66EBB0" w14:textId="77777777" w:rsidR="004E2E25" w:rsidRDefault="004E2E25" w:rsidP="004E2E25">
      <w:pPr>
        <w:spacing w:line="360" w:lineRule="auto"/>
        <w:jc w:val="both"/>
        <w:rPr>
          <w:rFonts w:cs="FrankRuehl"/>
          <w:b/>
          <w:bCs/>
          <w:sz w:val="28"/>
          <w:szCs w:val="28"/>
          <w:u w:val="single"/>
          <w:rtl/>
        </w:rPr>
      </w:pPr>
    </w:p>
    <w:p w14:paraId="036C99C1" w14:textId="77777777" w:rsidR="004E2E25" w:rsidRDefault="004E2E25" w:rsidP="004E2E25">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sz w:val="28"/>
          <w:szCs w:val="28"/>
          <w:rtl/>
        </w:rPr>
        <w:t>כאמור, הכלל בביצוע עבירות סחר בסמים, בוודאי בסוג זה של סם, הוא מאסר בפועל ממש. יחד עם זאת ניתן למצוא פסיקה המסיימת הליכים בענישה של עבודות שירות.</w:t>
      </w:r>
    </w:p>
    <w:p w14:paraId="78533A48" w14:textId="77777777" w:rsidR="004E2E25" w:rsidRDefault="004E2E25" w:rsidP="004E2E25">
      <w:pPr>
        <w:spacing w:line="360" w:lineRule="auto"/>
        <w:jc w:val="both"/>
        <w:rPr>
          <w:rFonts w:cs="FrankRuehl"/>
          <w:sz w:val="28"/>
          <w:szCs w:val="28"/>
          <w:rtl/>
        </w:rPr>
      </w:pPr>
    </w:p>
    <w:p w14:paraId="2BEFCCB3" w14:textId="77777777" w:rsidR="004E2E25" w:rsidRDefault="004E2E25" w:rsidP="004E2E25">
      <w:pPr>
        <w:spacing w:line="360" w:lineRule="auto"/>
        <w:jc w:val="both"/>
        <w:rPr>
          <w:rFonts w:cs="FrankRuehl"/>
          <w:sz w:val="28"/>
          <w:szCs w:val="28"/>
          <w:rtl/>
        </w:rPr>
      </w:pPr>
      <w:r>
        <w:rPr>
          <w:rFonts w:cs="FrankRuehl"/>
          <w:sz w:val="28"/>
          <w:szCs w:val="28"/>
          <w:rtl/>
        </w:rPr>
        <w:t>ב</w:t>
      </w:r>
      <w:hyperlink r:id="rId22" w:history="1">
        <w:r w:rsidR="00AE477D" w:rsidRPr="00AE477D">
          <w:rPr>
            <w:rFonts w:cs="FrankRuehl"/>
            <w:color w:val="0000FF"/>
            <w:sz w:val="28"/>
            <w:szCs w:val="28"/>
            <w:u w:val="single"/>
            <w:rtl/>
          </w:rPr>
          <w:t>רע"פ 5494/19</w:t>
        </w:r>
      </w:hyperlink>
      <w:r>
        <w:rPr>
          <w:rFonts w:cs="FrankRuehl"/>
          <w:sz w:val="28"/>
          <w:szCs w:val="28"/>
          <w:rtl/>
        </w:rPr>
        <w:t xml:space="preserve"> </w:t>
      </w:r>
      <w:r>
        <w:rPr>
          <w:rFonts w:cs="FrankRuehl"/>
          <w:b/>
          <w:bCs/>
          <w:sz w:val="28"/>
          <w:szCs w:val="28"/>
          <w:u w:val="single"/>
          <w:rtl/>
        </w:rPr>
        <w:t>רנד</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22.8.2019) אושר מתחם שבין 6 ל-18 חודשי מאסר בנסיבות של סחר פעמים בקריסטל, והמצאות 11 גרם הירואין וקוקאין מחולקים למנות אצל נאשם ללא עבר פלילי. התיק הסתיים ב-6 חודשי מאסר לריצוי בעבודות שירות; ב</w:t>
      </w:r>
      <w:hyperlink r:id="rId23" w:history="1">
        <w:r w:rsidR="00AE477D" w:rsidRPr="00AE477D">
          <w:rPr>
            <w:rFonts w:cs="FrankRuehl"/>
            <w:color w:val="0000FF"/>
            <w:sz w:val="28"/>
            <w:szCs w:val="28"/>
            <w:u w:val="single"/>
            <w:rtl/>
          </w:rPr>
          <w:t>רע"פ 5353/17</w:t>
        </w:r>
      </w:hyperlink>
      <w:r>
        <w:rPr>
          <w:rFonts w:cs="FrankRuehl"/>
          <w:sz w:val="28"/>
          <w:szCs w:val="28"/>
          <w:rtl/>
        </w:rPr>
        <w:t xml:space="preserve"> </w:t>
      </w:r>
      <w:r>
        <w:rPr>
          <w:rFonts w:cs="FrankRuehl"/>
          <w:b/>
          <w:bCs/>
          <w:sz w:val="28"/>
          <w:szCs w:val="28"/>
          <w:u w:val="single"/>
          <w:rtl/>
        </w:rPr>
        <w:t>טפרה</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18.9.2017) אושר מתחם שבין 4 ל-12 חודשי מאסר לעבירות תיווך לסחר, ו-6 עד 18 חודשים לעבירות סחר בקוקאין. באותן נסיבות</w:t>
      </w:r>
      <w:r>
        <w:rPr>
          <w:rFonts w:cs="FrankRuehl" w:hint="cs"/>
          <w:sz w:val="28"/>
          <w:szCs w:val="28"/>
          <w:rtl/>
        </w:rPr>
        <w:t xml:space="preserve">, שהיו </w:t>
      </w:r>
      <w:r>
        <w:rPr>
          <w:rFonts w:cs="FrankRuehl"/>
          <w:sz w:val="28"/>
          <w:szCs w:val="28"/>
          <w:rtl/>
        </w:rPr>
        <w:t xml:space="preserve">חמורות יותר מבחינת כמויות סחר בקוקאין, נגזרו 7 חודשי מאסר בפועל; בעפ"ג (י-ם)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נסים</w:t>
      </w:r>
      <w:r>
        <w:rPr>
          <w:rFonts w:cs="FrankRuehl"/>
          <w:sz w:val="28"/>
          <w:szCs w:val="28"/>
          <w:rtl/>
        </w:rPr>
        <w:t xml:space="preserve"> (מיום 13.3.2019) קבע בית המשפט המחוזי מתחם שבין 8 חודשי מאסר ועד 24 חודשי מאסר בנוגע לעבירת סחר ב-2.5 גרם קוקאין, והחמיר עונש בעבודות שירות שגזרתי על הנאשם ל-8 חודשי מאסר בפועל. נקבע שם כי ניתן להתחיל מתחם בנסיבות אל גם בעונש שירוצה בעבודות שירות; ב</w:t>
      </w:r>
      <w:hyperlink r:id="rId24" w:history="1">
        <w:r w:rsidR="00AE477D" w:rsidRPr="00AE477D">
          <w:rPr>
            <w:rFonts w:cs="FrankRuehl"/>
            <w:color w:val="0000FF"/>
            <w:sz w:val="28"/>
            <w:szCs w:val="28"/>
            <w:u w:val="single"/>
            <w:rtl/>
          </w:rPr>
          <w:t>ת"פ (מחוזי חיפה) 22435-01-15</w:t>
        </w:r>
      </w:hyperlink>
      <w:r>
        <w:rPr>
          <w:rFonts w:cs="FrankRuehl"/>
          <w:sz w:val="28"/>
          <w:szCs w:val="28"/>
          <w:rtl/>
        </w:rPr>
        <w:t xml:space="preserve">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שעיב</w:t>
      </w:r>
      <w:r>
        <w:rPr>
          <w:rFonts w:cs="FrankRuehl"/>
          <w:sz w:val="28"/>
          <w:szCs w:val="28"/>
          <w:rtl/>
        </w:rPr>
        <w:t>, גזר בין המשפט המחוזי 5 חודשי מאסר לריצוי בעבודות שירות, כשקבע מתחם שבין מס' חודשי מאסר לרבות עבודות שירות ועד 12 חודשי מאסר, בנסיבות סיוע לסחר בקוקאין (8 גרם); ב</w:t>
      </w:r>
      <w:hyperlink r:id="rId25" w:history="1">
        <w:r w:rsidR="00AE477D" w:rsidRPr="00AE477D">
          <w:rPr>
            <w:rFonts w:cs="FrankRuehl"/>
            <w:color w:val="0000FF"/>
            <w:sz w:val="28"/>
            <w:szCs w:val="28"/>
            <w:u w:val="single"/>
            <w:rtl/>
          </w:rPr>
          <w:t>עפ"ג (חיפה) 53142-12-16</w:t>
        </w:r>
      </w:hyperlink>
      <w:r>
        <w:rPr>
          <w:rFonts w:cs="FrankRuehl"/>
          <w:sz w:val="28"/>
          <w:szCs w:val="28"/>
          <w:rtl/>
        </w:rPr>
        <w:t xml:space="preserve"> </w:t>
      </w:r>
      <w:r>
        <w:rPr>
          <w:rFonts w:cs="FrankRuehl"/>
          <w:b/>
          <w:bCs/>
          <w:sz w:val="28"/>
          <w:szCs w:val="28"/>
          <w:u w:val="single"/>
          <w:rtl/>
        </w:rPr>
        <w:t>רחימוב</w:t>
      </w:r>
      <w:r>
        <w:rPr>
          <w:rFonts w:cs="FrankRuehl"/>
          <w:sz w:val="28"/>
          <w:szCs w:val="28"/>
          <w:rtl/>
        </w:rPr>
        <w:t xml:space="preserve"> נ' </w:t>
      </w:r>
      <w:r>
        <w:rPr>
          <w:rFonts w:cs="FrankRuehl"/>
          <w:b/>
          <w:bCs/>
          <w:sz w:val="28"/>
          <w:szCs w:val="28"/>
          <w:u w:val="single"/>
          <w:rtl/>
        </w:rPr>
        <w:t>מ"י</w:t>
      </w:r>
      <w:r>
        <w:rPr>
          <w:rFonts w:cs="FrankRuehl"/>
          <w:sz w:val="28"/>
          <w:szCs w:val="28"/>
          <w:rtl/>
        </w:rPr>
        <w:t>, הקל בית המשפט המחוזי בעניינו של נאשם צעיר , בעל עבר, שעבר תהליך שיקומי, שסחר ב-15 גרם קוקאין והחזיק חשיש לצריכה עצמית, וגזר עליו 6 חודשי מאסר לריצוי בעבודות שירות, כסטיה לקולא מטעמי שיקום. שם אושר מתחם שבין 13 ל-30 חודשי מאסר.</w:t>
      </w:r>
      <w:r>
        <w:rPr>
          <w:rFonts w:cs="FrankRuehl" w:hint="cs"/>
          <w:sz w:val="28"/>
          <w:szCs w:val="28"/>
          <w:rtl/>
        </w:rPr>
        <w:t xml:space="preserve"> הפסיקה אליה היפנה הסניגור אינה רלבנטית: </w:t>
      </w:r>
      <w:hyperlink r:id="rId26" w:history="1">
        <w:r w:rsidR="00AE477D" w:rsidRPr="00AE477D">
          <w:rPr>
            <w:rFonts w:cs="FrankRuehl"/>
            <w:color w:val="0000FF"/>
            <w:sz w:val="28"/>
            <w:szCs w:val="28"/>
            <w:u w:val="single"/>
            <w:rtl/>
          </w:rPr>
          <w:t>ת"פ (י-ם) 39214-12-15</w:t>
        </w:r>
      </w:hyperlink>
      <w:r>
        <w:rPr>
          <w:rFonts w:cs="FrankRuehl" w:hint="cs"/>
          <w:sz w:val="28"/>
          <w:szCs w:val="28"/>
          <w:rtl/>
        </w:rPr>
        <w:t xml:space="preserve"> </w:t>
      </w:r>
      <w:r w:rsidRPr="0001349E">
        <w:rPr>
          <w:rFonts w:cs="FrankRuehl" w:hint="cs"/>
          <w:b/>
          <w:bCs/>
          <w:sz w:val="28"/>
          <w:szCs w:val="28"/>
          <w:u w:val="single"/>
          <w:rtl/>
        </w:rPr>
        <w:t>מ"י</w:t>
      </w:r>
      <w:r>
        <w:rPr>
          <w:rFonts w:cs="FrankRuehl" w:hint="cs"/>
          <w:sz w:val="28"/>
          <w:szCs w:val="28"/>
          <w:rtl/>
        </w:rPr>
        <w:t xml:space="preserve"> נ' </w:t>
      </w:r>
      <w:r w:rsidRPr="0001349E">
        <w:rPr>
          <w:rFonts w:cs="FrankRuehl" w:hint="cs"/>
          <w:b/>
          <w:bCs/>
          <w:sz w:val="28"/>
          <w:szCs w:val="28"/>
          <w:u w:val="single"/>
          <w:rtl/>
        </w:rPr>
        <w:t>אהרן</w:t>
      </w:r>
      <w:r>
        <w:rPr>
          <w:rFonts w:cs="FrankRuehl" w:hint="cs"/>
          <w:sz w:val="28"/>
          <w:szCs w:val="28"/>
          <w:rtl/>
        </w:rPr>
        <w:t xml:space="preserve"> (מיום 3.6.2018) מתייחס לתהליך שיקומי ממושך, שבגין כך הסתיים התיק באופן שיקומי; ב</w:t>
      </w:r>
      <w:hyperlink r:id="rId27" w:history="1">
        <w:r w:rsidR="00AE477D" w:rsidRPr="00AE477D">
          <w:rPr>
            <w:rFonts w:cs="FrankRuehl"/>
            <w:color w:val="0000FF"/>
            <w:sz w:val="28"/>
            <w:szCs w:val="28"/>
            <w:u w:val="single"/>
            <w:rtl/>
          </w:rPr>
          <w:t>ת"פ (י-ם) 33038-10-17</w:t>
        </w:r>
      </w:hyperlink>
      <w:r>
        <w:rPr>
          <w:rFonts w:cs="FrankRuehl" w:hint="cs"/>
          <w:sz w:val="28"/>
          <w:szCs w:val="28"/>
          <w:rtl/>
        </w:rPr>
        <w:t xml:space="preserve"> </w:t>
      </w:r>
      <w:r w:rsidRPr="0001349E">
        <w:rPr>
          <w:rFonts w:cs="FrankRuehl" w:hint="cs"/>
          <w:b/>
          <w:bCs/>
          <w:sz w:val="28"/>
          <w:szCs w:val="28"/>
          <w:u w:val="single"/>
          <w:rtl/>
        </w:rPr>
        <w:t>מ"י</w:t>
      </w:r>
      <w:r>
        <w:rPr>
          <w:rFonts w:cs="FrankRuehl" w:hint="cs"/>
          <w:sz w:val="28"/>
          <w:szCs w:val="28"/>
          <w:rtl/>
        </w:rPr>
        <w:t xml:space="preserve"> נ' </w:t>
      </w:r>
      <w:r w:rsidRPr="0001349E">
        <w:rPr>
          <w:rFonts w:cs="FrankRuehl" w:hint="cs"/>
          <w:b/>
          <w:bCs/>
          <w:sz w:val="28"/>
          <w:szCs w:val="28"/>
          <w:u w:val="single"/>
          <w:rtl/>
        </w:rPr>
        <w:t>דיין</w:t>
      </w:r>
      <w:r>
        <w:rPr>
          <w:rFonts w:cs="FrankRuehl" w:hint="cs"/>
          <w:sz w:val="28"/>
          <w:szCs w:val="28"/>
          <w:rtl/>
        </w:rPr>
        <w:t xml:space="preserve"> (מיום 18.6.2018) דובר בסחר בקנביס, ואין הדבר דומה בנסיבותיו לנסיבות מקרנו. </w:t>
      </w:r>
    </w:p>
    <w:p w14:paraId="298CC246" w14:textId="77777777" w:rsidR="004E2E25" w:rsidRDefault="004E2E25" w:rsidP="004E2E25">
      <w:pPr>
        <w:spacing w:line="360" w:lineRule="auto"/>
        <w:jc w:val="both"/>
        <w:rPr>
          <w:rFonts w:cs="FrankRuehl"/>
          <w:sz w:val="28"/>
          <w:szCs w:val="28"/>
          <w:rtl/>
        </w:rPr>
      </w:pPr>
    </w:p>
    <w:p w14:paraId="1805C9B4" w14:textId="77777777" w:rsidR="004E2E25" w:rsidRDefault="004E2E25" w:rsidP="004E2E25">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בין 6 ל-20 חודשי מאסר בפועל, כאשר מדובר באירוע אחד, לנוכח עמידת הנסיבות במבחן הקשר ההדוק – מדובר באותם צדדים לעסקה, באות</w:t>
      </w:r>
      <w:r>
        <w:rPr>
          <w:rFonts w:cs="FrankRuehl" w:hint="cs"/>
          <w:sz w:val="28"/>
          <w:szCs w:val="28"/>
          <w:rtl/>
        </w:rPr>
        <w:t>ו</w:t>
      </w:r>
      <w:r>
        <w:rPr>
          <w:rFonts w:cs="FrankRuehl"/>
          <w:sz w:val="28"/>
          <w:szCs w:val="28"/>
          <w:rtl/>
        </w:rPr>
        <w:t xml:space="preserve"> סוג סם ובאותן כמויות (למעט האישום ה</w:t>
      </w:r>
      <w:r>
        <w:rPr>
          <w:rFonts w:cs="FrankRuehl" w:hint="cs"/>
          <w:sz w:val="28"/>
          <w:szCs w:val="28"/>
          <w:rtl/>
        </w:rPr>
        <w:t>שלישי</w:t>
      </w:r>
      <w:r>
        <w:rPr>
          <w:rFonts w:cs="FrankRuehl"/>
          <w:sz w:val="28"/>
          <w:szCs w:val="28"/>
          <w:rtl/>
        </w:rPr>
        <w:t xml:space="preserve">), ובסמיכות זמנים ניכרת – ר' </w:t>
      </w:r>
      <w:hyperlink r:id="rId28" w:history="1">
        <w:r w:rsidR="00AE477D" w:rsidRPr="00AE477D">
          <w:rPr>
            <w:rFonts w:cs="FrankRuehl"/>
            <w:color w:val="0000FF"/>
            <w:sz w:val="28"/>
            <w:szCs w:val="28"/>
            <w:u w:val="single"/>
            <w:rtl/>
          </w:rPr>
          <w:t>ע"פ 4910/13</w:t>
        </w:r>
      </w:hyperlink>
      <w:r>
        <w:rPr>
          <w:rFonts w:cs="FrankRuehl"/>
          <w:sz w:val="28"/>
          <w:szCs w:val="28"/>
          <w:rtl/>
        </w:rPr>
        <w:t xml:space="preserve"> </w:t>
      </w:r>
      <w:r>
        <w:rPr>
          <w:rFonts w:cs="FrankRuehl"/>
          <w:b/>
          <w:bCs/>
          <w:sz w:val="28"/>
          <w:szCs w:val="28"/>
          <w:u w:val="single"/>
          <w:rtl/>
        </w:rPr>
        <w:t xml:space="preserve">בני ג'אבר </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29.10.2014) </w:t>
      </w:r>
    </w:p>
    <w:p w14:paraId="3117C2CD" w14:textId="77777777" w:rsidR="004E2E25" w:rsidRDefault="004E2E25" w:rsidP="004E2E25">
      <w:pPr>
        <w:spacing w:line="360" w:lineRule="auto"/>
        <w:jc w:val="both"/>
        <w:rPr>
          <w:rFonts w:cs="FrankRuehl"/>
          <w:b/>
          <w:bCs/>
          <w:sz w:val="28"/>
          <w:szCs w:val="28"/>
          <w:rtl/>
        </w:rPr>
      </w:pPr>
    </w:p>
    <w:p w14:paraId="77990617" w14:textId="77777777" w:rsidR="004E2E25" w:rsidRDefault="004E2E25" w:rsidP="004E2E25">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9" w:history="1">
        <w:r w:rsidR="001026DE" w:rsidRPr="001026DE">
          <w:rPr>
            <w:rStyle w:val="Hyperlink"/>
            <w:rFonts w:cs="FrankRuehl"/>
            <w:b/>
            <w:bCs/>
            <w:sz w:val="28"/>
            <w:szCs w:val="28"/>
            <w:rtl/>
          </w:rPr>
          <w:t>סעיף 40י"א</w:t>
        </w:r>
      </w:hyperlink>
      <w:r>
        <w:rPr>
          <w:rFonts w:cs="FrankRuehl"/>
          <w:b/>
          <w:bCs/>
          <w:sz w:val="28"/>
          <w:szCs w:val="28"/>
          <w:u w:val="single"/>
          <w:rtl/>
        </w:rPr>
        <w:t xml:space="preserve"> ל</w:t>
      </w:r>
      <w:hyperlink r:id="rId30" w:history="1">
        <w:r w:rsidR="00AE477D" w:rsidRPr="00AE477D">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 מדובר בנאשם בשנות הארבעים לחייו, שכל חייו עבד באופן סדיר וכלכל את משפחתו</w:t>
      </w:r>
      <w:r>
        <w:rPr>
          <w:rFonts w:cs="FrankRuehl" w:hint="cs"/>
          <w:sz w:val="28"/>
          <w:szCs w:val="28"/>
          <w:rtl/>
        </w:rPr>
        <w:t xml:space="preserve"> וילדיו הקטנים</w:t>
      </w:r>
      <w:r>
        <w:rPr>
          <w:rFonts w:cs="FrankRuehl"/>
          <w:sz w:val="28"/>
          <w:szCs w:val="28"/>
          <w:rtl/>
        </w:rPr>
        <w:t xml:space="preserve">; </w:t>
      </w:r>
      <w:r>
        <w:rPr>
          <w:rFonts w:cs="FrankRuehl" w:hint="cs"/>
          <w:sz w:val="28"/>
          <w:szCs w:val="28"/>
          <w:rtl/>
        </w:rPr>
        <w:t xml:space="preserve">עברו הפלילי אמנם ישן ולא ממין העניין, אך מהווה נסיבה לחומרה לנוכח מהותו; הנאשם שהה כחודשיים במעצר ממש ולאחר מכן במעצר בית מלא חודשים ארוכים, עד להקלה בתנאיו למעצר בית לילי. לכל אורך התקופה לא הפר את התנאים, ומסר בדיקות שתן רבות שהעידו על אי שימוש בסמים. </w:t>
      </w:r>
    </w:p>
    <w:p w14:paraId="448B9578" w14:textId="77777777" w:rsidR="004E2E25" w:rsidRDefault="004E2E25" w:rsidP="004E2E25">
      <w:pPr>
        <w:spacing w:line="360" w:lineRule="auto"/>
        <w:jc w:val="both"/>
        <w:rPr>
          <w:rFonts w:cs="FrankRuehl"/>
          <w:sz w:val="28"/>
          <w:szCs w:val="28"/>
          <w:rtl/>
        </w:rPr>
      </w:pPr>
    </w:p>
    <w:p w14:paraId="39F1F2D6" w14:textId="77777777" w:rsidR="004E2E25" w:rsidRDefault="004E2E25" w:rsidP="004E2E25">
      <w:pPr>
        <w:spacing w:line="360" w:lineRule="auto"/>
        <w:jc w:val="both"/>
        <w:rPr>
          <w:rFonts w:cs="FrankRuehl"/>
          <w:b/>
          <w:bCs/>
          <w:sz w:val="28"/>
          <w:szCs w:val="28"/>
          <w:u w:val="single"/>
          <w:rtl/>
        </w:rPr>
      </w:pPr>
      <w:r>
        <w:rPr>
          <w:rFonts w:cs="FrankRuehl"/>
          <w:b/>
          <w:bCs/>
          <w:sz w:val="28"/>
          <w:szCs w:val="28"/>
          <w:u w:val="single"/>
          <w:rtl/>
        </w:rPr>
        <w:t>המיקום במתחם</w:t>
      </w:r>
      <w:r>
        <w:rPr>
          <w:rFonts w:cs="FrankRuehl"/>
          <w:sz w:val="28"/>
          <w:szCs w:val="28"/>
          <w:rtl/>
        </w:rPr>
        <w:t xml:space="preserve"> – בנסיבות אלו, יש למקם את הנאשם ב</w:t>
      </w:r>
      <w:r>
        <w:rPr>
          <w:rFonts w:cs="FrankRuehl" w:hint="cs"/>
          <w:sz w:val="28"/>
          <w:szCs w:val="28"/>
          <w:rtl/>
        </w:rPr>
        <w:t xml:space="preserve">חלקו הראשון של </w:t>
      </w:r>
      <w:r>
        <w:rPr>
          <w:rFonts w:cs="FrankRuehl"/>
          <w:sz w:val="28"/>
          <w:szCs w:val="28"/>
          <w:rtl/>
        </w:rPr>
        <w:t>המתחם</w:t>
      </w:r>
      <w:r>
        <w:rPr>
          <w:rFonts w:cs="FrankRuehl" w:hint="cs"/>
          <w:sz w:val="28"/>
          <w:szCs w:val="28"/>
          <w:rtl/>
        </w:rPr>
        <w:t xml:space="preserve"> אך אין אפשרות בנסיבות העניין להימנע משליחת הנאשם לכלא</w:t>
      </w:r>
      <w:r>
        <w:rPr>
          <w:rFonts w:cs="FrankRuehl"/>
          <w:sz w:val="28"/>
          <w:szCs w:val="28"/>
          <w:rtl/>
        </w:rPr>
        <w:t xml:space="preserve">. </w:t>
      </w:r>
      <w:r>
        <w:rPr>
          <w:rFonts w:cs="FrankRuehl" w:hint="cs"/>
          <w:sz w:val="28"/>
          <w:szCs w:val="28"/>
          <w:rtl/>
        </w:rPr>
        <w:t>אבהיר, כי בדיון מיום 23.2.2020 היה זה ב"כ הנאשם שביקש מבית המשפט להפנות את הנאשם לממונה, למרות שהבעתי את דעתי, נוכח הפסיקה, כי מאסר הוא העונש הסביר בנסיבות העניין. סברתי כי לא ניתן להימנע ממאסר בשל מספר העבירות, העובדה כי בפעם השלישית זינקה כמות הסם ליותר מפי שלושה מאשר בעסקאות הקודמות, והיעדר נטילת אחריות מספקת לביצוע העבירות. ברקע גם עברו הפלילי של הנאשם שגם אם אינו בעבירות סמים, מהווה נסיבה לחומרה.</w:t>
      </w:r>
    </w:p>
    <w:p w14:paraId="11FDD835" w14:textId="77777777" w:rsidR="004E2E25" w:rsidRDefault="004E2E25" w:rsidP="004E2E25">
      <w:pPr>
        <w:spacing w:line="360" w:lineRule="auto"/>
        <w:jc w:val="both"/>
        <w:rPr>
          <w:rFonts w:cs="FrankRuehl"/>
          <w:b/>
          <w:bCs/>
          <w:sz w:val="28"/>
          <w:szCs w:val="28"/>
          <w:u w:val="single"/>
          <w:rtl/>
        </w:rPr>
      </w:pPr>
    </w:p>
    <w:p w14:paraId="525C2246" w14:textId="77777777" w:rsidR="004E2E25" w:rsidRDefault="004E2E25" w:rsidP="004E2E25">
      <w:pPr>
        <w:spacing w:line="360" w:lineRule="auto"/>
        <w:jc w:val="both"/>
        <w:rPr>
          <w:rFonts w:cs="FrankRuehl"/>
          <w:b/>
          <w:bCs/>
          <w:sz w:val="28"/>
          <w:szCs w:val="28"/>
          <w:u w:val="single"/>
          <w:rtl/>
        </w:rPr>
      </w:pPr>
      <w:r>
        <w:rPr>
          <w:rFonts w:cs="FrankRuehl"/>
          <w:b/>
          <w:bCs/>
          <w:sz w:val="28"/>
          <w:szCs w:val="28"/>
          <w:u w:val="single"/>
          <w:rtl/>
        </w:rPr>
        <w:t>גזירת הדין</w:t>
      </w:r>
    </w:p>
    <w:p w14:paraId="339BBA09" w14:textId="77777777" w:rsidR="004E2E25" w:rsidRDefault="004E2E25" w:rsidP="004E2E25">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83CC69B" w14:textId="77777777" w:rsidR="004E2E25" w:rsidRDefault="004E2E25" w:rsidP="004E2E25">
      <w:pPr>
        <w:numPr>
          <w:ilvl w:val="0"/>
          <w:numId w:val="1"/>
        </w:numPr>
        <w:spacing w:after="160" w:line="360" w:lineRule="auto"/>
        <w:contextualSpacing/>
        <w:jc w:val="both"/>
        <w:rPr>
          <w:rFonts w:cs="FrankRuehl"/>
          <w:sz w:val="28"/>
          <w:szCs w:val="28"/>
          <w:rtl/>
        </w:rPr>
      </w:pPr>
      <w:r>
        <w:rPr>
          <w:rFonts w:cs="FrankRuehl" w:hint="cs"/>
          <w:sz w:val="28"/>
          <w:szCs w:val="28"/>
          <w:rtl/>
        </w:rPr>
        <w:t>9 חודשי מאסר בפועל, בניכוי מלא של ימי מעצרו של הנאשם בתיק זה, ע"פ חישוב שב"ס שיכריע. על הנאשם להתייצב לתחילת ריצוי עונשו ביום 25.10.2020 בבית הכלא "ניצן" עד השעה 10:00 כשהוא מצויד בתעודת זהות והעתק מגזר הדין</w:t>
      </w:r>
      <w:r>
        <w:rPr>
          <w:rFonts w:cs="FrankRuehl"/>
          <w:sz w:val="28"/>
          <w:szCs w:val="28"/>
          <w:rtl/>
        </w:rPr>
        <w:t>;</w:t>
      </w:r>
    </w:p>
    <w:p w14:paraId="4E9C1242" w14:textId="77777777" w:rsidR="004E2E25" w:rsidRDefault="004E2E25" w:rsidP="004E2E25">
      <w:pPr>
        <w:numPr>
          <w:ilvl w:val="0"/>
          <w:numId w:val="1"/>
        </w:numPr>
        <w:spacing w:after="160" w:line="360" w:lineRule="auto"/>
        <w:contextualSpacing/>
        <w:jc w:val="both"/>
        <w:rPr>
          <w:rFonts w:cs="FrankRuehl"/>
          <w:sz w:val="28"/>
          <w:szCs w:val="28"/>
        </w:rPr>
      </w:pPr>
      <w:r>
        <w:rPr>
          <w:rFonts w:cs="FrankRuehl"/>
          <w:sz w:val="28"/>
          <w:szCs w:val="28"/>
          <w:rtl/>
        </w:rPr>
        <w:t xml:space="preserve">8 חודשי מאסר שלא ירוצו אלא אם יעבור הנאשם כל עבירת פשע לפי פקודת הסמים בתוך שלוש שנים </w:t>
      </w:r>
      <w:r>
        <w:rPr>
          <w:rFonts w:cs="FrankRuehl" w:hint="cs"/>
          <w:sz w:val="28"/>
          <w:szCs w:val="28"/>
          <w:rtl/>
        </w:rPr>
        <w:t>מיום שחרורו</w:t>
      </w:r>
      <w:r>
        <w:rPr>
          <w:rFonts w:cs="FrankRuehl"/>
          <w:sz w:val="28"/>
          <w:szCs w:val="28"/>
          <w:rtl/>
        </w:rPr>
        <w:t>;</w:t>
      </w:r>
    </w:p>
    <w:p w14:paraId="547541D2" w14:textId="77777777" w:rsidR="004E2E25" w:rsidRDefault="004E2E25" w:rsidP="004E2E25">
      <w:pPr>
        <w:numPr>
          <w:ilvl w:val="0"/>
          <w:numId w:val="1"/>
        </w:numPr>
        <w:spacing w:after="160" w:line="360" w:lineRule="auto"/>
        <w:contextualSpacing/>
        <w:jc w:val="both"/>
        <w:rPr>
          <w:rFonts w:cs="FrankRuehl"/>
          <w:sz w:val="28"/>
          <w:szCs w:val="28"/>
          <w:rtl/>
        </w:rPr>
      </w:pPr>
      <w:r>
        <w:rPr>
          <w:rFonts w:cs="FrankRuehl" w:hint="cs"/>
          <w:sz w:val="28"/>
          <w:szCs w:val="28"/>
          <w:rtl/>
        </w:rPr>
        <w:t>12 חודשי פסילה מלקבל או מלהחזיק ברישיון נהיגה, וזאת על-תנאי למשך 3 שנים מיום שחרורו, אם יחזור ויבצע כל עבירה לפי פקודת הסמים לרבות שימוש עצמי והחזקת כלים לשימוש עצמי;</w:t>
      </w:r>
    </w:p>
    <w:p w14:paraId="316AF8F2" w14:textId="77777777" w:rsidR="004E2E25" w:rsidRDefault="004E2E25" w:rsidP="004E2E25">
      <w:pPr>
        <w:numPr>
          <w:ilvl w:val="0"/>
          <w:numId w:val="1"/>
        </w:numPr>
        <w:spacing w:after="160" w:line="360" w:lineRule="auto"/>
        <w:contextualSpacing/>
        <w:jc w:val="both"/>
        <w:rPr>
          <w:rFonts w:cs="FrankRuehl"/>
          <w:sz w:val="28"/>
          <w:szCs w:val="28"/>
        </w:rPr>
      </w:pPr>
      <w:r>
        <w:rPr>
          <w:rFonts w:cs="FrankRuehl"/>
          <w:sz w:val="28"/>
          <w:szCs w:val="28"/>
          <w:rtl/>
        </w:rPr>
        <w:t xml:space="preserve">חודש מאסר שלא ירוצה, אלא אם יעבור הנאשם כל עבירת עוון לפי פקודת הסמים בתוך שלוש שנים </w:t>
      </w:r>
      <w:r>
        <w:rPr>
          <w:rFonts w:cs="FrankRuehl" w:hint="cs"/>
          <w:sz w:val="28"/>
          <w:szCs w:val="28"/>
          <w:rtl/>
        </w:rPr>
        <w:t>מיום שחרורו;</w:t>
      </w:r>
      <w:r>
        <w:rPr>
          <w:rFonts w:cs="FrankRuehl"/>
          <w:sz w:val="28"/>
          <w:szCs w:val="28"/>
          <w:rtl/>
        </w:rPr>
        <w:t xml:space="preserve"> </w:t>
      </w:r>
    </w:p>
    <w:p w14:paraId="6FDD25B7" w14:textId="77777777" w:rsidR="004E2E25" w:rsidRDefault="004E2E25" w:rsidP="004E2E25">
      <w:pPr>
        <w:numPr>
          <w:ilvl w:val="0"/>
          <w:numId w:val="1"/>
        </w:numPr>
        <w:spacing w:after="160" w:line="360" w:lineRule="auto"/>
        <w:contextualSpacing/>
        <w:jc w:val="both"/>
        <w:rPr>
          <w:rFonts w:cs="FrankRuehl"/>
          <w:sz w:val="28"/>
          <w:szCs w:val="28"/>
        </w:rPr>
      </w:pPr>
      <w:r>
        <w:rPr>
          <w:rFonts w:cs="FrankRuehl"/>
          <w:sz w:val="28"/>
          <w:szCs w:val="28"/>
          <w:rtl/>
        </w:rPr>
        <w:t xml:space="preserve">קנס בסך 5,000  ₪, או </w:t>
      </w:r>
      <w:r>
        <w:rPr>
          <w:rFonts w:cs="FrankRuehl" w:hint="cs"/>
          <w:sz w:val="28"/>
          <w:szCs w:val="28"/>
          <w:rtl/>
        </w:rPr>
        <w:t>חודש</w:t>
      </w:r>
      <w:r>
        <w:rPr>
          <w:rFonts w:cs="FrankRuehl"/>
          <w:sz w:val="28"/>
          <w:szCs w:val="28"/>
          <w:rtl/>
        </w:rPr>
        <w:t xml:space="preserve"> מאסר תמורתו, אשר יקוזז במלואו מההפקדה בתיק המעצר, על אף כל הוראת עיקול, ככל שקיימת. ככל שתיוותר יתרת חוב, תשולם עד ליום 1.</w:t>
      </w:r>
      <w:r>
        <w:rPr>
          <w:rFonts w:cs="FrankRuehl" w:hint="cs"/>
          <w:sz w:val="28"/>
          <w:szCs w:val="28"/>
          <w:rtl/>
        </w:rPr>
        <w:t>5</w:t>
      </w:r>
      <w:r>
        <w:rPr>
          <w:rFonts w:cs="FrankRuehl"/>
          <w:sz w:val="28"/>
          <w:szCs w:val="28"/>
          <w:rtl/>
        </w:rPr>
        <w:t>.</w:t>
      </w:r>
      <w:r>
        <w:rPr>
          <w:rFonts w:cs="FrankRuehl" w:hint="cs"/>
          <w:sz w:val="28"/>
          <w:szCs w:val="28"/>
          <w:rtl/>
        </w:rPr>
        <w:t>2021</w:t>
      </w:r>
      <w:r>
        <w:rPr>
          <w:rFonts w:cs="FrankRuehl"/>
          <w:sz w:val="28"/>
          <w:szCs w:val="28"/>
          <w:rtl/>
        </w:rPr>
        <w:t>;</w:t>
      </w:r>
    </w:p>
    <w:p w14:paraId="11FCDA77" w14:textId="77777777" w:rsidR="004E2E25" w:rsidRDefault="004E2E25" w:rsidP="004E2E25">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10,000 ₪ שלא לעבור כל עבירה לפי פקודת הסמים (למעט שימוש עצמי והחזקת כלים לשימוש עצמי) במשך שנתיים </w:t>
      </w:r>
      <w:r>
        <w:rPr>
          <w:rFonts w:cs="FrankRuehl" w:hint="cs"/>
          <w:sz w:val="28"/>
          <w:szCs w:val="28"/>
          <w:rtl/>
        </w:rPr>
        <w:t>מיום שחרורו</w:t>
      </w:r>
      <w:r>
        <w:rPr>
          <w:rFonts w:cs="FrankRuehl"/>
          <w:sz w:val="28"/>
          <w:szCs w:val="28"/>
          <w:rtl/>
        </w:rPr>
        <w:t>. הובהר לנאשם שמשמעות ההתחייבות היא, כי אם יעבור את העבירות הנ"ל  בתוך התקופה שצוינה, בית המשפט שיגזור את הדין יהא חייב לחלט את ההתחייבות כקנס.</w:t>
      </w:r>
    </w:p>
    <w:p w14:paraId="2C55B9CF" w14:textId="77777777" w:rsidR="004E2E25" w:rsidRDefault="004E2E25" w:rsidP="004E2E25">
      <w:pPr>
        <w:spacing w:after="160" w:line="360" w:lineRule="auto"/>
        <w:contextualSpacing/>
        <w:jc w:val="both"/>
        <w:rPr>
          <w:rFonts w:cs="FrankRuehl"/>
          <w:sz w:val="28"/>
          <w:szCs w:val="28"/>
          <w:rtl/>
        </w:rPr>
      </w:pPr>
    </w:p>
    <w:p w14:paraId="6FC604FA" w14:textId="77777777" w:rsidR="004E2E25" w:rsidRDefault="004E2E25" w:rsidP="004E2E25">
      <w:pPr>
        <w:spacing w:line="360" w:lineRule="auto"/>
        <w:rPr>
          <w:rFonts w:ascii="FrankRuehl" w:hAnsi="FrankRuehl" w:cs="FrankRuehl"/>
          <w:sz w:val="28"/>
          <w:szCs w:val="28"/>
          <w:rtl/>
        </w:rPr>
      </w:pPr>
    </w:p>
    <w:p w14:paraId="1AB9CF4D" w14:textId="77777777" w:rsidR="004E2E25" w:rsidRDefault="004E2E25" w:rsidP="004E2E25">
      <w:pPr>
        <w:spacing w:line="360" w:lineRule="auto"/>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655286C6" w14:textId="77777777" w:rsidR="004E2E25" w:rsidRDefault="004E2E25" w:rsidP="004E2E25">
      <w:pPr>
        <w:rPr>
          <w:rFonts w:ascii="FrankRuehl" w:hAnsi="FrankRuehl" w:cs="FrankRuehl"/>
          <w:b/>
          <w:bCs/>
          <w:sz w:val="28"/>
          <w:szCs w:val="28"/>
        </w:rPr>
      </w:pPr>
    </w:p>
    <w:p w14:paraId="2A0956E9" w14:textId="77777777" w:rsidR="004E2E25" w:rsidRDefault="004E2E25" w:rsidP="004E2E25">
      <w:pPr>
        <w:rPr>
          <w:rFonts w:ascii="FrankRuehl" w:hAnsi="FrankRuehl" w:cs="FrankRuehl"/>
          <w:b/>
          <w:bCs/>
          <w:sz w:val="28"/>
          <w:szCs w:val="28"/>
          <w:rtl/>
        </w:rPr>
      </w:pPr>
      <w:r>
        <w:rPr>
          <w:rFonts w:ascii="FrankRuehl" w:hAnsi="FrankRuehl" w:cs="FrankRuehl"/>
          <w:b/>
          <w:bCs/>
          <w:sz w:val="28"/>
          <w:szCs w:val="28"/>
          <w:rtl/>
        </w:rPr>
        <w:t>מורה על השמדת הסמים.</w:t>
      </w:r>
    </w:p>
    <w:p w14:paraId="43580196" w14:textId="77777777" w:rsidR="004E2E25" w:rsidRDefault="004E2E25" w:rsidP="004E2E25">
      <w:pPr>
        <w:rPr>
          <w:rFonts w:ascii="FrankRuehl" w:hAnsi="FrankRuehl" w:cs="FrankRuehl"/>
          <w:b/>
          <w:bCs/>
          <w:sz w:val="28"/>
          <w:szCs w:val="28"/>
          <w:rtl/>
        </w:rPr>
      </w:pPr>
    </w:p>
    <w:p w14:paraId="2241A246" w14:textId="77777777" w:rsidR="004E2E25" w:rsidRDefault="004E2E25" w:rsidP="004E2E25">
      <w:pPr>
        <w:rPr>
          <w:rFonts w:ascii="FrankRuehl" w:hAnsi="FrankRuehl" w:cs="FrankRuehl"/>
          <w:sz w:val="28"/>
          <w:szCs w:val="28"/>
          <w:rtl/>
        </w:rPr>
      </w:pPr>
    </w:p>
    <w:p w14:paraId="4AFB158B" w14:textId="77777777" w:rsidR="004E2E25" w:rsidRDefault="004E2E25" w:rsidP="004E2E25">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1D766597" w14:textId="77777777" w:rsidR="004E2E25" w:rsidRPr="00B05847" w:rsidRDefault="004E2E25" w:rsidP="004E2E25">
      <w:pPr>
        <w:rPr>
          <w:rFonts w:ascii="Arial" w:hAnsi="Arial"/>
          <w:rtl/>
        </w:rPr>
      </w:pPr>
    </w:p>
    <w:p w14:paraId="62242181" w14:textId="77777777" w:rsidR="004E2E25" w:rsidRPr="00B05847" w:rsidRDefault="004E2E25" w:rsidP="004E2E25">
      <w:pPr>
        <w:rPr>
          <w:rFonts w:ascii="Arial" w:hAnsi="Arial"/>
          <w:rtl/>
        </w:rPr>
      </w:pPr>
    </w:p>
    <w:p w14:paraId="1F262EED" w14:textId="77777777" w:rsidR="004E2E25" w:rsidRPr="00AE477D" w:rsidRDefault="00AE477D" w:rsidP="004E2E25">
      <w:pPr>
        <w:rPr>
          <w:color w:val="FFFFFF"/>
          <w:sz w:val="2"/>
          <w:szCs w:val="2"/>
          <w:rtl/>
        </w:rPr>
      </w:pPr>
      <w:r w:rsidRPr="00AE477D">
        <w:rPr>
          <w:color w:val="FFFFFF"/>
          <w:sz w:val="2"/>
          <w:szCs w:val="2"/>
          <w:rtl/>
        </w:rPr>
        <w:t>5129371</w:t>
      </w:r>
    </w:p>
    <w:p w14:paraId="16E30481" w14:textId="77777777" w:rsidR="004E2E25" w:rsidRDefault="00AE477D" w:rsidP="004E2E25">
      <w:pPr>
        <w:rPr>
          <w:rFonts w:cs="FrankRuehl"/>
          <w:sz w:val="28"/>
          <w:szCs w:val="28"/>
          <w:rtl/>
        </w:rPr>
      </w:pPr>
      <w:bookmarkStart w:id="8" w:name="Nitan"/>
      <w:r w:rsidRPr="00AE477D">
        <w:rPr>
          <w:rFonts w:ascii="Arial" w:hAnsi="Arial"/>
          <w:color w:val="FFFFFF"/>
          <w:sz w:val="2"/>
          <w:szCs w:val="2"/>
          <w:rtl/>
        </w:rPr>
        <w:t>54678313</w:t>
      </w:r>
      <w:r>
        <w:rPr>
          <w:rFonts w:ascii="Arial" w:hAnsi="Arial"/>
          <w:rtl/>
        </w:rPr>
        <w:t xml:space="preserve">ניתן היום,  כ"ד אלול תש"פ, 13 ספטמבר 2020, במעמד הצדדים. </w:t>
      </w:r>
      <w:bookmarkEnd w:id="8"/>
    </w:p>
    <w:p w14:paraId="1E308A81" w14:textId="77777777" w:rsidR="004E2E25" w:rsidRDefault="004E2E25" w:rsidP="00AE477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3E2ED6" w14:textId="77777777" w:rsidR="004E2E25" w:rsidRDefault="004E2E25" w:rsidP="004E2E25">
      <w:pPr>
        <w:jc w:val="center"/>
        <w:rPr>
          <w:rFonts w:ascii="Arial" w:hAnsi="Arial" w:cs="FrankRuehl"/>
          <w:sz w:val="28"/>
          <w:szCs w:val="28"/>
          <w:rtl/>
        </w:rPr>
      </w:pPr>
    </w:p>
    <w:p w14:paraId="37979585" w14:textId="77777777" w:rsidR="004E2E25" w:rsidRDefault="004E2E25" w:rsidP="004E2E25">
      <w:pPr>
        <w:rPr>
          <w:rFonts w:cs="FrankRuehl"/>
          <w:sz w:val="28"/>
          <w:szCs w:val="28"/>
          <w:rtl/>
        </w:rPr>
      </w:pPr>
    </w:p>
    <w:p w14:paraId="4D4FD79F" w14:textId="77777777" w:rsidR="004E2E25" w:rsidRPr="001026DE" w:rsidRDefault="001026DE" w:rsidP="004E2E25">
      <w:pPr>
        <w:pStyle w:val="a3"/>
        <w:jc w:val="center"/>
        <w:rPr>
          <w:color w:val="FFFFFF"/>
          <w:sz w:val="2"/>
          <w:szCs w:val="2"/>
          <w:rtl/>
        </w:rPr>
      </w:pPr>
      <w:r w:rsidRPr="001026DE">
        <w:rPr>
          <w:color w:val="FFFFFF"/>
          <w:sz w:val="2"/>
          <w:szCs w:val="2"/>
          <w:rtl/>
        </w:rPr>
        <w:t>5129371</w:t>
      </w:r>
    </w:p>
    <w:p w14:paraId="0B0FD378" w14:textId="77777777" w:rsidR="002E382C" w:rsidRPr="001026DE" w:rsidRDefault="001026DE" w:rsidP="00AE477D">
      <w:pPr>
        <w:keepNext/>
        <w:rPr>
          <w:rFonts w:ascii="David" w:hAnsi="David"/>
          <w:color w:val="FFFFFF"/>
          <w:sz w:val="2"/>
          <w:szCs w:val="2"/>
          <w:rtl/>
        </w:rPr>
      </w:pPr>
      <w:r w:rsidRPr="001026DE">
        <w:rPr>
          <w:rFonts w:ascii="David" w:hAnsi="David"/>
          <w:color w:val="FFFFFF"/>
          <w:sz w:val="2"/>
          <w:szCs w:val="2"/>
          <w:rtl/>
        </w:rPr>
        <w:t>54678313</w:t>
      </w:r>
    </w:p>
    <w:p w14:paraId="79305ADD" w14:textId="77777777" w:rsidR="00AE477D" w:rsidRDefault="00AE477D" w:rsidP="00AE477D">
      <w:pPr>
        <w:rPr>
          <w:rtl/>
        </w:rPr>
      </w:pPr>
    </w:p>
    <w:p w14:paraId="4F1AB9EF" w14:textId="77777777" w:rsidR="00AE477D" w:rsidRDefault="00AE477D" w:rsidP="00AE477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F5BE429" w14:textId="77777777" w:rsidR="001026DE" w:rsidRPr="001026DE" w:rsidRDefault="001026DE" w:rsidP="001026DE">
      <w:pPr>
        <w:keepNext/>
        <w:rPr>
          <w:rFonts w:ascii="David" w:hAnsi="David"/>
          <w:color w:val="000000"/>
          <w:sz w:val="22"/>
          <w:szCs w:val="22"/>
          <w:rtl/>
        </w:rPr>
      </w:pPr>
    </w:p>
    <w:p w14:paraId="134CC6AC" w14:textId="77777777" w:rsidR="001026DE" w:rsidRPr="001026DE" w:rsidRDefault="001026DE" w:rsidP="001026DE">
      <w:pPr>
        <w:keepNext/>
        <w:rPr>
          <w:rFonts w:ascii="David" w:hAnsi="David"/>
          <w:color w:val="000000"/>
          <w:sz w:val="22"/>
          <w:szCs w:val="22"/>
          <w:rtl/>
        </w:rPr>
      </w:pPr>
      <w:r w:rsidRPr="001026DE">
        <w:rPr>
          <w:rFonts w:ascii="David" w:hAnsi="David"/>
          <w:color w:val="000000"/>
          <w:sz w:val="22"/>
          <w:szCs w:val="22"/>
          <w:rtl/>
        </w:rPr>
        <w:t>דוד שאול גבאי ריכטר 54678313-/</w:t>
      </w:r>
    </w:p>
    <w:p w14:paraId="036E7CCB" w14:textId="77777777" w:rsidR="00AE477D" w:rsidRPr="00AE477D" w:rsidRDefault="001026DE" w:rsidP="001026DE">
      <w:pPr>
        <w:rPr>
          <w:rFonts w:hint="cs"/>
          <w:color w:val="0000FF"/>
          <w:u w:val="single"/>
        </w:rPr>
      </w:pPr>
      <w:r w:rsidRPr="001026DE">
        <w:rPr>
          <w:color w:val="000000"/>
          <w:u w:val="single"/>
          <w:rtl/>
        </w:rPr>
        <w:t>נוסח מסמך זה כפוף לשינויי ניסוח ועריכה</w:t>
      </w:r>
      <w:r w:rsidR="005A21F5">
        <w:rPr>
          <w:rFonts w:hint="cs"/>
          <w:color w:val="0000FF"/>
          <w:u w:val="single"/>
          <w:rtl/>
        </w:rPr>
        <w:t xml:space="preserve"> </w:t>
      </w:r>
    </w:p>
    <w:sectPr w:rsidR="00AE477D" w:rsidRPr="00AE477D" w:rsidSect="001026DE">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C9A14" w14:textId="77777777" w:rsidR="000C4B12" w:rsidRDefault="000C4B12" w:rsidP="00F853D2">
      <w:r>
        <w:separator/>
      </w:r>
    </w:p>
  </w:endnote>
  <w:endnote w:type="continuationSeparator" w:id="0">
    <w:p w14:paraId="24E59223" w14:textId="77777777" w:rsidR="000C4B12" w:rsidRDefault="000C4B12" w:rsidP="00F8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9F5C" w14:textId="77777777" w:rsidR="001026DE" w:rsidRDefault="001026DE" w:rsidP="001026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5F686F" w14:textId="77777777" w:rsidR="00BF66CF" w:rsidRPr="001026DE" w:rsidRDefault="001026DE" w:rsidP="001026DE">
    <w:pPr>
      <w:pStyle w:val="a5"/>
      <w:pBdr>
        <w:top w:val="single" w:sz="4" w:space="1" w:color="auto"/>
        <w:between w:val="single" w:sz="4" w:space="0" w:color="auto"/>
      </w:pBdr>
      <w:spacing w:after="60"/>
      <w:jc w:val="center"/>
      <w:rPr>
        <w:rFonts w:ascii="FrankRuehl" w:hAnsi="FrankRuehl" w:cs="FrankRuehl"/>
        <w:color w:val="000000"/>
      </w:rPr>
    </w:pPr>
    <w:r w:rsidRPr="001026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24D4F" w14:textId="77777777" w:rsidR="001026DE" w:rsidRDefault="001026DE" w:rsidP="001026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7892">
      <w:rPr>
        <w:rFonts w:ascii="FrankRuehl" w:hAnsi="FrankRuehl" w:cs="FrankRuehl"/>
        <w:noProof/>
        <w:rtl/>
      </w:rPr>
      <w:t>1</w:t>
    </w:r>
    <w:r>
      <w:rPr>
        <w:rFonts w:ascii="FrankRuehl" w:hAnsi="FrankRuehl" w:cs="FrankRuehl"/>
        <w:rtl/>
      </w:rPr>
      <w:fldChar w:fldCharType="end"/>
    </w:r>
  </w:p>
  <w:p w14:paraId="05CCA8F1" w14:textId="77777777" w:rsidR="00BF66CF" w:rsidRPr="001026DE" w:rsidRDefault="001026DE" w:rsidP="001026DE">
    <w:pPr>
      <w:pStyle w:val="a5"/>
      <w:pBdr>
        <w:top w:val="single" w:sz="4" w:space="1" w:color="auto"/>
        <w:between w:val="single" w:sz="4" w:space="0" w:color="auto"/>
      </w:pBdr>
      <w:spacing w:after="60"/>
      <w:jc w:val="center"/>
      <w:rPr>
        <w:rFonts w:ascii="FrankRuehl" w:hAnsi="FrankRuehl" w:cs="FrankRuehl"/>
        <w:color w:val="000000"/>
      </w:rPr>
    </w:pPr>
    <w:r w:rsidRPr="001026DE">
      <w:rPr>
        <w:rFonts w:ascii="FrankRuehl" w:hAnsi="FrankRuehl" w:cs="FrankRuehl"/>
        <w:color w:val="000000"/>
      </w:rPr>
      <w:pict w14:anchorId="71FBD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5C8A1" w14:textId="77777777" w:rsidR="000C4B12" w:rsidRDefault="000C4B12" w:rsidP="00F853D2">
      <w:r>
        <w:separator/>
      </w:r>
    </w:p>
  </w:footnote>
  <w:footnote w:type="continuationSeparator" w:id="0">
    <w:p w14:paraId="15B5091E" w14:textId="77777777" w:rsidR="000C4B12" w:rsidRDefault="000C4B12" w:rsidP="00F85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35B58" w14:textId="77777777" w:rsidR="00AE477D" w:rsidRPr="001026DE" w:rsidRDefault="001026DE" w:rsidP="001026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375-02-19</w:t>
    </w:r>
    <w:r>
      <w:rPr>
        <w:rFonts w:ascii="David" w:hAnsi="David"/>
        <w:color w:val="000000"/>
        <w:sz w:val="22"/>
        <w:szCs w:val="22"/>
        <w:rtl/>
      </w:rPr>
      <w:tab/>
      <w:t xml:space="preserve"> מדינת ישראל נ' ח'אלד אבו אלהוה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1B998" w14:textId="77777777" w:rsidR="00AE477D" w:rsidRPr="001026DE" w:rsidRDefault="001026DE" w:rsidP="001026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375-02-19</w:t>
    </w:r>
    <w:r>
      <w:rPr>
        <w:rFonts w:ascii="David" w:hAnsi="David"/>
        <w:color w:val="000000"/>
        <w:sz w:val="22"/>
        <w:szCs w:val="22"/>
        <w:rtl/>
      </w:rPr>
      <w:tab/>
      <w:t xml:space="preserve"> מדינת ישראל נ' ח'אלד אבו אלהוה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94052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2E25"/>
    <w:rsid w:val="000C4B12"/>
    <w:rsid w:val="001026DE"/>
    <w:rsid w:val="0016617F"/>
    <w:rsid w:val="001A4AEA"/>
    <w:rsid w:val="002E382C"/>
    <w:rsid w:val="00406EF2"/>
    <w:rsid w:val="004B6B85"/>
    <w:rsid w:val="004E2E25"/>
    <w:rsid w:val="005A21F5"/>
    <w:rsid w:val="00607557"/>
    <w:rsid w:val="00987892"/>
    <w:rsid w:val="00AE477D"/>
    <w:rsid w:val="00BF66CF"/>
    <w:rsid w:val="00C501AB"/>
    <w:rsid w:val="00C5570D"/>
    <w:rsid w:val="00F853D2"/>
    <w:rsid w:val="00FC6B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F02A97"/>
  <w15:chartTrackingRefBased/>
  <w15:docId w15:val="{FE032F9C-8D7A-4823-AAED-6FCFBBA9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2E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2E25"/>
    <w:pPr>
      <w:tabs>
        <w:tab w:val="center" w:pos="4153"/>
        <w:tab w:val="right" w:pos="8306"/>
      </w:tabs>
    </w:pPr>
  </w:style>
  <w:style w:type="character" w:customStyle="1" w:styleId="a4">
    <w:name w:val="כותרת עליונה תו"/>
    <w:link w:val="a3"/>
    <w:rsid w:val="004E2E25"/>
    <w:rPr>
      <w:rFonts w:ascii="Times New Roman" w:eastAsia="Times New Roman" w:hAnsi="Times New Roman" w:cs="David"/>
      <w:sz w:val="24"/>
      <w:szCs w:val="24"/>
    </w:rPr>
  </w:style>
  <w:style w:type="paragraph" w:styleId="a5">
    <w:name w:val="footer"/>
    <w:basedOn w:val="a"/>
    <w:link w:val="a6"/>
    <w:rsid w:val="004E2E25"/>
    <w:pPr>
      <w:tabs>
        <w:tab w:val="center" w:pos="4153"/>
        <w:tab w:val="right" w:pos="8306"/>
      </w:tabs>
    </w:pPr>
  </w:style>
  <w:style w:type="character" w:customStyle="1" w:styleId="a6">
    <w:name w:val="כותרת תחתונה תו"/>
    <w:link w:val="a5"/>
    <w:rsid w:val="004E2E25"/>
    <w:rPr>
      <w:rFonts w:ascii="Times New Roman" w:eastAsia="Times New Roman" w:hAnsi="Times New Roman" w:cs="David"/>
      <w:sz w:val="24"/>
      <w:szCs w:val="24"/>
    </w:rPr>
  </w:style>
  <w:style w:type="table" w:styleId="a7">
    <w:name w:val="Table Grid"/>
    <w:basedOn w:val="a1"/>
    <w:rsid w:val="004E2E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2E25"/>
  </w:style>
  <w:style w:type="character" w:styleId="Hyperlink">
    <w:name w:val="Hyperlink"/>
    <w:rsid w:val="00AE4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0807786"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82707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4;19.a" TargetMode="External"/><Relationship Id="rId20" Type="http://schemas.openxmlformats.org/officeDocument/2006/relationships/hyperlink" Target="http://www.nevo.co.il/law/70301/40i"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880910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797714" TargetMode="External"/><Relationship Id="rId28" Type="http://schemas.openxmlformats.org/officeDocument/2006/relationships/hyperlink" Target="http://www.nevo.co.il/case/13093721" TargetMode="External"/><Relationship Id="rId36"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25977712" TargetMode="External"/><Relationship Id="rId27" Type="http://schemas.openxmlformats.org/officeDocument/2006/relationships/hyperlink" Target="http://www.nevo.co.il/case/23157220"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10433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3539056</vt:i4>
      </vt:variant>
      <vt:variant>
        <vt:i4>60</vt:i4>
      </vt:variant>
      <vt:variant>
        <vt:i4>0</vt:i4>
      </vt:variant>
      <vt:variant>
        <vt:i4>5</vt:i4>
      </vt:variant>
      <vt:variant>
        <vt:lpwstr>http://www.nevo.co.il/case/23157220</vt:lpwstr>
      </vt:variant>
      <vt:variant>
        <vt:lpwstr/>
      </vt:variant>
      <vt:variant>
        <vt:i4>3473523</vt:i4>
      </vt:variant>
      <vt:variant>
        <vt:i4>57</vt:i4>
      </vt:variant>
      <vt:variant>
        <vt:i4>0</vt:i4>
      </vt:variant>
      <vt:variant>
        <vt:i4>5</vt:i4>
      </vt:variant>
      <vt:variant>
        <vt:lpwstr>http://www.nevo.co.il/case/20807786</vt:lpwstr>
      </vt:variant>
      <vt:variant>
        <vt:lpwstr/>
      </vt:variant>
      <vt:variant>
        <vt:i4>3801207</vt:i4>
      </vt:variant>
      <vt:variant>
        <vt:i4>54</vt:i4>
      </vt:variant>
      <vt:variant>
        <vt:i4>0</vt:i4>
      </vt:variant>
      <vt:variant>
        <vt:i4>5</vt:i4>
      </vt:variant>
      <vt:variant>
        <vt:lpwstr>http://www.nevo.co.il/case/21827077</vt:lpwstr>
      </vt:variant>
      <vt:variant>
        <vt:lpwstr/>
      </vt:variant>
      <vt:variant>
        <vt:i4>3145853</vt:i4>
      </vt:variant>
      <vt:variant>
        <vt:i4>51</vt:i4>
      </vt:variant>
      <vt:variant>
        <vt:i4>0</vt:i4>
      </vt:variant>
      <vt:variant>
        <vt:i4>5</vt:i4>
      </vt:variant>
      <vt:variant>
        <vt:lpwstr>http://www.nevo.co.il/case/18809103</vt:lpwstr>
      </vt:variant>
      <vt:variant>
        <vt:lpwstr/>
      </vt:variant>
      <vt:variant>
        <vt:i4>3342456</vt:i4>
      </vt:variant>
      <vt:variant>
        <vt:i4>48</vt:i4>
      </vt:variant>
      <vt:variant>
        <vt:i4>0</vt:i4>
      </vt:variant>
      <vt:variant>
        <vt:i4>5</vt:i4>
      </vt:variant>
      <vt:variant>
        <vt:lpwstr>http://www.nevo.co.il/case/22797714</vt:lpwstr>
      </vt:variant>
      <vt:variant>
        <vt:lpwstr/>
      </vt:variant>
      <vt:variant>
        <vt:i4>3997809</vt:i4>
      </vt:variant>
      <vt:variant>
        <vt:i4>45</vt:i4>
      </vt:variant>
      <vt:variant>
        <vt:i4>0</vt:i4>
      </vt:variant>
      <vt:variant>
        <vt:i4>5</vt:i4>
      </vt:variant>
      <vt:variant>
        <vt:lpwstr>http://www.nevo.co.il/case/25977712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2883681</vt:i4>
      </vt:variant>
      <vt:variant>
        <vt:i4>27</vt:i4>
      </vt:variant>
      <vt:variant>
        <vt:i4>0</vt:i4>
      </vt:variant>
      <vt:variant>
        <vt:i4>5</vt:i4>
      </vt:variant>
      <vt:variant>
        <vt:lpwstr>http://www.nevo.co.il/law/4216/14;19.a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ח'אלד אבו אלהוה</vt:lpwstr>
  </property>
  <property fmtid="{D5CDD505-2E9C-101B-9397-08002B2CF9AE}" pid="10" name="LAWYER">
    <vt:lpwstr>יעקב ג'בר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20200913</vt:lpwstr>
  </property>
  <property fmtid="{D5CDD505-2E9C-101B-9397-08002B2CF9AE}" pid="14" name="TYPE_N_DATE">
    <vt:lpwstr>38020200913</vt:lpwstr>
  </property>
  <property fmtid="{D5CDD505-2E9C-101B-9397-08002B2CF9AE}" pid="15" name="WORDNUMPAGES">
    <vt:lpwstr>6</vt:lpwstr>
  </property>
  <property fmtid="{D5CDD505-2E9C-101B-9397-08002B2CF9AE}" pid="16" name="TYPE_ABS_DATE">
    <vt:lpwstr>380020200913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25977712;22797714;18809103;21827077;20807786;23157220;13093721</vt:lpwstr>
  </property>
  <property fmtid="{D5CDD505-2E9C-101B-9397-08002B2CF9AE}" pid="36" name="LAWLISTTMP1">
    <vt:lpwstr>4216/013:2;019.a:3;014</vt:lpwstr>
  </property>
  <property fmtid="{D5CDD505-2E9C-101B-9397-08002B2CF9AE}" pid="37" name="LAWLISTTMP2">
    <vt:lpwstr>70301/040i;40ja</vt:lpwstr>
  </property>
</Properties>
</file>