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E03AF" w:rsidRPr="00314527" w14:paraId="06BD28B3" w14:textId="77777777" w:rsidTr="00F25588">
        <w:trPr>
          <w:trHeight w:hRule="exact" w:val="418"/>
          <w:jc w:val="center"/>
        </w:trPr>
        <w:tc>
          <w:tcPr>
            <w:tcW w:w="8721" w:type="dxa"/>
            <w:gridSpan w:val="2"/>
          </w:tcPr>
          <w:p w14:paraId="717A9543" w14:textId="77777777" w:rsidR="001E03AF" w:rsidRPr="00314527" w:rsidRDefault="001E03AF" w:rsidP="00174375">
            <w:pPr>
              <w:pStyle w:val="a3"/>
              <w:jc w:val="center"/>
              <w:rPr>
                <w:rFonts w:ascii="Tahoma" w:hAnsi="Tahoma" w:cs="Tahoma"/>
                <w:color w:val="000080"/>
                <w:rtl/>
              </w:rPr>
            </w:pPr>
            <w:bookmarkStart w:id="0" w:name="LastJudge"/>
            <w:r w:rsidRPr="00314527">
              <w:rPr>
                <w:rFonts w:ascii="Tahoma" w:hAnsi="Tahoma" w:cs="Tahoma"/>
                <w:b/>
                <w:bCs/>
                <w:color w:val="000080"/>
                <w:rtl/>
              </w:rPr>
              <w:t>בית משפט השלום בירושלים</w:t>
            </w:r>
          </w:p>
        </w:tc>
      </w:tr>
      <w:tr w:rsidR="001E03AF" w:rsidRPr="00314527" w14:paraId="0396205D" w14:textId="77777777" w:rsidTr="00F25588">
        <w:trPr>
          <w:trHeight w:val="337"/>
          <w:jc w:val="center"/>
        </w:trPr>
        <w:tc>
          <w:tcPr>
            <w:tcW w:w="5054" w:type="dxa"/>
          </w:tcPr>
          <w:p w14:paraId="21CF0A29" w14:textId="77777777" w:rsidR="001E03AF" w:rsidRPr="00314527" w:rsidRDefault="001E03AF" w:rsidP="00174375">
            <w:pPr>
              <w:rPr>
                <w:rFonts w:cs="FrankRuehl"/>
                <w:sz w:val="28"/>
                <w:szCs w:val="28"/>
                <w:rtl/>
              </w:rPr>
            </w:pPr>
            <w:r w:rsidRPr="00314527">
              <w:rPr>
                <w:rFonts w:cs="FrankRuehl"/>
                <w:sz w:val="28"/>
                <w:szCs w:val="28"/>
                <w:rtl/>
              </w:rPr>
              <w:t>ת"פ</w:t>
            </w:r>
            <w:r w:rsidRPr="00314527">
              <w:rPr>
                <w:rFonts w:cs="FrankRuehl" w:hint="cs"/>
                <w:sz w:val="28"/>
                <w:szCs w:val="28"/>
                <w:rtl/>
              </w:rPr>
              <w:t xml:space="preserve"> </w:t>
            </w:r>
            <w:r w:rsidRPr="00314527">
              <w:rPr>
                <w:rFonts w:cs="FrankRuehl"/>
                <w:sz w:val="28"/>
                <w:szCs w:val="28"/>
                <w:rtl/>
              </w:rPr>
              <w:t>46935-02-19</w:t>
            </w:r>
            <w:r w:rsidRPr="00314527">
              <w:rPr>
                <w:rFonts w:cs="FrankRuehl" w:hint="cs"/>
                <w:sz w:val="28"/>
                <w:szCs w:val="28"/>
                <w:rtl/>
              </w:rPr>
              <w:t xml:space="preserve"> </w:t>
            </w:r>
            <w:r w:rsidRPr="00314527">
              <w:rPr>
                <w:rFonts w:cs="FrankRuehl"/>
                <w:sz w:val="28"/>
                <w:szCs w:val="28"/>
                <w:rtl/>
              </w:rPr>
              <w:t>מדינת ישראל נ' וונדים</w:t>
            </w:r>
          </w:p>
          <w:p w14:paraId="1EC5840A" w14:textId="77777777" w:rsidR="001E03AF" w:rsidRPr="00314527" w:rsidRDefault="001E03AF" w:rsidP="00174375">
            <w:pPr>
              <w:pStyle w:val="a3"/>
              <w:rPr>
                <w:rFonts w:cs="FrankRuehl"/>
                <w:sz w:val="28"/>
                <w:szCs w:val="28"/>
                <w:rtl/>
              </w:rPr>
            </w:pPr>
          </w:p>
        </w:tc>
        <w:tc>
          <w:tcPr>
            <w:tcW w:w="3667" w:type="dxa"/>
          </w:tcPr>
          <w:p w14:paraId="1A672F81" w14:textId="77777777" w:rsidR="001E03AF" w:rsidRPr="00314527" w:rsidRDefault="001E03AF" w:rsidP="00174375">
            <w:pPr>
              <w:pStyle w:val="a3"/>
              <w:jc w:val="right"/>
              <w:rPr>
                <w:rFonts w:cs="FrankRuehl"/>
                <w:sz w:val="28"/>
                <w:szCs w:val="28"/>
                <w:rtl/>
              </w:rPr>
            </w:pPr>
          </w:p>
        </w:tc>
      </w:tr>
    </w:tbl>
    <w:p w14:paraId="3164419D" w14:textId="77777777" w:rsidR="001E03AF" w:rsidRPr="00314527" w:rsidRDefault="001E03AF" w:rsidP="001E03AF">
      <w:pPr>
        <w:pStyle w:val="a3"/>
        <w:rPr>
          <w:rtl/>
        </w:rPr>
      </w:pPr>
      <w:r w:rsidRPr="00314527">
        <w:rPr>
          <w:rFonts w:hint="cs"/>
          <w:rtl/>
        </w:rPr>
        <w:t xml:space="preserve"> </w:t>
      </w:r>
    </w:p>
    <w:p w14:paraId="6E35F5DB" w14:textId="77777777" w:rsidR="001E03AF" w:rsidRPr="00314527" w:rsidRDefault="001E03AF" w:rsidP="001E03AF">
      <w:pPr>
        <w:rPr>
          <w:rtl/>
        </w:rPr>
      </w:pPr>
    </w:p>
    <w:p w14:paraId="2725B9E3" w14:textId="77777777" w:rsidR="001E03AF" w:rsidRPr="00314527" w:rsidRDefault="001E03AF" w:rsidP="001E03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E03AF" w:rsidRPr="00314527" w14:paraId="24402DBF" w14:textId="77777777" w:rsidTr="001E03AF">
        <w:trPr>
          <w:trHeight w:val="295"/>
          <w:jc w:val="center"/>
        </w:trPr>
        <w:tc>
          <w:tcPr>
            <w:tcW w:w="923" w:type="dxa"/>
            <w:tcBorders>
              <w:top w:val="nil"/>
              <w:left w:val="nil"/>
              <w:bottom w:val="nil"/>
              <w:right w:val="nil"/>
            </w:tcBorders>
            <w:shd w:val="clear" w:color="auto" w:fill="auto"/>
          </w:tcPr>
          <w:p w14:paraId="6D58FF85" w14:textId="77777777" w:rsidR="001E03AF" w:rsidRPr="00314527" w:rsidRDefault="001E03AF" w:rsidP="001E03AF">
            <w:pPr>
              <w:jc w:val="both"/>
              <w:rPr>
                <w:rFonts w:ascii="David" w:hAnsi="David"/>
              </w:rPr>
            </w:pPr>
            <w:r w:rsidRPr="00314527">
              <w:rPr>
                <w:rFonts w:ascii="David" w:hAnsi="David"/>
                <w:rtl/>
              </w:rPr>
              <w:t xml:space="preserve">בפני </w:t>
            </w:r>
          </w:p>
        </w:tc>
        <w:tc>
          <w:tcPr>
            <w:tcW w:w="7897" w:type="dxa"/>
            <w:gridSpan w:val="2"/>
            <w:tcBorders>
              <w:top w:val="nil"/>
              <w:left w:val="nil"/>
              <w:bottom w:val="nil"/>
              <w:right w:val="nil"/>
            </w:tcBorders>
            <w:shd w:val="clear" w:color="auto" w:fill="auto"/>
          </w:tcPr>
          <w:p w14:paraId="0A4F8B27" w14:textId="77777777" w:rsidR="001E03AF" w:rsidRPr="00314527" w:rsidRDefault="001E03AF" w:rsidP="00174375">
            <w:pPr>
              <w:rPr>
                <w:rFonts w:ascii="David" w:hAnsi="David"/>
                <w:b/>
                <w:bCs/>
                <w:rtl/>
              </w:rPr>
            </w:pPr>
            <w:r w:rsidRPr="00314527">
              <w:rPr>
                <w:rFonts w:ascii="David" w:hAnsi="David"/>
                <w:b/>
                <w:bCs/>
                <w:rtl/>
              </w:rPr>
              <w:t>כבוד השופט  ארנון איתן</w:t>
            </w:r>
          </w:p>
          <w:p w14:paraId="289A1822" w14:textId="77777777" w:rsidR="001E03AF" w:rsidRPr="00314527" w:rsidRDefault="001E03AF" w:rsidP="00174375">
            <w:pPr>
              <w:rPr>
                <w:rFonts w:ascii="David" w:hAnsi="David"/>
                <w:rtl/>
              </w:rPr>
            </w:pPr>
          </w:p>
          <w:p w14:paraId="3A9C9656" w14:textId="77777777" w:rsidR="001E03AF" w:rsidRPr="00314527" w:rsidRDefault="001E03AF" w:rsidP="001E03AF">
            <w:pPr>
              <w:jc w:val="both"/>
              <w:rPr>
                <w:rFonts w:ascii="David" w:hAnsi="David"/>
              </w:rPr>
            </w:pPr>
          </w:p>
        </w:tc>
      </w:tr>
      <w:tr w:rsidR="001E03AF" w:rsidRPr="00314527" w14:paraId="3F9541CE" w14:textId="77777777" w:rsidTr="001E03AF">
        <w:trPr>
          <w:trHeight w:val="355"/>
          <w:jc w:val="center"/>
        </w:trPr>
        <w:tc>
          <w:tcPr>
            <w:tcW w:w="923" w:type="dxa"/>
            <w:tcBorders>
              <w:top w:val="nil"/>
              <w:left w:val="nil"/>
              <w:bottom w:val="nil"/>
              <w:right w:val="nil"/>
            </w:tcBorders>
            <w:shd w:val="clear" w:color="auto" w:fill="auto"/>
          </w:tcPr>
          <w:p w14:paraId="4D27BD52" w14:textId="77777777" w:rsidR="001E03AF" w:rsidRPr="00314527" w:rsidRDefault="001E03AF" w:rsidP="001E03AF">
            <w:pPr>
              <w:jc w:val="both"/>
              <w:rPr>
                <w:rFonts w:ascii="David" w:hAnsi="David"/>
              </w:rPr>
            </w:pPr>
            <w:bookmarkStart w:id="1" w:name="FirstAppellant"/>
            <w:r w:rsidRPr="00314527">
              <w:rPr>
                <w:rFonts w:ascii="David" w:hAnsi="David"/>
                <w:rtl/>
              </w:rPr>
              <w:t>בעניין:</w:t>
            </w:r>
          </w:p>
        </w:tc>
        <w:tc>
          <w:tcPr>
            <w:tcW w:w="3219" w:type="dxa"/>
            <w:tcBorders>
              <w:top w:val="nil"/>
              <w:left w:val="nil"/>
              <w:bottom w:val="nil"/>
              <w:right w:val="nil"/>
            </w:tcBorders>
            <w:shd w:val="clear" w:color="auto" w:fill="auto"/>
          </w:tcPr>
          <w:p w14:paraId="0896D0D4" w14:textId="77777777" w:rsidR="001E03AF" w:rsidRPr="00314527" w:rsidRDefault="001E03AF" w:rsidP="001E03AF">
            <w:pPr>
              <w:suppressLineNumbers/>
            </w:pPr>
            <w:r w:rsidRPr="00314527">
              <w:rPr>
                <w:rFonts w:ascii="Arial" w:hAnsi="Arial" w:hint="cs"/>
                <w:b/>
                <w:bCs/>
                <w:rtl/>
              </w:rPr>
              <w:t>ה</w:t>
            </w:r>
            <w:r w:rsidRPr="00314527">
              <w:rPr>
                <w:rFonts w:ascii="Arial" w:hAnsi="Arial"/>
                <w:b/>
                <w:bCs/>
                <w:rtl/>
              </w:rPr>
              <w:t>מאשימה</w:t>
            </w:r>
          </w:p>
          <w:p w14:paraId="1CD606EC" w14:textId="77777777" w:rsidR="001E03AF" w:rsidRPr="00314527" w:rsidRDefault="001E03AF" w:rsidP="00174375">
            <w:pPr>
              <w:rPr>
                <w:rFonts w:ascii="David" w:hAnsi="David"/>
              </w:rPr>
            </w:pPr>
          </w:p>
        </w:tc>
        <w:tc>
          <w:tcPr>
            <w:tcW w:w="4678" w:type="dxa"/>
            <w:tcBorders>
              <w:top w:val="nil"/>
              <w:left w:val="nil"/>
              <w:bottom w:val="nil"/>
              <w:right w:val="nil"/>
            </w:tcBorders>
            <w:shd w:val="clear" w:color="auto" w:fill="auto"/>
            <w:vAlign w:val="center"/>
          </w:tcPr>
          <w:p w14:paraId="59D43E29" w14:textId="77777777" w:rsidR="001E03AF" w:rsidRPr="00314527" w:rsidRDefault="001E03AF" w:rsidP="001E03AF">
            <w:pPr>
              <w:suppressLineNumbers/>
            </w:pPr>
            <w:r w:rsidRPr="00314527">
              <w:rPr>
                <w:rFonts w:ascii="Arial" w:hAnsi="Arial"/>
                <w:b/>
                <w:bCs/>
                <w:rtl/>
              </w:rPr>
              <w:t>מדינת ישראל</w:t>
            </w:r>
          </w:p>
          <w:p w14:paraId="3E618E1A" w14:textId="77777777" w:rsidR="001E03AF" w:rsidRPr="00314527" w:rsidRDefault="001E03AF" w:rsidP="00174375">
            <w:pPr>
              <w:rPr>
                <w:rFonts w:ascii="David" w:hAnsi="David"/>
              </w:rPr>
            </w:pPr>
          </w:p>
        </w:tc>
      </w:tr>
      <w:bookmarkEnd w:id="1"/>
      <w:tr w:rsidR="001E03AF" w:rsidRPr="00314527" w14:paraId="5DFF91E9" w14:textId="77777777" w:rsidTr="001E03AF">
        <w:trPr>
          <w:trHeight w:val="355"/>
          <w:jc w:val="center"/>
        </w:trPr>
        <w:tc>
          <w:tcPr>
            <w:tcW w:w="923" w:type="dxa"/>
            <w:tcBorders>
              <w:top w:val="nil"/>
              <w:left w:val="nil"/>
              <w:bottom w:val="nil"/>
              <w:right w:val="nil"/>
            </w:tcBorders>
            <w:shd w:val="clear" w:color="auto" w:fill="auto"/>
          </w:tcPr>
          <w:p w14:paraId="5C0A44D1" w14:textId="77777777" w:rsidR="001E03AF" w:rsidRPr="00314527" w:rsidRDefault="001E03AF" w:rsidP="001E03AF">
            <w:pPr>
              <w:jc w:val="both"/>
              <w:rPr>
                <w:rFonts w:ascii="David" w:hAnsi="David"/>
                <w:rtl/>
              </w:rPr>
            </w:pPr>
          </w:p>
        </w:tc>
        <w:tc>
          <w:tcPr>
            <w:tcW w:w="7897" w:type="dxa"/>
            <w:gridSpan w:val="2"/>
            <w:tcBorders>
              <w:top w:val="nil"/>
              <w:left w:val="nil"/>
              <w:bottom w:val="nil"/>
              <w:right w:val="nil"/>
            </w:tcBorders>
            <w:shd w:val="clear" w:color="auto" w:fill="auto"/>
          </w:tcPr>
          <w:p w14:paraId="10FEDC9F" w14:textId="77777777" w:rsidR="001E03AF" w:rsidRPr="00314527" w:rsidRDefault="001E03AF" w:rsidP="001E03AF">
            <w:pPr>
              <w:jc w:val="center"/>
              <w:rPr>
                <w:rFonts w:ascii="David" w:hAnsi="David"/>
                <w:b/>
                <w:bCs/>
                <w:rtl/>
              </w:rPr>
            </w:pPr>
          </w:p>
          <w:p w14:paraId="1C62794F" w14:textId="77777777" w:rsidR="001E03AF" w:rsidRPr="00314527" w:rsidRDefault="001E03AF" w:rsidP="001E03AF">
            <w:pPr>
              <w:jc w:val="center"/>
              <w:rPr>
                <w:rFonts w:ascii="David" w:hAnsi="David"/>
                <w:b/>
                <w:bCs/>
                <w:rtl/>
              </w:rPr>
            </w:pPr>
            <w:r w:rsidRPr="00314527">
              <w:rPr>
                <w:rFonts w:ascii="David" w:hAnsi="David"/>
                <w:b/>
                <w:bCs/>
                <w:rtl/>
              </w:rPr>
              <w:t>נגד</w:t>
            </w:r>
          </w:p>
          <w:p w14:paraId="08D4925C" w14:textId="77777777" w:rsidR="001E03AF" w:rsidRPr="00314527" w:rsidRDefault="001E03AF" w:rsidP="001E03AF">
            <w:pPr>
              <w:jc w:val="both"/>
              <w:rPr>
                <w:rFonts w:ascii="David" w:hAnsi="David"/>
              </w:rPr>
            </w:pPr>
          </w:p>
        </w:tc>
      </w:tr>
      <w:tr w:rsidR="001E03AF" w:rsidRPr="00314527" w14:paraId="33092B2F" w14:textId="77777777" w:rsidTr="001E03AF">
        <w:trPr>
          <w:trHeight w:val="355"/>
          <w:jc w:val="center"/>
        </w:trPr>
        <w:tc>
          <w:tcPr>
            <w:tcW w:w="923" w:type="dxa"/>
            <w:tcBorders>
              <w:top w:val="nil"/>
              <w:left w:val="nil"/>
              <w:bottom w:val="nil"/>
              <w:right w:val="nil"/>
            </w:tcBorders>
            <w:shd w:val="clear" w:color="auto" w:fill="auto"/>
          </w:tcPr>
          <w:p w14:paraId="308D8438" w14:textId="77777777" w:rsidR="001E03AF" w:rsidRPr="00314527" w:rsidRDefault="001E03AF" w:rsidP="00174375">
            <w:pPr>
              <w:rPr>
                <w:rFonts w:ascii="David" w:hAnsi="David"/>
                <w:rtl/>
              </w:rPr>
            </w:pPr>
          </w:p>
        </w:tc>
        <w:tc>
          <w:tcPr>
            <w:tcW w:w="3219" w:type="dxa"/>
            <w:tcBorders>
              <w:top w:val="nil"/>
              <w:left w:val="nil"/>
              <w:bottom w:val="nil"/>
              <w:right w:val="nil"/>
            </w:tcBorders>
            <w:shd w:val="clear" w:color="auto" w:fill="auto"/>
          </w:tcPr>
          <w:p w14:paraId="40161363" w14:textId="77777777" w:rsidR="001E03AF" w:rsidRPr="00314527" w:rsidRDefault="001E03AF" w:rsidP="00174375">
            <w:pPr>
              <w:rPr>
                <w:rFonts w:ascii="Arial" w:hAnsi="Arial"/>
                <w:b/>
                <w:bCs/>
                <w:rtl/>
              </w:rPr>
            </w:pPr>
            <w:r w:rsidRPr="00314527">
              <w:rPr>
                <w:rFonts w:ascii="Arial" w:hAnsi="Arial"/>
                <w:b/>
                <w:bCs/>
                <w:rtl/>
              </w:rPr>
              <w:t>הנאשם</w:t>
            </w:r>
          </w:p>
        </w:tc>
        <w:tc>
          <w:tcPr>
            <w:tcW w:w="4678" w:type="dxa"/>
            <w:tcBorders>
              <w:top w:val="nil"/>
              <w:left w:val="nil"/>
              <w:bottom w:val="nil"/>
              <w:right w:val="nil"/>
            </w:tcBorders>
            <w:shd w:val="clear" w:color="auto" w:fill="auto"/>
            <w:vAlign w:val="center"/>
          </w:tcPr>
          <w:p w14:paraId="29F29BE7" w14:textId="77777777" w:rsidR="001E03AF" w:rsidRPr="00314527" w:rsidRDefault="001E03AF" w:rsidP="001E03AF">
            <w:pPr>
              <w:suppressLineNumbers/>
            </w:pPr>
            <w:r w:rsidRPr="00314527">
              <w:rPr>
                <w:rFonts w:ascii="Arial" w:hAnsi="Arial"/>
                <w:b/>
                <w:bCs/>
                <w:rtl/>
              </w:rPr>
              <w:t>מלסה וונדים</w:t>
            </w:r>
          </w:p>
          <w:p w14:paraId="5B53A5B6" w14:textId="77777777" w:rsidR="001E03AF" w:rsidRPr="00314527" w:rsidRDefault="001E03AF" w:rsidP="00174375">
            <w:pPr>
              <w:rPr>
                <w:rFonts w:ascii="David" w:hAnsi="David"/>
              </w:rPr>
            </w:pPr>
          </w:p>
        </w:tc>
      </w:tr>
      <w:tr w:rsidR="001E03AF" w:rsidRPr="00314527" w14:paraId="119443DF" w14:textId="77777777" w:rsidTr="001E03AF">
        <w:trPr>
          <w:trHeight w:val="355"/>
          <w:jc w:val="center"/>
        </w:trPr>
        <w:tc>
          <w:tcPr>
            <w:tcW w:w="923" w:type="dxa"/>
            <w:tcBorders>
              <w:top w:val="nil"/>
              <w:left w:val="nil"/>
              <w:bottom w:val="nil"/>
              <w:right w:val="nil"/>
            </w:tcBorders>
            <w:shd w:val="clear" w:color="auto" w:fill="auto"/>
          </w:tcPr>
          <w:p w14:paraId="01CA6B6A" w14:textId="77777777" w:rsidR="001E03AF" w:rsidRPr="00314527" w:rsidRDefault="001E03AF" w:rsidP="001E03AF">
            <w:pPr>
              <w:jc w:val="both"/>
              <w:rPr>
                <w:rFonts w:ascii="David" w:hAnsi="David"/>
                <w:rtl/>
              </w:rPr>
            </w:pPr>
          </w:p>
        </w:tc>
        <w:tc>
          <w:tcPr>
            <w:tcW w:w="3219" w:type="dxa"/>
            <w:tcBorders>
              <w:top w:val="nil"/>
              <w:left w:val="nil"/>
              <w:bottom w:val="nil"/>
              <w:right w:val="nil"/>
            </w:tcBorders>
            <w:shd w:val="clear" w:color="auto" w:fill="auto"/>
          </w:tcPr>
          <w:p w14:paraId="4D8783F8" w14:textId="77777777" w:rsidR="001E03AF" w:rsidRPr="00314527" w:rsidRDefault="001E03AF" w:rsidP="001E03AF">
            <w:pPr>
              <w:jc w:val="both"/>
              <w:rPr>
                <w:rFonts w:ascii="David" w:hAnsi="David"/>
                <w:rtl/>
              </w:rPr>
            </w:pPr>
          </w:p>
        </w:tc>
        <w:tc>
          <w:tcPr>
            <w:tcW w:w="4678" w:type="dxa"/>
            <w:tcBorders>
              <w:top w:val="nil"/>
              <w:left w:val="nil"/>
              <w:bottom w:val="nil"/>
              <w:right w:val="nil"/>
            </w:tcBorders>
            <w:shd w:val="clear" w:color="auto" w:fill="auto"/>
          </w:tcPr>
          <w:p w14:paraId="62DE9F5B" w14:textId="77777777" w:rsidR="001E03AF" w:rsidRPr="00314527" w:rsidRDefault="001E03AF" w:rsidP="001E03AF">
            <w:pPr>
              <w:jc w:val="right"/>
              <w:rPr>
                <w:rFonts w:ascii="David" w:hAnsi="David"/>
              </w:rPr>
            </w:pPr>
          </w:p>
        </w:tc>
      </w:tr>
    </w:tbl>
    <w:p w14:paraId="7FFC855E" w14:textId="77777777" w:rsidR="00F25588" w:rsidRPr="00F25588" w:rsidRDefault="00F25588" w:rsidP="00F25588">
      <w:pPr>
        <w:spacing w:before="120" w:after="120" w:line="240" w:lineRule="exact"/>
        <w:ind w:left="283" w:hanging="283"/>
        <w:jc w:val="both"/>
        <w:rPr>
          <w:rFonts w:ascii="FrankRuehl" w:hAnsi="FrankRuehl" w:cs="FrankRuehl"/>
          <w:rtl/>
        </w:rPr>
      </w:pPr>
    </w:p>
    <w:p w14:paraId="159572AB" w14:textId="77777777" w:rsidR="007A1271" w:rsidRPr="007A1271" w:rsidRDefault="007A1271" w:rsidP="007A1271">
      <w:pPr>
        <w:spacing w:before="120" w:after="120" w:line="240" w:lineRule="exact"/>
        <w:ind w:left="283" w:hanging="283"/>
        <w:jc w:val="both"/>
        <w:rPr>
          <w:rFonts w:ascii="FrankRuehl" w:hAnsi="FrankRuehl" w:cs="FrankRuehl"/>
          <w:rtl/>
        </w:rPr>
      </w:pPr>
    </w:p>
    <w:p w14:paraId="215CC5FE" w14:textId="77777777" w:rsidR="00402233" w:rsidRDefault="00402233" w:rsidP="00402233">
      <w:pPr>
        <w:rPr>
          <w:rtl/>
        </w:rPr>
      </w:pPr>
      <w:bookmarkStart w:id="2" w:name="LawTable"/>
      <w:bookmarkEnd w:id="2"/>
    </w:p>
    <w:p w14:paraId="7F2459C4" w14:textId="77777777" w:rsidR="00402233" w:rsidRPr="00402233" w:rsidRDefault="00402233" w:rsidP="00402233">
      <w:pPr>
        <w:spacing w:before="120" w:after="120" w:line="240" w:lineRule="exact"/>
        <w:ind w:left="283" w:hanging="283"/>
        <w:jc w:val="both"/>
        <w:rPr>
          <w:rFonts w:ascii="FrankRuehl" w:hAnsi="FrankRuehl" w:cs="FrankRuehl"/>
          <w:rtl/>
        </w:rPr>
      </w:pPr>
    </w:p>
    <w:p w14:paraId="3094B2C2" w14:textId="77777777" w:rsidR="00402233" w:rsidRPr="00402233" w:rsidRDefault="00402233" w:rsidP="00402233">
      <w:pPr>
        <w:spacing w:before="120" w:after="120" w:line="240" w:lineRule="exact"/>
        <w:ind w:left="283" w:hanging="283"/>
        <w:jc w:val="both"/>
        <w:rPr>
          <w:rFonts w:ascii="FrankRuehl" w:hAnsi="FrankRuehl" w:cs="FrankRuehl"/>
          <w:rtl/>
        </w:rPr>
      </w:pPr>
    </w:p>
    <w:p w14:paraId="539A8E5F" w14:textId="77777777" w:rsidR="00402233" w:rsidRPr="00402233" w:rsidRDefault="00402233" w:rsidP="00402233">
      <w:pPr>
        <w:spacing w:before="120" w:after="120" w:line="240" w:lineRule="exact"/>
        <w:ind w:left="283" w:hanging="283"/>
        <w:jc w:val="both"/>
        <w:rPr>
          <w:rFonts w:ascii="FrankRuehl" w:hAnsi="FrankRuehl" w:cs="FrankRuehl"/>
          <w:rtl/>
        </w:rPr>
      </w:pPr>
      <w:r w:rsidRPr="00402233">
        <w:rPr>
          <w:rFonts w:ascii="FrankRuehl" w:hAnsi="FrankRuehl" w:cs="FrankRuehl"/>
          <w:rtl/>
        </w:rPr>
        <w:t xml:space="preserve">חקיקה שאוזכרה: </w:t>
      </w:r>
    </w:p>
    <w:p w14:paraId="6B54C0CE" w14:textId="77777777" w:rsidR="00402233" w:rsidRPr="00402233" w:rsidRDefault="00402233" w:rsidP="00402233">
      <w:pPr>
        <w:spacing w:before="120" w:after="120" w:line="240" w:lineRule="exact"/>
        <w:ind w:left="283" w:hanging="283"/>
        <w:jc w:val="both"/>
        <w:rPr>
          <w:rFonts w:ascii="FrankRuehl" w:hAnsi="FrankRuehl" w:cs="FrankRuehl"/>
          <w:rtl/>
        </w:rPr>
      </w:pPr>
      <w:hyperlink r:id="rId7" w:history="1">
        <w:r w:rsidRPr="00402233">
          <w:rPr>
            <w:rFonts w:ascii="FrankRuehl" w:hAnsi="FrankRuehl" w:cs="FrankRuehl"/>
            <w:color w:val="0000FF"/>
            <w:rtl/>
          </w:rPr>
          <w:t>פקודת הסמים המסוכנים [נוסח חדש], תשל"ג-1973</w:t>
        </w:r>
      </w:hyperlink>
      <w:r w:rsidRPr="00402233">
        <w:rPr>
          <w:rFonts w:ascii="FrankRuehl" w:hAnsi="FrankRuehl" w:cs="FrankRuehl"/>
          <w:rtl/>
        </w:rPr>
        <w:t xml:space="preserve">: סע'  </w:t>
      </w:r>
      <w:hyperlink r:id="rId8" w:history="1">
        <w:r w:rsidRPr="00402233">
          <w:rPr>
            <w:rFonts w:ascii="FrankRuehl" w:hAnsi="FrankRuehl" w:cs="FrankRuehl"/>
            <w:color w:val="0000FF"/>
            <w:rtl/>
          </w:rPr>
          <w:t>7(א)</w:t>
        </w:r>
      </w:hyperlink>
      <w:r w:rsidRPr="00402233">
        <w:rPr>
          <w:rFonts w:ascii="FrankRuehl" w:hAnsi="FrankRuehl" w:cs="FrankRuehl"/>
          <w:rtl/>
        </w:rPr>
        <w:t xml:space="preserve">, </w:t>
      </w:r>
      <w:hyperlink r:id="rId9" w:history="1">
        <w:r w:rsidRPr="00402233">
          <w:rPr>
            <w:rFonts w:ascii="FrankRuehl" w:hAnsi="FrankRuehl" w:cs="FrankRuehl"/>
            <w:color w:val="0000FF"/>
            <w:rtl/>
          </w:rPr>
          <w:t>7(ג)</w:t>
        </w:r>
      </w:hyperlink>
      <w:r w:rsidRPr="00402233">
        <w:rPr>
          <w:rFonts w:ascii="FrankRuehl" w:hAnsi="FrankRuehl" w:cs="FrankRuehl"/>
          <w:rtl/>
        </w:rPr>
        <w:t xml:space="preserve">, </w:t>
      </w:r>
      <w:hyperlink r:id="rId10" w:history="1">
        <w:r w:rsidRPr="00402233">
          <w:rPr>
            <w:rFonts w:ascii="FrankRuehl" w:hAnsi="FrankRuehl" w:cs="FrankRuehl"/>
            <w:color w:val="0000FF"/>
            <w:rtl/>
          </w:rPr>
          <w:t>10</w:t>
        </w:r>
      </w:hyperlink>
    </w:p>
    <w:p w14:paraId="2D758710" w14:textId="77777777" w:rsidR="00402233" w:rsidRPr="00402233" w:rsidRDefault="00402233" w:rsidP="00402233">
      <w:pPr>
        <w:rPr>
          <w:rtl/>
        </w:rPr>
      </w:pPr>
      <w:bookmarkStart w:id="3" w:name="LawTable_End"/>
      <w:bookmarkEnd w:id="3"/>
    </w:p>
    <w:p w14:paraId="10CB3DC4" w14:textId="77777777" w:rsidR="001E03AF" w:rsidRPr="007A1271" w:rsidRDefault="001E03AF" w:rsidP="007A127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03AF" w:rsidRPr="006C55D9" w14:paraId="20D745FD" w14:textId="77777777" w:rsidTr="001E03AF">
        <w:trPr>
          <w:trHeight w:val="355"/>
          <w:jc w:val="center"/>
        </w:trPr>
        <w:tc>
          <w:tcPr>
            <w:tcW w:w="8820" w:type="dxa"/>
            <w:tcBorders>
              <w:top w:val="nil"/>
              <w:left w:val="nil"/>
              <w:bottom w:val="nil"/>
              <w:right w:val="nil"/>
            </w:tcBorders>
            <w:shd w:val="clear" w:color="auto" w:fill="auto"/>
          </w:tcPr>
          <w:p w14:paraId="600D5095" w14:textId="77777777" w:rsidR="00314527" w:rsidRPr="00314527" w:rsidRDefault="00314527" w:rsidP="00314527">
            <w:pPr>
              <w:spacing w:line="360" w:lineRule="auto"/>
              <w:jc w:val="center"/>
              <w:rPr>
                <w:rFonts w:ascii="David" w:hAnsi="David"/>
                <w:b/>
                <w:bCs/>
                <w:u w:val="single"/>
                <w:rtl/>
              </w:rPr>
            </w:pPr>
            <w:bookmarkStart w:id="4" w:name="PsakDin" w:colFirst="0" w:colLast="0"/>
            <w:bookmarkEnd w:id="0"/>
            <w:r w:rsidRPr="00314527">
              <w:rPr>
                <w:rFonts w:ascii="David" w:hAnsi="David"/>
                <w:b/>
                <w:bCs/>
                <w:u w:val="single"/>
                <w:rtl/>
              </w:rPr>
              <w:t>גזר דין (ללא הרשעה)</w:t>
            </w:r>
          </w:p>
          <w:p w14:paraId="79D94FCC" w14:textId="77777777" w:rsidR="001E03AF" w:rsidRPr="00314527" w:rsidRDefault="001E03AF" w:rsidP="00314527">
            <w:pPr>
              <w:spacing w:line="360" w:lineRule="auto"/>
              <w:jc w:val="center"/>
              <w:rPr>
                <w:rFonts w:ascii="David" w:hAnsi="David"/>
                <w:b/>
                <w:bCs/>
                <w:u w:val="single"/>
                <w:rtl/>
              </w:rPr>
            </w:pPr>
          </w:p>
        </w:tc>
      </w:tr>
      <w:bookmarkEnd w:id="4"/>
    </w:tbl>
    <w:p w14:paraId="7DA4BE91" w14:textId="77777777" w:rsidR="001E03AF" w:rsidRPr="006C55D9" w:rsidRDefault="001E03AF" w:rsidP="001E03AF">
      <w:pPr>
        <w:spacing w:line="360" w:lineRule="auto"/>
        <w:rPr>
          <w:rFonts w:ascii="Arial" w:hAnsi="Arial"/>
          <w:b/>
          <w:bCs/>
          <w:rtl/>
        </w:rPr>
      </w:pPr>
    </w:p>
    <w:p w14:paraId="342FC1B4" w14:textId="77777777" w:rsidR="001E03AF" w:rsidRPr="006C55D9" w:rsidRDefault="001E03AF" w:rsidP="001E03AF">
      <w:pPr>
        <w:pStyle w:val="a9"/>
        <w:numPr>
          <w:ilvl w:val="0"/>
          <w:numId w:val="1"/>
        </w:numPr>
        <w:spacing w:line="360" w:lineRule="auto"/>
        <w:jc w:val="both"/>
        <w:rPr>
          <w:rFonts w:ascii="Arial" w:hAnsi="Arial"/>
        </w:rPr>
      </w:pPr>
      <w:bookmarkStart w:id="5" w:name="ABSTRACT_START"/>
      <w:bookmarkEnd w:id="5"/>
      <w:r w:rsidRPr="006C55D9">
        <w:rPr>
          <w:rFonts w:ascii="Arial" w:hAnsi="Arial" w:hint="cs"/>
          <w:rtl/>
        </w:rPr>
        <w:t xml:space="preserve">הנאשם הורשע על פיה הודאתו ובמסגרת הסדר טעון בעבירות של החזקת סם שלא לצריכה עצמית לפי </w:t>
      </w:r>
      <w:hyperlink r:id="rId11" w:history="1">
        <w:r w:rsidR="00F25588" w:rsidRPr="00F25588">
          <w:rPr>
            <w:rStyle w:val="Hyperlink"/>
            <w:rFonts w:ascii="Arial" w:hAnsi="Arial" w:hint="eastAsia"/>
            <w:rtl/>
          </w:rPr>
          <w:t>סעיף</w:t>
        </w:r>
        <w:r w:rsidR="00F25588" w:rsidRPr="00F25588">
          <w:rPr>
            <w:rStyle w:val="Hyperlink"/>
            <w:rFonts w:ascii="Arial" w:hAnsi="Arial"/>
            <w:rtl/>
          </w:rPr>
          <w:t>, 7(א)</w:t>
        </w:r>
      </w:hyperlink>
      <w:r w:rsidRPr="006C55D9">
        <w:rPr>
          <w:rFonts w:ascii="Arial" w:hAnsi="Arial" w:hint="cs"/>
          <w:rtl/>
        </w:rPr>
        <w:t xml:space="preserve"> בצירוף </w:t>
      </w:r>
      <w:hyperlink r:id="rId12" w:history="1">
        <w:r w:rsidR="00F25588" w:rsidRPr="00F25588">
          <w:rPr>
            <w:rStyle w:val="Hyperlink"/>
            <w:rFonts w:ascii="Arial" w:hAnsi="Arial"/>
            <w:rtl/>
          </w:rPr>
          <w:t>7(ג)</w:t>
        </w:r>
      </w:hyperlink>
      <w:r w:rsidRPr="006C55D9">
        <w:rPr>
          <w:rFonts w:ascii="Arial" w:hAnsi="Arial" w:hint="cs"/>
          <w:rtl/>
        </w:rPr>
        <w:t xml:space="preserve"> רישא ל</w:t>
      </w:r>
      <w:hyperlink r:id="rId13" w:history="1">
        <w:r w:rsidR="00314527" w:rsidRPr="00314527">
          <w:rPr>
            <w:rFonts w:ascii="Arial" w:hAnsi="Arial"/>
            <w:color w:val="0000FF"/>
            <w:u w:val="single"/>
            <w:rtl/>
          </w:rPr>
          <w:t>פקודת הסמים המסוכנים</w:t>
        </w:r>
      </w:hyperlink>
      <w:r>
        <w:rPr>
          <w:rFonts w:ascii="Arial" w:hAnsi="Arial" w:hint="cs"/>
          <w:rtl/>
        </w:rPr>
        <w:t xml:space="preserve"> (נ"ח) תשל"ג -1973.</w:t>
      </w:r>
      <w:r w:rsidRPr="006C55D9">
        <w:rPr>
          <w:rFonts w:ascii="Arial" w:hAnsi="Arial" w:hint="cs"/>
          <w:rtl/>
        </w:rPr>
        <w:t xml:space="preserve"> החזקת </w:t>
      </w:r>
      <w:r>
        <w:rPr>
          <w:rFonts w:ascii="Arial" w:hAnsi="Arial" w:hint="cs"/>
          <w:rtl/>
        </w:rPr>
        <w:t xml:space="preserve">כלים </w:t>
      </w:r>
      <w:r w:rsidRPr="006C55D9">
        <w:rPr>
          <w:rFonts w:ascii="Arial" w:hAnsi="Arial" w:hint="cs"/>
          <w:rtl/>
        </w:rPr>
        <w:t xml:space="preserve">להכנת סם שלא לצריכה עצמית, לפי </w:t>
      </w:r>
      <w:hyperlink r:id="rId14" w:history="1">
        <w:r w:rsidR="00F25588" w:rsidRPr="00F25588">
          <w:rPr>
            <w:rStyle w:val="Hyperlink"/>
            <w:rFonts w:ascii="Arial" w:hAnsi="Arial" w:hint="eastAsia"/>
            <w:rtl/>
          </w:rPr>
          <w:t>סעיף</w:t>
        </w:r>
        <w:r w:rsidR="00F25588" w:rsidRPr="00F25588">
          <w:rPr>
            <w:rStyle w:val="Hyperlink"/>
            <w:rFonts w:ascii="Arial" w:hAnsi="Arial"/>
            <w:rtl/>
          </w:rPr>
          <w:t xml:space="preserve"> 10</w:t>
        </w:r>
      </w:hyperlink>
      <w:r w:rsidRPr="006C55D9">
        <w:rPr>
          <w:rFonts w:ascii="Arial" w:hAnsi="Arial" w:hint="cs"/>
          <w:rtl/>
        </w:rPr>
        <w:t xml:space="preserve"> רישא לפקודת המסים המסוכנים.</w:t>
      </w:r>
    </w:p>
    <w:p w14:paraId="2726E824" w14:textId="77777777" w:rsidR="001E03AF" w:rsidRDefault="001E03AF" w:rsidP="001E03AF">
      <w:pPr>
        <w:pStyle w:val="a9"/>
        <w:numPr>
          <w:ilvl w:val="0"/>
          <w:numId w:val="1"/>
        </w:numPr>
        <w:spacing w:line="360" w:lineRule="auto"/>
        <w:jc w:val="both"/>
        <w:rPr>
          <w:rFonts w:ascii="Arial" w:hAnsi="Arial"/>
        </w:rPr>
      </w:pPr>
      <w:bookmarkStart w:id="6" w:name="ABSTRACT_END"/>
      <w:bookmarkEnd w:id="6"/>
      <w:r w:rsidRPr="0001182A">
        <w:rPr>
          <w:rFonts w:ascii="Arial" w:hAnsi="Arial" w:hint="cs"/>
          <w:rtl/>
        </w:rPr>
        <w:t xml:space="preserve">על פי הנטען בכתב האישום, ביום 5.4.2017 בשעה 17:00 או בסמוך, החזיק הנאשם בביתו, </w:t>
      </w:r>
      <w:r>
        <w:rPr>
          <w:rFonts w:ascii="Arial" w:hAnsi="Arial" w:hint="cs"/>
          <w:rtl/>
        </w:rPr>
        <w:t>ב</w:t>
      </w:r>
      <w:r w:rsidRPr="0001182A">
        <w:rPr>
          <w:rFonts w:ascii="Arial" w:hAnsi="Arial" w:hint="cs"/>
          <w:rtl/>
        </w:rPr>
        <w:t xml:space="preserve">יחידת </w:t>
      </w:r>
      <w:r>
        <w:rPr>
          <w:rFonts w:ascii="Arial" w:hAnsi="Arial" w:hint="cs"/>
          <w:rtl/>
        </w:rPr>
        <w:t>ד</w:t>
      </w:r>
      <w:r w:rsidRPr="0001182A">
        <w:rPr>
          <w:rFonts w:ascii="Arial" w:hAnsi="Arial" w:hint="cs"/>
          <w:rtl/>
        </w:rPr>
        <w:t xml:space="preserve">יור בחצר הבית שברחוב השיטה 16 בישוב בית אריה עופרים, סם מסוכן מסוג קנבוס וכלים המשמשים לשימוש בו כמפורט להלן: 158.44 </w:t>
      </w:r>
      <w:r>
        <w:rPr>
          <w:rFonts w:ascii="Arial" w:hAnsi="Arial" w:hint="cs"/>
          <w:rtl/>
        </w:rPr>
        <w:t xml:space="preserve">גרם </w:t>
      </w:r>
      <w:r w:rsidRPr="0001182A">
        <w:rPr>
          <w:rFonts w:ascii="Arial" w:hAnsi="Arial" w:hint="cs"/>
          <w:rtl/>
        </w:rPr>
        <w:t>בארגז לבן ובו</w:t>
      </w:r>
      <w:r>
        <w:rPr>
          <w:rFonts w:ascii="Arial" w:hAnsi="Arial" w:hint="cs"/>
          <w:rtl/>
        </w:rPr>
        <w:t xml:space="preserve"> </w:t>
      </w:r>
      <w:r w:rsidRPr="0001182A">
        <w:rPr>
          <w:rFonts w:ascii="Arial" w:hAnsi="Arial" w:hint="cs"/>
          <w:rtl/>
        </w:rPr>
        <w:t>שקית אדומה המכילה את הסם, ק</w:t>
      </w:r>
      <w:r>
        <w:rPr>
          <w:rFonts w:ascii="Arial" w:hAnsi="Arial" w:hint="cs"/>
          <w:rtl/>
        </w:rPr>
        <w:t xml:space="preserve">ופסת קרטון </w:t>
      </w:r>
      <w:r w:rsidRPr="0001182A">
        <w:rPr>
          <w:rFonts w:ascii="Arial" w:hAnsi="Arial" w:hint="cs"/>
          <w:rtl/>
        </w:rPr>
        <w:t>שחורה ובה 4 חבילות נייר מגולגל, 2 מספריים ו-3 מצתים המש</w:t>
      </w:r>
      <w:r>
        <w:rPr>
          <w:rFonts w:ascii="Arial" w:hAnsi="Arial" w:hint="cs"/>
          <w:rtl/>
        </w:rPr>
        <w:t>משים ל</w:t>
      </w:r>
      <w:r w:rsidRPr="0001182A">
        <w:rPr>
          <w:rFonts w:ascii="Arial" w:hAnsi="Arial" w:hint="cs"/>
          <w:rtl/>
        </w:rPr>
        <w:t>הכנת ס</w:t>
      </w:r>
      <w:r>
        <w:rPr>
          <w:rFonts w:ascii="Arial" w:hAnsi="Arial" w:hint="cs"/>
          <w:rtl/>
        </w:rPr>
        <w:t xml:space="preserve">ם. </w:t>
      </w:r>
      <w:r w:rsidRPr="0001182A">
        <w:rPr>
          <w:rFonts w:ascii="Arial" w:hAnsi="Arial" w:hint="cs"/>
          <w:rtl/>
        </w:rPr>
        <w:t>בארון מתחת לכיו</w:t>
      </w:r>
      <w:r>
        <w:rPr>
          <w:rFonts w:ascii="Arial" w:hAnsi="Arial" w:hint="cs"/>
          <w:rtl/>
        </w:rPr>
        <w:t xml:space="preserve">ר </w:t>
      </w:r>
      <w:r w:rsidRPr="0001182A">
        <w:rPr>
          <w:rFonts w:ascii="Arial" w:hAnsi="Arial" w:hint="cs"/>
          <w:rtl/>
        </w:rPr>
        <w:t>המטבח כלי שימוש לסם מסוג באנג שקוף</w:t>
      </w:r>
      <w:r>
        <w:rPr>
          <w:rFonts w:ascii="Arial" w:hAnsi="Arial" w:hint="cs"/>
          <w:rtl/>
        </w:rPr>
        <w:t>.</w:t>
      </w:r>
      <w:r w:rsidRPr="0001182A">
        <w:rPr>
          <w:rFonts w:ascii="Arial" w:hAnsi="Arial" w:hint="cs"/>
          <w:rtl/>
        </w:rPr>
        <w:t xml:space="preserve"> בשידה בחדרו של הנאשם, משקל שחור כסוף ושלושה מכ</w:t>
      </w:r>
      <w:r>
        <w:rPr>
          <w:rFonts w:ascii="Arial" w:hAnsi="Arial" w:hint="cs"/>
          <w:rtl/>
        </w:rPr>
        <w:t xml:space="preserve">שירים </w:t>
      </w:r>
      <w:r w:rsidRPr="0001182A">
        <w:rPr>
          <w:rFonts w:ascii="Arial" w:hAnsi="Arial" w:hint="cs"/>
          <w:rtl/>
        </w:rPr>
        <w:t xml:space="preserve">להכנת סם </w:t>
      </w:r>
      <w:r>
        <w:rPr>
          <w:rFonts w:ascii="Arial" w:hAnsi="Arial" w:hint="cs"/>
          <w:rtl/>
        </w:rPr>
        <w:t>מסוג קססונית.</w:t>
      </w:r>
    </w:p>
    <w:p w14:paraId="1AA46713"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lastRenderedPageBreak/>
        <w:t xml:space="preserve">במסגרת הסדר הטעון הוסכם בין הצדדים, כי הנאשם יופנה לקבלת תסקיר מבחן, כאשר הצדדים יבואו בדברים פעם נוספת לאחר הגשתו, כאשר עמדת המאשימה הינה בכל מקרה להרשעה. </w:t>
      </w:r>
    </w:p>
    <w:p w14:paraId="30130E02" w14:textId="77777777" w:rsidR="001E03AF" w:rsidRPr="002728EC" w:rsidRDefault="001E03AF" w:rsidP="001E03AF">
      <w:pPr>
        <w:spacing w:line="360" w:lineRule="auto"/>
        <w:ind w:left="360"/>
        <w:jc w:val="both"/>
        <w:rPr>
          <w:rFonts w:ascii="Arial" w:hAnsi="Arial"/>
          <w:b/>
          <w:bCs/>
        </w:rPr>
      </w:pPr>
      <w:r w:rsidRPr="002728EC">
        <w:rPr>
          <w:rFonts w:ascii="Arial" w:hAnsi="Arial"/>
          <w:b/>
          <w:bCs/>
          <w:rtl/>
        </w:rPr>
        <w:tab/>
      </w:r>
      <w:r w:rsidRPr="002728EC">
        <w:rPr>
          <w:rFonts w:ascii="Arial" w:hAnsi="Arial" w:hint="cs"/>
          <w:b/>
          <w:bCs/>
          <w:u w:val="single"/>
          <w:rtl/>
        </w:rPr>
        <w:t>תסקיר שרות המבחן</w:t>
      </w:r>
      <w:r w:rsidRPr="002728EC">
        <w:rPr>
          <w:rFonts w:ascii="Arial" w:hAnsi="Arial" w:hint="cs"/>
          <w:b/>
          <w:bCs/>
          <w:rtl/>
        </w:rPr>
        <w:t>:</w:t>
      </w:r>
    </w:p>
    <w:p w14:paraId="660D2EDA"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בתסקיר מיום 31.5.2021 שהוגש צוין, כי הנאשם כבן 29 ילדי אתיופיה עלה לישראל בשנת 1998, מתגורר עם ארוסתו בדירה שכורה בבית אריה. עובד משך כ-5 שנים כמנהל עבודה בחברת לוגיסטיקה. הנאשם השלים 12 שנות לימוד ובגרות מלאה, שירת שירות צבאי מלא כמכונאי מסוקים בחיל האוויר. הנאשם משולב במעגל התעסוקה מגיל צעיר, נוכח העובדה כי נאלץ לסייע בפרנסת המשפחה, ואף כיום מסייע לאמו.</w:t>
      </w:r>
    </w:p>
    <w:p w14:paraId="22CB5004"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הנאשם מקיים מערכת זוגית מזה שנים רבות, והוא עתיד להינשא עם בת זוגו בזמן הקרוב. הנאשם נטל אחריות מלאה למעשים, ותיאר שימשו אינטנסיבי בסם באותה עת. שרות המבחן הוסיף, כי הנאשם הצליח לערוך התבוננות ביקורתית אודות התנהלותו השולית והביע חרטה על מעשיו. בדיקות שתן שמסר הנאשם מצאו נקיות. בנוסף, הביע הנאשם נכונות ראשונית להשתלב בהליך טיפולי ייעודי בתחום ההתמכרויות. בנסיבות אלו המליץ שרות המבחן על דחייה למשך 3 חודשים- כדי לבחון את יכולתו להיתרם מההליך הטיפולי, וכן בתסקיר המשלים מיום 11.10.2021 עדכן שרות המבחן, כי נוצר קשר מיטבי עם המטפל, וכן הקשר הטיפולי מהווה עבורו מרחב פתוח- בו הוא משתף בהתמודדויותי</w:t>
      </w:r>
      <w:r>
        <w:rPr>
          <w:rFonts w:ascii="Arial" w:hAnsi="Arial" w:hint="eastAsia"/>
          <w:rtl/>
        </w:rPr>
        <w:t>ו</w:t>
      </w:r>
      <w:r>
        <w:rPr>
          <w:rFonts w:ascii="Arial" w:hAnsi="Arial" w:hint="cs"/>
          <w:rtl/>
        </w:rPr>
        <w:t xml:space="preserve"> ורוכש מיומנויות אדפטיביות להתמודדות עם קשייו. אף הדיווח מגורמי בטיפול במחלקה לשירותים חברתיים בבית שמש הינה חיובית. העדכון מהמטפל אף הוא חיובי- הנאשם מגיע לפגישות ומוסר בדיקות שתן שנמצאו נקיות. צוין, כי הנאשם מתנהל באופן אחראי בטיפול, משתף בקשייו ומביע מוטיבציה. נוכח טעמים אלו- רואה שרות המבחן חשיבות לאמץ את הפן הטיפולי-שיקומי- במסגרת צו מבחן.</w:t>
      </w:r>
    </w:p>
    <w:p w14:paraId="6CC975BA"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 xml:space="preserve">בהתייחס לסוגיית ההרשעה ממליץ שרות המבחן להימנע מהרשעתו של הנאשם, נוכח גילו הצעיר יחסית, היותו נעדר דפוסים שוליים ועברייניים, אשר הפיק את הלקח ממעורבותו בהליך זה, התגייסותו להליך טיפולי ושיתוף הפעולה שלו, וכדי להימנע מפגיעה אפשרית בו. </w:t>
      </w:r>
    </w:p>
    <w:p w14:paraId="07B65D54"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 xml:space="preserve">בנסיבות אלו הומלץ על הטלת צו שירות לתועלת הציבור בהיקף 150 שעות לצד צו מבחן.   </w:t>
      </w:r>
    </w:p>
    <w:p w14:paraId="7A27239F" w14:textId="77777777" w:rsidR="001E03AF" w:rsidRPr="002728EC" w:rsidRDefault="001E03AF" w:rsidP="001E03AF">
      <w:pPr>
        <w:spacing w:line="360" w:lineRule="auto"/>
        <w:ind w:left="360"/>
        <w:jc w:val="both"/>
        <w:rPr>
          <w:rFonts w:ascii="Arial" w:hAnsi="Arial"/>
          <w:b/>
          <w:bCs/>
        </w:rPr>
      </w:pPr>
      <w:r>
        <w:rPr>
          <w:rFonts w:ascii="Arial" w:hAnsi="Arial"/>
          <w:rtl/>
        </w:rPr>
        <w:tab/>
      </w:r>
      <w:r w:rsidRPr="002728EC">
        <w:rPr>
          <w:rFonts w:ascii="Arial" w:hAnsi="Arial" w:hint="cs"/>
          <w:b/>
          <w:bCs/>
          <w:u w:val="single"/>
          <w:rtl/>
        </w:rPr>
        <w:t>תמצית טיעוני הצדדים</w:t>
      </w:r>
      <w:r w:rsidRPr="002728EC">
        <w:rPr>
          <w:rFonts w:ascii="Arial" w:hAnsi="Arial" w:hint="cs"/>
          <w:b/>
          <w:bCs/>
          <w:rtl/>
        </w:rPr>
        <w:t>:</w:t>
      </w:r>
    </w:p>
    <w:p w14:paraId="4A8E8F3C"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ב"כ המאשימה הפנתה לעובדות כתב האישום המתוקן בהן הודה הנאשם, גילו, העדר עבר פלילי וכן לערכים המוגנים בהם פגע הנאשם במעשיו. המאשימה ביקשה לקבוע מתחם עונש הנע על הציר שבין 6-12 חודשים. בהתייחס לתסקיר, ביקשה לדחות את המלצותיו, לרבות המלצתם בסוגיית ההרשעה, בהעדר הוכחת נזק קונקרטי- תנאי שנקבע בפסיקה המנחה, כתנאי מכריע לצורך הכרעה בסוגיה זו . על הנאשם ביקשה לגזור מאסר על דרך עבודות השירות, לצד מאסר על תנאי, פסילה בפועל, וכן פסילה על תנאי, קנס התחייבות וחילוט מוצגים.</w:t>
      </w:r>
    </w:p>
    <w:p w14:paraId="5A19D008"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lastRenderedPageBreak/>
        <w:t>ההגנה ביקשה לאמץ את המלצות התסקיר, נוכח התיקון שנעשה בכתב האישום, הטעמים עליהם עומד שירות המבחן, וכן התהליך הטיפולי אותו עבר הנאשם במסגרת הקשר עם שרות המבחן. הסנגור הוסיף, כי קיימת מגמת ריכוך בפסיקה בכל הנוגע לסוגיית ההרשעה, בנסיבות בהן המדובר בבחור צעיר.</w:t>
      </w:r>
    </w:p>
    <w:p w14:paraId="2B4E9794" w14:textId="77777777" w:rsidR="001E03AF" w:rsidRDefault="001E03AF" w:rsidP="001E03AF">
      <w:pPr>
        <w:pStyle w:val="a9"/>
        <w:numPr>
          <w:ilvl w:val="0"/>
          <w:numId w:val="1"/>
        </w:numPr>
        <w:spacing w:line="360" w:lineRule="auto"/>
        <w:jc w:val="both"/>
        <w:rPr>
          <w:rFonts w:ascii="Arial" w:hAnsi="Arial"/>
        </w:rPr>
      </w:pPr>
      <w:r>
        <w:rPr>
          <w:rFonts w:ascii="Arial" w:hAnsi="Arial" w:hint="cs"/>
          <w:rtl/>
        </w:rPr>
        <w:t>הנאשם בסיום הביע חרטה על מעשיו, והוסיף שכיום הוא במקום אחר, כך לדבריו. נישא לבת זוגו, ומביע שאיפות ורצון לפתוח דף חדש.</w:t>
      </w:r>
    </w:p>
    <w:p w14:paraId="0119C5FC" w14:textId="77777777" w:rsidR="001E03AF" w:rsidRPr="002728EC" w:rsidRDefault="001E03AF" w:rsidP="001E03AF">
      <w:pPr>
        <w:spacing w:line="360" w:lineRule="auto"/>
        <w:ind w:left="360"/>
        <w:jc w:val="both"/>
        <w:rPr>
          <w:rFonts w:ascii="Arial" w:hAnsi="Arial"/>
          <w:b/>
          <w:bCs/>
          <w:rtl/>
        </w:rPr>
      </w:pPr>
      <w:r w:rsidRPr="002728EC">
        <w:rPr>
          <w:rFonts w:ascii="Arial" w:hAnsi="Arial"/>
          <w:b/>
          <w:bCs/>
          <w:rtl/>
        </w:rPr>
        <w:tab/>
      </w:r>
      <w:r w:rsidRPr="002728EC">
        <w:rPr>
          <w:rFonts w:ascii="Arial" w:hAnsi="Arial"/>
          <w:b/>
          <w:bCs/>
          <w:u w:val="single"/>
          <w:rtl/>
        </w:rPr>
        <w:t>דיון</w:t>
      </w:r>
      <w:r w:rsidRPr="002728EC">
        <w:rPr>
          <w:rFonts w:ascii="Arial" w:hAnsi="Arial"/>
          <w:b/>
          <w:bCs/>
          <w:rtl/>
        </w:rPr>
        <w:t>:</w:t>
      </w:r>
    </w:p>
    <w:p w14:paraId="54CD1762" w14:textId="77777777" w:rsidR="001E03AF" w:rsidRPr="003D3633" w:rsidRDefault="001E03AF" w:rsidP="001E03AF">
      <w:pPr>
        <w:pStyle w:val="a9"/>
        <w:numPr>
          <w:ilvl w:val="0"/>
          <w:numId w:val="1"/>
        </w:numPr>
        <w:spacing w:line="360" w:lineRule="auto"/>
        <w:jc w:val="both"/>
        <w:rPr>
          <w:rFonts w:ascii="Arial" w:hAnsi="Arial"/>
          <w:rtl/>
        </w:rPr>
      </w:pPr>
      <w:r>
        <w:rPr>
          <w:rFonts w:ascii="Arial" w:hAnsi="Arial" w:hint="cs"/>
          <w:rtl/>
        </w:rPr>
        <w:t xml:space="preserve">אומר כבר עתה, קיימת לטעמי </w:t>
      </w:r>
      <w:r w:rsidRPr="003D3633">
        <w:rPr>
          <w:rFonts w:ascii="Arial" w:hAnsi="Arial"/>
          <w:rtl/>
        </w:rPr>
        <w:t xml:space="preserve">הצדקה להורות על ביטול ההרשעה </w:t>
      </w:r>
      <w:r>
        <w:rPr>
          <w:rFonts w:ascii="Arial" w:hAnsi="Arial" w:hint="cs"/>
          <w:rtl/>
        </w:rPr>
        <w:t xml:space="preserve">במקרה זה, </w:t>
      </w:r>
      <w:r w:rsidRPr="003D3633">
        <w:rPr>
          <w:rFonts w:ascii="Arial" w:hAnsi="Arial"/>
          <w:rtl/>
        </w:rPr>
        <w:t>והעדפת רכיבי ענישה שיקומיים</w:t>
      </w:r>
      <w:r>
        <w:rPr>
          <w:rFonts w:ascii="Arial" w:hAnsi="Arial" w:hint="cs"/>
          <w:rtl/>
        </w:rPr>
        <w:t xml:space="preserve"> כפי שממליץ שרות המבחן, זאת משום הנימוקים הבאים:</w:t>
      </w:r>
    </w:p>
    <w:p w14:paraId="5B06E557" w14:textId="77777777" w:rsidR="001E03AF" w:rsidRPr="00424DC1" w:rsidRDefault="001E03AF" w:rsidP="001E03AF">
      <w:pPr>
        <w:pStyle w:val="a9"/>
        <w:numPr>
          <w:ilvl w:val="0"/>
          <w:numId w:val="2"/>
        </w:numPr>
        <w:spacing w:line="360" w:lineRule="auto"/>
        <w:jc w:val="both"/>
        <w:rPr>
          <w:rFonts w:ascii="Arial" w:hAnsi="Arial"/>
          <w:rtl/>
        </w:rPr>
      </w:pPr>
      <w:r w:rsidRPr="00424DC1">
        <w:rPr>
          <w:rFonts w:ascii="Arial" w:hAnsi="Arial"/>
          <w:rtl/>
        </w:rPr>
        <w:t xml:space="preserve">הנאשם הינו בחור צעיר </w:t>
      </w:r>
      <w:r w:rsidRPr="00424DC1">
        <w:rPr>
          <w:rFonts w:ascii="Arial" w:hAnsi="Arial" w:hint="cs"/>
          <w:rtl/>
        </w:rPr>
        <w:t xml:space="preserve">יחסית </w:t>
      </w:r>
      <w:r w:rsidRPr="00424DC1">
        <w:rPr>
          <w:rFonts w:ascii="Arial" w:hAnsi="Arial"/>
          <w:rtl/>
        </w:rPr>
        <w:t>כבן 2</w:t>
      </w:r>
      <w:r w:rsidRPr="00424DC1">
        <w:rPr>
          <w:rFonts w:ascii="Arial" w:hAnsi="Arial" w:hint="cs"/>
          <w:rtl/>
        </w:rPr>
        <w:t>9</w:t>
      </w:r>
      <w:r w:rsidRPr="00424DC1">
        <w:rPr>
          <w:rFonts w:ascii="Arial" w:hAnsi="Arial"/>
          <w:rtl/>
        </w:rPr>
        <w:t xml:space="preserve"> נעדר הרשעות קודמות. </w:t>
      </w:r>
      <w:r w:rsidRPr="00424DC1">
        <w:rPr>
          <w:rFonts w:ascii="Arial" w:hAnsi="Arial" w:hint="cs"/>
          <w:rtl/>
        </w:rPr>
        <w:t>מאז ביצוע העבירה חלפו כ</w:t>
      </w:r>
      <w:r>
        <w:rPr>
          <w:rFonts w:ascii="Arial" w:hAnsi="Arial" w:hint="cs"/>
          <w:rtl/>
        </w:rPr>
        <w:t xml:space="preserve">מעט </w:t>
      </w:r>
      <w:r w:rsidRPr="00424DC1">
        <w:rPr>
          <w:rFonts w:ascii="Arial" w:hAnsi="Arial" w:hint="cs"/>
          <w:rtl/>
        </w:rPr>
        <w:t xml:space="preserve">חמש שנים- </w:t>
      </w:r>
      <w:r w:rsidRPr="00424DC1">
        <w:rPr>
          <w:rFonts w:ascii="Arial" w:hAnsi="Arial"/>
          <w:rtl/>
        </w:rPr>
        <w:t>במועדי ביצוע</w:t>
      </w:r>
      <w:r w:rsidRPr="00424DC1">
        <w:rPr>
          <w:rFonts w:ascii="Arial" w:hAnsi="Arial" w:hint="cs"/>
          <w:rtl/>
        </w:rPr>
        <w:t xml:space="preserve">ה </w:t>
      </w:r>
      <w:r w:rsidRPr="00424DC1">
        <w:rPr>
          <w:rFonts w:ascii="Arial" w:hAnsi="Arial"/>
          <w:rtl/>
        </w:rPr>
        <w:t>היה הנאשם כבן</w:t>
      </w:r>
      <w:r w:rsidRPr="00424DC1">
        <w:rPr>
          <w:rFonts w:ascii="Arial" w:hAnsi="Arial" w:hint="cs"/>
          <w:rtl/>
        </w:rPr>
        <w:t xml:space="preserve"> 24. </w:t>
      </w:r>
      <w:r w:rsidRPr="00424DC1">
        <w:rPr>
          <w:rFonts w:ascii="Arial" w:hAnsi="Arial"/>
          <w:rtl/>
        </w:rPr>
        <w:t xml:space="preserve">בהתאם לפסיקה המנחה ישנו מקום להתחשב בגילו הצעיר של נאשם בעת גזירת העונש. (ראו: </w:t>
      </w:r>
      <w:hyperlink r:id="rId15" w:history="1">
        <w:r w:rsidR="00314527" w:rsidRPr="00314527">
          <w:rPr>
            <w:rFonts w:ascii="Arial" w:hAnsi="Arial"/>
            <w:color w:val="0000FF"/>
            <w:u w:val="single"/>
            <w:rtl/>
          </w:rPr>
          <w:t>ע"פ 6961/17</w:t>
        </w:r>
      </w:hyperlink>
      <w:r w:rsidRPr="00424DC1">
        <w:rPr>
          <w:rFonts w:ascii="Arial" w:hAnsi="Arial"/>
          <w:rtl/>
        </w:rPr>
        <w:t xml:space="preserve"> אבו אלקיעאן נגד מדינת ישראל [פורסם בנבו] (7.3.18).</w:t>
      </w:r>
    </w:p>
    <w:p w14:paraId="32991EA3" w14:textId="77777777" w:rsidR="001E03AF" w:rsidRPr="00424DC1" w:rsidRDefault="001E03AF" w:rsidP="001E03AF">
      <w:pPr>
        <w:pStyle w:val="a9"/>
        <w:numPr>
          <w:ilvl w:val="0"/>
          <w:numId w:val="2"/>
        </w:numPr>
        <w:spacing w:line="360" w:lineRule="auto"/>
        <w:jc w:val="both"/>
        <w:rPr>
          <w:rFonts w:ascii="Arial" w:hAnsi="Arial"/>
          <w:rtl/>
        </w:rPr>
      </w:pPr>
      <w:r w:rsidRPr="00424DC1">
        <w:rPr>
          <w:rFonts w:ascii="Arial" w:hAnsi="Arial"/>
          <w:rtl/>
        </w:rPr>
        <w:t xml:space="preserve">הנאשם הודה ונטל אחריות על מעשיו. הנאשם נעדר עבר פלילי וזו הסתבכותו הראשונה והיחידה בפלילים. </w:t>
      </w:r>
    </w:p>
    <w:p w14:paraId="37391980" w14:textId="77777777" w:rsidR="001E03AF" w:rsidRPr="00424DC1" w:rsidRDefault="001E03AF" w:rsidP="001E03AF">
      <w:pPr>
        <w:pStyle w:val="a9"/>
        <w:numPr>
          <w:ilvl w:val="0"/>
          <w:numId w:val="2"/>
        </w:numPr>
        <w:spacing w:line="360" w:lineRule="auto"/>
        <w:jc w:val="both"/>
        <w:rPr>
          <w:rFonts w:ascii="Arial" w:hAnsi="Arial"/>
          <w:rtl/>
        </w:rPr>
      </w:pPr>
      <w:r w:rsidRPr="00424DC1">
        <w:rPr>
          <w:rFonts w:ascii="Arial" w:hAnsi="Arial"/>
          <w:rtl/>
        </w:rPr>
        <w:t xml:space="preserve">המדובר </w:t>
      </w:r>
      <w:r>
        <w:rPr>
          <w:rFonts w:ascii="Arial" w:hAnsi="Arial" w:hint="cs"/>
          <w:rtl/>
        </w:rPr>
        <w:t xml:space="preserve">אומנם </w:t>
      </w:r>
      <w:r w:rsidRPr="00424DC1">
        <w:rPr>
          <w:rFonts w:ascii="Arial" w:hAnsi="Arial"/>
          <w:rtl/>
        </w:rPr>
        <w:t>בכמות יחסית גדול</w:t>
      </w:r>
      <w:r w:rsidRPr="00424DC1">
        <w:rPr>
          <w:rFonts w:ascii="Arial" w:hAnsi="Arial" w:hint="cs"/>
          <w:rtl/>
        </w:rPr>
        <w:t>ה של</w:t>
      </w:r>
      <w:r w:rsidRPr="00424DC1">
        <w:rPr>
          <w:rFonts w:ascii="Arial" w:hAnsi="Arial"/>
          <w:rtl/>
        </w:rPr>
        <w:t xml:space="preserve"> החזקת סם </w:t>
      </w:r>
      <w:r>
        <w:rPr>
          <w:rFonts w:ascii="Arial" w:hAnsi="Arial" w:hint="cs"/>
          <w:rtl/>
        </w:rPr>
        <w:t xml:space="preserve">שלא לצריכה עצמית </w:t>
      </w:r>
      <w:r w:rsidRPr="00424DC1">
        <w:rPr>
          <w:rFonts w:ascii="Arial" w:hAnsi="Arial"/>
          <w:rtl/>
        </w:rPr>
        <w:t>במשקל</w:t>
      </w:r>
      <w:r w:rsidRPr="00424DC1">
        <w:rPr>
          <w:rFonts w:ascii="Arial" w:hAnsi="Arial" w:hint="cs"/>
          <w:rtl/>
        </w:rPr>
        <w:t xml:space="preserve"> 158.44</w:t>
      </w:r>
      <w:r>
        <w:rPr>
          <w:rFonts w:ascii="Arial" w:hAnsi="Arial" w:hint="cs"/>
          <w:rtl/>
        </w:rPr>
        <w:t>. וכן החזקת כלים. בשרות המבחן מסר הנאשם, כי החזיק את הסם לשימושו העצמי, נוכח שימושו האינטנסיבי באותה עת בסמים-רכש כמות גדולה במחיר זול. בנוסף, המדובר ב</w:t>
      </w:r>
      <w:r w:rsidRPr="00424DC1">
        <w:rPr>
          <w:rFonts w:ascii="Arial" w:hAnsi="Arial"/>
          <w:rtl/>
        </w:rPr>
        <w:t>סם מסוג "קנביס" אשר נמנה על קבוצת הסמים הקלים.</w:t>
      </w:r>
    </w:p>
    <w:p w14:paraId="24940584" w14:textId="77777777" w:rsidR="001E03AF" w:rsidRPr="00424DC1" w:rsidRDefault="001E03AF" w:rsidP="001E03AF">
      <w:pPr>
        <w:pStyle w:val="a9"/>
        <w:numPr>
          <w:ilvl w:val="0"/>
          <w:numId w:val="2"/>
        </w:numPr>
        <w:spacing w:line="360" w:lineRule="auto"/>
        <w:jc w:val="both"/>
        <w:rPr>
          <w:rFonts w:ascii="Arial" w:hAnsi="Arial"/>
          <w:rtl/>
        </w:rPr>
      </w:pPr>
      <w:r w:rsidRPr="00424DC1">
        <w:rPr>
          <w:rFonts w:ascii="Arial" w:hAnsi="Arial"/>
          <w:rtl/>
        </w:rPr>
        <w:t xml:space="preserve">להתרשמות שרות המבחן המדובר בבחור נעדר דפוסים </w:t>
      </w:r>
      <w:r>
        <w:rPr>
          <w:rFonts w:ascii="Arial" w:hAnsi="Arial" w:hint="cs"/>
          <w:rtl/>
        </w:rPr>
        <w:t>שוליים ועברייניי</w:t>
      </w:r>
      <w:r>
        <w:rPr>
          <w:rFonts w:ascii="Arial" w:hAnsi="Arial" w:hint="eastAsia"/>
          <w:rtl/>
        </w:rPr>
        <w:t>ם</w:t>
      </w:r>
      <w:r>
        <w:rPr>
          <w:rFonts w:ascii="Arial" w:hAnsi="Arial" w:hint="cs"/>
          <w:rtl/>
        </w:rPr>
        <w:t xml:space="preserve"> מושרשים, בעל יכולות וכוחות, אשר מתפקד באופן תקין ומסתגל במסגרות חייו השונות, אשר הפיק לקח ממעורבותו בביצוע העבירה. קביעה זאת הינה על אף הנסיבות האישיות בהן צמח. (ראו: תסקיר מיום 31.5.2021 עמוד 4 פיסקה 2. תחת הכותרת : הערכת הסיכון לעבריינות והסיכוי לשיקום). </w:t>
      </w:r>
    </w:p>
    <w:p w14:paraId="5DA44D67" w14:textId="77777777" w:rsidR="001E03AF" w:rsidRDefault="001E03AF" w:rsidP="001E03AF">
      <w:pPr>
        <w:pStyle w:val="a9"/>
        <w:numPr>
          <w:ilvl w:val="0"/>
          <w:numId w:val="2"/>
        </w:numPr>
        <w:spacing w:line="360" w:lineRule="auto"/>
        <w:jc w:val="both"/>
        <w:rPr>
          <w:rFonts w:ascii="Arial" w:hAnsi="Arial"/>
        </w:rPr>
      </w:pPr>
      <w:r>
        <w:rPr>
          <w:rFonts w:ascii="Arial" w:hAnsi="Arial" w:hint="cs"/>
          <w:rtl/>
        </w:rPr>
        <w:t>הנאשם נטל חלק בהליך שיקום וטיפול, ואכן הדיווח שהתקבל בעניינו מכל המסגרות אליהן הופנה, הינה חיובית. כל בדיקות השתן שמסר הנאשם נמצאו נקיות משרידי סם.</w:t>
      </w:r>
    </w:p>
    <w:p w14:paraId="033A47F5" w14:textId="77777777" w:rsidR="001E03AF" w:rsidRPr="00802C74" w:rsidRDefault="001E03AF" w:rsidP="001E03AF">
      <w:pPr>
        <w:pStyle w:val="a9"/>
        <w:numPr>
          <w:ilvl w:val="0"/>
          <w:numId w:val="2"/>
        </w:numPr>
        <w:spacing w:line="360" w:lineRule="auto"/>
        <w:jc w:val="both"/>
        <w:rPr>
          <w:rFonts w:ascii="Arial" w:hAnsi="Arial"/>
          <w:rtl/>
        </w:rPr>
      </w:pPr>
      <w:r w:rsidRPr="00802C74">
        <w:rPr>
          <w:rFonts w:ascii="Arial" w:hAnsi="Arial" w:hint="cs"/>
          <w:rtl/>
        </w:rPr>
        <w:t>המל</w:t>
      </w:r>
      <w:r w:rsidRPr="00802C74">
        <w:rPr>
          <w:rFonts w:ascii="Arial" w:hAnsi="Arial"/>
          <w:rtl/>
        </w:rPr>
        <w:t>צת שירות המבחן הינה לסיום ההליך באי-הרשעה, נוכח גילו הצעיר יחסית</w:t>
      </w:r>
      <w:r>
        <w:rPr>
          <w:rFonts w:ascii="Arial" w:hAnsi="Arial" w:hint="cs"/>
          <w:rtl/>
        </w:rPr>
        <w:t xml:space="preserve"> של הנאשם</w:t>
      </w:r>
      <w:r w:rsidRPr="00802C74">
        <w:rPr>
          <w:rFonts w:ascii="Arial" w:hAnsi="Arial"/>
          <w:rtl/>
        </w:rPr>
        <w:t xml:space="preserve">, היותו נעדר דפוסים שוליים ועברייניים, </w:t>
      </w:r>
      <w:r>
        <w:rPr>
          <w:rFonts w:ascii="Arial" w:hAnsi="Arial" w:hint="cs"/>
          <w:rtl/>
        </w:rPr>
        <w:t xml:space="preserve">וכן ובעיקר, </w:t>
      </w:r>
      <w:r w:rsidRPr="00802C74">
        <w:rPr>
          <w:rFonts w:ascii="Arial" w:hAnsi="Arial"/>
          <w:rtl/>
        </w:rPr>
        <w:t>התגייסותו להליך טיפולי ושיתוף הפעולה שלו</w:t>
      </w:r>
      <w:r>
        <w:rPr>
          <w:rFonts w:ascii="Arial" w:hAnsi="Arial" w:hint="cs"/>
          <w:rtl/>
        </w:rPr>
        <w:t xml:space="preserve"> עמם</w:t>
      </w:r>
      <w:r w:rsidRPr="00802C74">
        <w:rPr>
          <w:rFonts w:ascii="Arial" w:hAnsi="Arial"/>
          <w:rtl/>
        </w:rPr>
        <w:t>.</w:t>
      </w:r>
      <w:r w:rsidRPr="00802C74">
        <w:rPr>
          <w:rFonts w:ascii="Arial" w:hAnsi="Arial" w:hint="cs"/>
          <w:rtl/>
        </w:rPr>
        <w:t xml:space="preserve"> בהקשר זה כבר ציינתי בהחלטה אחרת, כ</w:t>
      </w:r>
      <w:r w:rsidRPr="00802C74">
        <w:rPr>
          <w:rFonts w:ascii="Arial" w:hAnsi="Arial"/>
          <w:rtl/>
        </w:rPr>
        <w:t xml:space="preserve">י הרשעה בעבירה לפי </w:t>
      </w:r>
      <w:hyperlink r:id="rId16" w:history="1">
        <w:r w:rsidR="00314527" w:rsidRPr="00314527">
          <w:rPr>
            <w:rFonts w:ascii="Arial" w:hAnsi="Arial"/>
            <w:color w:val="0000FF"/>
            <w:u w:val="single"/>
            <w:rtl/>
          </w:rPr>
          <w:t>פקודת הסמים המסוכנים</w:t>
        </w:r>
      </w:hyperlink>
      <w:r w:rsidRPr="00802C74">
        <w:rPr>
          <w:rFonts w:ascii="Arial" w:hAnsi="Arial"/>
          <w:rtl/>
        </w:rPr>
        <w:t xml:space="preserve"> עלולה </w:t>
      </w:r>
      <w:r>
        <w:rPr>
          <w:rFonts w:ascii="Arial" w:hAnsi="Arial" w:hint="cs"/>
          <w:rtl/>
        </w:rPr>
        <w:t>ל</w:t>
      </w:r>
      <w:r w:rsidRPr="00802C74">
        <w:rPr>
          <w:rFonts w:ascii="Arial" w:hAnsi="Arial"/>
          <w:rtl/>
        </w:rPr>
        <w:t xml:space="preserve">גרום לנאשם נזק רב, ולסגור בפניו מסלול של לימודים או עיסוק שהוא מעוניין בו, ודאי ביחס לנאשם שמעצב בשלב זה את עתידו המקצועי. </w:t>
      </w:r>
      <w:r>
        <w:rPr>
          <w:rFonts w:ascii="Arial" w:hAnsi="Arial" w:hint="cs"/>
          <w:rtl/>
        </w:rPr>
        <w:t xml:space="preserve">כאמור </w:t>
      </w:r>
      <w:r>
        <w:rPr>
          <w:rFonts w:ascii="Arial" w:hAnsi="Arial"/>
          <w:rtl/>
        </w:rPr>
        <w:t>–</w:t>
      </w:r>
      <w:r>
        <w:rPr>
          <w:rFonts w:ascii="Arial" w:hAnsi="Arial" w:hint="cs"/>
          <w:rtl/>
        </w:rPr>
        <w:t xml:space="preserve"> אף מטעם זה ממליץ שרות המבחן להימנע מהרשעת הנאשם. בנוסף, ו</w:t>
      </w:r>
      <w:r w:rsidRPr="00802C74">
        <w:rPr>
          <w:rFonts w:ascii="Arial" w:hAnsi="Arial" w:hint="cs"/>
          <w:rtl/>
        </w:rPr>
        <w:t xml:space="preserve">כפי שציין הסנגור בצדק, </w:t>
      </w:r>
      <w:r w:rsidRPr="00802C74">
        <w:rPr>
          <w:rFonts w:ascii="Arial" w:hAnsi="Arial"/>
          <w:rtl/>
        </w:rPr>
        <w:t xml:space="preserve">קיימת בפסיקה בעת האחרונה מגמה של הגמשת הדרישה בדבר הוכחת נזק קונקרטי לעתידו התעסוקתי או השיקומי של נאשם. בבית המשפט העליון עלתה לדיון טענה, מוצדקת בבסיסה, שנאשמים צעירים הנמצאים בראשית גיבוש דרכם המקצועית, מתקשים להוכיח את הנזק המקצועי שייגרם מהרשעתם, שכן זה טרם ידוע. נקבע במסגרת אותה החלטה, כי אין מקום להתחשב בגיל הנאשם, בייחוד משום חומרת העבירות שעבר הנאשם באותו המקרה. (ראו: רע"פ </w:t>
      </w:r>
      <w:hyperlink r:id="rId17" w:history="1">
        <w:r w:rsidR="007A1271" w:rsidRPr="007A1271">
          <w:rPr>
            <w:rFonts w:ascii="Arial" w:hAnsi="Arial"/>
            <w:color w:val="0000FF"/>
            <w:u w:val="single"/>
            <w:rtl/>
          </w:rPr>
          <w:t xml:space="preserve">3989/15‏ </w:t>
        </w:r>
      </w:hyperlink>
      <w:r w:rsidRPr="00802C74">
        <w:rPr>
          <w:rFonts w:ascii="Arial" w:hAnsi="Arial"/>
          <w:rtl/>
        </w:rPr>
        <w:t xml:space="preserve"> שי גוזלאן נ' מדינת ישראל [פורסם בנבו] (9.8.15)).</w:t>
      </w:r>
      <w:r w:rsidRPr="00802C74">
        <w:rPr>
          <w:rFonts w:ascii="Arial" w:hAnsi="Arial" w:hint="cs"/>
          <w:rtl/>
        </w:rPr>
        <w:t xml:space="preserve"> ב</w:t>
      </w:r>
      <w:r w:rsidRPr="00802C74">
        <w:rPr>
          <w:rFonts w:ascii="Arial" w:hAnsi="Arial"/>
          <w:rtl/>
        </w:rPr>
        <w:t>התאם להחלטה זו קבע הרכב בית המשפט המחוזי (מרכז-לוד) שמכאן יש ללמוד שבין שני הפרמטרים הנלקחים בחשבון לצורך בחינת שאלת אי ההרשעה, מתקיימת מעין "מקבילית כוחות", כאשר ככל שמעשי העבירה חמורים יותר, כך אין להסתפק בפגיעה כללית ועתידית, אלא נדרשת פגיעה קונקרטית, ברורה ומוחשית יותר, ולהיפך – ככל שמעשי העבירה קלים יותר, ניתן להסתפק בפגיעה כללית יותר, לרבות תוך התחשבות בעובדה שמדובר בצעירים המצויים בראשית דרכם ושעתידם עוד לפניהם, כל זאת בתנאי שמלכתחילה אכן המדובר בעבירה מהסוג ומהנסיבות המצדיקות בחינת האפשרות לוותר על ההרשעה מבלי שהדבר יפגע באופן חמור באינטרס הציבורי.</w:t>
      </w:r>
      <w:r w:rsidRPr="00802C74">
        <w:rPr>
          <w:rFonts w:ascii="Arial" w:hAnsi="Arial" w:hint="cs"/>
          <w:rtl/>
        </w:rPr>
        <w:t xml:space="preserve"> </w:t>
      </w:r>
      <w:r w:rsidRPr="00802C74">
        <w:rPr>
          <w:rFonts w:ascii="Arial" w:hAnsi="Arial"/>
          <w:rtl/>
        </w:rPr>
        <w:t xml:space="preserve">(ראו: </w:t>
      </w:r>
      <w:hyperlink r:id="rId18" w:history="1">
        <w:r w:rsidR="00314527" w:rsidRPr="00314527">
          <w:rPr>
            <w:rFonts w:ascii="Arial" w:hAnsi="Arial"/>
            <w:color w:val="0000FF"/>
            <w:u w:val="single"/>
            <w:rtl/>
          </w:rPr>
          <w:t>ע"פ 24457-03-15</w:t>
        </w:r>
      </w:hyperlink>
      <w:r w:rsidRPr="00802C74">
        <w:rPr>
          <w:rFonts w:ascii="Arial" w:hAnsi="Arial"/>
          <w:rtl/>
        </w:rPr>
        <w:t xml:space="preserve"> פבל גוטרמן נ' מדינת ישראל [פורסם בנבו] (30.08.15) סעיף 69 לפסק הדין).</w:t>
      </w:r>
    </w:p>
    <w:p w14:paraId="6DE725D1" w14:textId="77777777" w:rsidR="001E03AF" w:rsidRPr="00802C74" w:rsidRDefault="001E03AF" w:rsidP="001E03AF">
      <w:pPr>
        <w:pStyle w:val="a9"/>
        <w:numPr>
          <w:ilvl w:val="0"/>
          <w:numId w:val="2"/>
        </w:numPr>
        <w:spacing w:line="360" w:lineRule="auto"/>
        <w:jc w:val="both"/>
        <w:rPr>
          <w:rFonts w:ascii="Arial" w:hAnsi="Arial"/>
          <w:rtl/>
        </w:rPr>
      </w:pPr>
      <w:r w:rsidRPr="00802C74">
        <w:rPr>
          <w:rFonts w:ascii="Arial" w:hAnsi="Arial"/>
          <w:rtl/>
        </w:rPr>
        <w:t>בענייננו, אין חולק כי המדובר בעבירה ש</w:t>
      </w:r>
      <w:r w:rsidRPr="00802C74">
        <w:rPr>
          <w:rFonts w:ascii="Arial" w:hAnsi="Arial" w:hint="cs"/>
          <w:rtl/>
        </w:rPr>
        <w:t xml:space="preserve">בנסיבותיה (כמפורט בכתב האישום המתוקן), אינה מצויה ברף חומרה גבוה, </w:t>
      </w:r>
      <w:r w:rsidRPr="00802C74">
        <w:rPr>
          <w:rFonts w:ascii="Arial" w:hAnsi="Arial"/>
          <w:rtl/>
        </w:rPr>
        <w:t>ועל כן ניתן ל</w:t>
      </w:r>
      <w:r>
        <w:rPr>
          <w:rFonts w:ascii="Arial" w:hAnsi="Arial" w:hint="cs"/>
          <w:rtl/>
        </w:rPr>
        <w:t>טעמי ל</w:t>
      </w:r>
      <w:r w:rsidRPr="00802C74">
        <w:rPr>
          <w:rFonts w:ascii="Arial" w:hAnsi="Arial"/>
          <w:rtl/>
        </w:rPr>
        <w:t xml:space="preserve">קבוע כי הדרישה להוכחת נזק ממשי וקונקרטי במקרה </w:t>
      </w:r>
      <w:r>
        <w:rPr>
          <w:rFonts w:ascii="Arial" w:hAnsi="Arial" w:hint="cs"/>
          <w:rtl/>
        </w:rPr>
        <w:t xml:space="preserve">זה </w:t>
      </w:r>
      <w:r w:rsidRPr="00802C74">
        <w:rPr>
          <w:rFonts w:ascii="Arial" w:hAnsi="Arial"/>
          <w:rtl/>
        </w:rPr>
        <w:t>הינה מופחתת, ודי בטעמים שהובאו לעיל,</w:t>
      </w:r>
      <w:r w:rsidRPr="00802C74">
        <w:rPr>
          <w:rFonts w:ascii="Arial" w:hAnsi="Arial" w:hint="cs"/>
          <w:rtl/>
        </w:rPr>
        <w:t xml:space="preserve"> כ</w:t>
      </w:r>
      <w:r w:rsidRPr="00802C74">
        <w:rPr>
          <w:rFonts w:ascii="Arial" w:hAnsi="Arial"/>
          <w:rtl/>
        </w:rPr>
        <w:t>די לבסס מסקנה מספקת בנסיבות העניין לפגיעה כללית בעתידו התעסוקתי של הנאשם, המצדיקה את ביטול ההרשעה.</w:t>
      </w:r>
    </w:p>
    <w:p w14:paraId="57A2BC63" w14:textId="77777777" w:rsidR="001E03AF" w:rsidRPr="00802C74" w:rsidRDefault="001E03AF" w:rsidP="001E03AF">
      <w:pPr>
        <w:pStyle w:val="a9"/>
        <w:numPr>
          <w:ilvl w:val="0"/>
          <w:numId w:val="2"/>
        </w:numPr>
        <w:spacing w:line="360" w:lineRule="auto"/>
        <w:jc w:val="both"/>
        <w:rPr>
          <w:rFonts w:ascii="Arial" w:hAnsi="Arial"/>
          <w:rtl/>
        </w:rPr>
      </w:pPr>
      <w:r w:rsidRPr="00802C74">
        <w:rPr>
          <w:rFonts w:ascii="Arial" w:hAnsi="Arial"/>
          <w:rtl/>
        </w:rPr>
        <w:t>ממכלול הטעמים שהובאו לעיל, ראיתי לאמץ את עמדת ההגנה ולהורות על סיום הליך באי-הרשעה, זאת לצד צו של"צ</w:t>
      </w:r>
      <w:r>
        <w:rPr>
          <w:rFonts w:ascii="Arial" w:hAnsi="Arial" w:hint="cs"/>
          <w:rtl/>
        </w:rPr>
        <w:t>, מבחן,</w:t>
      </w:r>
      <w:r w:rsidRPr="00802C74">
        <w:rPr>
          <w:rFonts w:ascii="Arial" w:hAnsi="Arial"/>
          <w:rtl/>
        </w:rPr>
        <w:t xml:space="preserve"> וחתימה על התחייבות.</w:t>
      </w:r>
    </w:p>
    <w:p w14:paraId="1921FD4E" w14:textId="77777777" w:rsidR="001E03AF" w:rsidRDefault="001E03AF" w:rsidP="001E03AF">
      <w:pPr>
        <w:spacing w:line="360" w:lineRule="auto"/>
        <w:ind w:left="360"/>
        <w:jc w:val="both"/>
        <w:rPr>
          <w:rFonts w:ascii="Arial" w:hAnsi="Arial"/>
          <w:rtl/>
        </w:rPr>
      </w:pPr>
      <w:r>
        <w:rPr>
          <w:rFonts w:ascii="Arial" w:hAnsi="Arial"/>
          <w:rtl/>
        </w:rPr>
        <w:tab/>
      </w:r>
    </w:p>
    <w:p w14:paraId="47FF5CEC" w14:textId="77777777" w:rsidR="001E03AF" w:rsidRPr="003D1392" w:rsidRDefault="001E03AF" w:rsidP="001E03AF">
      <w:pPr>
        <w:spacing w:line="360" w:lineRule="auto"/>
        <w:ind w:left="360"/>
        <w:jc w:val="both"/>
        <w:rPr>
          <w:rFonts w:ascii="Arial" w:hAnsi="Arial"/>
          <w:rtl/>
        </w:rPr>
      </w:pPr>
      <w:r w:rsidRPr="003D1392">
        <w:rPr>
          <w:rFonts w:ascii="Arial" w:hAnsi="Arial"/>
          <w:rtl/>
        </w:rPr>
        <w:t>אשר על-כן, הנני מורה כדלקמן:</w:t>
      </w:r>
    </w:p>
    <w:p w14:paraId="2A9C9D6E" w14:textId="77777777" w:rsidR="001E03AF" w:rsidRPr="003D3633" w:rsidRDefault="001E03AF" w:rsidP="001E03AF">
      <w:pPr>
        <w:pStyle w:val="a9"/>
        <w:numPr>
          <w:ilvl w:val="0"/>
          <w:numId w:val="1"/>
        </w:numPr>
        <w:spacing w:line="360" w:lineRule="auto"/>
        <w:jc w:val="both"/>
        <w:rPr>
          <w:rFonts w:ascii="Arial" w:hAnsi="Arial"/>
          <w:rtl/>
        </w:rPr>
      </w:pPr>
      <w:r w:rsidRPr="003D3633">
        <w:rPr>
          <w:rFonts w:ascii="Arial" w:hAnsi="Arial"/>
          <w:rtl/>
        </w:rPr>
        <w:t xml:space="preserve">הרשעת הנאשם בדין מבוטלת, וההליך מסתיים באי-הרשעה, תוך קביעה שהנאשם ביצע את עבירה של החזקת סמים </w:t>
      </w:r>
      <w:r>
        <w:rPr>
          <w:rFonts w:ascii="Arial" w:hAnsi="Arial" w:hint="cs"/>
          <w:rtl/>
        </w:rPr>
        <w:t xml:space="preserve">שלא </w:t>
      </w:r>
      <w:r w:rsidRPr="003D3633">
        <w:rPr>
          <w:rFonts w:ascii="Arial" w:hAnsi="Arial"/>
          <w:rtl/>
        </w:rPr>
        <w:t>לצריכה עצמית</w:t>
      </w:r>
      <w:r>
        <w:rPr>
          <w:rFonts w:ascii="Arial" w:hAnsi="Arial" w:hint="cs"/>
          <w:rtl/>
        </w:rPr>
        <w:t xml:space="preserve"> החזקת כלים להכנת סם שלא לצריכה עצמית</w:t>
      </w:r>
      <w:r w:rsidRPr="003D3633">
        <w:rPr>
          <w:rFonts w:ascii="Arial" w:hAnsi="Arial"/>
          <w:rtl/>
        </w:rPr>
        <w:t>.</w:t>
      </w:r>
    </w:p>
    <w:p w14:paraId="55505AAE" w14:textId="77777777" w:rsidR="001E03AF" w:rsidRDefault="001E03AF" w:rsidP="001E03AF">
      <w:pPr>
        <w:pStyle w:val="a9"/>
        <w:numPr>
          <w:ilvl w:val="0"/>
          <w:numId w:val="1"/>
        </w:numPr>
        <w:spacing w:line="360" w:lineRule="auto"/>
        <w:jc w:val="both"/>
        <w:rPr>
          <w:rFonts w:ascii="Arial" w:hAnsi="Arial"/>
        </w:rPr>
      </w:pPr>
      <w:r w:rsidRPr="003D3633">
        <w:rPr>
          <w:rFonts w:ascii="Arial" w:hAnsi="Arial"/>
          <w:rtl/>
        </w:rPr>
        <w:t>צו שירות לתועלת הציבור בהיקף של 1</w:t>
      </w:r>
      <w:r>
        <w:rPr>
          <w:rFonts w:ascii="Arial" w:hAnsi="Arial" w:hint="cs"/>
          <w:rtl/>
        </w:rPr>
        <w:t>5</w:t>
      </w:r>
      <w:r w:rsidRPr="003D3633">
        <w:rPr>
          <w:rFonts w:ascii="Arial" w:hAnsi="Arial"/>
          <w:rtl/>
        </w:rPr>
        <w:t>0 שעות</w:t>
      </w:r>
      <w:r>
        <w:rPr>
          <w:rFonts w:ascii="Arial" w:hAnsi="Arial" w:hint="cs"/>
          <w:rtl/>
        </w:rPr>
        <w:t xml:space="preserve"> במחלקה לשירותים חברתיים בכפר-סבא</w:t>
      </w:r>
      <w:r w:rsidRPr="003D3633">
        <w:rPr>
          <w:rFonts w:ascii="Arial" w:hAnsi="Arial"/>
          <w:rtl/>
        </w:rPr>
        <w:t xml:space="preserve">. מובהר לנאשם, </w:t>
      </w:r>
      <w:r>
        <w:rPr>
          <w:rFonts w:ascii="Arial" w:hAnsi="Arial" w:hint="cs"/>
          <w:rtl/>
        </w:rPr>
        <w:t>שככל ו</w:t>
      </w:r>
      <w:r w:rsidRPr="003D3633">
        <w:rPr>
          <w:rFonts w:ascii="Arial" w:hAnsi="Arial"/>
          <w:rtl/>
        </w:rPr>
        <w:t>לא ימלא אחר צו השל"צ, ניתן יהיה להפקיעו, להרשיעו, ולגזור דינו מחדש.</w:t>
      </w:r>
    </w:p>
    <w:p w14:paraId="06B39743" w14:textId="77777777" w:rsidR="001E03AF" w:rsidRPr="003D3633" w:rsidRDefault="001E03AF" w:rsidP="001E03AF">
      <w:pPr>
        <w:pStyle w:val="a9"/>
        <w:numPr>
          <w:ilvl w:val="0"/>
          <w:numId w:val="1"/>
        </w:numPr>
        <w:spacing w:line="360" w:lineRule="auto"/>
        <w:jc w:val="both"/>
        <w:rPr>
          <w:rFonts w:ascii="Arial" w:hAnsi="Arial"/>
          <w:rtl/>
        </w:rPr>
      </w:pPr>
      <w:r>
        <w:rPr>
          <w:rFonts w:ascii="Arial" w:hAnsi="Arial" w:hint="cs"/>
          <w:rtl/>
        </w:rPr>
        <w:t>צו מבחן למשך שנה.</w:t>
      </w:r>
    </w:p>
    <w:p w14:paraId="32BE94D8" w14:textId="77777777" w:rsidR="001E03AF" w:rsidRPr="003D3633" w:rsidRDefault="001E03AF" w:rsidP="001E03AF">
      <w:pPr>
        <w:pStyle w:val="a9"/>
        <w:numPr>
          <w:ilvl w:val="0"/>
          <w:numId w:val="1"/>
        </w:numPr>
        <w:spacing w:line="360" w:lineRule="auto"/>
        <w:jc w:val="both"/>
        <w:rPr>
          <w:rFonts w:ascii="Arial" w:hAnsi="Arial"/>
          <w:rtl/>
        </w:rPr>
      </w:pPr>
      <w:r w:rsidRPr="003D3633">
        <w:rPr>
          <w:rFonts w:ascii="Arial" w:hAnsi="Arial"/>
          <w:rtl/>
        </w:rPr>
        <w:t xml:space="preserve">התחייבות בסך </w:t>
      </w:r>
      <w:r>
        <w:rPr>
          <w:rFonts w:ascii="Arial" w:hAnsi="Arial" w:hint="cs"/>
          <w:rtl/>
        </w:rPr>
        <w:t>3</w:t>
      </w:r>
      <w:r w:rsidRPr="003D3633">
        <w:rPr>
          <w:rFonts w:ascii="Arial" w:hAnsi="Arial"/>
          <w:rtl/>
        </w:rPr>
        <w:t>000 ₪ להימנע מביצוע העבירה בה הורשע בכתב האישום המתוקן וזאת למשך שנ</w:t>
      </w:r>
      <w:r>
        <w:rPr>
          <w:rFonts w:ascii="Arial" w:hAnsi="Arial" w:hint="cs"/>
          <w:rtl/>
        </w:rPr>
        <w:t>ה</w:t>
      </w:r>
      <w:r w:rsidRPr="003D3633">
        <w:rPr>
          <w:rFonts w:ascii="Arial" w:hAnsi="Arial"/>
          <w:rtl/>
        </w:rPr>
        <w:t xml:space="preserve"> מהיום.</w:t>
      </w:r>
      <w:r>
        <w:rPr>
          <w:rFonts w:ascii="Arial" w:hAnsi="Arial" w:hint="cs"/>
          <w:rtl/>
        </w:rPr>
        <w:t xml:space="preserve"> רשמתי לפניי את התחייבותו של הנאשם.</w:t>
      </w:r>
    </w:p>
    <w:p w14:paraId="54610273" w14:textId="77777777" w:rsidR="001E03AF" w:rsidRPr="003D3633" w:rsidRDefault="001E03AF" w:rsidP="001E03AF">
      <w:pPr>
        <w:pStyle w:val="a9"/>
        <w:numPr>
          <w:ilvl w:val="0"/>
          <w:numId w:val="1"/>
        </w:numPr>
        <w:spacing w:line="360" w:lineRule="auto"/>
        <w:jc w:val="both"/>
        <w:rPr>
          <w:rFonts w:ascii="Arial" w:hAnsi="Arial"/>
          <w:rtl/>
        </w:rPr>
      </w:pPr>
      <w:r w:rsidRPr="003D3633">
        <w:rPr>
          <w:rFonts w:ascii="Arial" w:hAnsi="Arial"/>
          <w:rtl/>
        </w:rPr>
        <w:t xml:space="preserve">הסם </w:t>
      </w:r>
      <w:r>
        <w:rPr>
          <w:rFonts w:ascii="Arial" w:hAnsi="Arial" w:hint="cs"/>
          <w:rtl/>
        </w:rPr>
        <w:t xml:space="preserve">וכן המוצגים </w:t>
      </w:r>
      <w:r w:rsidRPr="003D3633">
        <w:rPr>
          <w:rFonts w:ascii="Arial" w:hAnsi="Arial"/>
          <w:rtl/>
        </w:rPr>
        <w:t>יושמד</w:t>
      </w:r>
      <w:r>
        <w:rPr>
          <w:rFonts w:ascii="Arial" w:hAnsi="Arial" w:hint="cs"/>
          <w:rtl/>
        </w:rPr>
        <w:t>ו</w:t>
      </w:r>
      <w:r w:rsidRPr="003D3633">
        <w:rPr>
          <w:rFonts w:ascii="Arial" w:hAnsi="Arial"/>
          <w:rtl/>
        </w:rPr>
        <w:t>.</w:t>
      </w:r>
    </w:p>
    <w:p w14:paraId="28A7E9C5" w14:textId="77777777" w:rsidR="001E03AF" w:rsidRPr="00314527" w:rsidRDefault="00314527" w:rsidP="001E03AF">
      <w:pPr>
        <w:spacing w:line="360" w:lineRule="auto"/>
        <w:ind w:left="360"/>
        <w:jc w:val="both"/>
        <w:rPr>
          <w:rFonts w:ascii="Arial" w:hAnsi="Arial"/>
          <w:b/>
          <w:bCs/>
          <w:color w:val="FFFFFF"/>
          <w:sz w:val="2"/>
          <w:szCs w:val="2"/>
          <w:u w:val="single"/>
          <w:rtl/>
        </w:rPr>
      </w:pPr>
      <w:r w:rsidRPr="00314527">
        <w:rPr>
          <w:rFonts w:ascii="Arial" w:hAnsi="Arial"/>
          <w:b/>
          <w:bCs/>
          <w:color w:val="FFFFFF"/>
          <w:sz w:val="2"/>
          <w:szCs w:val="2"/>
          <w:u w:val="single"/>
          <w:rtl/>
        </w:rPr>
        <w:t>5129371</w:t>
      </w:r>
    </w:p>
    <w:p w14:paraId="4CBFE4EF" w14:textId="77777777" w:rsidR="001E03AF" w:rsidRPr="002728EC" w:rsidRDefault="00314527" w:rsidP="001E03AF">
      <w:pPr>
        <w:spacing w:line="360" w:lineRule="auto"/>
        <w:ind w:left="360"/>
        <w:jc w:val="both"/>
        <w:rPr>
          <w:rFonts w:ascii="Arial" w:hAnsi="Arial"/>
          <w:b/>
          <w:bCs/>
          <w:rtl/>
        </w:rPr>
      </w:pPr>
      <w:r w:rsidRPr="00314527">
        <w:rPr>
          <w:rFonts w:ascii="Arial" w:hAnsi="Arial"/>
          <w:b/>
          <w:bCs/>
          <w:color w:val="FFFFFF"/>
          <w:sz w:val="2"/>
          <w:szCs w:val="2"/>
          <w:u w:val="single"/>
          <w:rtl/>
        </w:rPr>
        <w:t>54678313</w:t>
      </w:r>
      <w:r w:rsidR="001E03AF" w:rsidRPr="002728EC">
        <w:rPr>
          <w:rFonts w:ascii="Arial" w:hAnsi="Arial" w:hint="cs"/>
          <w:b/>
          <w:bCs/>
          <w:u w:val="single"/>
          <w:rtl/>
        </w:rPr>
        <w:t>זכות ערעור לבית המשפט המחוזי בתוך 45 יום</w:t>
      </w:r>
      <w:r w:rsidR="001E03AF" w:rsidRPr="002728EC">
        <w:rPr>
          <w:rFonts w:ascii="Arial" w:hAnsi="Arial" w:hint="cs"/>
          <w:b/>
          <w:bCs/>
          <w:rtl/>
        </w:rPr>
        <w:t>.</w:t>
      </w:r>
    </w:p>
    <w:p w14:paraId="78BE91C4" w14:textId="77777777" w:rsidR="001E03AF" w:rsidRPr="00257ED7" w:rsidRDefault="001E03AF" w:rsidP="001E03AF">
      <w:pPr>
        <w:spacing w:line="360" w:lineRule="auto"/>
        <w:jc w:val="both"/>
        <w:rPr>
          <w:rFonts w:ascii="Arial" w:hAnsi="Arial"/>
          <w:b/>
          <w:bCs/>
          <w:sz w:val="26"/>
          <w:szCs w:val="26"/>
          <w:rtl/>
        </w:rPr>
      </w:pPr>
      <w:r w:rsidRPr="00257ED7">
        <w:rPr>
          <w:rFonts w:ascii="Arial" w:hAnsi="Arial"/>
          <w:rtl/>
        </w:rPr>
        <w:t xml:space="preserve"> </w:t>
      </w:r>
    </w:p>
    <w:p w14:paraId="41EB1074" w14:textId="77777777" w:rsidR="001E03AF" w:rsidRPr="000F2247" w:rsidRDefault="00314527" w:rsidP="001E03AF">
      <w:pPr>
        <w:spacing w:line="360" w:lineRule="auto"/>
        <w:rPr>
          <w:rFonts w:ascii="Arial" w:hAnsi="Arial"/>
          <w:b/>
          <w:bCs/>
          <w:sz w:val="26"/>
          <w:szCs w:val="26"/>
          <w:rtl/>
        </w:rPr>
      </w:pPr>
      <w:bookmarkStart w:id="7" w:name="Nitan"/>
      <w:r>
        <w:rPr>
          <w:rFonts w:ascii="Arial" w:hAnsi="Arial"/>
          <w:b/>
          <w:bCs/>
          <w:sz w:val="26"/>
          <w:szCs w:val="26"/>
          <w:rtl/>
        </w:rPr>
        <w:t xml:space="preserve">ניתן היום,  ט' אדר א' תשפ"ב, 10 פברואר 2022, בנוכחות המאשימה הנאשם ובא כוחו. </w:t>
      </w:r>
      <w:bookmarkEnd w:id="7"/>
    </w:p>
    <w:p w14:paraId="71E2FC8B" w14:textId="77777777" w:rsidR="001E03AF" w:rsidRPr="000F2247" w:rsidRDefault="001E03AF" w:rsidP="0031452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FF4880" w14:textId="77777777" w:rsidR="001E03AF" w:rsidRPr="000F2247" w:rsidRDefault="001E03AF" w:rsidP="001E03AF">
      <w:pPr>
        <w:jc w:val="center"/>
        <w:rPr>
          <w:rFonts w:ascii="Arial" w:hAnsi="Arial"/>
          <w:b/>
          <w:bCs/>
          <w:sz w:val="26"/>
          <w:szCs w:val="26"/>
          <w:rtl/>
        </w:rPr>
      </w:pPr>
    </w:p>
    <w:p w14:paraId="7B8D0E78" w14:textId="77777777" w:rsidR="00406BC0" w:rsidRPr="00314527" w:rsidRDefault="00406BC0" w:rsidP="00314527">
      <w:pPr>
        <w:keepNext/>
        <w:rPr>
          <w:rFonts w:ascii="David" w:hAnsi="David"/>
          <w:color w:val="000000"/>
          <w:sz w:val="22"/>
          <w:szCs w:val="22"/>
          <w:rtl/>
        </w:rPr>
      </w:pPr>
    </w:p>
    <w:p w14:paraId="6D7105BB" w14:textId="77777777" w:rsidR="00314527" w:rsidRPr="00314527" w:rsidRDefault="00314527" w:rsidP="00314527">
      <w:pPr>
        <w:keepNext/>
        <w:rPr>
          <w:rFonts w:ascii="David" w:hAnsi="David"/>
          <w:color w:val="000000"/>
          <w:sz w:val="22"/>
          <w:szCs w:val="22"/>
          <w:rtl/>
        </w:rPr>
      </w:pPr>
      <w:r w:rsidRPr="00314527">
        <w:rPr>
          <w:rFonts w:ascii="David" w:hAnsi="David"/>
          <w:color w:val="000000"/>
          <w:sz w:val="22"/>
          <w:szCs w:val="22"/>
          <w:rtl/>
        </w:rPr>
        <w:t>ארנון איתן 54678313</w:t>
      </w:r>
    </w:p>
    <w:p w14:paraId="23F5C5C1" w14:textId="77777777" w:rsidR="00314527" w:rsidRDefault="00314527" w:rsidP="00314527">
      <w:r w:rsidRPr="00314527">
        <w:rPr>
          <w:color w:val="000000"/>
          <w:rtl/>
        </w:rPr>
        <w:t>נוסח מסמך זה כפוף לשינויי ניסוח ועריכה</w:t>
      </w:r>
    </w:p>
    <w:p w14:paraId="26B04978" w14:textId="77777777" w:rsidR="00314527" w:rsidRDefault="00314527" w:rsidP="00314527">
      <w:pPr>
        <w:rPr>
          <w:rtl/>
        </w:rPr>
      </w:pPr>
    </w:p>
    <w:p w14:paraId="53FF3797" w14:textId="77777777" w:rsidR="00314527" w:rsidRDefault="00314527" w:rsidP="00314527">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1048223" w14:textId="77777777" w:rsidR="00314527" w:rsidRPr="00314527" w:rsidRDefault="00314527" w:rsidP="00314527">
      <w:pPr>
        <w:jc w:val="center"/>
        <w:rPr>
          <w:color w:val="0000FF"/>
          <w:u w:val="single"/>
        </w:rPr>
      </w:pPr>
    </w:p>
    <w:sectPr w:rsidR="00314527" w:rsidRPr="00314527" w:rsidSect="00314527">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0A273" w14:textId="77777777" w:rsidR="00522078" w:rsidRDefault="00522078" w:rsidP="00311D25">
      <w:r>
        <w:separator/>
      </w:r>
    </w:p>
  </w:endnote>
  <w:endnote w:type="continuationSeparator" w:id="0">
    <w:p w14:paraId="0046AE44" w14:textId="77777777" w:rsidR="00522078" w:rsidRDefault="00522078" w:rsidP="00311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7D10" w14:textId="77777777" w:rsidR="00314527" w:rsidRDefault="00314527" w:rsidP="00314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569DB6" w14:textId="77777777" w:rsidR="00174375" w:rsidRPr="00314527" w:rsidRDefault="00314527" w:rsidP="003145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2DEF5" w14:textId="77777777" w:rsidR="00314527" w:rsidRDefault="00314527" w:rsidP="00314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57A5">
      <w:rPr>
        <w:rFonts w:ascii="FrankRuehl" w:hAnsi="FrankRuehl" w:cs="FrankRuehl"/>
        <w:noProof/>
        <w:rtl/>
      </w:rPr>
      <w:t>1</w:t>
    </w:r>
    <w:r>
      <w:rPr>
        <w:rFonts w:ascii="FrankRuehl" w:hAnsi="FrankRuehl" w:cs="FrankRuehl"/>
        <w:rtl/>
      </w:rPr>
      <w:fldChar w:fldCharType="end"/>
    </w:r>
  </w:p>
  <w:p w14:paraId="20C04143" w14:textId="77777777" w:rsidR="00174375" w:rsidRPr="00314527" w:rsidRDefault="00314527" w:rsidP="003145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3E9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0097C" w14:textId="77777777" w:rsidR="00522078" w:rsidRDefault="00522078" w:rsidP="00311D25">
      <w:r>
        <w:separator/>
      </w:r>
    </w:p>
  </w:footnote>
  <w:footnote w:type="continuationSeparator" w:id="0">
    <w:p w14:paraId="4D97E662" w14:textId="77777777" w:rsidR="00522078" w:rsidRDefault="00522078" w:rsidP="00311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70D7D" w14:textId="77777777" w:rsidR="00314527" w:rsidRPr="00314527" w:rsidRDefault="00314527" w:rsidP="003145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46935-02-19</w:t>
    </w:r>
    <w:r>
      <w:rPr>
        <w:rFonts w:ascii="David" w:hAnsi="David"/>
        <w:color w:val="000000"/>
        <w:sz w:val="22"/>
        <w:szCs w:val="22"/>
        <w:rtl/>
      </w:rPr>
      <w:tab/>
      <w:t xml:space="preserve"> מדינת ישראל נ' מלסה וונדים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BFD9" w14:textId="77777777" w:rsidR="00314527" w:rsidRPr="00314527" w:rsidRDefault="00314527" w:rsidP="003145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46935-02-19</w:t>
    </w:r>
    <w:r>
      <w:rPr>
        <w:rFonts w:ascii="David" w:hAnsi="David"/>
        <w:color w:val="000000"/>
        <w:sz w:val="22"/>
        <w:szCs w:val="22"/>
        <w:rtl/>
      </w:rPr>
      <w:tab/>
      <w:t xml:space="preserve"> מדינת ישראל נ' מלסה וונדים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00BF9"/>
    <w:multiLevelType w:val="hybridMultilevel"/>
    <w:tmpl w:val="657A544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3002E"/>
    <w:multiLevelType w:val="hybridMultilevel"/>
    <w:tmpl w:val="736089CC"/>
    <w:lvl w:ilvl="0" w:tplc="0409000F">
      <w:start w:val="1"/>
      <w:numFmt w:val="decimal"/>
      <w:lvlText w:val="%1."/>
      <w:lvlJc w:val="left"/>
      <w:pPr>
        <w:ind w:left="720" w:hanging="360"/>
      </w:pPr>
    </w:lvl>
    <w:lvl w:ilvl="1" w:tplc="EDCA081A">
      <w:start w:val="1"/>
      <w:numFmt w:val="hebrew1"/>
      <w:lvlText w:val="%2."/>
      <w:lvlJc w:val="left"/>
      <w:pPr>
        <w:ind w:left="1770" w:hanging="6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6172">
    <w:abstractNumId w:val="1"/>
  </w:num>
  <w:num w:numId="2" w16cid:durableId="131761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03AF"/>
    <w:rsid w:val="000626BE"/>
    <w:rsid w:val="00174375"/>
    <w:rsid w:val="001B57A5"/>
    <w:rsid w:val="001B5A3B"/>
    <w:rsid w:val="001E03AF"/>
    <w:rsid w:val="00311D25"/>
    <w:rsid w:val="00314527"/>
    <w:rsid w:val="0035760A"/>
    <w:rsid w:val="00402233"/>
    <w:rsid w:val="00406BC0"/>
    <w:rsid w:val="00522078"/>
    <w:rsid w:val="007A1271"/>
    <w:rsid w:val="008B112A"/>
    <w:rsid w:val="00A95BFA"/>
    <w:rsid w:val="00B62701"/>
    <w:rsid w:val="00F25588"/>
    <w:rsid w:val="00F35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EE8ED7"/>
  <w15:chartTrackingRefBased/>
  <w15:docId w15:val="{73EB98F0-E20D-4E49-84E4-DC6E542E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3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03AF"/>
    <w:pPr>
      <w:tabs>
        <w:tab w:val="center" w:pos="4153"/>
        <w:tab w:val="right" w:pos="8306"/>
      </w:tabs>
    </w:pPr>
  </w:style>
  <w:style w:type="character" w:customStyle="1" w:styleId="a4">
    <w:name w:val="כותרת עליונה תו"/>
    <w:link w:val="a3"/>
    <w:rsid w:val="001E03AF"/>
    <w:rPr>
      <w:rFonts w:ascii="Times New Roman" w:eastAsia="Times New Roman" w:hAnsi="Times New Roman" w:cs="David"/>
      <w:sz w:val="24"/>
      <w:szCs w:val="24"/>
    </w:rPr>
  </w:style>
  <w:style w:type="paragraph" w:styleId="a5">
    <w:name w:val="footer"/>
    <w:basedOn w:val="a"/>
    <w:link w:val="a6"/>
    <w:rsid w:val="001E03AF"/>
    <w:pPr>
      <w:tabs>
        <w:tab w:val="center" w:pos="4153"/>
        <w:tab w:val="right" w:pos="8306"/>
      </w:tabs>
    </w:pPr>
  </w:style>
  <w:style w:type="character" w:customStyle="1" w:styleId="a6">
    <w:name w:val="כותרת תחתונה תו"/>
    <w:link w:val="a5"/>
    <w:rsid w:val="001E03AF"/>
    <w:rPr>
      <w:rFonts w:ascii="Times New Roman" w:eastAsia="Times New Roman" w:hAnsi="Times New Roman" w:cs="David"/>
      <w:sz w:val="24"/>
      <w:szCs w:val="24"/>
    </w:rPr>
  </w:style>
  <w:style w:type="table" w:styleId="a7">
    <w:name w:val="Table Grid"/>
    <w:basedOn w:val="a1"/>
    <w:rsid w:val="001E03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03AF"/>
  </w:style>
  <w:style w:type="paragraph" w:styleId="a9">
    <w:name w:val="List Paragraph"/>
    <w:basedOn w:val="a"/>
    <w:qFormat/>
    <w:rsid w:val="001E03AF"/>
    <w:pPr>
      <w:ind w:left="720"/>
      <w:contextualSpacing/>
    </w:pPr>
  </w:style>
  <w:style w:type="character" w:styleId="Hyperlink">
    <w:name w:val="Hyperlink"/>
    <w:rsid w:val="00314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114120"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034152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2961891" TargetMode="External"/><Relationship Id="rId23"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8316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3473524</vt:i4>
      </vt:variant>
      <vt:variant>
        <vt:i4>33</vt:i4>
      </vt:variant>
      <vt:variant>
        <vt:i4>0</vt:i4>
      </vt:variant>
      <vt:variant>
        <vt:i4>5</vt:i4>
      </vt:variant>
      <vt:variant>
        <vt:lpwstr>http://www.nevo.co.il/case/20114120</vt:lpwstr>
      </vt:variant>
      <vt:variant>
        <vt:lpwstr/>
      </vt:variant>
      <vt:variant>
        <vt:i4>3276917</vt:i4>
      </vt:variant>
      <vt:variant>
        <vt:i4>30</vt:i4>
      </vt:variant>
      <vt:variant>
        <vt:i4>0</vt:i4>
      </vt:variant>
      <vt:variant>
        <vt:i4>5</vt:i4>
      </vt:variant>
      <vt:variant>
        <vt:lpwstr>http://www.nevo.co.il/case/20341521</vt:lpwstr>
      </vt:variant>
      <vt:variant>
        <vt:lpwstr/>
      </vt:variant>
      <vt:variant>
        <vt:i4>8257637</vt:i4>
      </vt:variant>
      <vt:variant>
        <vt:i4>27</vt:i4>
      </vt:variant>
      <vt:variant>
        <vt:i4>0</vt:i4>
      </vt:variant>
      <vt:variant>
        <vt:i4>5</vt:i4>
      </vt:variant>
      <vt:variant>
        <vt:lpwstr>http://www.nevo.co.il/law/4216</vt:lpwstr>
      </vt:variant>
      <vt:variant>
        <vt:lpwstr/>
      </vt:variant>
      <vt:variant>
        <vt:i4>3342456</vt:i4>
      </vt:variant>
      <vt:variant>
        <vt:i4>24</vt:i4>
      </vt:variant>
      <vt:variant>
        <vt:i4>0</vt:i4>
      </vt:variant>
      <vt:variant>
        <vt:i4>5</vt:i4>
      </vt:variant>
      <vt:variant>
        <vt:lpwstr>http://www.nevo.co.il/case/22961891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46935</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מלסה וונדים</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20220210</vt:lpwstr>
  </property>
  <property fmtid="{D5CDD505-2E9C-101B-9397-08002B2CF9AE}" pid="13" name="TYPE_N_DATE">
    <vt:lpwstr>38020220210</vt:lpwstr>
  </property>
  <property fmtid="{D5CDD505-2E9C-101B-9397-08002B2CF9AE}" pid="14" name="WORDNUMPAGES">
    <vt:lpwstr>5</vt:lpwstr>
  </property>
  <property fmtid="{D5CDD505-2E9C-101B-9397-08002B2CF9AE}" pid="15" name="TYPE_ABS_DATE">
    <vt:lpwstr>380020220210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22961891;20341521;20114120</vt:lpwstr>
  </property>
  <property fmtid="{D5CDD505-2E9C-101B-9397-08002B2CF9AE}" pid="36" name="LAWLISTTMP1">
    <vt:lpwstr>4216/007.a;007.c;010</vt:lpwstr>
  </property>
</Properties>
</file>