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0"/>
        <w:gridCol w:w="3573"/>
      </w:tblGrid>
      <w:tr w:rsidR="00E06274" w:rsidRPr="00231259" w14:paraId="265A1F14" w14:textId="77777777" w:rsidTr="008B25C8">
        <w:trPr>
          <w:trHeight w:hRule="exact" w:val="418"/>
          <w:jc w:val="center"/>
        </w:trPr>
        <w:tc>
          <w:tcPr>
            <w:tcW w:w="8523" w:type="dxa"/>
            <w:gridSpan w:val="2"/>
          </w:tcPr>
          <w:p w14:paraId="001AFC9F" w14:textId="77777777" w:rsidR="00E06274" w:rsidRPr="00231259" w:rsidRDefault="00E06274" w:rsidP="009249F4">
            <w:pPr>
              <w:pStyle w:val="a3"/>
              <w:jc w:val="center"/>
              <w:rPr>
                <w:rFonts w:ascii="Tahoma" w:hAnsi="Tahoma"/>
                <w:color w:val="000080"/>
                <w:sz w:val="32"/>
                <w:szCs w:val="32"/>
                <w:rtl/>
              </w:rPr>
            </w:pPr>
            <w:bookmarkStart w:id="0" w:name="LastJudge"/>
            <w:r w:rsidRPr="00231259">
              <w:rPr>
                <w:rFonts w:ascii="Tahoma" w:hAnsi="Tahoma"/>
                <w:b/>
                <w:bCs/>
                <w:color w:val="000080"/>
                <w:sz w:val="32"/>
                <w:szCs w:val="32"/>
                <w:rtl/>
              </w:rPr>
              <w:t>בית משפט השלום בתל אביב - יפו</w:t>
            </w:r>
          </w:p>
        </w:tc>
      </w:tr>
      <w:tr w:rsidR="00E06274" w:rsidRPr="00231259" w14:paraId="377FAB00" w14:textId="77777777" w:rsidTr="008B25C8">
        <w:trPr>
          <w:trHeight w:val="337"/>
          <w:jc w:val="center"/>
        </w:trPr>
        <w:tc>
          <w:tcPr>
            <w:tcW w:w="4950" w:type="dxa"/>
          </w:tcPr>
          <w:p w14:paraId="6A670866" w14:textId="77777777" w:rsidR="00E06274" w:rsidRPr="00231259" w:rsidRDefault="00E06274" w:rsidP="009249F4">
            <w:pPr>
              <w:rPr>
                <w:sz w:val="26"/>
                <w:szCs w:val="26"/>
                <w:rtl/>
              </w:rPr>
            </w:pPr>
            <w:r w:rsidRPr="00231259">
              <w:rPr>
                <w:sz w:val="26"/>
                <w:szCs w:val="26"/>
                <w:rtl/>
              </w:rPr>
              <w:t>ת"פ</w:t>
            </w:r>
            <w:r w:rsidRPr="00231259">
              <w:rPr>
                <w:rFonts w:hint="cs"/>
                <w:sz w:val="26"/>
                <w:szCs w:val="26"/>
                <w:rtl/>
              </w:rPr>
              <w:t xml:space="preserve"> </w:t>
            </w:r>
            <w:r w:rsidRPr="00231259">
              <w:rPr>
                <w:sz w:val="26"/>
                <w:szCs w:val="26"/>
                <w:rtl/>
              </w:rPr>
              <w:t>57089-02-19</w:t>
            </w:r>
            <w:r w:rsidRPr="00231259">
              <w:rPr>
                <w:rFonts w:hint="cs"/>
                <w:sz w:val="26"/>
                <w:szCs w:val="26"/>
                <w:rtl/>
              </w:rPr>
              <w:t xml:space="preserve"> </w:t>
            </w:r>
            <w:r w:rsidRPr="00231259">
              <w:rPr>
                <w:sz w:val="26"/>
                <w:szCs w:val="26"/>
                <w:rtl/>
              </w:rPr>
              <w:t>מדינת ישראל נ' פנקינסקי</w:t>
            </w:r>
          </w:p>
        </w:tc>
        <w:tc>
          <w:tcPr>
            <w:tcW w:w="3573" w:type="dxa"/>
          </w:tcPr>
          <w:p w14:paraId="0DBA19E2" w14:textId="77777777" w:rsidR="00E06274" w:rsidRPr="00231259" w:rsidRDefault="00E06274" w:rsidP="009249F4">
            <w:pPr>
              <w:pStyle w:val="a3"/>
              <w:jc w:val="right"/>
              <w:rPr>
                <w:rFonts w:cs="FrankRuehl"/>
                <w:sz w:val="28"/>
                <w:szCs w:val="28"/>
                <w:rtl/>
              </w:rPr>
            </w:pPr>
          </w:p>
        </w:tc>
      </w:tr>
    </w:tbl>
    <w:p w14:paraId="37CFE5CF" w14:textId="77777777" w:rsidR="00E06274" w:rsidRPr="00231259" w:rsidRDefault="00E06274" w:rsidP="008B25C8">
      <w:pPr>
        <w:pStyle w:val="a3"/>
        <w:rPr>
          <w:rtl/>
        </w:rPr>
      </w:pPr>
      <w:r w:rsidRPr="0023125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0"/>
        <w:gridCol w:w="3395"/>
      </w:tblGrid>
      <w:tr w:rsidR="00E06274" w:rsidRPr="00231259" w14:paraId="24619875" w14:textId="77777777" w:rsidTr="00E06274">
        <w:trPr>
          <w:trHeight w:val="295"/>
          <w:jc w:val="center"/>
        </w:trPr>
        <w:tc>
          <w:tcPr>
            <w:tcW w:w="8820" w:type="dxa"/>
            <w:gridSpan w:val="3"/>
            <w:tcBorders>
              <w:top w:val="nil"/>
              <w:left w:val="nil"/>
              <w:bottom w:val="nil"/>
              <w:right w:val="nil"/>
            </w:tcBorders>
            <w:shd w:val="clear" w:color="auto" w:fill="auto"/>
          </w:tcPr>
          <w:p w14:paraId="3DB002A0" w14:textId="77777777" w:rsidR="00E06274" w:rsidRPr="00231259" w:rsidRDefault="00E06274" w:rsidP="00E06274">
            <w:pPr>
              <w:jc w:val="both"/>
              <w:rPr>
                <w:rFonts w:ascii="Arial" w:hAnsi="Arial"/>
                <w:b/>
                <w:bCs/>
                <w:sz w:val="26"/>
                <w:szCs w:val="26"/>
              </w:rPr>
            </w:pPr>
            <w:r w:rsidRPr="00231259">
              <w:rPr>
                <w:rFonts w:ascii="Arial" w:hAnsi="Arial" w:hint="cs"/>
                <w:b/>
                <w:bCs/>
                <w:sz w:val="26"/>
                <w:szCs w:val="26"/>
                <w:rtl/>
              </w:rPr>
              <w:t>ל</w:t>
            </w:r>
            <w:r w:rsidRPr="00231259">
              <w:rPr>
                <w:rFonts w:ascii="Arial" w:hAnsi="Arial"/>
                <w:b/>
                <w:bCs/>
                <w:sz w:val="26"/>
                <w:szCs w:val="26"/>
                <w:rtl/>
              </w:rPr>
              <w:t xml:space="preserve">פני </w:t>
            </w:r>
            <w:r w:rsidRPr="00231259">
              <w:rPr>
                <w:rFonts w:ascii="Arial" w:hAnsi="Arial" w:hint="cs"/>
                <w:b/>
                <w:bCs/>
                <w:sz w:val="26"/>
                <w:szCs w:val="26"/>
                <w:rtl/>
              </w:rPr>
              <w:t>כבוד ה</w:t>
            </w:r>
            <w:r w:rsidRPr="00231259">
              <w:rPr>
                <w:rFonts w:ascii="Arial" w:hAnsi="Arial"/>
                <w:b/>
                <w:bCs/>
                <w:sz w:val="26"/>
                <w:szCs w:val="26"/>
                <w:rtl/>
              </w:rPr>
              <w:t>שופט</w:t>
            </w:r>
            <w:r w:rsidRPr="00231259">
              <w:rPr>
                <w:rFonts w:ascii="Arial" w:hAnsi="Arial" w:hint="cs"/>
                <w:b/>
                <w:bCs/>
                <w:sz w:val="26"/>
                <w:szCs w:val="26"/>
                <w:rtl/>
              </w:rPr>
              <w:t xml:space="preserve">  </w:t>
            </w:r>
            <w:r w:rsidRPr="00231259">
              <w:rPr>
                <w:rFonts w:ascii="Arial" w:hAnsi="Arial"/>
                <w:b/>
                <w:bCs/>
                <w:sz w:val="26"/>
                <w:szCs w:val="26"/>
                <w:rtl/>
              </w:rPr>
              <w:t>עלאא מסארווה</w:t>
            </w:r>
          </w:p>
        </w:tc>
      </w:tr>
      <w:tr w:rsidR="00E06274" w:rsidRPr="00231259" w14:paraId="7CBC5D92" w14:textId="77777777" w:rsidTr="00E06274">
        <w:trPr>
          <w:trHeight w:val="355"/>
          <w:jc w:val="center"/>
        </w:trPr>
        <w:tc>
          <w:tcPr>
            <w:tcW w:w="885" w:type="dxa"/>
            <w:tcBorders>
              <w:top w:val="nil"/>
              <w:left w:val="nil"/>
              <w:bottom w:val="nil"/>
              <w:right w:val="nil"/>
            </w:tcBorders>
            <w:shd w:val="clear" w:color="auto" w:fill="auto"/>
          </w:tcPr>
          <w:p w14:paraId="4F227C4C" w14:textId="77777777" w:rsidR="00E06274" w:rsidRPr="00231259" w:rsidRDefault="00E06274" w:rsidP="00E06274">
            <w:pPr>
              <w:jc w:val="both"/>
              <w:rPr>
                <w:rFonts w:ascii="Arial" w:hAnsi="Arial"/>
                <w:b/>
                <w:bCs/>
                <w:sz w:val="26"/>
                <w:szCs w:val="26"/>
              </w:rPr>
            </w:pPr>
            <w:bookmarkStart w:id="1" w:name="FirstAppellant"/>
            <w:bookmarkStart w:id="2" w:name="FirstLawyer"/>
            <w:r w:rsidRPr="00231259">
              <w:rPr>
                <w:rFonts w:ascii="Arial" w:hAnsi="Arial" w:hint="cs"/>
                <w:sz w:val="26"/>
                <w:szCs w:val="26"/>
                <w:rtl/>
              </w:rPr>
              <w:t>ה</w:t>
            </w:r>
            <w:r w:rsidRPr="00231259">
              <w:rPr>
                <w:rFonts w:ascii="Arial" w:hAnsi="Arial"/>
                <w:sz w:val="26"/>
                <w:szCs w:val="26"/>
                <w:rtl/>
              </w:rPr>
              <w:t>מאשימה</w:t>
            </w:r>
          </w:p>
        </w:tc>
        <w:tc>
          <w:tcPr>
            <w:tcW w:w="4384" w:type="dxa"/>
            <w:tcBorders>
              <w:top w:val="nil"/>
              <w:left w:val="nil"/>
              <w:bottom w:val="nil"/>
              <w:right w:val="nil"/>
            </w:tcBorders>
            <w:shd w:val="clear" w:color="auto" w:fill="auto"/>
          </w:tcPr>
          <w:p w14:paraId="7907477F" w14:textId="77777777" w:rsidR="00E06274" w:rsidRPr="00231259" w:rsidRDefault="00E06274" w:rsidP="009249F4">
            <w:pPr>
              <w:rPr>
                <w:sz w:val="26"/>
                <w:szCs w:val="26"/>
                <w:rtl/>
              </w:rPr>
            </w:pPr>
            <w:r w:rsidRPr="00231259">
              <w:rPr>
                <w:rFonts w:ascii="Arial" w:hAnsi="Arial"/>
                <w:sz w:val="26"/>
                <w:szCs w:val="26"/>
                <w:rtl/>
              </w:rPr>
              <w:t>מדינת ישראל</w:t>
            </w:r>
          </w:p>
          <w:p w14:paraId="274ED5D0" w14:textId="77777777" w:rsidR="00E06274" w:rsidRPr="00231259" w:rsidRDefault="00E06274" w:rsidP="009249F4">
            <w:pPr>
              <w:rPr>
                <w:sz w:val="26"/>
                <w:szCs w:val="26"/>
              </w:rPr>
            </w:pPr>
            <w:r w:rsidRPr="00231259">
              <w:rPr>
                <w:rFonts w:hint="cs"/>
                <w:sz w:val="26"/>
                <w:szCs w:val="26"/>
                <w:rtl/>
              </w:rPr>
              <w:t>ע"י ב"כ עו"ד איציק אמיר</w:t>
            </w:r>
          </w:p>
        </w:tc>
        <w:tc>
          <w:tcPr>
            <w:tcW w:w="3551" w:type="dxa"/>
            <w:tcBorders>
              <w:top w:val="nil"/>
              <w:left w:val="nil"/>
              <w:bottom w:val="nil"/>
              <w:right w:val="nil"/>
            </w:tcBorders>
            <w:shd w:val="clear" w:color="auto" w:fill="auto"/>
          </w:tcPr>
          <w:p w14:paraId="166D5E03" w14:textId="77777777" w:rsidR="00E06274" w:rsidRPr="00231259" w:rsidRDefault="00E06274" w:rsidP="00E06274">
            <w:pPr>
              <w:jc w:val="both"/>
              <w:rPr>
                <w:rFonts w:ascii="Arial" w:hAnsi="Arial"/>
                <w:sz w:val="26"/>
                <w:szCs w:val="26"/>
              </w:rPr>
            </w:pPr>
          </w:p>
        </w:tc>
      </w:tr>
      <w:bookmarkEnd w:id="1"/>
      <w:bookmarkEnd w:id="2"/>
      <w:tr w:rsidR="00E06274" w:rsidRPr="00231259" w14:paraId="3170F735" w14:textId="77777777" w:rsidTr="00E06274">
        <w:trPr>
          <w:trHeight w:val="373"/>
          <w:jc w:val="center"/>
        </w:trPr>
        <w:tc>
          <w:tcPr>
            <w:tcW w:w="885" w:type="dxa"/>
            <w:tcBorders>
              <w:top w:val="nil"/>
              <w:left w:val="nil"/>
              <w:bottom w:val="nil"/>
              <w:right w:val="nil"/>
            </w:tcBorders>
            <w:shd w:val="clear" w:color="auto" w:fill="auto"/>
          </w:tcPr>
          <w:p w14:paraId="615EAAFD" w14:textId="77777777" w:rsidR="00E06274" w:rsidRPr="00231259" w:rsidRDefault="00E06274" w:rsidP="00E0627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7D29CFB" w14:textId="77777777" w:rsidR="00E06274" w:rsidRPr="00231259" w:rsidRDefault="00E06274" w:rsidP="00E06274">
            <w:pPr>
              <w:jc w:val="center"/>
              <w:rPr>
                <w:rFonts w:ascii="Arial" w:hAnsi="Arial"/>
                <w:b/>
                <w:bCs/>
                <w:sz w:val="26"/>
                <w:szCs w:val="26"/>
                <w:rtl/>
              </w:rPr>
            </w:pPr>
          </w:p>
          <w:p w14:paraId="35DD0055" w14:textId="77777777" w:rsidR="00E06274" w:rsidRPr="00231259" w:rsidRDefault="00E06274" w:rsidP="00E06274">
            <w:pPr>
              <w:jc w:val="center"/>
              <w:rPr>
                <w:rFonts w:ascii="Arial" w:hAnsi="Arial"/>
                <w:b/>
                <w:bCs/>
                <w:sz w:val="26"/>
                <w:szCs w:val="26"/>
                <w:rtl/>
              </w:rPr>
            </w:pPr>
            <w:r w:rsidRPr="00231259">
              <w:rPr>
                <w:rFonts w:ascii="Arial" w:hAnsi="Arial"/>
                <w:b/>
                <w:bCs/>
                <w:sz w:val="26"/>
                <w:szCs w:val="26"/>
                <w:rtl/>
              </w:rPr>
              <w:t>נגד</w:t>
            </w:r>
          </w:p>
          <w:p w14:paraId="7A628ABA" w14:textId="77777777" w:rsidR="00E06274" w:rsidRPr="00231259" w:rsidRDefault="00E06274" w:rsidP="00E06274">
            <w:pPr>
              <w:jc w:val="both"/>
              <w:rPr>
                <w:rFonts w:ascii="Arial" w:hAnsi="Arial"/>
                <w:sz w:val="26"/>
                <w:szCs w:val="26"/>
              </w:rPr>
            </w:pPr>
          </w:p>
        </w:tc>
      </w:tr>
      <w:tr w:rsidR="00E06274" w:rsidRPr="00231259" w14:paraId="47CAD63D" w14:textId="77777777" w:rsidTr="00E06274">
        <w:trPr>
          <w:trHeight w:val="355"/>
          <w:jc w:val="center"/>
        </w:trPr>
        <w:tc>
          <w:tcPr>
            <w:tcW w:w="885" w:type="dxa"/>
            <w:tcBorders>
              <w:top w:val="nil"/>
              <w:left w:val="nil"/>
              <w:bottom w:val="nil"/>
              <w:right w:val="nil"/>
            </w:tcBorders>
            <w:shd w:val="clear" w:color="auto" w:fill="auto"/>
          </w:tcPr>
          <w:p w14:paraId="55C88CFC" w14:textId="77777777" w:rsidR="00E06274" w:rsidRPr="00231259" w:rsidRDefault="00E06274" w:rsidP="009249F4">
            <w:pPr>
              <w:rPr>
                <w:rFonts w:ascii="Arial" w:hAnsi="Arial"/>
                <w:sz w:val="26"/>
                <w:szCs w:val="26"/>
                <w:rtl/>
              </w:rPr>
            </w:pPr>
            <w:r w:rsidRPr="00231259">
              <w:rPr>
                <w:rFonts w:ascii="Arial" w:hAnsi="Arial" w:hint="cs"/>
                <w:sz w:val="26"/>
                <w:szCs w:val="26"/>
                <w:rtl/>
              </w:rPr>
              <w:t>ה</w:t>
            </w:r>
            <w:r w:rsidRPr="00231259">
              <w:rPr>
                <w:rFonts w:ascii="Arial" w:hAnsi="Arial"/>
                <w:sz w:val="26"/>
                <w:szCs w:val="26"/>
                <w:rtl/>
              </w:rPr>
              <w:t>נאשמים</w:t>
            </w:r>
          </w:p>
        </w:tc>
        <w:tc>
          <w:tcPr>
            <w:tcW w:w="4384" w:type="dxa"/>
            <w:tcBorders>
              <w:top w:val="nil"/>
              <w:left w:val="nil"/>
              <w:bottom w:val="nil"/>
              <w:right w:val="nil"/>
            </w:tcBorders>
            <w:shd w:val="clear" w:color="auto" w:fill="auto"/>
          </w:tcPr>
          <w:p w14:paraId="09D58C7F" w14:textId="77777777" w:rsidR="00E06274" w:rsidRPr="00231259" w:rsidRDefault="00E06274" w:rsidP="009249F4">
            <w:pPr>
              <w:rPr>
                <w:sz w:val="26"/>
                <w:szCs w:val="26"/>
                <w:rtl/>
              </w:rPr>
            </w:pPr>
            <w:r w:rsidRPr="00231259">
              <w:rPr>
                <w:rFonts w:ascii="Arial" w:hAnsi="Arial"/>
                <w:sz w:val="26"/>
                <w:szCs w:val="26"/>
                <w:rtl/>
              </w:rPr>
              <w:t>גיא פנקינסקי</w:t>
            </w:r>
          </w:p>
          <w:p w14:paraId="607B9BA8" w14:textId="77777777" w:rsidR="00E06274" w:rsidRPr="00231259" w:rsidRDefault="00E06274" w:rsidP="009249F4">
            <w:pPr>
              <w:rPr>
                <w:sz w:val="26"/>
                <w:szCs w:val="26"/>
                <w:rtl/>
              </w:rPr>
            </w:pPr>
            <w:r w:rsidRPr="00231259">
              <w:rPr>
                <w:rFonts w:hint="cs"/>
                <w:sz w:val="26"/>
                <w:szCs w:val="26"/>
                <w:rtl/>
              </w:rPr>
              <w:t>ע"י ב"כ עו"ד אבי אודיז</w:t>
            </w:r>
          </w:p>
        </w:tc>
        <w:tc>
          <w:tcPr>
            <w:tcW w:w="3551" w:type="dxa"/>
            <w:tcBorders>
              <w:top w:val="nil"/>
              <w:left w:val="nil"/>
              <w:bottom w:val="nil"/>
              <w:right w:val="nil"/>
            </w:tcBorders>
            <w:shd w:val="clear" w:color="auto" w:fill="auto"/>
          </w:tcPr>
          <w:p w14:paraId="010F6CBA" w14:textId="77777777" w:rsidR="00E06274" w:rsidRPr="00231259" w:rsidRDefault="00E06274" w:rsidP="00E06274">
            <w:pPr>
              <w:jc w:val="right"/>
              <w:rPr>
                <w:rFonts w:ascii="Arial" w:hAnsi="Arial"/>
                <w:sz w:val="26"/>
                <w:szCs w:val="26"/>
              </w:rPr>
            </w:pPr>
          </w:p>
        </w:tc>
      </w:tr>
    </w:tbl>
    <w:p w14:paraId="4B89C49E" w14:textId="77777777" w:rsidR="008B25C8" w:rsidRDefault="008B25C8" w:rsidP="00231259">
      <w:pPr>
        <w:rPr>
          <w:rtl/>
        </w:rPr>
      </w:pPr>
    </w:p>
    <w:p w14:paraId="7F48BA43" w14:textId="77777777" w:rsidR="008B25C8" w:rsidRPr="008B25C8" w:rsidRDefault="008B25C8" w:rsidP="008B25C8">
      <w:pPr>
        <w:spacing w:after="120" w:line="240" w:lineRule="exact"/>
        <w:ind w:left="283" w:hanging="283"/>
        <w:jc w:val="both"/>
        <w:rPr>
          <w:rFonts w:ascii="FrankRuehl" w:hAnsi="FrankRuehl" w:cs="FrankRuehl"/>
          <w:rtl/>
        </w:rPr>
      </w:pPr>
    </w:p>
    <w:p w14:paraId="241E8684" w14:textId="77777777" w:rsidR="004E56C2" w:rsidRPr="004E56C2" w:rsidRDefault="004E56C2" w:rsidP="004E56C2">
      <w:pPr>
        <w:spacing w:before="120" w:after="120" w:line="240" w:lineRule="exact"/>
        <w:ind w:left="283" w:hanging="283"/>
        <w:jc w:val="both"/>
        <w:rPr>
          <w:rFonts w:ascii="FrankRuehl" w:hAnsi="FrankRuehl" w:cs="FrankRuehl"/>
          <w:rtl/>
        </w:rPr>
      </w:pPr>
    </w:p>
    <w:p w14:paraId="421B3844" w14:textId="77777777" w:rsidR="00603726" w:rsidRDefault="00603726" w:rsidP="00603726">
      <w:pPr>
        <w:rPr>
          <w:rtl/>
        </w:rPr>
      </w:pPr>
      <w:bookmarkStart w:id="3" w:name="LawTable"/>
      <w:bookmarkEnd w:id="3"/>
    </w:p>
    <w:p w14:paraId="294A5907" w14:textId="77777777" w:rsidR="00603726" w:rsidRPr="00603726" w:rsidRDefault="00603726" w:rsidP="00603726">
      <w:pPr>
        <w:spacing w:before="120" w:after="120" w:line="240" w:lineRule="exact"/>
        <w:ind w:left="283" w:hanging="283"/>
        <w:jc w:val="both"/>
        <w:rPr>
          <w:rFonts w:ascii="FrankRuehl" w:hAnsi="FrankRuehl" w:cs="FrankRuehl"/>
          <w:rtl/>
        </w:rPr>
      </w:pPr>
    </w:p>
    <w:p w14:paraId="24463098" w14:textId="77777777" w:rsidR="00603726" w:rsidRPr="00603726" w:rsidRDefault="00603726" w:rsidP="00603726">
      <w:pPr>
        <w:spacing w:before="120" w:after="120" w:line="240" w:lineRule="exact"/>
        <w:ind w:left="283" w:hanging="283"/>
        <w:jc w:val="both"/>
        <w:rPr>
          <w:rFonts w:ascii="FrankRuehl" w:hAnsi="FrankRuehl" w:cs="FrankRuehl"/>
          <w:rtl/>
        </w:rPr>
      </w:pPr>
    </w:p>
    <w:p w14:paraId="33C302E6" w14:textId="77777777" w:rsidR="00603726" w:rsidRPr="00603726" w:rsidRDefault="00603726" w:rsidP="00603726">
      <w:pPr>
        <w:spacing w:before="120" w:after="120" w:line="240" w:lineRule="exact"/>
        <w:ind w:left="283" w:hanging="283"/>
        <w:jc w:val="both"/>
        <w:rPr>
          <w:rFonts w:ascii="FrankRuehl" w:hAnsi="FrankRuehl" w:cs="FrankRuehl"/>
          <w:rtl/>
        </w:rPr>
      </w:pPr>
      <w:r w:rsidRPr="00603726">
        <w:rPr>
          <w:rFonts w:ascii="FrankRuehl" w:hAnsi="FrankRuehl" w:cs="FrankRuehl"/>
          <w:rtl/>
        </w:rPr>
        <w:t xml:space="preserve">חקיקה שאוזכרה: </w:t>
      </w:r>
    </w:p>
    <w:p w14:paraId="5B52F690" w14:textId="77777777" w:rsidR="00603726" w:rsidRPr="00603726" w:rsidRDefault="00603726" w:rsidP="00603726">
      <w:pPr>
        <w:spacing w:before="120" w:after="120" w:line="240" w:lineRule="exact"/>
        <w:ind w:left="283" w:hanging="283"/>
        <w:jc w:val="both"/>
        <w:rPr>
          <w:rFonts w:ascii="FrankRuehl" w:hAnsi="FrankRuehl" w:cs="FrankRuehl"/>
          <w:rtl/>
        </w:rPr>
      </w:pPr>
      <w:hyperlink r:id="rId7" w:history="1">
        <w:r w:rsidRPr="00603726">
          <w:rPr>
            <w:rFonts w:ascii="FrankRuehl" w:hAnsi="FrankRuehl" w:cs="FrankRuehl"/>
            <w:color w:val="0000FF"/>
            <w:rtl/>
          </w:rPr>
          <w:t>פקודת הסמים המסוכנים [נוסח חדש], תשל"ג-1973</w:t>
        </w:r>
      </w:hyperlink>
      <w:r w:rsidRPr="00603726">
        <w:rPr>
          <w:rFonts w:ascii="FrankRuehl" w:hAnsi="FrankRuehl" w:cs="FrankRuehl"/>
          <w:rtl/>
        </w:rPr>
        <w:t xml:space="preserve">: סע'  </w:t>
      </w:r>
      <w:hyperlink r:id="rId8" w:history="1">
        <w:r w:rsidRPr="00603726">
          <w:rPr>
            <w:rFonts w:ascii="FrankRuehl" w:hAnsi="FrankRuehl" w:cs="FrankRuehl"/>
            <w:color w:val="0000FF"/>
            <w:rtl/>
          </w:rPr>
          <w:t>6</w:t>
        </w:r>
      </w:hyperlink>
      <w:r w:rsidRPr="00603726">
        <w:rPr>
          <w:rFonts w:ascii="FrankRuehl" w:hAnsi="FrankRuehl" w:cs="FrankRuehl"/>
          <w:rtl/>
        </w:rPr>
        <w:t xml:space="preserve">, </w:t>
      </w:r>
      <w:hyperlink r:id="rId9" w:history="1">
        <w:r w:rsidRPr="00603726">
          <w:rPr>
            <w:rFonts w:ascii="FrankRuehl" w:hAnsi="FrankRuehl" w:cs="FrankRuehl"/>
            <w:color w:val="0000FF"/>
            <w:rtl/>
          </w:rPr>
          <w:t>7(א)</w:t>
        </w:r>
      </w:hyperlink>
      <w:r w:rsidRPr="00603726">
        <w:rPr>
          <w:rFonts w:ascii="FrankRuehl" w:hAnsi="FrankRuehl" w:cs="FrankRuehl"/>
          <w:rtl/>
        </w:rPr>
        <w:t xml:space="preserve">, </w:t>
      </w:r>
      <w:hyperlink r:id="rId10" w:history="1">
        <w:r w:rsidRPr="00603726">
          <w:rPr>
            <w:rFonts w:ascii="FrankRuehl" w:hAnsi="FrankRuehl" w:cs="FrankRuehl"/>
            <w:color w:val="0000FF"/>
            <w:rtl/>
          </w:rPr>
          <w:t>7(ג)</w:t>
        </w:r>
      </w:hyperlink>
    </w:p>
    <w:p w14:paraId="18C9D752" w14:textId="77777777" w:rsidR="00603726" w:rsidRPr="00603726" w:rsidRDefault="00603726" w:rsidP="00603726">
      <w:pPr>
        <w:spacing w:before="120" w:after="120" w:line="240" w:lineRule="exact"/>
        <w:ind w:left="283" w:hanging="283"/>
        <w:jc w:val="both"/>
        <w:rPr>
          <w:rFonts w:ascii="FrankRuehl" w:hAnsi="FrankRuehl" w:cs="FrankRuehl"/>
          <w:rtl/>
        </w:rPr>
      </w:pPr>
      <w:hyperlink r:id="rId11" w:history="1">
        <w:r w:rsidRPr="00603726">
          <w:rPr>
            <w:rFonts w:ascii="FrankRuehl" w:hAnsi="FrankRuehl" w:cs="FrankRuehl"/>
            <w:color w:val="0000FF"/>
            <w:rtl/>
          </w:rPr>
          <w:t>חוק ההנדסאים והטכנאים המוסמכים, תשע"ג-2012</w:t>
        </w:r>
      </w:hyperlink>
      <w:r w:rsidRPr="00603726">
        <w:rPr>
          <w:rFonts w:ascii="FrankRuehl" w:hAnsi="FrankRuehl" w:cs="FrankRuehl"/>
          <w:rtl/>
        </w:rPr>
        <w:t xml:space="preserve">: סע'  </w:t>
      </w:r>
      <w:hyperlink r:id="rId12" w:history="1">
        <w:r w:rsidRPr="00603726">
          <w:rPr>
            <w:rFonts w:ascii="FrankRuehl" w:hAnsi="FrankRuehl" w:cs="FrankRuehl"/>
            <w:color w:val="0000FF"/>
            <w:rtl/>
          </w:rPr>
          <w:t>18</w:t>
        </w:r>
      </w:hyperlink>
    </w:p>
    <w:p w14:paraId="12561293" w14:textId="77777777" w:rsidR="00603726" w:rsidRPr="00603726" w:rsidRDefault="00603726" w:rsidP="00603726">
      <w:pPr>
        <w:spacing w:before="120" w:after="120" w:line="240" w:lineRule="exact"/>
        <w:ind w:left="283" w:hanging="283"/>
        <w:jc w:val="both"/>
        <w:rPr>
          <w:rFonts w:ascii="FrankRuehl" w:hAnsi="FrankRuehl" w:cs="FrankRuehl"/>
          <w:rtl/>
        </w:rPr>
      </w:pPr>
      <w:hyperlink r:id="rId13" w:history="1">
        <w:r w:rsidRPr="00603726">
          <w:rPr>
            <w:rFonts w:ascii="FrankRuehl" w:hAnsi="FrankRuehl" w:cs="FrankRuehl"/>
            <w:color w:val="0000FF"/>
            <w:rtl/>
          </w:rPr>
          <w:t>חוק העונשין, תשל"ז-1977</w:t>
        </w:r>
      </w:hyperlink>
    </w:p>
    <w:p w14:paraId="0B134435" w14:textId="77777777" w:rsidR="00603726" w:rsidRPr="00603726" w:rsidRDefault="00603726" w:rsidP="00603726">
      <w:pPr>
        <w:rPr>
          <w:rtl/>
        </w:rPr>
      </w:pPr>
      <w:bookmarkStart w:id="4" w:name="LawTable_End"/>
      <w:bookmarkEnd w:id="4"/>
    </w:p>
    <w:p w14:paraId="7D2C5E92" w14:textId="77777777" w:rsidR="00E06274" w:rsidRPr="004E56C2" w:rsidRDefault="00E06274" w:rsidP="004E56C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6274" w14:paraId="54BE7F11" w14:textId="77777777" w:rsidTr="00E06274">
        <w:trPr>
          <w:trHeight w:val="355"/>
          <w:jc w:val="center"/>
        </w:trPr>
        <w:tc>
          <w:tcPr>
            <w:tcW w:w="8820" w:type="dxa"/>
            <w:tcBorders>
              <w:top w:val="nil"/>
              <w:left w:val="nil"/>
              <w:bottom w:val="nil"/>
              <w:right w:val="nil"/>
            </w:tcBorders>
            <w:shd w:val="clear" w:color="auto" w:fill="auto"/>
          </w:tcPr>
          <w:p w14:paraId="2A350585" w14:textId="77777777" w:rsidR="00231259" w:rsidRPr="00231259" w:rsidRDefault="00231259" w:rsidP="00231259">
            <w:pPr>
              <w:jc w:val="center"/>
              <w:rPr>
                <w:rFonts w:ascii="Arial" w:hAnsi="Arial"/>
                <w:b/>
                <w:bCs/>
                <w:sz w:val="28"/>
                <w:szCs w:val="28"/>
                <w:u w:val="single"/>
                <w:rtl/>
              </w:rPr>
            </w:pPr>
            <w:bookmarkStart w:id="5" w:name="PsakDin" w:colFirst="0" w:colLast="0"/>
            <w:bookmarkEnd w:id="0"/>
            <w:r w:rsidRPr="00231259">
              <w:rPr>
                <w:rFonts w:ascii="Arial" w:hAnsi="Arial"/>
                <w:b/>
                <w:bCs/>
                <w:sz w:val="28"/>
                <w:szCs w:val="28"/>
                <w:u w:val="single"/>
                <w:rtl/>
              </w:rPr>
              <w:t>גזר דין</w:t>
            </w:r>
          </w:p>
          <w:p w14:paraId="4F218A2B" w14:textId="77777777" w:rsidR="00E06274" w:rsidRPr="00231259" w:rsidRDefault="00E06274" w:rsidP="00231259">
            <w:pPr>
              <w:jc w:val="center"/>
              <w:rPr>
                <w:rFonts w:ascii="Arial" w:hAnsi="Arial"/>
                <w:bCs/>
                <w:sz w:val="28"/>
                <w:szCs w:val="28"/>
                <w:u w:val="single"/>
                <w:rtl/>
              </w:rPr>
            </w:pPr>
          </w:p>
        </w:tc>
      </w:tr>
      <w:bookmarkEnd w:id="5"/>
    </w:tbl>
    <w:p w14:paraId="2B1D9B26" w14:textId="77777777" w:rsidR="00E06274" w:rsidRPr="00B05847" w:rsidRDefault="00E06274" w:rsidP="00E06274">
      <w:pPr>
        <w:rPr>
          <w:rFonts w:ascii="Arial" w:hAnsi="Arial"/>
          <w:rtl/>
        </w:rPr>
      </w:pPr>
    </w:p>
    <w:p w14:paraId="29D5D0D4" w14:textId="77777777" w:rsidR="00E06274" w:rsidRDefault="00E06274" w:rsidP="00E06274">
      <w:pPr>
        <w:spacing w:line="360" w:lineRule="auto"/>
        <w:jc w:val="both"/>
      </w:pPr>
      <w:bookmarkStart w:id="6" w:name="ABSTRACT_START"/>
      <w:bookmarkEnd w:id="6"/>
      <w:r>
        <w:rPr>
          <w:rFonts w:hint="cs"/>
          <w:rtl/>
        </w:rPr>
        <w:t xml:space="preserve">הנאשם הודה בכתב אישום מתוקן ובמסגרת הסכמה דיונית, בעבירות של </w:t>
      </w:r>
      <w:r>
        <w:rPr>
          <w:rFonts w:hint="cs"/>
          <w:b/>
          <w:bCs/>
          <w:rtl/>
        </w:rPr>
        <w:t xml:space="preserve">גידול סמים מסוכנים </w:t>
      </w:r>
      <w:r>
        <w:rPr>
          <w:rFonts w:hint="cs"/>
          <w:rtl/>
        </w:rPr>
        <w:t xml:space="preserve">לפי </w:t>
      </w:r>
      <w:hyperlink r:id="rId14" w:history="1">
        <w:r w:rsidR="008B25C8" w:rsidRPr="008B25C8">
          <w:rPr>
            <w:rStyle w:val="Hyperlink"/>
            <w:rFonts w:cs="David" w:hint="eastAsia"/>
            <w:rtl/>
          </w:rPr>
          <w:t>סעיף</w:t>
        </w:r>
        <w:r w:rsidR="008B25C8" w:rsidRPr="008B25C8">
          <w:rPr>
            <w:rStyle w:val="Hyperlink"/>
            <w:rFonts w:cs="David"/>
            <w:rtl/>
          </w:rPr>
          <w:t xml:space="preserve"> 6</w:t>
        </w:r>
      </w:hyperlink>
      <w:r>
        <w:rPr>
          <w:rFonts w:hint="cs"/>
          <w:rtl/>
        </w:rPr>
        <w:t xml:space="preserve"> ל</w:t>
      </w:r>
      <w:hyperlink r:id="rId15" w:history="1">
        <w:r w:rsidR="00231259" w:rsidRPr="00231259">
          <w:rPr>
            <w:color w:val="0000FF"/>
            <w:u w:val="single"/>
            <w:rtl/>
          </w:rPr>
          <w:t>פקודת הסמים המסוכנים</w:t>
        </w:r>
      </w:hyperlink>
      <w:r>
        <w:rPr>
          <w:rFonts w:hint="cs"/>
          <w:rtl/>
        </w:rPr>
        <w:t xml:space="preserve"> (נוסח חדש), תשל"ג – 1973 (להלן- "</w:t>
      </w:r>
      <w:r>
        <w:rPr>
          <w:rFonts w:hint="cs"/>
          <w:b/>
          <w:bCs/>
          <w:rtl/>
        </w:rPr>
        <w:t>הפקודה</w:t>
      </w:r>
      <w:r>
        <w:rPr>
          <w:rFonts w:hint="cs"/>
          <w:rtl/>
        </w:rPr>
        <w:t>"),</w:t>
      </w:r>
      <w:r>
        <w:rPr>
          <w:rFonts w:hint="cs"/>
          <w:b/>
          <w:bCs/>
          <w:rtl/>
        </w:rPr>
        <w:t xml:space="preserve"> החזקה בסמים לצריכה עצמית </w:t>
      </w:r>
      <w:r>
        <w:rPr>
          <w:rFonts w:hint="cs"/>
          <w:rtl/>
        </w:rPr>
        <w:t xml:space="preserve">לפי </w:t>
      </w:r>
      <w:hyperlink r:id="rId16" w:history="1">
        <w:r w:rsidR="008B25C8" w:rsidRPr="008B25C8">
          <w:rPr>
            <w:rStyle w:val="Hyperlink"/>
            <w:rFonts w:cs="David" w:hint="eastAsia"/>
            <w:rtl/>
          </w:rPr>
          <w:t>סעיף</w:t>
        </w:r>
        <w:r w:rsidR="008B25C8" w:rsidRPr="008B25C8">
          <w:rPr>
            <w:rStyle w:val="Hyperlink"/>
            <w:rFonts w:cs="David"/>
            <w:rtl/>
          </w:rPr>
          <w:t xml:space="preserve"> 7(א)</w:t>
        </w:r>
      </w:hyperlink>
      <w:r>
        <w:rPr>
          <w:rFonts w:hint="cs"/>
          <w:rtl/>
        </w:rPr>
        <w:t xml:space="preserve"> + </w:t>
      </w:r>
      <w:hyperlink r:id="rId17" w:history="1">
        <w:r w:rsidR="008B25C8" w:rsidRPr="008B25C8">
          <w:rPr>
            <w:rStyle w:val="Hyperlink"/>
            <w:rFonts w:cs="David"/>
            <w:rtl/>
          </w:rPr>
          <w:t>7(ג)</w:t>
        </w:r>
      </w:hyperlink>
      <w:r>
        <w:rPr>
          <w:rFonts w:hint="cs"/>
          <w:rtl/>
        </w:rPr>
        <w:t xml:space="preserve"> לפקודה. </w:t>
      </w:r>
    </w:p>
    <w:p w14:paraId="0AB92E8F" w14:textId="77777777" w:rsidR="00E06274" w:rsidRDefault="00E06274" w:rsidP="00E06274">
      <w:pPr>
        <w:spacing w:line="360" w:lineRule="auto"/>
        <w:jc w:val="both"/>
      </w:pPr>
    </w:p>
    <w:p w14:paraId="7D3BD9BF" w14:textId="77777777" w:rsidR="00E06274" w:rsidRDefault="00E06274" w:rsidP="00E06274">
      <w:pPr>
        <w:spacing w:line="360" w:lineRule="auto"/>
        <w:jc w:val="both"/>
        <w:rPr>
          <w:rtl/>
        </w:rPr>
      </w:pPr>
      <w:bookmarkStart w:id="7" w:name="ABSTRACT_END"/>
      <w:bookmarkEnd w:id="7"/>
      <w:r>
        <w:rPr>
          <w:rFonts w:hint="cs"/>
          <w:rtl/>
        </w:rPr>
        <w:t>בהתאם לעובדות, כארבעה חודשים לפני יום 13.2.19, שכר הנאשם דירה ברחוב חיבת ציון 7 רמת-גן. הנאשם רכש ציוד לצורך גידול סמים, כגון: מאוורר, מפוח, מנורות, משאבת מים, דשנים ומינרלים. במהלך תקופה זו גידל הנאשם בדירה, בשני חדרים שונים, סם מסוכן מסוג קנבוס במשקל כולל של 2.1 ק"ג. בנוסף, החזיק הנאשם בדירה, סם מסוכן מסום קנבוס במשקל כולל של 25.32 גרם בחדר השירות.</w:t>
      </w:r>
    </w:p>
    <w:p w14:paraId="7C1D5E42" w14:textId="77777777" w:rsidR="00E06274" w:rsidRDefault="00E06274" w:rsidP="00E06274">
      <w:pPr>
        <w:spacing w:line="360" w:lineRule="auto"/>
        <w:jc w:val="both"/>
        <w:rPr>
          <w:rtl/>
        </w:rPr>
      </w:pPr>
    </w:p>
    <w:p w14:paraId="0DB5FD25" w14:textId="77777777" w:rsidR="00E06274" w:rsidRDefault="00E06274" w:rsidP="00E06274">
      <w:pPr>
        <w:spacing w:line="360" w:lineRule="auto"/>
        <w:jc w:val="both"/>
        <w:rPr>
          <w:rtl/>
        </w:rPr>
      </w:pPr>
      <w:r>
        <w:rPr>
          <w:rFonts w:hint="cs"/>
          <w:rtl/>
        </w:rPr>
        <w:t xml:space="preserve">בהסכמת הצדדים, הודאתו של הנאשם נרשמה, אך הוא לא הורשע באותו שלב ועניינו הופנה לשירות המבחן. </w:t>
      </w:r>
    </w:p>
    <w:p w14:paraId="19BD2EF7" w14:textId="77777777" w:rsidR="00E06274" w:rsidRDefault="00E06274" w:rsidP="00E06274">
      <w:pPr>
        <w:spacing w:line="360" w:lineRule="auto"/>
        <w:jc w:val="both"/>
        <w:rPr>
          <w:rtl/>
        </w:rPr>
      </w:pPr>
    </w:p>
    <w:p w14:paraId="09BF67E4" w14:textId="77777777" w:rsidR="00E06274" w:rsidRDefault="00E06274" w:rsidP="00E06274">
      <w:pPr>
        <w:spacing w:line="360" w:lineRule="auto"/>
        <w:jc w:val="both"/>
        <w:rPr>
          <w:b/>
          <w:bCs/>
          <w:u w:val="single"/>
          <w:rtl/>
        </w:rPr>
      </w:pPr>
      <w:r>
        <w:rPr>
          <w:rFonts w:hint="cs"/>
          <w:b/>
          <w:bCs/>
          <w:u w:val="single"/>
          <w:rtl/>
        </w:rPr>
        <w:t>תסקירי שירות המבחן</w:t>
      </w:r>
    </w:p>
    <w:p w14:paraId="0F01451C" w14:textId="77777777" w:rsidR="00E06274" w:rsidRDefault="00E06274" w:rsidP="00E06274">
      <w:pPr>
        <w:spacing w:line="360" w:lineRule="auto"/>
        <w:jc w:val="both"/>
        <w:rPr>
          <w:rtl/>
        </w:rPr>
      </w:pPr>
      <w:r>
        <w:rPr>
          <w:rFonts w:hint="cs"/>
          <w:u w:val="single"/>
          <w:rtl/>
        </w:rPr>
        <w:t>מתסקיר שירות המבחן מיום 25.11.21</w:t>
      </w:r>
      <w:r>
        <w:rPr>
          <w:rFonts w:hint="cs"/>
          <w:rtl/>
        </w:rPr>
        <w:t xml:space="preserve"> עולה כי הנאשם, בן 33, נשוי ואב לילד בן שנה וחצי. הנאשם נעדר הרשעות קודמות ולא פתוחים נגדו מב"דים נוספים. שירות המבחן מעריך כי </w:t>
      </w:r>
      <w:r>
        <w:rPr>
          <w:rFonts w:hint="cs"/>
          <w:rtl/>
        </w:rPr>
        <w:lastRenderedPageBreak/>
        <w:t xml:space="preserve">מעורבותו של הנאשם עם החוק היא חריגה לאורחות חייו. שירות מבחן מציין כי הנאשם מקבל אחריות על מעורבותו בעבירות, אך לא מעמיק בהשלכות מעשיו. בנוסף, הנאשם מסר בדיקת שתן נקייה משרידי סם. עוד עלה מההליך הטיפולי כי לנאשם צורך טיפולי בתחום האלמ"ב ובנוסף עלו דפוסים תוקפניים יותר עקב הפסקת השימוש בקנביס. על כן, שירות המבחן ממליץ על צו מבחן, צו של"צ בהיקף של 200 שעות, וביטול הרשעה עקב חסימת אפשרויות תעסוקתיות עתידיות בתחום ההנדסאות. </w:t>
      </w:r>
    </w:p>
    <w:p w14:paraId="3EC50E40" w14:textId="77777777" w:rsidR="00E06274" w:rsidRDefault="00E06274" w:rsidP="00E06274">
      <w:pPr>
        <w:spacing w:line="360" w:lineRule="auto"/>
        <w:jc w:val="both"/>
        <w:rPr>
          <w:rtl/>
        </w:rPr>
      </w:pPr>
    </w:p>
    <w:p w14:paraId="28C0873E" w14:textId="77777777" w:rsidR="00E06274" w:rsidRDefault="00E06274" w:rsidP="00E06274">
      <w:pPr>
        <w:spacing w:line="360" w:lineRule="auto"/>
        <w:jc w:val="both"/>
        <w:rPr>
          <w:rtl/>
        </w:rPr>
      </w:pPr>
      <w:r>
        <w:rPr>
          <w:rFonts w:hint="cs"/>
          <w:u w:val="single"/>
          <w:rtl/>
        </w:rPr>
        <w:t xml:space="preserve">מתסקיר שירות המבחן מיום 1.3.22 </w:t>
      </w:r>
      <w:r>
        <w:rPr>
          <w:rFonts w:hint="cs"/>
          <w:rtl/>
        </w:rPr>
        <w:t>עולה כי לא נפתחו תיקי מב"ד חדשים כנגד הנאשם. עוד עולה כי הנאשם נרשם ליחידה להתמכרויות בעיר מגוריו, אך טרם עלה בידו להשתלב בטיפול. זאת, בנוסף לטיפול ייעוד בתחום האלמ"ב בשירות המבחן שצפוי להתחיל. על כן, שירות המבחן ממליץ על דחייה של 3 חודשים.</w:t>
      </w:r>
    </w:p>
    <w:p w14:paraId="7D110EC4" w14:textId="77777777" w:rsidR="00E06274" w:rsidRDefault="00E06274" w:rsidP="00E06274">
      <w:pPr>
        <w:spacing w:line="360" w:lineRule="auto"/>
        <w:jc w:val="both"/>
        <w:rPr>
          <w:rtl/>
        </w:rPr>
      </w:pPr>
    </w:p>
    <w:p w14:paraId="12706CB8" w14:textId="77777777" w:rsidR="00E06274" w:rsidRDefault="00E06274" w:rsidP="00E06274">
      <w:pPr>
        <w:spacing w:line="360" w:lineRule="auto"/>
        <w:jc w:val="both"/>
        <w:rPr>
          <w:rtl/>
        </w:rPr>
      </w:pPr>
      <w:r>
        <w:rPr>
          <w:rFonts w:hint="cs"/>
          <w:u w:val="single"/>
          <w:rtl/>
        </w:rPr>
        <w:t>מתסקיר שירות המבחן מיום 6.6.22</w:t>
      </w:r>
      <w:r>
        <w:rPr>
          <w:rFonts w:hint="cs"/>
          <w:rtl/>
        </w:rPr>
        <w:t xml:space="preserve"> עולה כי מבדיקת שתן שמסר הנאשם נמצאו שרידי סם מסוג קנאביס. שירות המבחן מעריך כי פחת הסיכון להישנות התנהגות שולית עקב התקדמות הליכים הטיפוליים. בנוסף, לא נפתחו נגד הנאשם תיקי מב"ד נוספים. נוכח תוצאות בדיקת השתן, שירות המבחן ממליץ על דחייה של חודשיים.</w:t>
      </w:r>
    </w:p>
    <w:p w14:paraId="7E077787" w14:textId="77777777" w:rsidR="00E06274" w:rsidRDefault="00E06274" w:rsidP="00E06274">
      <w:pPr>
        <w:spacing w:line="360" w:lineRule="auto"/>
        <w:jc w:val="both"/>
        <w:rPr>
          <w:rtl/>
        </w:rPr>
      </w:pPr>
    </w:p>
    <w:p w14:paraId="7F816815" w14:textId="77777777" w:rsidR="00E06274" w:rsidRDefault="00E06274" w:rsidP="00E06274">
      <w:pPr>
        <w:spacing w:line="360" w:lineRule="auto"/>
        <w:jc w:val="both"/>
        <w:rPr>
          <w:rtl/>
        </w:rPr>
      </w:pPr>
      <w:r>
        <w:rPr>
          <w:rFonts w:hint="cs"/>
          <w:u w:val="single"/>
          <w:rtl/>
        </w:rPr>
        <w:t>מתסקיר שירות המבחן מיום 20.9.22</w:t>
      </w:r>
      <w:r>
        <w:rPr>
          <w:rFonts w:hint="cs"/>
          <w:rtl/>
        </w:rPr>
        <w:t xml:space="preserve"> עולה כי הנאשם ממשיך ומשתף פעולה במסגרת הטיפול בתחום הזוגי, מבטא לקיחת אחריות על מעשיו בדינמיקה הזוגית. שירות המבחן התרשם שהנאשם משתתף באופן פעיל וכן, מחובר לטיפול ועורך שימוש חיובי במסגרת הטיפולית. מסר כי פועל לקבלת אישור של וועדת חריגים של המכללה על מנת לחזור ללימודי הנדסאות. שירות המבחן מסר שעל סמך בדיקות שתן שנמצאו נקיות משרידי סם, הנאשם הצליח להימנע משימוש בסמים. עוד דווח כי נגד הנאשם לא נפתחו תיקי מב"ד חדשים. שירות המבחן מעריך כי הסיכון בעניינו פחת. לאור זאת, שירות המבחן חזר על המלצתו על הטלת צו מבחן ושל"צ בהיקף של 200 שעות. לעניין ביטול הרשעתו, שירות המבחן המליץ על ביטול ההרעה לאור רצון הנאשם לסיים לימודי הנדסאי מכונות.</w:t>
      </w:r>
    </w:p>
    <w:p w14:paraId="2282D927" w14:textId="77777777" w:rsidR="00E06274" w:rsidRDefault="00E06274" w:rsidP="00E06274">
      <w:pPr>
        <w:pStyle w:val="a9"/>
        <w:spacing w:after="0" w:line="360" w:lineRule="auto"/>
        <w:ind w:left="0"/>
        <w:jc w:val="both"/>
        <w:rPr>
          <w:rFonts w:ascii="David" w:hAnsi="David" w:cs="David"/>
          <w:b/>
          <w:bCs/>
          <w:sz w:val="24"/>
          <w:szCs w:val="24"/>
          <w:u w:val="single"/>
          <w:rtl/>
        </w:rPr>
      </w:pPr>
    </w:p>
    <w:p w14:paraId="10D179D3" w14:textId="77777777" w:rsidR="00E06274" w:rsidRDefault="00E06274" w:rsidP="00E06274">
      <w:pPr>
        <w:pStyle w:val="a9"/>
        <w:spacing w:after="0" w:line="360" w:lineRule="auto"/>
        <w:ind w:left="0"/>
        <w:jc w:val="both"/>
        <w:rPr>
          <w:rFonts w:ascii="David" w:hAnsi="David" w:cs="David"/>
          <w:sz w:val="24"/>
          <w:szCs w:val="24"/>
          <w:rtl/>
        </w:rPr>
      </w:pPr>
      <w:r>
        <w:rPr>
          <w:rFonts w:ascii="David" w:hAnsi="David" w:cs="David"/>
          <w:b/>
          <w:bCs/>
          <w:sz w:val="24"/>
          <w:szCs w:val="24"/>
          <w:u w:val="single"/>
          <w:rtl/>
        </w:rPr>
        <w:t>דיון והכרעה</w:t>
      </w:r>
      <w:r>
        <w:rPr>
          <w:rFonts w:ascii="David" w:hAnsi="David" w:cs="David"/>
          <w:sz w:val="24"/>
          <w:szCs w:val="24"/>
          <w:rtl/>
        </w:rPr>
        <w:t>:</w:t>
      </w:r>
    </w:p>
    <w:p w14:paraId="4F3B4029" w14:textId="77777777" w:rsidR="00E06274" w:rsidRDefault="00E06274" w:rsidP="00E06274">
      <w:pPr>
        <w:spacing w:line="360" w:lineRule="auto"/>
        <w:jc w:val="both"/>
        <w:rPr>
          <w:rFonts w:ascii="David" w:hAnsi="David"/>
          <w:u w:val="single"/>
          <w:rtl/>
        </w:rPr>
      </w:pPr>
      <w:r>
        <w:rPr>
          <w:rFonts w:hint="cs"/>
          <w:u w:val="single"/>
          <w:rtl/>
        </w:rPr>
        <w:t>שאלת ביטול ההרשעה:</w:t>
      </w:r>
    </w:p>
    <w:p w14:paraId="2F193AB0" w14:textId="77777777" w:rsidR="00E06274" w:rsidRDefault="00E06274" w:rsidP="00E06274">
      <w:pPr>
        <w:spacing w:line="360" w:lineRule="auto"/>
        <w:jc w:val="both"/>
        <w:rPr>
          <w:rtl/>
        </w:rPr>
      </w:pPr>
      <w:r>
        <w:rPr>
          <w:rFonts w:hint="cs"/>
          <w:rtl/>
        </w:rPr>
        <w:t>כידוע, הכלל הוא כי מבצע העבירה יורשע במיוחס לו, ורק במקרים חריגים במיוחד, בהם אין יחס סביר בין חומרת העבירה ונסיבותיה לבין הנזק הצפוי לנאשם מן ההרשעה, יעשה בית המשפט שימוש בסמכותו להימנע מהרשעת הנאשם. המבחן המקובל, כפי שנקבע ב</w:t>
      </w:r>
      <w:hyperlink r:id="rId18" w:history="1">
        <w:r w:rsidR="00231259" w:rsidRPr="00231259">
          <w:rPr>
            <w:color w:val="0000FF"/>
            <w:u w:val="single"/>
            <w:rtl/>
          </w:rPr>
          <w:t>ע"פ 2083/96</w:t>
        </w:r>
      </w:hyperlink>
      <w:r>
        <w:rPr>
          <w:rFonts w:hint="cs"/>
          <w:rtl/>
        </w:rPr>
        <w:t xml:space="preserve"> </w:t>
      </w:r>
      <w:r>
        <w:rPr>
          <w:rFonts w:hint="cs"/>
          <w:b/>
          <w:bCs/>
          <w:rtl/>
        </w:rPr>
        <w:t>תמר כתב נגד מדינת ישראל</w:t>
      </w:r>
      <w:r>
        <w:rPr>
          <w:rFonts w:hint="cs"/>
          <w:rtl/>
        </w:rPr>
        <w:t xml:space="preserve"> פד"י נב(3) 337 (להלן – </w:t>
      </w:r>
      <w:r>
        <w:rPr>
          <w:rFonts w:hint="cs"/>
          <w:b/>
          <w:bCs/>
          <w:rtl/>
        </w:rPr>
        <w:t>הלכת</w:t>
      </w:r>
      <w:r>
        <w:rPr>
          <w:rFonts w:hint="cs"/>
          <w:rtl/>
        </w:rPr>
        <w:t xml:space="preserve"> </w:t>
      </w:r>
      <w:r>
        <w:rPr>
          <w:rFonts w:hint="cs"/>
          <w:b/>
          <w:bCs/>
          <w:rtl/>
        </w:rPr>
        <w:t>כתב</w:t>
      </w:r>
      <w:r>
        <w:rPr>
          <w:rFonts w:hint="cs"/>
          <w:rtl/>
        </w:rPr>
        <w:t>), הוא כי הימנעות מהרשעה אפשרית בהצטבר שני פרמטרים: האחד – סוג העבירה מאפשר לוותר בנסיבות המקרה על הרשעה מבלי לפגוע בשיקולי ענישה אחרים; השני – על ההרשעה לפגוע פגיעה חמורה בעתידו של הנאשם או בשיקומו.</w:t>
      </w:r>
    </w:p>
    <w:p w14:paraId="75ED4AF3" w14:textId="77777777" w:rsidR="00E06274" w:rsidRDefault="00E06274" w:rsidP="00E06274">
      <w:pPr>
        <w:spacing w:line="360" w:lineRule="auto"/>
        <w:jc w:val="both"/>
        <w:rPr>
          <w:rtl/>
        </w:rPr>
      </w:pPr>
      <w:r>
        <w:rPr>
          <w:rFonts w:hint="cs"/>
          <w:rtl/>
        </w:rPr>
        <w:t xml:space="preserve">במקרה שלנו מדובר בגידול סמים בכמות ובמשקל משמעותיים (2.1 ק"ג). </w:t>
      </w:r>
    </w:p>
    <w:p w14:paraId="2B614464" w14:textId="77777777" w:rsidR="00E06274" w:rsidRDefault="00E06274" w:rsidP="00E06274">
      <w:pPr>
        <w:spacing w:line="360" w:lineRule="auto"/>
        <w:jc w:val="both"/>
        <w:rPr>
          <w:rtl/>
        </w:rPr>
      </w:pPr>
      <w:r>
        <w:rPr>
          <w:rFonts w:hint="cs"/>
          <w:rtl/>
        </w:rPr>
        <w:t xml:space="preserve">כאמור, לטענת הנאשם, בהתבסס על המלצת שירות המבחן, הרשעתו בדין עלולה לפגוע בסיכויו לקבל הסמכה כהנדסאי מכונות. </w:t>
      </w:r>
    </w:p>
    <w:p w14:paraId="4D896A66" w14:textId="77777777" w:rsidR="00E06274" w:rsidRDefault="00E06274" w:rsidP="00E06274">
      <w:pPr>
        <w:spacing w:line="360" w:lineRule="auto"/>
        <w:jc w:val="both"/>
        <w:rPr>
          <w:rtl/>
        </w:rPr>
      </w:pPr>
      <w:r>
        <w:rPr>
          <w:rFonts w:hint="cs"/>
          <w:rtl/>
        </w:rPr>
        <w:lastRenderedPageBreak/>
        <w:t xml:space="preserve">לעניין נסיבות ביצוע העבירה, הוסכם במעמד הצגת הסדר הטיעון כי: </w:t>
      </w:r>
    </w:p>
    <w:p w14:paraId="2BC39C21" w14:textId="77777777" w:rsidR="00E06274" w:rsidRDefault="00E06274" w:rsidP="00E06274">
      <w:pPr>
        <w:spacing w:line="360" w:lineRule="auto"/>
        <w:jc w:val="both"/>
        <w:rPr>
          <w:rtl/>
        </w:rPr>
      </w:pPr>
      <w:r>
        <w:rPr>
          <w:rFonts w:hint="cs"/>
          <w:rtl/>
        </w:rPr>
        <w:t xml:space="preserve">"הנאשם יודה בו ויישלח לתסקיר אשר יבחן בין היתר שאלת הרשעתו והצדדים ישובו וישוחחו ביניהם לאחר מכן". </w:t>
      </w:r>
    </w:p>
    <w:p w14:paraId="0A4965FF" w14:textId="77777777" w:rsidR="00E06274" w:rsidRPr="00E06274" w:rsidRDefault="00E06274" w:rsidP="00E06274">
      <w:pPr>
        <w:spacing w:line="360" w:lineRule="auto"/>
        <w:jc w:val="both"/>
        <w:rPr>
          <w:rFonts w:eastAsia="Calibri"/>
          <w:rtl/>
        </w:rPr>
      </w:pPr>
    </w:p>
    <w:p w14:paraId="3CDAB078" w14:textId="77777777" w:rsidR="00E06274" w:rsidRDefault="00E06274" w:rsidP="00E06274">
      <w:pPr>
        <w:spacing w:line="360" w:lineRule="auto"/>
        <w:jc w:val="both"/>
        <w:rPr>
          <w:rFonts w:eastAsia="David"/>
          <w:rtl/>
        </w:rPr>
      </w:pPr>
      <w:r>
        <w:rPr>
          <w:rFonts w:hint="cs"/>
          <w:rtl/>
        </w:rPr>
        <w:t xml:space="preserve">עוד הוסכם: </w:t>
      </w:r>
    </w:p>
    <w:p w14:paraId="2CB0B45A" w14:textId="77777777" w:rsidR="00E06274" w:rsidRDefault="00E06274" w:rsidP="00E06274">
      <w:pPr>
        <w:spacing w:line="360" w:lineRule="auto"/>
        <w:jc w:val="both"/>
        <w:rPr>
          <w:b/>
          <w:bCs/>
          <w:rtl/>
        </w:rPr>
      </w:pPr>
      <w:r>
        <w:rPr>
          <w:rFonts w:hint="cs"/>
          <w:b/>
          <w:bCs/>
          <w:rtl/>
        </w:rPr>
        <w:t xml:space="preserve">"ההגנה טוענת כי הנאשם גידל את הסמים וזאת לשימושו העצמי בלבד. התביעה מסכימה כי הנאשם יטען זאת. התביעה לא תביא ראיות לסתור ואולם תתבקש להיצמד לכתב האישום". </w:t>
      </w:r>
    </w:p>
    <w:p w14:paraId="1203A27C" w14:textId="77777777" w:rsidR="00E06274" w:rsidRDefault="00E06274" w:rsidP="00E06274">
      <w:pPr>
        <w:spacing w:line="360" w:lineRule="auto"/>
        <w:jc w:val="both"/>
        <w:rPr>
          <w:rtl/>
        </w:rPr>
      </w:pPr>
    </w:p>
    <w:p w14:paraId="307D34F5" w14:textId="77777777" w:rsidR="00E06274" w:rsidRDefault="00E06274" w:rsidP="00E06274">
      <w:pPr>
        <w:spacing w:line="360" w:lineRule="auto"/>
        <w:jc w:val="both"/>
        <w:rPr>
          <w:rtl/>
        </w:rPr>
      </w:pPr>
      <w:r>
        <w:rPr>
          <w:rFonts w:hint="cs"/>
          <w:rtl/>
        </w:rPr>
        <w:t xml:space="preserve">טענת "הגידול לשימוש עצמי", שהתביעה הסכימה שהנאשם יטען מבלי שתביא ראיות לסתור אותה, אומצה גם בתסקיר שירות המבחן (ראו עמ' 3 ובסוף עמ' 5 לתסקיר). </w:t>
      </w:r>
    </w:p>
    <w:p w14:paraId="4E656089" w14:textId="77777777" w:rsidR="00E06274" w:rsidRDefault="00E06274" w:rsidP="00E06274">
      <w:pPr>
        <w:spacing w:line="360" w:lineRule="auto"/>
        <w:jc w:val="both"/>
      </w:pPr>
      <w:r>
        <w:rPr>
          <w:rFonts w:hint="cs"/>
          <w:rtl/>
        </w:rPr>
        <w:t xml:space="preserve">ראיתי להעיר כי בטיעונה הנחרץ של התביעה לעונש אשר ביקרה בחריפות את טענת הנאשם לפיה "גידל את הסמים וזאת לשימושו העצמי בלבד", יש משום נסיגה מסוימת מהסכמת התביעה בשלב הצגת ההסדר. כמובן שטיעונה של התביעה- לפיו: "גידול הוא גידול"; "באמירה זו מצד הנאשם, גלומה מסוכנות, טוען טענה כזו מנסה להפחית מחומרת מעשיו, מנסה לטשטש ומלמד כי הנאשם לא מבין חומרת מעשיו" - הוא טיעון לגיטימי בדרך כלל, אך, בנסיבות תיק זה, הטיעון אינו עולה בקנה אחד עם הסכמתה הקודמת. הודאתו של הנאשם התקבלה בהינתן ההסכמות לאחר הליך גישור. זה היה הליך גישור שהתקיים לפניי, בעיצומו של הליך הוכחות שהתנהל לפני כבוד השופט א' הרמלין, והשתכלל לכדי ההסדר האמור. מטבע הדברים, הצדדים פרסו בפניי, במהלך הגישור, טיעוניהם במישור הראייתי והמשפטי. כפי שציינה זאת ב"כ המאשימה: </w:t>
      </w:r>
    </w:p>
    <w:p w14:paraId="22355731" w14:textId="77777777" w:rsidR="00E06274" w:rsidRDefault="00E06274" w:rsidP="00E06274">
      <w:pPr>
        <w:spacing w:line="360" w:lineRule="auto"/>
        <w:jc w:val="both"/>
        <w:rPr>
          <w:b/>
          <w:bCs/>
          <w:rtl/>
        </w:rPr>
      </w:pPr>
      <w:r>
        <w:rPr>
          <w:rFonts w:hint="cs"/>
          <w:b/>
          <w:bCs/>
          <w:rtl/>
        </w:rPr>
        <w:t xml:space="preserve">"לאחר ששמעתי את בית המשפט ולאור הקשיים הראייתיים שנתגלו בתיק זה ובנסיבותיו הייחודיות, הגענו להסכמות". </w:t>
      </w:r>
    </w:p>
    <w:p w14:paraId="735EAA18" w14:textId="77777777" w:rsidR="00E06274" w:rsidRDefault="00E06274" w:rsidP="00E06274">
      <w:pPr>
        <w:spacing w:line="360" w:lineRule="auto"/>
        <w:jc w:val="both"/>
        <w:rPr>
          <w:rtl/>
        </w:rPr>
      </w:pPr>
      <w:r>
        <w:rPr>
          <w:rFonts w:hint="cs"/>
          <w:rtl/>
        </w:rPr>
        <w:t xml:space="preserve">מכאן, שבכל הנוגע לנסיבות ביצוע העבירה, על בית המשפט להיצמד להסכמות שיהוו המצע והמסד לגזר הדין. </w:t>
      </w:r>
    </w:p>
    <w:p w14:paraId="11B05CDF" w14:textId="77777777" w:rsidR="00E06274" w:rsidRDefault="00E06274" w:rsidP="00E06274">
      <w:pPr>
        <w:spacing w:line="360" w:lineRule="auto"/>
        <w:jc w:val="both"/>
        <w:rPr>
          <w:rtl/>
        </w:rPr>
      </w:pPr>
      <w:r>
        <w:rPr>
          <w:rFonts w:hint="cs"/>
          <w:rtl/>
        </w:rPr>
        <w:t xml:space="preserve">מאידך גיסא, אין להתעלם מהנסיבות לחומרה העולות מכתב האישום. מדובר בעבירה מתוכננת, תוך הצטיידות במכשירים (גם אם מכשירים פשוטים), עבירה שמעצם טיבה וטבעה איננה "בת רגע", בסופה החזיק הנאשם בכמות משמעותית של סמים. </w:t>
      </w:r>
    </w:p>
    <w:p w14:paraId="35E79E1F" w14:textId="77777777" w:rsidR="00E06274" w:rsidRDefault="00E06274" w:rsidP="00E06274">
      <w:pPr>
        <w:spacing w:line="360" w:lineRule="auto"/>
        <w:jc w:val="both"/>
        <w:rPr>
          <w:u w:val="single"/>
        </w:rPr>
      </w:pPr>
      <w:r>
        <w:rPr>
          <w:rFonts w:hint="cs"/>
          <w:u w:val="single"/>
          <w:rtl/>
        </w:rPr>
        <w:t>על רקע כל האמור, לקולא ולחומרה, ועל אף הכמות וסוג הסם, ועל רקע ההסכמות הדיוניות, מקובלת עליי טענת ההגנה לפיה: "אין מדובר בסוג עבירה אשר אינה מאפשרת [כשלעצמה] הימנעות מהרשעה...</w:t>
      </w:r>
      <w:r>
        <w:rPr>
          <w:rFonts w:hint="cs"/>
          <w:rtl/>
        </w:rPr>
        <w:t>".</w:t>
      </w:r>
      <w:r>
        <w:rPr>
          <w:rFonts w:hint="cs"/>
          <w:u w:val="single"/>
          <w:rtl/>
        </w:rPr>
        <w:t xml:space="preserve">  </w:t>
      </w:r>
    </w:p>
    <w:p w14:paraId="11A9CD34" w14:textId="77777777" w:rsidR="00E06274" w:rsidRDefault="00E06274" w:rsidP="00E06274">
      <w:pPr>
        <w:spacing w:line="360" w:lineRule="auto"/>
        <w:jc w:val="both"/>
        <w:rPr>
          <w:u w:val="single"/>
          <w:rtl/>
        </w:rPr>
      </w:pPr>
    </w:p>
    <w:p w14:paraId="3A31F15F" w14:textId="77777777" w:rsidR="00E06274" w:rsidRDefault="00E06274" w:rsidP="00E06274">
      <w:pPr>
        <w:spacing w:line="360" w:lineRule="auto"/>
        <w:jc w:val="both"/>
        <w:rPr>
          <w:u w:val="single"/>
          <w:rtl/>
        </w:rPr>
      </w:pPr>
      <w:r>
        <w:rPr>
          <w:rFonts w:hint="cs"/>
          <w:u w:val="single"/>
          <w:rtl/>
        </w:rPr>
        <w:t>ואכן ניתן לאתר פסקי דין והליכים שהסתיימו בלא הרשעה גם כאשר מדובר בהחזקה או בגידול של סמים בכמויות משמעותיות</w:t>
      </w:r>
      <w:r>
        <w:rPr>
          <w:rFonts w:hint="cs"/>
          <w:rtl/>
        </w:rPr>
        <w:t>:</w:t>
      </w:r>
    </w:p>
    <w:p w14:paraId="2905AD2B" w14:textId="77777777" w:rsidR="00E06274" w:rsidRDefault="00E06274" w:rsidP="00E06274">
      <w:pPr>
        <w:spacing w:line="360" w:lineRule="auto"/>
        <w:jc w:val="both"/>
        <w:rPr>
          <w:rtl/>
        </w:rPr>
      </w:pPr>
      <w:r>
        <w:rPr>
          <w:rFonts w:hint="cs"/>
          <w:rtl/>
        </w:rPr>
        <w:t xml:space="preserve">בע"פ </w:t>
      </w:r>
      <w:hyperlink r:id="rId19" w:history="1">
        <w:r w:rsidR="004E56C2" w:rsidRPr="004E56C2">
          <w:rPr>
            <w:color w:val="0000FF"/>
            <w:u w:val="single"/>
            <w:rtl/>
          </w:rPr>
          <w:t xml:space="preserve">53504-01-11 </w:t>
        </w:r>
      </w:hyperlink>
      <w:r>
        <w:rPr>
          <w:rFonts w:hint="cs"/>
          <w:rtl/>
        </w:rPr>
        <w:t xml:space="preserve"> </w:t>
      </w:r>
      <w:r>
        <w:rPr>
          <w:rFonts w:hint="cs"/>
          <w:b/>
          <w:bCs/>
          <w:rtl/>
        </w:rPr>
        <w:t>אדם אלון נגד מדינת ישראל</w:t>
      </w:r>
      <w:r>
        <w:rPr>
          <w:rFonts w:hint="cs"/>
          <w:rtl/>
        </w:rPr>
        <w:t xml:space="preserve"> (2011), קיבל בית המשפט המחוזי (מרכז) ערעורו של נאשם שהורשע בעבירה של החזקת</w:t>
      </w:r>
      <w:r>
        <w:rPr>
          <w:rFonts w:hint="cs"/>
          <w:b/>
          <w:bCs/>
          <w:rtl/>
        </w:rPr>
        <w:t xml:space="preserve"> 8.22 ק"ג</w:t>
      </w:r>
      <w:r>
        <w:rPr>
          <w:rFonts w:hint="cs"/>
          <w:rtl/>
        </w:rPr>
        <w:t xml:space="preserve"> סמים מסוג קנבוס שלא לצריכה עצמית ברכבו בצוותא חדא עם אחר. בית המשפט המחוזי מצא לבטל את ההרשעה, חרף חומרת העבירה, משיקולי שיקום ומניעה פגיעה בעתידו של הנאשם. </w:t>
      </w:r>
    </w:p>
    <w:p w14:paraId="59D1146D" w14:textId="77777777" w:rsidR="00E06274" w:rsidRDefault="00231259" w:rsidP="00E06274">
      <w:pPr>
        <w:spacing w:line="360" w:lineRule="auto"/>
        <w:jc w:val="both"/>
        <w:rPr>
          <w:rtl/>
        </w:rPr>
      </w:pPr>
      <w:hyperlink r:id="rId20" w:history="1">
        <w:r w:rsidRPr="00231259">
          <w:rPr>
            <w:color w:val="0000FF"/>
            <w:u w:val="single"/>
            <w:rtl/>
          </w:rPr>
          <w:t>ת"פ (כ"ס) 33806-01-16</w:t>
        </w:r>
      </w:hyperlink>
      <w:r w:rsidR="00E06274">
        <w:rPr>
          <w:rFonts w:hint="cs"/>
          <w:rtl/>
        </w:rPr>
        <w:t xml:space="preserve"> </w:t>
      </w:r>
      <w:r w:rsidR="00E06274">
        <w:rPr>
          <w:rFonts w:hint="cs"/>
          <w:b/>
          <w:bCs/>
          <w:rtl/>
        </w:rPr>
        <w:t xml:space="preserve">מדינת ישראל נ' פשרל גולדנברג </w:t>
      </w:r>
      <w:r w:rsidR="00E06274">
        <w:rPr>
          <w:rFonts w:hint="cs"/>
          <w:rtl/>
        </w:rPr>
        <w:t>(2018), הנאשם הורשע בעבירת גידול של 122 שתילי קנבוס במשקל 18.9 ק"ג. נקבע מתחם עונשי הולם שנע בין 5 ל-15 חודשי מאסר בפועל, כעונש עיקרי וקנס שנע בין 2,000 ל-8,000 ₪. בית המשפט סבר כי יש מקום לסטות ממתחם העונש ההולם והנאשם נדון לצו של"צ בהיקף של 250 שעות, מע"ת, צו מבחן וקנס.</w:t>
      </w:r>
    </w:p>
    <w:p w14:paraId="45097037" w14:textId="77777777" w:rsidR="00E06274" w:rsidRDefault="00E06274" w:rsidP="00E06274">
      <w:pPr>
        <w:spacing w:line="360" w:lineRule="auto"/>
        <w:jc w:val="both"/>
        <w:rPr>
          <w:rtl/>
        </w:rPr>
      </w:pPr>
      <w:r>
        <w:rPr>
          <w:rFonts w:hint="cs"/>
          <w:rtl/>
        </w:rPr>
        <w:t xml:space="preserve">עוד אפנה לפסיקה שהגיש לעיוני ב"כ הנאשם: </w:t>
      </w:r>
      <w:hyperlink r:id="rId21" w:history="1">
        <w:r w:rsidR="00231259" w:rsidRPr="00231259">
          <w:rPr>
            <w:color w:val="0000FF"/>
            <w:u w:val="single"/>
            <w:rtl/>
          </w:rPr>
          <w:t>עפ"ג (חיפה) 28110-10-15</w:t>
        </w:r>
      </w:hyperlink>
      <w:r>
        <w:rPr>
          <w:rFonts w:hint="cs"/>
          <w:rtl/>
        </w:rPr>
        <w:t xml:space="preserve"> </w:t>
      </w:r>
      <w:r>
        <w:rPr>
          <w:rFonts w:hint="cs"/>
          <w:b/>
          <w:bCs/>
          <w:rtl/>
        </w:rPr>
        <w:t>מדינת ישראל נ' דוד</w:t>
      </w:r>
      <w:r>
        <w:rPr>
          <w:rFonts w:hint="cs"/>
          <w:rtl/>
        </w:rPr>
        <w:t xml:space="preserve"> (2015); </w:t>
      </w:r>
      <w:hyperlink r:id="rId22" w:history="1">
        <w:r w:rsidR="00231259" w:rsidRPr="00231259">
          <w:rPr>
            <w:color w:val="0000FF"/>
            <w:u w:val="single"/>
            <w:rtl/>
          </w:rPr>
          <w:t>ת"פ (י-ם) 48512-04-15</w:t>
        </w:r>
      </w:hyperlink>
      <w:r>
        <w:rPr>
          <w:rFonts w:hint="cs"/>
          <w:rtl/>
        </w:rPr>
        <w:t xml:space="preserve"> </w:t>
      </w:r>
      <w:r>
        <w:rPr>
          <w:rFonts w:hint="cs"/>
          <w:b/>
          <w:bCs/>
          <w:rtl/>
        </w:rPr>
        <w:t>מדינת ישראל נ' קלנר ליבל</w:t>
      </w:r>
      <w:r>
        <w:rPr>
          <w:rFonts w:hint="cs"/>
          <w:rtl/>
        </w:rPr>
        <w:t xml:space="preserve"> (2018); </w:t>
      </w:r>
      <w:hyperlink r:id="rId23" w:history="1">
        <w:r w:rsidR="00231259" w:rsidRPr="00231259">
          <w:rPr>
            <w:color w:val="0000FF"/>
            <w:u w:val="single"/>
            <w:rtl/>
          </w:rPr>
          <w:t>ת"פ (ת"א) 38955-12-10</w:t>
        </w:r>
      </w:hyperlink>
      <w:r>
        <w:rPr>
          <w:rFonts w:hint="cs"/>
          <w:rtl/>
        </w:rPr>
        <w:t xml:space="preserve"> </w:t>
      </w:r>
      <w:r>
        <w:rPr>
          <w:rFonts w:hint="cs"/>
          <w:b/>
          <w:bCs/>
          <w:rtl/>
        </w:rPr>
        <w:t>מדינת ישראל נ' תלמודי</w:t>
      </w:r>
      <w:r>
        <w:rPr>
          <w:rFonts w:hint="cs"/>
          <w:rtl/>
        </w:rPr>
        <w:t xml:space="preserve"> (2011); </w:t>
      </w:r>
      <w:hyperlink r:id="rId24" w:history="1">
        <w:r w:rsidR="00231259" w:rsidRPr="00231259">
          <w:rPr>
            <w:color w:val="0000FF"/>
            <w:u w:val="single"/>
            <w:rtl/>
          </w:rPr>
          <w:t>ת"פ (ת"א) 23797-03-14</w:t>
        </w:r>
      </w:hyperlink>
      <w:r>
        <w:rPr>
          <w:rFonts w:hint="cs"/>
          <w:rtl/>
        </w:rPr>
        <w:t xml:space="preserve"> </w:t>
      </w:r>
      <w:r>
        <w:rPr>
          <w:rFonts w:hint="cs"/>
          <w:b/>
          <w:bCs/>
          <w:rtl/>
        </w:rPr>
        <w:t>מדינת ישראל נ' אביב</w:t>
      </w:r>
      <w:r>
        <w:rPr>
          <w:rFonts w:hint="cs"/>
          <w:rtl/>
        </w:rPr>
        <w:t xml:space="preserve"> (2015).</w:t>
      </w:r>
    </w:p>
    <w:p w14:paraId="1622C6EC" w14:textId="77777777" w:rsidR="00E06274" w:rsidRDefault="00E06274" w:rsidP="00E06274">
      <w:pPr>
        <w:spacing w:line="360" w:lineRule="auto"/>
        <w:jc w:val="both"/>
        <w:rPr>
          <w:rtl/>
        </w:rPr>
      </w:pPr>
    </w:p>
    <w:p w14:paraId="4F361683" w14:textId="77777777" w:rsidR="00E06274" w:rsidRDefault="00E06274" w:rsidP="00E06274">
      <w:pPr>
        <w:spacing w:line="360" w:lineRule="auto"/>
        <w:jc w:val="both"/>
        <w:rPr>
          <w:rtl/>
        </w:rPr>
      </w:pPr>
      <w:r>
        <w:rPr>
          <w:rFonts w:hint="cs"/>
          <w:rtl/>
        </w:rPr>
        <w:t xml:space="preserve">אשר לנסיבות האישיות, מדובר בעבירה שבוצעה על ידי הנאשם ביום 3.2.19. הנאשם החזיק ציוד לצורך גידול סמים בשני חדרים בדירה שכורה. הנאשם גידל בדירה 2.1 ק"ג מסוג קנבוס ועוד החזיק סמים  מאותו סוג, לצריכה עצמית, במשקל קטן. </w:t>
      </w:r>
    </w:p>
    <w:p w14:paraId="690A8411" w14:textId="77777777" w:rsidR="00E06274" w:rsidRDefault="00E06274" w:rsidP="00E06274">
      <w:pPr>
        <w:spacing w:line="360" w:lineRule="auto"/>
        <w:jc w:val="both"/>
        <w:rPr>
          <w:rtl/>
        </w:rPr>
      </w:pPr>
      <w:r>
        <w:rPr>
          <w:rFonts w:hint="cs"/>
          <w:rtl/>
        </w:rPr>
        <w:t xml:space="preserve">הנאשם נעדר עבר פלילי, ללא תיקים פתוחים נגדו, שנטל אחריות על מעשיו והביע צער וחרטה. שירות המבחן תיאר אותו כאדם נעדר דפוסי חשיבה והתנהגות שוליים, וכי מעורבותו בעבירה חריגה לאורחות חייו. </w:t>
      </w:r>
    </w:p>
    <w:p w14:paraId="53797045" w14:textId="77777777" w:rsidR="00E06274" w:rsidRDefault="00E06274" w:rsidP="00E06274">
      <w:pPr>
        <w:spacing w:line="360" w:lineRule="auto"/>
        <w:jc w:val="both"/>
        <w:rPr>
          <w:rtl/>
        </w:rPr>
      </w:pPr>
      <w:r>
        <w:rPr>
          <w:rFonts w:hint="cs"/>
          <w:rtl/>
        </w:rPr>
        <w:t xml:space="preserve">שירות המבחן התרשם מיכולתו של הנאשם ורצונו לעריכת שינוי בחייו, מתמיכה משפחתית,  ומהתרעה שחווה כתוצאה מהליך המעצר. </w:t>
      </w:r>
    </w:p>
    <w:p w14:paraId="74D4D6B6" w14:textId="77777777" w:rsidR="00E06274" w:rsidRDefault="00E06274" w:rsidP="00E06274">
      <w:pPr>
        <w:spacing w:line="360" w:lineRule="auto"/>
        <w:jc w:val="both"/>
        <w:rPr>
          <w:rtl/>
        </w:rPr>
      </w:pPr>
      <w:r>
        <w:rPr>
          <w:rFonts w:hint="cs"/>
          <w:rtl/>
        </w:rPr>
        <w:t xml:space="preserve">הנאשם פנה ביוזמתו ליחידה לטיפול בהתמכרויות והתמסר לטיפול ואף נוצר "קשר טיפולי מיטיב". במקביל פנה הנאשם לקבלת טיפול פסיכיאטרי. במהלך הטיפול הנאשם "נפתח" ומסר שהטיפול סייע לו "בהיכרות עם עצמו וקשייו" לרבות במישורים שונים בתחום הזוגי. תהליך זה שהוגדר על ידי שירות המבחן כ: "התבוננות פנימית ומעמיקה וכנה" היה עקבי לאורך זמן ממושך. </w:t>
      </w:r>
    </w:p>
    <w:p w14:paraId="243E078B" w14:textId="77777777" w:rsidR="00E06274" w:rsidRDefault="00E06274" w:rsidP="00E06274">
      <w:pPr>
        <w:spacing w:line="360" w:lineRule="auto"/>
        <w:jc w:val="both"/>
        <w:rPr>
          <w:rtl/>
        </w:rPr>
      </w:pPr>
      <w:r>
        <w:rPr>
          <w:rFonts w:hint="cs"/>
          <w:rtl/>
        </w:rPr>
        <w:t xml:space="preserve">שירות המבחן התרשם "מהפחתת הסיכון בכל הנוגע להתנהלות שולית בעולם הסם". </w:t>
      </w:r>
    </w:p>
    <w:p w14:paraId="7AB42A0C" w14:textId="77777777" w:rsidR="00E06274" w:rsidRDefault="00E06274" w:rsidP="00E06274">
      <w:pPr>
        <w:spacing w:line="360" w:lineRule="auto"/>
        <w:jc w:val="both"/>
        <w:rPr>
          <w:rtl/>
        </w:rPr>
      </w:pPr>
      <w:r>
        <w:rPr>
          <w:rFonts w:hint="cs"/>
          <w:rtl/>
        </w:rPr>
        <w:t xml:space="preserve">לעניין זה, לא מצאתי לייחס משקל רב למעידה אחת בדרך, אותה הסביר הנאשם באריכות תוך הפנייה לאסופת מסמכים רפואיים (פסקה 6 לטיעונים לעונש בכתב). אעיר כי בקשתו של הנאשם לקבלת רישיון לשימוש בקנביס רפואי נדחתה בשלב זה. </w:t>
      </w:r>
    </w:p>
    <w:p w14:paraId="6CBE044B" w14:textId="77777777" w:rsidR="00E06274" w:rsidRDefault="00E06274" w:rsidP="00E06274">
      <w:pPr>
        <w:spacing w:line="360" w:lineRule="auto"/>
        <w:jc w:val="both"/>
        <w:rPr>
          <w:u w:val="single"/>
          <w:rtl/>
        </w:rPr>
      </w:pPr>
      <w:r>
        <w:rPr>
          <w:rFonts w:hint="cs"/>
          <w:rtl/>
        </w:rPr>
        <w:t xml:space="preserve">הנאשם היה במעקב וטיפול בשירות המבחן במשך תקופה ארוכה מאוד, החל מצו פיקוח בשלב המעצר ועד היום. הטיפול כלל השתתפות בקבוצות טיפוליות, וכן בטיפול ביחידה בהתמכרויות. הטיפול כלל התייחסות למצב נפשי ולטיפול פסיכיאטרי. הטיפול היה טיפול "הוליסטי" שהתייחס לכלל בעיותיו וקשייו של הנאשם: במישור ההתמכרותי, במישור הנפשי ואף במישור הזוגי (אף שאין קשר לתחום זה). התסקיר האחרון, התסקיר המסכם, היה תסקיר </w:t>
      </w:r>
      <w:r>
        <w:rPr>
          <w:rFonts w:hint="cs"/>
          <w:u w:val="single"/>
          <w:rtl/>
        </w:rPr>
        <w:t>חיובי במיוחד</w:t>
      </w:r>
      <w:r>
        <w:rPr>
          <w:rFonts w:hint="cs"/>
          <w:rtl/>
        </w:rPr>
        <w:t xml:space="preserve">. </w:t>
      </w:r>
    </w:p>
    <w:p w14:paraId="50B7ADDA" w14:textId="77777777" w:rsidR="00E06274" w:rsidRDefault="00E06274" w:rsidP="00E06274">
      <w:pPr>
        <w:spacing w:line="360" w:lineRule="auto"/>
        <w:jc w:val="both"/>
        <w:rPr>
          <w:u w:val="single"/>
          <w:rtl/>
        </w:rPr>
      </w:pPr>
      <w:r>
        <w:rPr>
          <w:rFonts w:hint="cs"/>
          <w:u w:val="single"/>
          <w:rtl/>
        </w:rPr>
        <w:t xml:space="preserve">לאחר שעיינתי בתסקירים השונים (4 תסקירים) הגעתי לכלל מסקנה כי תהליך הטיפול והשיקום שעבר הנאשם היה מוצלח, ולכן בכל הנוגע לקריטריון השיקום לפי הלכת 'תמר כתב' יש לקבוע שהנאשם עמד בדרישה זו. </w:t>
      </w:r>
    </w:p>
    <w:p w14:paraId="319560BC" w14:textId="77777777" w:rsidR="00E06274" w:rsidRDefault="00E06274" w:rsidP="00E06274">
      <w:pPr>
        <w:spacing w:line="360" w:lineRule="auto"/>
        <w:jc w:val="both"/>
        <w:rPr>
          <w:rtl/>
        </w:rPr>
      </w:pPr>
      <w:r>
        <w:rPr>
          <w:rFonts w:hint="cs"/>
          <w:rtl/>
        </w:rPr>
        <w:t xml:space="preserve">עקב אכילס של ההגנה בשאיפתה להימנעות מהרשעה חוזר לסוגיית הנזק הקונקרטי. כאמור, על ההגנה להוכיח שהרשעת הנאשם עלולה להביא עמה </w:t>
      </w:r>
      <w:r>
        <w:rPr>
          <w:rFonts w:hint="cs"/>
          <w:b/>
          <w:bCs/>
          <w:rtl/>
        </w:rPr>
        <w:t>פגיעה חמורה</w:t>
      </w:r>
      <w:r>
        <w:rPr>
          <w:rFonts w:hint="cs"/>
          <w:rtl/>
        </w:rPr>
        <w:t xml:space="preserve"> בעתידו של הנאשם או בשיקומו. הפסיקה עמדה על הדרישה להוכחת "נזק קונקרטי". נאמר נזק קונקרטי להבדיל מנזק אפשרי או פוטנציאלי. </w:t>
      </w:r>
    </w:p>
    <w:p w14:paraId="4AACCC49" w14:textId="77777777" w:rsidR="00E06274" w:rsidRDefault="00E06274" w:rsidP="00E06274">
      <w:pPr>
        <w:spacing w:line="360" w:lineRule="auto"/>
        <w:jc w:val="both"/>
        <w:rPr>
          <w:rtl/>
        </w:rPr>
      </w:pPr>
      <w:r>
        <w:rPr>
          <w:rFonts w:hint="cs"/>
          <w:rtl/>
        </w:rPr>
        <w:t>הנאשם טען כי הוא מעוניין להשלים את לימודיו לתואר הנדסאי מכונות, אותם הפסיק כשנותרו לו שתי בחינות אחרונות. מדובר בהפסקה ארוכה בת כארבע שנים. על רקע זה, בקשתו של הנאשם לחידוש לימודיו נמצאת בטיפול (בוועדת חריגים).</w:t>
      </w:r>
    </w:p>
    <w:p w14:paraId="6225EB01" w14:textId="77777777" w:rsidR="00E06274" w:rsidRDefault="00E06274" w:rsidP="00E06274">
      <w:pPr>
        <w:spacing w:line="360" w:lineRule="auto"/>
        <w:jc w:val="both"/>
        <w:rPr>
          <w:rtl/>
        </w:rPr>
      </w:pPr>
      <w:r>
        <w:rPr>
          <w:rFonts w:hint="cs"/>
          <w:rtl/>
        </w:rPr>
        <w:t xml:space="preserve">מדובר לשיטתי בנזק עתידי, שרמת ההסתברות שלו אמנם אינה נמוכה, אך איננו בגדר נזק קונקרטי קיים ואף לא ברמת וודאות גבוהה. חזקה על הגורם המוסמך שיבדוק את נסיבות ההרשעה טרם קבלת החלטה בעניינו של הנאשם. כאשר עסקינן בעבירה של גידול סמים מסוג קנאביס שנועדה לשימושו העצמי, אינני בטוח כלל וכלל שההרשעה תסכל את השתלבותו במקצוע. זאת בהנחה שהנאשם יחזור לספסל הלימודים, יסיים את לימודיו ויבקש להשתלב בעבודה כהנדסאי מכונות. </w:t>
      </w:r>
    </w:p>
    <w:p w14:paraId="63B56113" w14:textId="77777777" w:rsidR="00E06274" w:rsidRDefault="00E06274" w:rsidP="00E06274">
      <w:pPr>
        <w:pStyle w:val="big-header"/>
        <w:ind w:left="0" w:right="1134"/>
        <w:jc w:val="left"/>
        <w:rPr>
          <w:rFonts w:ascii="David" w:hAnsi="David" w:cs="David"/>
          <w:sz w:val="24"/>
          <w:szCs w:val="24"/>
          <w:rtl/>
        </w:rPr>
      </w:pPr>
      <w:r>
        <w:rPr>
          <w:rFonts w:ascii="David" w:hAnsi="David" w:cs="David"/>
          <w:sz w:val="24"/>
          <w:szCs w:val="24"/>
          <w:rtl/>
        </w:rPr>
        <w:t xml:space="preserve">לפי </w:t>
      </w:r>
      <w:hyperlink r:id="rId25" w:history="1">
        <w:r w:rsidR="008B25C8" w:rsidRPr="008B25C8">
          <w:rPr>
            <w:rStyle w:val="Hyperlink"/>
            <w:rFonts w:ascii="David" w:hAnsi="David" w:cs="David"/>
            <w:sz w:val="24"/>
            <w:szCs w:val="24"/>
            <w:rtl/>
          </w:rPr>
          <w:t>סעיף 18</w:t>
        </w:r>
      </w:hyperlink>
      <w:r>
        <w:rPr>
          <w:rFonts w:ascii="David" w:hAnsi="David" w:cs="David"/>
          <w:sz w:val="24"/>
          <w:szCs w:val="24"/>
          <w:rtl/>
        </w:rPr>
        <w:t xml:space="preserve"> ל</w:t>
      </w:r>
      <w:hyperlink r:id="rId26" w:history="1">
        <w:r w:rsidR="00231259" w:rsidRPr="00231259">
          <w:rPr>
            <w:rFonts w:ascii="David" w:hAnsi="David" w:cs="David"/>
            <w:color w:val="0000FF"/>
            <w:sz w:val="24"/>
            <w:szCs w:val="24"/>
            <w:u w:val="single"/>
            <w:rtl/>
          </w:rPr>
          <w:t>חוק ההנדסאים והטכנאים המוסמכים</w:t>
        </w:r>
      </w:hyperlink>
      <w:r>
        <w:rPr>
          <w:rFonts w:ascii="David" w:hAnsi="David" w:cs="David"/>
          <w:sz w:val="24"/>
          <w:szCs w:val="24"/>
          <w:rtl/>
        </w:rPr>
        <w:t xml:space="preserve">, תשע"ג-2012: </w:t>
      </w:r>
    </w:p>
    <w:p w14:paraId="4059FC54" w14:textId="77777777" w:rsidR="00E06274" w:rsidRDefault="00E06274" w:rsidP="00E06274">
      <w:pPr>
        <w:pStyle w:val="P000"/>
        <w:spacing w:before="72"/>
        <w:ind w:left="0" w:right="1134"/>
        <w:rPr>
          <w:rStyle w:val="default"/>
          <w:sz w:val="24"/>
          <w:szCs w:val="24"/>
          <w:rtl/>
        </w:rPr>
      </w:pPr>
      <w:r>
        <w:rPr>
          <w:rStyle w:val="default"/>
          <w:rFonts w:hint="cs"/>
          <w:sz w:val="24"/>
          <w:szCs w:val="24"/>
          <w:rtl/>
        </w:rPr>
        <w:tab/>
      </w:r>
      <w:r>
        <w:rPr>
          <w:rStyle w:val="default"/>
          <w:rFonts w:hint="cs"/>
          <w:sz w:val="24"/>
          <w:szCs w:val="24"/>
          <w:rtl/>
        </w:rPr>
        <w:tab/>
        <w:t>(א)</w:t>
      </w:r>
      <w:r>
        <w:rPr>
          <w:rStyle w:val="default"/>
          <w:rFonts w:hint="cs"/>
          <w:sz w:val="24"/>
          <w:szCs w:val="24"/>
          <w:rtl/>
        </w:rPr>
        <w:tab/>
        <w:t>זכאי להירשם במרשם מי שמתקיימים בו כל אלה:</w:t>
      </w:r>
    </w:p>
    <w:p w14:paraId="573207F8" w14:textId="77777777" w:rsidR="00E06274" w:rsidRDefault="00E06274" w:rsidP="00E06274">
      <w:pPr>
        <w:pStyle w:val="P000"/>
        <w:spacing w:before="72"/>
        <w:ind w:left="1021" w:right="1134"/>
        <w:rPr>
          <w:rStyle w:val="default"/>
          <w:sz w:val="24"/>
          <w:szCs w:val="24"/>
          <w:rtl/>
        </w:rPr>
      </w:pPr>
      <w:r>
        <w:rPr>
          <w:rStyle w:val="default"/>
          <w:rFonts w:hint="cs"/>
          <w:sz w:val="24"/>
          <w:szCs w:val="24"/>
          <w:rtl/>
        </w:rPr>
        <w:tab/>
        <w:t>(1)</w:t>
      </w:r>
      <w:r>
        <w:rPr>
          <w:rStyle w:val="default"/>
          <w:rFonts w:hint="cs"/>
          <w:sz w:val="24"/>
          <w:szCs w:val="24"/>
          <w:rtl/>
        </w:rPr>
        <w:tab/>
        <w:t>הוא בגיר;</w:t>
      </w:r>
    </w:p>
    <w:p w14:paraId="35688CB0" w14:textId="77777777" w:rsidR="00E06274" w:rsidRDefault="00E06274" w:rsidP="00E06274">
      <w:pPr>
        <w:pStyle w:val="P000"/>
        <w:spacing w:before="72"/>
        <w:ind w:left="1021" w:right="1134"/>
        <w:rPr>
          <w:rStyle w:val="default"/>
          <w:sz w:val="24"/>
          <w:szCs w:val="24"/>
          <w:rtl/>
        </w:rPr>
      </w:pPr>
      <w:r>
        <w:rPr>
          <w:rStyle w:val="default"/>
          <w:rFonts w:hint="cs"/>
          <w:sz w:val="24"/>
          <w:szCs w:val="24"/>
          <w:rtl/>
        </w:rPr>
        <w:tab/>
        <w:t>(2)</w:t>
      </w:r>
      <w:r>
        <w:rPr>
          <w:rStyle w:val="default"/>
          <w:rFonts w:hint="cs"/>
          <w:sz w:val="24"/>
          <w:szCs w:val="24"/>
          <w:rtl/>
        </w:rPr>
        <w:tab/>
        <w:t>הוא אזרח ישראלי או תושב ישראל;</w:t>
      </w:r>
    </w:p>
    <w:p w14:paraId="06E9FC61" w14:textId="77777777" w:rsidR="00E06274" w:rsidRDefault="00E06274" w:rsidP="00E06274">
      <w:pPr>
        <w:pStyle w:val="P000"/>
        <w:spacing w:before="72"/>
        <w:ind w:left="1021" w:right="1134"/>
        <w:rPr>
          <w:rStyle w:val="default"/>
          <w:sz w:val="24"/>
          <w:szCs w:val="24"/>
          <w:rtl/>
        </w:rPr>
      </w:pPr>
      <w:r>
        <w:rPr>
          <w:rStyle w:val="default"/>
          <w:rFonts w:hint="cs"/>
          <w:sz w:val="24"/>
          <w:szCs w:val="24"/>
          <w:rtl/>
        </w:rPr>
        <w:tab/>
        <w:t>(3)</w:t>
      </w:r>
      <w:r>
        <w:rPr>
          <w:rStyle w:val="default"/>
          <w:rFonts w:hint="cs"/>
          <w:sz w:val="24"/>
          <w:szCs w:val="24"/>
          <w:rtl/>
        </w:rPr>
        <w:tab/>
        <w:t>הוא שילם את אגרת הרישום כפי שנקבעה בתקנות;</w:t>
      </w:r>
    </w:p>
    <w:p w14:paraId="5983D0CE" w14:textId="77777777" w:rsidR="00E06274" w:rsidRDefault="00E06274" w:rsidP="00E06274">
      <w:pPr>
        <w:pStyle w:val="P000"/>
        <w:spacing w:before="72"/>
        <w:ind w:left="1474" w:right="1134" w:hanging="453"/>
        <w:rPr>
          <w:rStyle w:val="default"/>
          <w:sz w:val="24"/>
          <w:szCs w:val="24"/>
          <w:rtl/>
        </w:rPr>
      </w:pPr>
      <w:r>
        <w:rPr>
          <w:rStyle w:val="default"/>
          <w:rFonts w:hint="cs"/>
          <w:sz w:val="24"/>
          <w:szCs w:val="24"/>
          <w:rtl/>
        </w:rPr>
        <w:tab/>
        <w:t>(4)</w:t>
      </w:r>
      <w:r>
        <w:rPr>
          <w:rStyle w:val="default"/>
          <w:rFonts w:hint="cs"/>
          <w:sz w:val="24"/>
          <w:szCs w:val="24"/>
          <w:rtl/>
        </w:rPr>
        <w:tab/>
      </w:r>
      <w:r>
        <w:rPr>
          <w:rStyle w:val="default"/>
          <w:rFonts w:hint="cs"/>
          <w:b/>
          <w:bCs/>
          <w:sz w:val="24"/>
          <w:szCs w:val="24"/>
          <w:rtl/>
        </w:rPr>
        <w:t>הוא לא הורשע, בישראל או מחוץ לישראל, בעבירה פלילית שמפאת מהותה, חומרתה או נסיבותיה אין הוא ראוי, לדעת ועדת ההסמכה, להירשם במרשם</w:t>
      </w:r>
      <w:r>
        <w:rPr>
          <w:rStyle w:val="default"/>
          <w:rFonts w:hint="cs"/>
          <w:sz w:val="24"/>
          <w:szCs w:val="24"/>
          <w:rtl/>
        </w:rPr>
        <w:t>; לשם קביעת דעתה, רשאית ועדת ההסמכה להתייעץ עם ועדת המשמעת שמונתה לפי סעיף 25;</w:t>
      </w:r>
    </w:p>
    <w:p w14:paraId="30EE5830" w14:textId="77777777" w:rsidR="00E06274" w:rsidRDefault="00E06274" w:rsidP="00E06274">
      <w:pPr>
        <w:pStyle w:val="P000"/>
        <w:spacing w:before="72"/>
        <w:ind w:left="1021" w:right="1134"/>
        <w:rPr>
          <w:rStyle w:val="default"/>
          <w:sz w:val="24"/>
          <w:szCs w:val="24"/>
          <w:rtl/>
        </w:rPr>
      </w:pPr>
      <w:r>
        <w:rPr>
          <w:rStyle w:val="default"/>
          <w:rFonts w:hint="cs"/>
          <w:sz w:val="24"/>
          <w:szCs w:val="24"/>
          <w:rtl/>
        </w:rPr>
        <w:tab/>
        <w:t>(5)</w:t>
      </w:r>
      <w:r>
        <w:rPr>
          <w:rStyle w:val="default"/>
          <w:rFonts w:hint="cs"/>
          <w:sz w:val="24"/>
          <w:szCs w:val="24"/>
          <w:rtl/>
        </w:rPr>
        <w:tab/>
        <w:t>הוא הנדסאי או טכנאי מוסמך.</w:t>
      </w:r>
    </w:p>
    <w:p w14:paraId="42B9EBC0" w14:textId="77777777" w:rsidR="00E06274" w:rsidRDefault="00E06274" w:rsidP="00E06274">
      <w:pPr>
        <w:spacing w:line="360" w:lineRule="auto"/>
        <w:jc w:val="both"/>
        <w:rPr>
          <w:rFonts w:ascii="David" w:hAnsi="David"/>
          <w:rtl/>
        </w:rPr>
      </w:pPr>
    </w:p>
    <w:p w14:paraId="7195F512" w14:textId="77777777" w:rsidR="00E06274" w:rsidRDefault="00E06274" w:rsidP="00E06274">
      <w:pPr>
        <w:spacing w:line="360" w:lineRule="auto"/>
        <w:jc w:val="both"/>
        <w:rPr>
          <w:rtl/>
        </w:rPr>
      </w:pPr>
      <w:r>
        <w:rPr>
          <w:rFonts w:hint="cs"/>
          <w:rtl/>
        </w:rPr>
        <w:t xml:space="preserve">עינינו הרואות שאין מדובר בשלילה קטיגורית. לא כל הרשעה ולא כל עבירה יובילו לפסילת הרישום. יתרה מזו, ועדת ההסמכה </w:t>
      </w:r>
      <w:r>
        <w:rPr>
          <w:rFonts w:hint="cs"/>
          <w:u w:val="single"/>
          <w:rtl/>
        </w:rPr>
        <w:t>מצווה</w:t>
      </w:r>
      <w:r>
        <w:rPr>
          <w:rFonts w:hint="cs"/>
          <w:rtl/>
        </w:rPr>
        <w:t xml:space="preserve"> לבחון את העבירה הפלילית את מהותה, חומרתה ונסיבותיה. </w:t>
      </w:r>
      <w:r>
        <w:rPr>
          <w:rFonts w:hint="cs"/>
          <w:b/>
          <w:bCs/>
          <w:rtl/>
        </w:rPr>
        <w:t>בטוחני שהגורם המוסמך, כפי שמצופה מכל גורם רגולטורי, ישקול בבוא העת את נסיבותיו האישיות של הנאשם כפי שעולה מגזר הדין, לרבות תהליך השיקום המרשים שעבר</w:t>
      </w:r>
      <w:r>
        <w:rPr>
          <w:rFonts w:hint="cs"/>
          <w:rtl/>
        </w:rPr>
        <w:t xml:space="preserve">. אין צורך לומר כי אם הגורם המוסמך יקבל החלטתו מבלי לקיים את חובותיו לפי כללי המשפט המנהלי, לרבות הפעלת שיקול פרטני, תעמוד לנאשם זכותו לפנות לערכאות. </w:t>
      </w:r>
    </w:p>
    <w:p w14:paraId="20E7A8F4" w14:textId="77777777" w:rsidR="00E06274" w:rsidRDefault="00E06274" w:rsidP="00E06274">
      <w:pPr>
        <w:spacing w:line="360" w:lineRule="auto"/>
        <w:jc w:val="both"/>
        <w:rPr>
          <w:rtl/>
        </w:rPr>
      </w:pPr>
      <w:r>
        <w:rPr>
          <w:rFonts w:hint="cs"/>
          <w:rtl/>
        </w:rPr>
        <w:t xml:space="preserve">סיום ההליך ללא הרשעה, לאור הנסיבות לחומרה שצוינו לעיל, מחייב עמידת הנאשם גם ברכיב "הנזק הקונקרטי". אף הסנגור הסכים שאין בידו להצביע על נזק תעסוקתי "בשלב הנוכחי כתוצאה מהרשעה" (פסקה 14). לכן, ולמרות שלשיטתי הנאשם עמד ביתר הדרישות לפי הלכת תמר כתב, הרי שהעדר נזק קונקרטי בשלב הנוכחי, בצל נסיבות העבירה, מהווה חסם בלתי עביר לצערי. אילו היה זה גידול של שתיל בעציץ יכול שהייתי נוטה יותר לעמדת הנאשם. אילו היה זה נזק קונקרטי יותר, יכול שהייתי נוטה לעמדת הנאשם. ואולם, השילוב בין הגידול בנסיבות לחומרה שצוינו, לבין העדר נזק קונקרטי או מובהק, מביאים אותי למסקנה שאין די באמור כדי להימנע מהרשעת הנאשם. </w:t>
      </w:r>
    </w:p>
    <w:p w14:paraId="72496464" w14:textId="77777777" w:rsidR="00E06274" w:rsidRDefault="00E06274" w:rsidP="00E06274">
      <w:pPr>
        <w:spacing w:line="360" w:lineRule="auto"/>
        <w:jc w:val="both"/>
        <w:rPr>
          <w:b/>
          <w:bCs/>
          <w:rtl/>
        </w:rPr>
      </w:pPr>
      <w:r>
        <w:rPr>
          <w:rFonts w:hint="cs"/>
          <w:b/>
          <w:bCs/>
          <w:rtl/>
        </w:rPr>
        <w:t xml:space="preserve">אני מרשיע, אפוא, את הנאשם בעבירות שיוחסו בכתב האישום, קרי בעבירה של גידול סמים והחזקת סמים לצריכה עצמית. </w:t>
      </w:r>
    </w:p>
    <w:p w14:paraId="049D42AC" w14:textId="77777777" w:rsidR="00E06274" w:rsidRDefault="00E06274" w:rsidP="00E06274">
      <w:pPr>
        <w:spacing w:line="360" w:lineRule="auto"/>
        <w:jc w:val="both"/>
        <w:rPr>
          <w:u w:val="single"/>
          <w:rtl/>
        </w:rPr>
      </w:pPr>
    </w:p>
    <w:p w14:paraId="20137B28" w14:textId="77777777" w:rsidR="00E06274" w:rsidRDefault="00E06274" w:rsidP="00E06274">
      <w:pPr>
        <w:spacing w:line="360" w:lineRule="auto"/>
        <w:jc w:val="both"/>
        <w:rPr>
          <w:rtl/>
        </w:rPr>
      </w:pPr>
      <w:r>
        <w:rPr>
          <w:rFonts w:hint="cs"/>
          <w:u w:val="single"/>
          <w:rtl/>
        </w:rPr>
        <w:t>מתחם העונש ההולם</w:t>
      </w:r>
      <w:r>
        <w:rPr>
          <w:rFonts w:hint="cs"/>
          <w:rtl/>
        </w:rPr>
        <w:t>:</w:t>
      </w:r>
    </w:p>
    <w:p w14:paraId="266869A0" w14:textId="77777777" w:rsidR="00E06274" w:rsidRDefault="00E06274" w:rsidP="00E06274">
      <w:pPr>
        <w:spacing w:line="360" w:lineRule="auto"/>
        <w:jc w:val="both"/>
        <w:rPr>
          <w:rtl/>
        </w:rPr>
      </w:pPr>
      <w:r>
        <w:rPr>
          <w:rFonts w:hint="cs"/>
          <w:rtl/>
        </w:rPr>
        <w:t>בהתאם לתיקון 113 ל</w:t>
      </w:r>
      <w:hyperlink r:id="rId27" w:history="1">
        <w:r w:rsidR="00231259" w:rsidRPr="00231259">
          <w:rPr>
            <w:color w:val="0000FF"/>
            <w:u w:val="single"/>
            <w:rtl/>
          </w:rPr>
          <w:t>חוק העונשין</w:t>
        </w:r>
      </w:hyperlink>
      <w:r>
        <w:rPr>
          <w:rFonts w:hint="cs"/>
          <w:rtl/>
        </w:rPr>
        <w:t xml:space="preserve">, יש לקבוע, בטרם קביעת העונש המתאים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0EA8EC87" w14:textId="77777777" w:rsidR="00E06274" w:rsidRDefault="00E06274" w:rsidP="00E06274">
      <w:pPr>
        <w:spacing w:line="360" w:lineRule="auto"/>
        <w:jc w:val="both"/>
        <w:rPr>
          <w:rtl/>
        </w:rPr>
      </w:pPr>
      <w:r>
        <w:rPr>
          <w:rFonts w:hint="cs"/>
          <w:rtl/>
          <w:lang w:eastAsia="he-IL"/>
        </w:rPr>
        <w:t xml:space="preserve">הערכים המוגנים בבסיס העבירות הם: שמירה על בריאות הציבור ושלומו וכן תרומתו של בית המשפט למלחמה בנגע הסם. </w:t>
      </w:r>
    </w:p>
    <w:p w14:paraId="0186C2E0" w14:textId="77777777" w:rsidR="00E06274" w:rsidRDefault="00E06274" w:rsidP="00E06274">
      <w:pPr>
        <w:spacing w:line="360" w:lineRule="auto"/>
        <w:jc w:val="both"/>
        <w:rPr>
          <w:rtl/>
        </w:rPr>
      </w:pPr>
      <w:r>
        <w:rPr>
          <w:rFonts w:hint="cs"/>
          <w:rtl/>
        </w:rPr>
        <w:t xml:space="preserve">כאמור, בקביעת גבולות המתחם על בית המשפט להתחשב בראש ובראשונה בנסיבות ביצוע העבירה. על רקע ההסכמות בין הצדדים, בפרט לעניין הסיבה שהובילה את הנאשם לביצוע העבירה (צריכה עצמית של סמים), בחנתי מדיניות הענישה הנוהגת. </w:t>
      </w:r>
    </w:p>
    <w:p w14:paraId="29EEB7F6" w14:textId="77777777" w:rsidR="00E06274" w:rsidRDefault="00E06274" w:rsidP="00E06274">
      <w:pPr>
        <w:spacing w:line="360" w:lineRule="auto"/>
        <w:jc w:val="both"/>
        <w:rPr>
          <w:u w:val="single"/>
          <w:rtl/>
        </w:rPr>
      </w:pPr>
      <w:r>
        <w:rPr>
          <w:rFonts w:hint="cs"/>
          <w:u w:val="single"/>
          <w:rtl/>
        </w:rPr>
        <w:t xml:space="preserve">בנסיבות "הרגילות" כשמדובר בעבירה של גידול סמים בכמות ובמשקל המתוארים בכתב האישום המתוקן, נגזרו עונשים החל ממספר חודשי מאסר שיכול שירוצו בעבודות שירות ועד לשנת מאסר. </w:t>
      </w:r>
    </w:p>
    <w:p w14:paraId="46140EC4" w14:textId="77777777" w:rsidR="00E06274" w:rsidRDefault="00E06274" w:rsidP="00E06274">
      <w:pPr>
        <w:spacing w:line="360" w:lineRule="auto"/>
        <w:jc w:val="both"/>
        <w:rPr>
          <w:rtl/>
        </w:rPr>
      </w:pPr>
      <w:r>
        <w:rPr>
          <w:rFonts w:hint="cs"/>
          <w:rtl/>
        </w:rPr>
        <w:t>ואפנה לפסיקה:</w:t>
      </w:r>
    </w:p>
    <w:p w14:paraId="0A87559A" w14:textId="77777777" w:rsidR="00E06274" w:rsidRDefault="00E06274" w:rsidP="00E06274">
      <w:pPr>
        <w:spacing w:line="360" w:lineRule="auto"/>
        <w:jc w:val="both"/>
        <w:rPr>
          <w:rtl/>
        </w:rPr>
      </w:pPr>
      <w:r>
        <w:rPr>
          <w:rFonts w:hint="cs"/>
          <w:rtl/>
        </w:rPr>
        <w:t>ב</w:t>
      </w:r>
      <w:hyperlink r:id="rId28" w:history="1">
        <w:r w:rsidR="00231259" w:rsidRPr="00231259">
          <w:rPr>
            <w:color w:val="0000FF"/>
            <w:u w:val="single"/>
            <w:rtl/>
          </w:rPr>
          <w:t>עפ"ג (ב"ש) 59309-03-17</w:t>
        </w:r>
      </w:hyperlink>
      <w:r>
        <w:rPr>
          <w:rFonts w:hint="cs"/>
          <w:rtl/>
        </w:rPr>
        <w:t xml:space="preserve"> </w:t>
      </w:r>
      <w:r>
        <w:rPr>
          <w:rFonts w:hint="cs"/>
          <w:b/>
          <w:bCs/>
          <w:rtl/>
        </w:rPr>
        <w:t xml:space="preserve">פרץ נ' מדינת ישראל </w:t>
      </w:r>
      <w:r>
        <w:rPr>
          <w:rFonts w:hint="cs"/>
          <w:rtl/>
        </w:rPr>
        <w:t>(2017), הנאשם הודה והורשע בעבירה של גידול סמים והחזקת סם לצריכה עצמית, במשקל 491.9 גרם. עוד גידל הנאשם 28 שתילים קטנים של סם מסוכן מסוג קנאביס במשקל 1.8624 גרם, והחזיק בסם מסוכן מסוג חשיש במשקל 8.6 גרם, וזאת לצריכתו העצמית. כן נתפס ציוד לגידול הסמים. בית המשפט קמא קבע כי מתחם העונש ההולם נע בין 6 ל-24 חודשי מאסר. בית המשפט קמא סטה ממתחם העונש ההולם וגזר על הנאשם, בין היתר תוך התחשבות בטיפול שעובר, עונש של 3 חודשי מאסר לריצוי בדרך של עבודות שירות בניכוי ימי מעצרו ורכיבי ענישה נלווים. הערעור שהוגש לבית המשפט המחוזי נדחה.</w:t>
      </w:r>
    </w:p>
    <w:p w14:paraId="04EBAF65" w14:textId="77777777" w:rsidR="00E06274" w:rsidRDefault="00E06274" w:rsidP="00E06274">
      <w:pPr>
        <w:spacing w:line="360" w:lineRule="auto"/>
        <w:jc w:val="both"/>
        <w:rPr>
          <w:rtl/>
        </w:rPr>
      </w:pPr>
      <w:r>
        <w:rPr>
          <w:rFonts w:hint="cs"/>
          <w:rtl/>
        </w:rPr>
        <w:t>ב</w:t>
      </w:r>
      <w:hyperlink r:id="rId29" w:history="1">
        <w:r w:rsidR="00231259" w:rsidRPr="00231259">
          <w:rPr>
            <w:color w:val="0000FF"/>
            <w:u w:val="single"/>
            <w:rtl/>
          </w:rPr>
          <w:t>ת"פ (ת"א) 62686-08-19</w:t>
        </w:r>
      </w:hyperlink>
      <w:r>
        <w:rPr>
          <w:rFonts w:hint="cs"/>
          <w:rtl/>
        </w:rPr>
        <w:t xml:space="preserve"> </w:t>
      </w:r>
      <w:r>
        <w:rPr>
          <w:rFonts w:hint="cs"/>
          <w:b/>
          <w:bCs/>
          <w:rtl/>
        </w:rPr>
        <w:t xml:space="preserve">מדינת ישראל נ' עזרא </w:t>
      </w:r>
      <w:r>
        <w:rPr>
          <w:rFonts w:hint="cs"/>
          <w:rtl/>
        </w:rPr>
        <w:t>(2021), הנאשם הורשע בעבירה של גידול סמים. הנאשם גידל 21 שתילי קנאביס במשקל כולל של 2 קילוגרם. בית המשפט קבע מתחם עונשי הולם הנע בין מספר חודשי מאסר שיכול וירוצו בעבודות שירות ועד ל – 12 חודשי מאסר מאחורי סורג ובריח לצד ענישה נלווית. בית המשפט גזר על הנאשם עונש של 70 ימי מאסר בדרך של עבודות שירות בניכוי ימי מעצרו, לצד ענישה נלווית.</w:t>
      </w:r>
    </w:p>
    <w:p w14:paraId="60B45CE1" w14:textId="77777777" w:rsidR="00E06274" w:rsidRDefault="00E06274" w:rsidP="00E06274">
      <w:pPr>
        <w:spacing w:line="360" w:lineRule="auto"/>
        <w:jc w:val="both"/>
        <w:rPr>
          <w:rtl/>
        </w:rPr>
      </w:pPr>
      <w:r>
        <w:rPr>
          <w:rFonts w:hint="cs"/>
          <w:rtl/>
        </w:rPr>
        <w:t>ב</w:t>
      </w:r>
      <w:hyperlink r:id="rId30" w:history="1">
        <w:r w:rsidR="00231259" w:rsidRPr="00231259">
          <w:rPr>
            <w:color w:val="0000FF"/>
            <w:u w:val="single"/>
            <w:rtl/>
          </w:rPr>
          <w:t>ת"פ (ת"א) 53005-10-20</w:t>
        </w:r>
      </w:hyperlink>
      <w:r>
        <w:rPr>
          <w:rFonts w:hint="cs"/>
          <w:rtl/>
        </w:rPr>
        <w:t xml:space="preserve"> </w:t>
      </w:r>
      <w:r>
        <w:rPr>
          <w:rFonts w:hint="cs"/>
          <w:b/>
          <w:bCs/>
          <w:rtl/>
        </w:rPr>
        <w:t xml:space="preserve">מדינת ישראל נ' אשקר </w:t>
      </w:r>
      <w:r>
        <w:rPr>
          <w:rFonts w:hint="cs"/>
          <w:rtl/>
        </w:rPr>
        <w:t>(2022), הנאשם הורשע בעבירה של גידול סמים והחזקת כלים להכנת סם שלא לצריכה עצמית. הנאשם גידל בדירתו 64 שתילי קנאביס במשקל כולל של 2 קילוגרם והחזיק בדירה לצורך גידול הסמים בכלים המשמשים להכנת סם. בית המשפט קבע מתחם עונשי הולם הנע בין מספר חודשי מאסר שיכול וירוצו בעבודות שירות ועד ל- 12 חודשי מאסר לריצוי בפועל לצד ענישה נלווית. בית המשפט לא מצא מקום לסטות ממתחם הענישה וגזר על הנאשם עונש של 3.5 חודשי מאסר ללא ניכוי שירוצו בדרך של עבודות שירות, לצד מע"ת, קנס וחילוט.</w:t>
      </w:r>
    </w:p>
    <w:p w14:paraId="025BFD82" w14:textId="77777777" w:rsidR="00E06274" w:rsidRDefault="00E06274" w:rsidP="00E06274">
      <w:pPr>
        <w:spacing w:line="360" w:lineRule="auto"/>
        <w:jc w:val="both"/>
      </w:pPr>
      <w:r>
        <w:rPr>
          <w:rFonts w:hint="cs"/>
          <w:rtl/>
        </w:rPr>
        <w:t xml:space="preserve">עוד אפנה לפסיקה שהוגשה לעיוני על ידי המאשימה: </w:t>
      </w:r>
      <w:hyperlink r:id="rId31" w:history="1">
        <w:r w:rsidR="00231259" w:rsidRPr="00231259">
          <w:rPr>
            <w:color w:val="0000FF"/>
            <w:u w:val="single"/>
            <w:rtl/>
          </w:rPr>
          <w:t>רע"פ 314/16</w:t>
        </w:r>
      </w:hyperlink>
      <w:r>
        <w:rPr>
          <w:rFonts w:hint="cs"/>
          <w:rtl/>
        </w:rPr>
        <w:t xml:space="preserve"> </w:t>
      </w:r>
      <w:r>
        <w:rPr>
          <w:rFonts w:hint="cs"/>
          <w:b/>
          <w:bCs/>
          <w:rtl/>
        </w:rPr>
        <w:t>בן צבי נ' מדינת ישראל</w:t>
      </w:r>
      <w:r>
        <w:rPr>
          <w:rFonts w:hint="cs"/>
          <w:rtl/>
        </w:rPr>
        <w:t xml:space="preserve"> (2016); </w:t>
      </w:r>
      <w:hyperlink r:id="rId32" w:history="1">
        <w:r w:rsidR="00231259" w:rsidRPr="00231259">
          <w:rPr>
            <w:color w:val="0000FF"/>
            <w:u w:val="single"/>
            <w:rtl/>
          </w:rPr>
          <w:t>רע"פ 7005/14</w:t>
        </w:r>
      </w:hyperlink>
      <w:r>
        <w:rPr>
          <w:rFonts w:hint="cs"/>
          <w:rtl/>
        </w:rPr>
        <w:t xml:space="preserve"> </w:t>
      </w:r>
      <w:r>
        <w:rPr>
          <w:rFonts w:hint="cs"/>
          <w:b/>
          <w:bCs/>
          <w:rtl/>
        </w:rPr>
        <w:t>דגן נ' מדינת ישראל</w:t>
      </w:r>
      <w:r>
        <w:rPr>
          <w:rFonts w:hint="cs"/>
          <w:rtl/>
        </w:rPr>
        <w:t xml:space="preserve"> (2014); </w:t>
      </w:r>
      <w:hyperlink r:id="rId33" w:history="1">
        <w:r w:rsidR="00231259" w:rsidRPr="00231259">
          <w:rPr>
            <w:color w:val="0000FF"/>
            <w:u w:val="single"/>
            <w:rtl/>
          </w:rPr>
          <w:t>ת"פ (ת"א) 34134-01-15</w:t>
        </w:r>
      </w:hyperlink>
      <w:r>
        <w:rPr>
          <w:rFonts w:hint="cs"/>
          <w:rtl/>
        </w:rPr>
        <w:t xml:space="preserve"> </w:t>
      </w:r>
      <w:r>
        <w:rPr>
          <w:rFonts w:hint="cs"/>
          <w:b/>
          <w:bCs/>
          <w:rtl/>
        </w:rPr>
        <w:t>מדינת ישראל נ' ארוסי</w:t>
      </w:r>
      <w:r>
        <w:rPr>
          <w:rFonts w:hint="cs"/>
          <w:rtl/>
        </w:rPr>
        <w:t xml:space="preserve"> (2017).</w:t>
      </w:r>
    </w:p>
    <w:p w14:paraId="1E190892" w14:textId="77777777" w:rsidR="00E06274" w:rsidRDefault="00E06274" w:rsidP="00E06274">
      <w:pPr>
        <w:spacing w:line="360" w:lineRule="auto"/>
        <w:jc w:val="both"/>
        <w:rPr>
          <w:b/>
          <w:bCs/>
          <w:u w:val="single"/>
          <w:rtl/>
        </w:rPr>
      </w:pPr>
    </w:p>
    <w:p w14:paraId="416A8030" w14:textId="77777777" w:rsidR="00E06274" w:rsidRDefault="00E06274" w:rsidP="00E06274">
      <w:pPr>
        <w:spacing w:line="360" w:lineRule="auto"/>
        <w:jc w:val="both"/>
        <w:rPr>
          <w:rtl/>
        </w:rPr>
      </w:pPr>
      <w:r>
        <w:rPr>
          <w:rFonts w:hint="cs"/>
          <w:b/>
          <w:bCs/>
          <w:u w:val="single"/>
          <w:rtl/>
        </w:rPr>
        <w:t>אלא שבנסיבות המיוחדות של המקרה</w:t>
      </w:r>
      <w:r>
        <w:rPr>
          <w:rFonts w:hint="cs"/>
          <w:rtl/>
        </w:rPr>
        <w:t xml:space="preserve"> על ורקע טענת הנאשם לגידול שנועד לצריכה עצמית, טענה שהתביעה הסכימה שתועלה מבלי לסתור אותה, מדיניות הענישה הנוהגת מתחילה מענישה הכוללת מאסר על תנאי לצד צו של"צ בהיקף לא מבוטל ועד ל- 10 חודשי מאסר. גם בעניין זה אפנה לפסיקה תומכת: </w:t>
      </w:r>
    </w:p>
    <w:p w14:paraId="2DC4964B" w14:textId="77777777" w:rsidR="00E06274" w:rsidRDefault="00231259" w:rsidP="00E06274">
      <w:pPr>
        <w:spacing w:line="360" w:lineRule="auto"/>
        <w:jc w:val="both"/>
        <w:rPr>
          <w:rtl/>
        </w:rPr>
      </w:pPr>
      <w:hyperlink r:id="rId34" w:history="1">
        <w:r w:rsidRPr="00231259">
          <w:rPr>
            <w:color w:val="0000FF"/>
            <w:u w:val="single"/>
            <w:rtl/>
          </w:rPr>
          <w:t>עפ"ג (חיפה) 49266-02-17</w:t>
        </w:r>
      </w:hyperlink>
      <w:r w:rsidR="00E06274">
        <w:rPr>
          <w:rFonts w:hint="cs"/>
          <w:b/>
          <w:bCs/>
          <w:rtl/>
        </w:rPr>
        <w:t xml:space="preserve"> מדינת ישראל נ' אוחיון </w:t>
      </w:r>
      <w:r w:rsidR="00E06274">
        <w:rPr>
          <w:rFonts w:hint="cs"/>
          <w:rtl/>
        </w:rPr>
        <w:t>(2017),</w:t>
      </w:r>
      <w:r w:rsidR="00E06274">
        <w:rPr>
          <w:rFonts w:hint="cs"/>
          <w:b/>
          <w:bCs/>
          <w:rtl/>
        </w:rPr>
        <w:t xml:space="preserve"> </w:t>
      </w:r>
      <w:r w:rsidR="00E06274">
        <w:rPr>
          <w:rFonts w:hint="cs"/>
          <w:rtl/>
        </w:rPr>
        <w:t xml:space="preserve">הנאשם הורשע בעבירת גידול של 12.85 קילוגרם קנאביס. שם, אמנם העונש נקבע בהתאם לשיקולי שיקום וחריגה ממתחם העונש ההולם תוך שהוטל צו של"צ, אך הכמות הגדולה מלמדת על מקרנו בבחינת קל וחומר. </w:t>
      </w:r>
    </w:p>
    <w:p w14:paraId="69C68174" w14:textId="77777777" w:rsidR="00E06274" w:rsidRDefault="00231259" w:rsidP="00E06274">
      <w:pPr>
        <w:spacing w:line="360" w:lineRule="auto"/>
        <w:jc w:val="both"/>
        <w:rPr>
          <w:b/>
          <w:bCs/>
          <w:rtl/>
        </w:rPr>
      </w:pPr>
      <w:hyperlink r:id="rId35" w:history="1">
        <w:r w:rsidRPr="00231259">
          <w:rPr>
            <w:color w:val="0000FF"/>
            <w:u w:val="single"/>
            <w:rtl/>
          </w:rPr>
          <w:t>ת"פ (נתניה) 35647-04-15</w:t>
        </w:r>
      </w:hyperlink>
      <w:r w:rsidR="00E06274">
        <w:rPr>
          <w:rFonts w:hint="cs"/>
          <w:b/>
          <w:bCs/>
          <w:rtl/>
        </w:rPr>
        <w:t xml:space="preserve"> מדינת ישראל נ' דרור </w:t>
      </w:r>
      <w:r w:rsidR="00E06274">
        <w:rPr>
          <w:rFonts w:hint="cs"/>
          <w:rtl/>
        </w:rPr>
        <w:t>(2016), הנאשם הורשע</w:t>
      </w:r>
      <w:r w:rsidR="00E06274">
        <w:rPr>
          <w:rFonts w:hint="cs"/>
          <w:b/>
          <w:bCs/>
          <w:rtl/>
        </w:rPr>
        <w:t xml:space="preserve"> </w:t>
      </w:r>
      <w:r w:rsidR="00E06274">
        <w:rPr>
          <w:rFonts w:hint="cs"/>
          <w:rtl/>
        </w:rPr>
        <w:t>בעבירת גידול קנאביס במשקל של 16 ק"ג, כאשר בית המשפט סטה לקולא ממתחם העונש ההולם בשל שיקולי שיקום והשית בין היתר צו של"צ בהיקף של 300 שעות. גם כאן, הכמות המשמעותית מלמדת על המקרה דנן בבחינת קל וחומר.</w:t>
      </w:r>
    </w:p>
    <w:p w14:paraId="7F61208B" w14:textId="77777777" w:rsidR="00E06274" w:rsidRDefault="00231259" w:rsidP="00E06274">
      <w:pPr>
        <w:spacing w:line="360" w:lineRule="auto"/>
        <w:jc w:val="both"/>
        <w:rPr>
          <w:rtl/>
        </w:rPr>
      </w:pPr>
      <w:hyperlink r:id="rId36" w:history="1">
        <w:r w:rsidRPr="00231259">
          <w:rPr>
            <w:color w:val="0000FF"/>
            <w:u w:val="single"/>
            <w:rtl/>
          </w:rPr>
          <w:t>ת"פ 39324-07-17</w:t>
        </w:r>
      </w:hyperlink>
      <w:r w:rsidR="00E06274">
        <w:rPr>
          <w:rFonts w:hint="cs"/>
          <w:rtl/>
        </w:rPr>
        <w:t xml:space="preserve"> </w:t>
      </w:r>
      <w:r w:rsidR="00E06274">
        <w:rPr>
          <w:rFonts w:hint="cs"/>
          <w:b/>
          <w:bCs/>
          <w:rtl/>
        </w:rPr>
        <w:t xml:space="preserve">שלוחת תביעות מרום הגליל והגולן נ' ליאור רחמים </w:t>
      </w:r>
      <w:r w:rsidR="00E06274">
        <w:rPr>
          <w:rFonts w:hint="cs"/>
          <w:rtl/>
        </w:rPr>
        <w:t xml:space="preserve">(2018), הנאשם הורשע בעבירת גידול 5 שתילים קנאביס במשקל 3.25 ק"ג. בית המשפט קבע מתחם עונש הולם הנע בין מאסר על תנאי ועד 12 חודשי מאסר בפועל. הנאשם נדון ל-3 חודשי מאסר על תנאי, צו מבחן, קנס ופסילה על תנאי. </w:t>
      </w:r>
    </w:p>
    <w:p w14:paraId="4C2A79CB" w14:textId="77777777" w:rsidR="00E06274" w:rsidRDefault="00E06274" w:rsidP="00E06274">
      <w:pPr>
        <w:spacing w:line="360" w:lineRule="auto"/>
        <w:jc w:val="both"/>
        <w:rPr>
          <w:rtl/>
        </w:rPr>
      </w:pPr>
    </w:p>
    <w:p w14:paraId="148F3FFC" w14:textId="77777777" w:rsidR="00E06274" w:rsidRDefault="00E06274" w:rsidP="00E06274">
      <w:pPr>
        <w:spacing w:line="360" w:lineRule="auto"/>
        <w:jc w:val="both"/>
        <w:rPr>
          <w:b/>
          <w:bCs/>
          <w:rtl/>
        </w:rPr>
      </w:pPr>
      <w:r>
        <w:rPr>
          <w:rFonts w:hint="cs"/>
          <w:b/>
          <w:bCs/>
          <w:rtl/>
        </w:rPr>
        <w:t xml:space="preserve">לאור כלל האמור לעיל סבורני כי מתחם העונש ההולם נע בין מאסר על תנאי לצד צו של"צ ועד לעשרה חודשי מאסר בפועל. </w:t>
      </w:r>
    </w:p>
    <w:p w14:paraId="569654DA" w14:textId="77777777" w:rsidR="00E06274" w:rsidRDefault="00E06274" w:rsidP="00E06274">
      <w:pPr>
        <w:spacing w:line="360" w:lineRule="auto"/>
        <w:ind w:left="720"/>
        <w:jc w:val="both"/>
      </w:pPr>
    </w:p>
    <w:p w14:paraId="604212C6" w14:textId="77777777" w:rsidR="00E06274" w:rsidRDefault="00E06274" w:rsidP="00E06274">
      <w:pPr>
        <w:spacing w:line="360" w:lineRule="auto"/>
        <w:jc w:val="both"/>
        <w:rPr>
          <w:rtl/>
        </w:rPr>
      </w:pPr>
      <w:r>
        <w:rPr>
          <w:rFonts w:hint="cs"/>
          <w:rtl/>
        </w:rPr>
        <w:t xml:space="preserve">במקרה דנן לא מצאתי נסיבות מיוחדות המצדיקות סטייה ממתחם העונש ההולם לקולא, שכן אין בתחתית המתחם כדי "להתנגש" עם "צרכי השיקום" של הנאשם. אינטרס השיקום יכול להתממש גם בהינתן עונש בתחתית המתחם. </w:t>
      </w:r>
    </w:p>
    <w:p w14:paraId="61D71F21" w14:textId="77777777" w:rsidR="00E06274" w:rsidRDefault="00E06274" w:rsidP="00E06274">
      <w:pPr>
        <w:spacing w:line="360" w:lineRule="auto"/>
        <w:jc w:val="both"/>
        <w:rPr>
          <w:rtl/>
        </w:rPr>
      </w:pPr>
      <w:r>
        <w:rPr>
          <w:rFonts w:hint="cs"/>
          <w:rtl/>
        </w:rPr>
        <w:t xml:space="preserve">משדחיתי את המלצת שירות המבחן להימנעות מהרשעה, עליה נשענה ההמלצה הנוספת לצו של"צ בהיקף של 200 שעות, מצאתי להטיל צו של"צ בהיקף מצומצם יותר, על מנת לעודד את הנאשם בדרכו החדשה ותוך התחשבות בנסיבותיו האישיות והמשפחתיות. </w:t>
      </w:r>
    </w:p>
    <w:p w14:paraId="14D20FBB" w14:textId="77777777" w:rsidR="00E06274" w:rsidRDefault="00E06274" w:rsidP="00E06274">
      <w:pPr>
        <w:spacing w:line="360" w:lineRule="auto"/>
        <w:ind w:left="720"/>
        <w:jc w:val="both"/>
        <w:rPr>
          <w:rtl/>
        </w:rPr>
      </w:pPr>
    </w:p>
    <w:p w14:paraId="59B22B22" w14:textId="77777777" w:rsidR="00E06274" w:rsidRDefault="00E06274" w:rsidP="00E06274">
      <w:pPr>
        <w:spacing w:line="360" w:lineRule="auto"/>
        <w:jc w:val="both"/>
        <w:rPr>
          <w:u w:val="single"/>
          <w:rtl/>
        </w:rPr>
      </w:pPr>
      <w:r>
        <w:rPr>
          <w:rFonts w:hint="cs"/>
          <w:u w:val="single"/>
          <w:rtl/>
        </w:rPr>
        <w:t>קביעת העונש בתוך מתחם העונש ההולם</w:t>
      </w:r>
      <w:r>
        <w:rPr>
          <w:rFonts w:hint="cs"/>
          <w:rtl/>
        </w:rPr>
        <w:t>:</w:t>
      </w:r>
    </w:p>
    <w:p w14:paraId="232DAC04" w14:textId="77777777" w:rsidR="00E06274" w:rsidRDefault="00E06274" w:rsidP="00E06274">
      <w:pPr>
        <w:tabs>
          <w:tab w:val="left" w:pos="1076"/>
        </w:tabs>
        <w:spacing w:line="360" w:lineRule="auto"/>
        <w:jc w:val="both"/>
        <w:rPr>
          <w:rtl/>
        </w:rPr>
      </w:pPr>
      <w:r>
        <w:rPr>
          <w:rFonts w:hint="cs"/>
          <w:rtl/>
        </w:rPr>
        <w:t xml:space="preserve">לשיטתי מדובר במקרה מובהק של מיקום העונש בתחתית המתחם. אין צורך לחזור על האמור לעיל. הנאשם, נעדר עבר פלילי, הודה, לקח אחריות, הביע חרטה, עבר בהצלחה טיפול כולל בכל מישורי הקשיים בחייו, שירות המבחן מתרשם שאיננו מאופיין בדפוסים עבריינים ומסיכויים נמוכים להישנות העבירות.    </w:t>
      </w:r>
    </w:p>
    <w:p w14:paraId="2A2CE82D" w14:textId="77777777" w:rsidR="00E06274" w:rsidRDefault="00E06274" w:rsidP="00E06274">
      <w:pPr>
        <w:spacing w:line="360" w:lineRule="auto"/>
        <w:ind w:left="720"/>
        <w:jc w:val="both"/>
        <w:rPr>
          <w:rtl/>
        </w:rPr>
      </w:pPr>
    </w:p>
    <w:p w14:paraId="17D3CE35" w14:textId="77777777" w:rsidR="00E06274" w:rsidRDefault="00E06274" w:rsidP="00E06274">
      <w:pPr>
        <w:spacing w:line="360" w:lineRule="auto"/>
        <w:jc w:val="both"/>
        <w:rPr>
          <w:rtl/>
        </w:rPr>
      </w:pPr>
      <w:r>
        <w:rPr>
          <w:rFonts w:hint="cs"/>
          <w:rtl/>
        </w:rPr>
        <w:t>אשר על כן אני גוזר על הנאשם את העונשים הבאים:</w:t>
      </w:r>
    </w:p>
    <w:p w14:paraId="339A8226" w14:textId="77777777" w:rsidR="00E06274" w:rsidRDefault="00E06274" w:rsidP="00E06274">
      <w:pPr>
        <w:pStyle w:val="a9"/>
        <w:numPr>
          <w:ilvl w:val="1"/>
          <w:numId w:val="1"/>
        </w:numPr>
        <w:spacing w:line="360" w:lineRule="auto"/>
        <w:jc w:val="both"/>
        <w:rPr>
          <w:rFonts w:ascii="David" w:hAnsi="David" w:cs="David"/>
          <w:sz w:val="24"/>
          <w:szCs w:val="24"/>
          <w:rtl/>
        </w:rPr>
      </w:pPr>
      <w:r>
        <w:rPr>
          <w:rFonts w:ascii="David" w:hAnsi="David" w:cs="David"/>
          <w:sz w:val="24"/>
          <w:szCs w:val="24"/>
          <w:rtl/>
        </w:rPr>
        <w:t xml:space="preserve">3 חודשי </w:t>
      </w:r>
      <w:r>
        <w:rPr>
          <w:rFonts w:ascii="David" w:hAnsi="David" w:cs="David"/>
          <w:b/>
          <w:bCs/>
          <w:sz w:val="24"/>
          <w:szCs w:val="24"/>
          <w:u w:val="single"/>
          <w:rtl/>
        </w:rPr>
        <w:t>מאסר על תנאי</w:t>
      </w:r>
      <w:r>
        <w:rPr>
          <w:rFonts w:ascii="David" w:hAnsi="David" w:cs="David"/>
          <w:sz w:val="24"/>
          <w:szCs w:val="24"/>
          <w:rtl/>
        </w:rPr>
        <w:t xml:space="preserve"> למשך שנתיים, שלא יעבור עבירת סמים מסוג פשע. </w:t>
      </w:r>
    </w:p>
    <w:p w14:paraId="497FBCCD" w14:textId="77777777" w:rsidR="00E06274" w:rsidRDefault="00E06274" w:rsidP="00E06274">
      <w:pPr>
        <w:pStyle w:val="a9"/>
        <w:numPr>
          <w:ilvl w:val="1"/>
          <w:numId w:val="1"/>
        </w:numPr>
        <w:spacing w:line="360" w:lineRule="auto"/>
        <w:jc w:val="both"/>
        <w:rPr>
          <w:rFonts w:ascii="David" w:hAnsi="David" w:cs="David"/>
          <w:sz w:val="24"/>
          <w:szCs w:val="24"/>
          <w:rtl/>
        </w:rPr>
      </w:pPr>
      <w:r>
        <w:rPr>
          <w:rFonts w:ascii="David" w:hAnsi="David" w:cs="David"/>
          <w:b/>
          <w:bCs/>
          <w:sz w:val="24"/>
          <w:szCs w:val="24"/>
          <w:u w:val="single"/>
          <w:rtl/>
        </w:rPr>
        <w:t>קנס</w:t>
      </w:r>
      <w:r>
        <w:rPr>
          <w:rFonts w:ascii="David" w:hAnsi="David" w:cs="David"/>
          <w:sz w:val="24"/>
          <w:szCs w:val="24"/>
          <w:rtl/>
        </w:rPr>
        <w:t xml:space="preserve"> בסך 2000 ש"ח או 20 ימי מאסר תמורתו. הקנס ישולם עד ליום 1.2.23. </w:t>
      </w:r>
    </w:p>
    <w:p w14:paraId="447AEBE0" w14:textId="77777777" w:rsidR="00E06274" w:rsidRDefault="00E06274" w:rsidP="00E06274">
      <w:pPr>
        <w:pStyle w:val="a9"/>
        <w:numPr>
          <w:ilvl w:val="1"/>
          <w:numId w:val="1"/>
        </w:numPr>
        <w:spacing w:line="360" w:lineRule="auto"/>
        <w:jc w:val="both"/>
        <w:rPr>
          <w:rFonts w:ascii="David" w:hAnsi="David" w:cs="David"/>
          <w:sz w:val="24"/>
          <w:szCs w:val="24"/>
          <w:rtl/>
        </w:rPr>
      </w:pPr>
      <w:r>
        <w:rPr>
          <w:rFonts w:ascii="David" w:hAnsi="David" w:cs="David"/>
          <w:b/>
          <w:bCs/>
          <w:sz w:val="24"/>
          <w:szCs w:val="24"/>
          <w:u w:val="single"/>
          <w:rtl/>
        </w:rPr>
        <w:t>צו מבחן</w:t>
      </w:r>
      <w:r>
        <w:rPr>
          <w:rFonts w:ascii="David" w:hAnsi="David" w:cs="David"/>
          <w:sz w:val="24"/>
          <w:szCs w:val="24"/>
          <w:rtl/>
        </w:rPr>
        <w:t xml:space="preserve"> שתוקפו למשך שנה מהיום.</w:t>
      </w:r>
    </w:p>
    <w:p w14:paraId="3AB7BD54" w14:textId="77777777" w:rsidR="00E06274" w:rsidRDefault="00E06274" w:rsidP="00E06274">
      <w:pPr>
        <w:pStyle w:val="a9"/>
        <w:numPr>
          <w:ilvl w:val="1"/>
          <w:numId w:val="1"/>
        </w:numPr>
        <w:spacing w:line="360" w:lineRule="auto"/>
        <w:jc w:val="both"/>
        <w:rPr>
          <w:rFonts w:ascii="David" w:hAnsi="David" w:cs="David"/>
          <w:sz w:val="24"/>
          <w:szCs w:val="24"/>
        </w:rPr>
      </w:pPr>
      <w:r>
        <w:rPr>
          <w:rFonts w:ascii="David" w:hAnsi="David" w:cs="David"/>
          <w:b/>
          <w:bCs/>
          <w:sz w:val="24"/>
          <w:szCs w:val="24"/>
          <w:u w:val="single"/>
          <w:rtl/>
        </w:rPr>
        <w:t>צו של"צ</w:t>
      </w:r>
      <w:r>
        <w:rPr>
          <w:rFonts w:ascii="David" w:hAnsi="David" w:cs="David"/>
          <w:sz w:val="24"/>
          <w:szCs w:val="24"/>
          <w:rtl/>
        </w:rPr>
        <w:t xml:space="preserve"> בהיקף של 100 שעות, בהתאם לתכנית שתגובש על ידי שירות המבחן ותוגש תוך חודש מהיום לאישור בית המשפט. שירות המבחן יפקח על עבודת הנאשם ויהיה רשאי לשנות את מקום ההשמה במידת הצורך, ללא צו שיפוטי נוסף.</w:t>
      </w:r>
    </w:p>
    <w:p w14:paraId="35E707E6" w14:textId="77777777" w:rsidR="00E06274" w:rsidRDefault="00E06274" w:rsidP="00E06274">
      <w:pPr>
        <w:spacing w:line="360" w:lineRule="auto"/>
        <w:ind w:left="1502"/>
        <w:jc w:val="both"/>
        <w:rPr>
          <w:rFonts w:ascii="David" w:hAnsi="David"/>
          <w:u w:val="single"/>
          <w:rtl/>
        </w:rPr>
      </w:pPr>
      <w:r>
        <w:rPr>
          <w:rFonts w:hint="cs"/>
          <w:u w:val="single"/>
          <w:rtl/>
        </w:rPr>
        <w:t>מובהר לנאשם כי הפרת צו השל"צ ו/או המבחן עלולה להביא להפקעתו ולגזירת עונש חילופי</w:t>
      </w:r>
      <w:r>
        <w:rPr>
          <w:rFonts w:hint="cs"/>
          <w:rtl/>
        </w:rPr>
        <w:t>.</w:t>
      </w:r>
    </w:p>
    <w:p w14:paraId="7B26C7DC" w14:textId="77777777" w:rsidR="00E06274" w:rsidRDefault="00E06274" w:rsidP="00E06274">
      <w:pPr>
        <w:spacing w:line="360" w:lineRule="auto"/>
        <w:ind w:left="1502"/>
        <w:jc w:val="both"/>
        <w:rPr>
          <w:u w:val="single"/>
          <w:rtl/>
        </w:rPr>
      </w:pPr>
      <w:r>
        <w:rPr>
          <w:rFonts w:hint="cs"/>
          <w:u w:val="single"/>
          <w:rtl/>
        </w:rPr>
        <w:t>היה והנאשם לא יימצא מתאים לביצוע של"צ, ייקבע מועד נוסף לדיון בעונשו</w:t>
      </w:r>
      <w:r>
        <w:rPr>
          <w:rFonts w:hint="cs"/>
          <w:rtl/>
        </w:rPr>
        <w:t>.</w:t>
      </w:r>
    </w:p>
    <w:p w14:paraId="19CE43CD" w14:textId="77777777" w:rsidR="00E06274" w:rsidRDefault="00E06274" w:rsidP="00E06274">
      <w:pPr>
        <w:pStyle w:val="a9"/>
        <w:spacing w:line="360" w:lineRule="auto"/>
        <w:ind w:left="1440"/>
        <w:jc w:val="both"/>
        <w:rPr>
          <w:rFonts w:ascii="David" w:hAnsi="David" w:cs="David"/>
          <w:sz w:val="24"/>
          <w:szCs w:val="24"/>
          <w:rtl/>
        </w:rPr>
      </w:pPr>
      <w:r>
        <w:rPr>
          <w:rFonts w:ascii="David" w:hAnsi="David" w:cs="David"/>
          <w:sz w:val="24"/>
          <w:szCs w:val="24"/>
          <w:rtl/>
        </w:rPr>
        <w:tab/>
      </w:r>
    </w:p>
    <w:p w14:paraId="190BD323" w14:textId="77777777" w:rsidR="00E06274" w:rsidRDefault="00E06274" w:rsidP="00E06274">
      <w:pPr>
        <w:spacing w:line="360" w:lineRule="auto"/>
        <w:jc w:val="both"/>
        <w:rPr>
          <w:rFonts w:ascii="David" w:hAnsi="David"/>
          <w:rtl/>
          <w:lang w:eastAsia="he-IL"/>
        </w:rPr>
      </w:pPr>
      <w:r>
        <w:rPr>
          <w:rFonts w:hint="cs"/>
          <w:rtl/>
          <w:lang w:eastAsia="he-IL"/>
        </w:rPr>
        <w:t>ניתן יהיה לשלם את הקנס/ פיצוי/ ההוצאות כעבור שלושה ימים מיום מתן ההחלטה/</w:t>
      </w:r>
      <w:r w:rsidR="00231259">
        <w:rPr>
          <w:rFonts w:hint="cs"/>
          <w:rtl/>
          <w:lang w:eastAsia="he-IL"/>
        </w:rPr>
        <w:t xml:space="preserve"> </w:t>
      </w:r>
      <w:r>
        <w:rPr>
          <w:rFonts w:hint="cs"/>
          <w:rtl/>
          <w:lang w:eastAsia="he-IL"/>
        </w:rPr>
        <w:t xml:space="preserve"> גזר הדין לחשבון המרכז לגביית קנסות, אגרות והוצאות ברשות האכיפה והגבייה באחת מהדרכים הבאות:</w:t>
      </w:r>
    </w:p>
    <w:p w14:paraId="75AF9A03" w14:textId="77777777" w:rsidR="00E06274" w:rsidRDefault="00E06274" w:rsidP="00E06274">
      <w:pPr>
        <w:numPr>
          <w:ilvl w:val="0"/>
          <w:numId w:val="2"/>
        </w:numPr>
        <w:spacing w:line="360" w:lineRule="auto"/>
        <w:jc w:val="both"/>
        <w:rPr>
          <w:b/>
          <w:bCs/>
          <w:rtl/>
          <w:lang w:eastAsia="he-IL"/>
        </w:rPr>
      </w:pPr>
      <w:r>
        <w:rPr>
          <w:rFonts w:hint="cs"/>
          <w:b/>
          <w:bCs/>
          <w:rtl/>
          <w:lang w:eastAsia="he-IL"/>
        </w:rPr>
        <w:t>בכרטיס אשראי</w:t>
      </w:r>
      <w:r>
        <w:rPr>
          <w:rFonts w:hint="cs"/>
          <w:rtl/>
          <w:lang w:eastAsia="he-IL"/>
        </w:rPr>
        <w:t xml:space="preserve"> – באתר המקוון של רשות האכיפה והגבייה, </w:t>
      </w:r>
      <w:hyperlink r:id="rId37" w:history="1">
        <w:r>
          <w:rPr>
            <w:rStyle w:val="Hyperlink"/>
            <w:lang w:eastAsia="he-IL"/>
          </w:rPr>
          <w:t>www.eca.gov.il</w:t>
        </w:r>
      </w:hyperlink>
      <w:r>
        <w:rPr>
          <w:lang w:eastAsia="he-IL"/>
        </w:rPr>
        <w:t xml:space="preserve"> </w:t>
      </w:r>
      <w:r w:rsidR="00231259">
        <w:rPr>
          <w:rFonts w:hint="cs"/>
          <w:rtl/>
          <w:lang w:eastAsia="he-IL"/>
        </w:rPr>
        <w:t xml:space="preserve"> </w:t>
      </w:r>
    </w:p>
    <w:p w14:paraId="6CB45D0C" w14:textId="77777777" w:rsidR="00E06274" w:rsidRDefault="00E06274" w:rsidP="00E06274">
      <w:pPr>
        <w:numPr>
          <w:ilvl w:val="0"/>
          <w:numId w:val="2"/>
        </w:numPr>
        <w:spacing w:line="360" w:lineRule="auto"/>
        <w:jc w:val="both"/>
        <w:rPr>
          <w:b/>
          <w:bCs/>
          <w:rtl/>
          <w:lang w:eastAsia="he-IL"/>
        </w:rPr>
      </w:pPr>
      <w:r>
        <w:rPr>
          <w:rFonts w:hint="cs"/>
          <w:b/>
          <w:bCs/>
          <w:rtl/>
          <w:lang w:eastAsia="he-IL"/>
        </w:rPr>
        <w:t>מוקד שירות טלפוני בשרות עצמי (מרכז גבייה)</w:t>
      </w:r>
      <w:r w:rsidR="00231259">
        <w:rPr>
          <w:rFonts w:hint="cs"/>
          <w:b/>
          <w:bCs/>
          <w:rtl/>
          <w:lang w:eastAsia="he-IL"/>
        </w:rPr>
        <w:t xml:space="preserve"> </w:t>
      </w:r>
      <w:r>
        <w:rPr>
          <w:rFonts w:hint="cs"/>
          <w:b/>
          <w:bCs/>
          <w:rtl/>
          <w:lang w:eastAsia="he-IL"/>
        </w:rPr>
        <w:t xml:space="preserve"> – בטלפון 35592* או בטלפון 073-2055000</w:t>
      </w:r>
    </w:p>
    <w:p w14:paraId="5E628E38" w14:textId="77777777" w:rsidR="00E06274" w:rsidRDefault="00E06274" w:rsidP="00E06274">
      <w:pPr>
        <w:numPr>
          <w:ilvl w:val="0"/>
          <w:numId w:val="2"/>
        </w:numPr>
        <w:spacing w:line="360" w:lineRule="auto"/>
        <w:jc w:val="both"/>
        <w:rPr>
          <w:b/>
          <w:bCs/>
          <w:lang w:eastAsia="he-IL"/>
        </w:rPr>
      </w:pPr>
      <w:r>
        <w:rPr>
          <w:rFonts w:hint="cs"/>
          <w:b/>
          <w:bCs/>
          <w:rtl/>
          <w:lang w:eastAsia="he-IL"/>
        </w:rPr>
        <w:t>במזומן בכל סניף של בנק הדואר</w:t>
      </w:r>
      <w:r>
        <w:rPr>
          <w:rFonts w:hint="cs"/>
          <w:rtl/>
          <w:lang w:eastAsia="he-IL"/>
        </w:rPr>
        <w:t xml:space="preserve"> – בהצגת תעודת זהות בלבד (אין צורך בשוברי תשלום).</w:t>
      </w:r>
    </w:p>
    <w:p w14:paraId="05F6D3BD" w14:textId="77777777" w:rsidR="00E06274" w:rsidRDefault="00E06274" w:rsidP="00E06274">
      <w:pPr>
        <w:jc w:val="both"/>
      </w:pPr>
    </w:p>
    <w:p w14:paraId="6925A185" w14:textId="77777777" w:rsidR="00E06274" w:rsidRDefault="00E06274" w:rsidP="00E06274">
      <w:pPr>
        <w:spacing w:line="360" w:lineRule="auto"/>
        <w:jc w:val="both"/>
        <w:rPr>
          <w:u w:val="single"/>
        </w:rPr>
      </w:pPr>
      <w:r>
        <w:rPr>
          <w:rFonts w:hint="cs"/>
          <w:u w:val="single"/>
          <w:rtl/>
        </w:rPr>
        <w:t>המזכירות וההגנה ישלחו העתק מפסק הדין לשירות המבחן</w:t>
      </w:r>
      <w:r>
        <w:rPr>
          <w:rFonts w:hint="cs"/>
          <w:rtl/>
        </w:rPr>
        <w:t>.</w:t>
      </w:r>
    </w:p>
    <w:p w14:paraId="63B25D6E" w14:textId="77777777" w:rsidR="00E06274" w:rsidRDefault="00E06274" w:rsidP="00E06274">
      <w:pPr>
        <w:spacing w:line="360" w:lineRule="auto"/>
        <w:jc w:val="both"/>
        <w:rPr>
          <w:u w:val="single"/>
          <w:rtl/>
        </w:rPr>
      </w:pPr>
    </w:p>
    <w:p w14:paraId="4CB7374D" w14:textId="77777777" w:rsidR="00E06274" w:rsidRDefault="00E06274" w:rsidP="00E06274">
      <w:pPr>
        <w:spacing w:line="360" w:lineRule="auto"/>
        <w:jc w:val="both"/>
      </w:pPr>
      <w:r>
        <w:rPr>
          <w:rFonts w:hint="cs"/>
          <w:u w:val="single"/>
          <w:rtl/>
        </w:rPr>
        <w:t>ניתן צו כללי למוצגים. המוצגים יחולטו/יושמדו/יושבו לבעליהם על פי החלטת קצין משטרה</w:t>
      </w:r>
      <w:r>
        <w:rPr>
          <w:rFonts w:hint="cs"/>
          <w:rtl/>
        </w:rPr>
        <w:t>.</w:t>
      </w:r>
    </w:p>
    <w:p w14:paraId="2BD165DB" w14:textId="77777777" w:rsidR="00E06274" w:rsidRDefault="00E06274" w:rsidP="00E06274">
      <w:pPr>
        <w:spacing w:line="360" w:lineRule="auto"/>
        <w:jc w:val="both"/>
        <w:rPr>
          <w:rtl/>
        </w:rPr>
      </w:pPr>
    </w:p>
    <w:p w14:paraId="1B3D5715" w14:textId="77777777" w:rsidR="00E06274" w:rsidRDefault="00E06274" w:rsidP="00E06274">
      <w:pPr>
        <w:spacing w:line="360" w:lineRule="auto"/>
        <w:jc w:val="both"/>
        <w:rPr>
          <w:u w:val="single"/>
        </w:rPr>
      </w:pPr>
      <w:r>
        <w:rPr>
          <w:rFonts w:hint="cs"/>
          <w:u w:val="single"/>
          <w:rtl/>
        </w:rPr>
        <w:t>הכספים שהופקדו עבור הנאשם בתיקי מ"י – 34019-02-19 יועברו לצורך תשלום הקנס ו/או הפיצוי שנפסקו בגזר דין זה, וככל שתיוותר יתרה היא תושב לידי עו"ד אבי אודיז, מספר רישיון - 14083, בכפוף לכל עיקול או למגבלה אחרת על פי דין</w:t>
      </w:r>
      <w:r>
        <w:rPr>
          <w:rFonts w:hint="cs"/>
          <w:rtl/>
        </w:rPr>
        <w:t>.</w:t>
      </w:r>
    </w:p>
    <w:p w14:paraId="1B426FE9" w14:textId="77777777" w:rsidR="00E06274" w:rsidRDefault="00E06274" w:rsidP="00E06274">
      <w:pPr>
        <w:spacing w:line="360" w:lineRule="auto"/>
        <w:jc w:val="both"/>
        <w:rPr>
          <w:rtl/>
        </w:rPr>
      </w:pPr>
    </w:p>
    <w:p w14:paraId="5ECC08B9" w14:textId="77777777" w:rsidR="00E06274" w:rsidRDefault="00E06274" w:rsidP="00E06274">
      <w:pPr>
        <w:spacing w:line="360" w:lineRule="auto"/>
        <w:jc w:val="both"/>
        <w:rPr>
          <w:rtl/>
        </w:rPr>
      </w:pPr>
      <w:r>
        <w:rPr>
          <w:rFonts w:hint="cs"/>
          <w:b/>
          <w:bCs/>
          <w:u w:val="single"/>
          <w:rtl/>
        </w:rPr>
        <w:t>זכות ערעור לבית משפט המחוזי בתוך 45 ימים מהיום</w:t>
      </w:r>
      <w:r>
        <w:rPr>
          <w:rFonts w:hint="cs"/>
          <w:rtl/>
        </w:rPr>
        <w:t>.</w:t>
      </w:r>
    </w:p>
    <w:p w14:paraId="54777B32" w14:textId="77777777" w:rsidR="00E06274" w:rsidRPr="00B05847" w:rsidRDefault="00E06274" w:rsidP="00E06274">
      <w:pPr>
        <w:rPr>
          <w:rtl/>
        </w:rPr>
      </w:pPr>
    </w:p>
    <w:p w14:paraId="06BE0CC7" w14:textId="77777777" w:rsidR="00E06274" w:rsidRPr="00B05847" w:rsidRDefault="00E06274" w:rsidP="00E06274">
      <w:pPr>
        <w:rPr>
          <w:rtl/>
        </w:rPr>
      </w:pPr>
    </w:p>
    <w:p w14:paraId="43FCD914" w14:textId="77777777" w:rsidR="00E06274" w:rsidRPr="00231259" w:rsidRDefault="00231259" w:rsidP="00E06274">
      <w:pPr>
        <w:rPr>
          <w:color w:val="FFFFFF"/>
          <w:sz w:val="2"/>
          <w:szCs w:val="2"/>
          <w:rtl/>
        </w:rPr>
      </w:pPr>
      <w:r w:rsidRPr="00231259">
        <w:rPr>
          <w:color w:val="FFFFFF"/>
          <w:sz w:val="2"/>
          <w:szCs w:val="2"/>
          <w:rtl/>
        </w:rPr>
        <w:t>5129371</w:t>
      </w:r>
    </w:p>
    <w:p w14:paraId="5620A33D" w14:textId="77777777" w:rsidR="00E06274" w:rsidRPr="00250B83" w:rsidRDefault="00231259" w:rsidP="00E06274">
      <w:pPr>
        <w:rPr>
          <w:rtl/>
        </w:rPr>
      </w:pPr>
      <w:bookmarkStart w:id="8" w:name="Nitan"/>
      <w:r w:rsidRPr="00231259">
        <w:rPr>
          <w:rFonts w:ascii="Arial" w:hAnsi="Arial"/>
          <w:color w:val="FFFFFF"/>
          <w:sz w:val="2"/>
          <w:szCs w:val="2"/>
          <w:rtl/>
        </w:rPr>
        <w:t>54678313</w:t>
      </w:r>
      <w:r>
        <w:rPr>
          <w:rFonts w:ascii="Arial" w:hAnsi="Arial"/>
          <w:rtl/>
        </w:rPr>
        <w:t xml:space="preserve">ניתן היום,  ו' חשוון תשפ"ג, 31 אוקטובר 2022, בהעדר הצדדים. </w:t>
      </w:r>
      <w:bookmarkEnd w:id="8"/>
    </w:p>
    <w:p w14:paraId="3D23463C" w14:textId="77777777" w:rsidR="00E06274" w:rsidRPr="00250B83" w:rsidRDefault="00E06274" w:rsidP="0023125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D4A34EE" w14:textId="77777777" w:rsidR="00E06274" w:rsidRPr="00250B83" w:rsidRDefault="00E06274" w:rsidP="00E06274">
      <w:pPr>
        <w:jc w:val="center"/>
        <w:rPr>
          <w:rFonts w:ascii="Arial" w:hAnsi="Arial"/>
          <w:rtl/>
        </w:rPr>
      </w:pPr>
    </w:p>
    <w:p w14:paraId="72DD4CB9" w14:textId="77777777" w:rsidR="00E06274" w:rsidRPr="00250B83" w:rsidRDefault="00E06274" w:rsidP="00E06274">
      <w:pPr>
        <w:rPr>
          <w:rtl/>
        </w:rPr>
      </w:pPr>
    </w:p>
    <w:p w14:paraId="2ED5533D" w14:textId="77777777" w:rsidR="00E06274" w:rsidRDefault="00E06274" w:rsidP="00E06274">
      <w:pPr>
        <w:pStyle w:val="a3"/>
        <w:jc w:val="center"/>
        <w:rPr>
          <w:rtl/>
        </w:rPr>
      </w:pPr>
    </w:p>
    <w:p w14:paraId="48E712B7" w14:textId="77777777" w:rsidR="00F45313" w:rsidRPr="00231259" w:rsidRDefault="00F45313" w:rsidP="00231259">
      <w:pPr>
        <w:keepNext/>
        <w:rPr>
          <w:rFonts w:ascii="David" w:hAnsi="David"/>
          <w:color w:val="000000"/>
          <w:sz w:val="22"/>
          <w:szCs w:val="22"/>
          <w:rtl/>
        </w:rPr>
      </w:pPr>
    </w:p>
    <w:p w14:paraId="63C5E23A" w14:textId="77777777" w:rsidR="00231259" w:rsidRPr="00231259" w:rsidRDefault="00231259" w:rsidP="00231259">
      <w:pPr>
        <w:keepNext/>
        <w:rPr>
          <w:rFonts w:ascii="David" w:hAnsi="David"/>
          <w:color w:val="000000"/>
          <w:sz w:val="22"/>
          <w:szCs w:val="22"/>
          <w:rtl/>
        </w:rPr>
      </w:pPr>
      <w:r w:rsidRPr="00231259">
        <w:rPr>
          <w:rFonts w:ascii="David" w:hAnsi="David"/>
          <w:color w:val="000000"/>
          <w:sz w:val="22"/>
          <w:szCs w:val="22"/>
          <w:rtl/>
        </w:rPr>
        <w:t>עלאא מסארווה 54678313</w:t>
      </w:r>
    </w:p>
    <w:p w14:paraId="3984AC8E" w14:textId="77777777" w:rsidR="00231259" w:rsidRDefault="00231259" w:rsidP="00231259">
      <w:r w:rsidRPr="00231259">
        <w:rPr>
          <w:color w:val="000000"/>
          <w:rtl/>
        </w:rPr>
        <w:t>נוסח מסמך זה כפוף לשינויי ניסוח ועריכה</w:t>
      </w:r>
    </w:p>
    <w:p w14:paraId="31DC8320" w14:textId="77777777" w:rsidR="00231259" w:rsidRDefault="00231259" w:rsidP="00231259">
      <w:pPr>
        <w:rPr>
          <w:rtl/>
        </w:rPr>
      </w:pPr>
    </w:p>
    <w:p w14:paraId="739F3DA9" w14:textId="77777777" w:rsidR="00231259" w:rsidRDefault="00231259" w:rsidP="00231259">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F0D70D5" w14:textId="77777777" w:rsidR="00231259" w:rsidRPr="00231259" w:rsidRDefault="00231259" w:rsidP="00231259">
      <w:pPr>
        <w:jc w:val="center"/>
        <w:rPr>
          <w:color w:val="0000FF"/>
          <w:u w:val="single"/>
        </w:rPr>
      </w:pPr>
    </w:p>
    <w:sectPr w:rsidR="00231259" w:rsidRPr="00231259" w:rsidSect="00231259">
      <w:headerReference w:type="even" r:id="rId39"/>
      <w:headerReference w:type="default" r:id="rId40"/>
      <w:footerReference w:type="even" r:id="rId41"/>
      <w:footerReference w:type="default" r:id="rId4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12D2F" w14:textId="77777777" w:rsidR="006129E1" w:rsidRDefault="006129E1" w:rsidP="00E2738C">
      <w:r>
        <w:separator/>
      </w:r>
    </w:p>
  </w:endnote>
  <w:endnote w:type="continuationSeparator" w:id="0">
    <w:p w14:paraId="66E0EA83" w14:textId="77777777" w:rsidR="006129E1" w:rsidRDefault="006129E1" w:rsidP="00E2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88BE8" w14:textId="77777777" w:rsidR="00231259" w:rsidRDefault="00231259" w:rsidP="002312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7C38C5" w14:textId="77777777" w:rsidR="009249F4" w:rsidRPr="00231259" w:rsidRDefault="00231259" w:rsidP="002312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6EEDE" w14:textId="77777777" w:rsidR="00231259" w:rsidRDefault="00231259" w:rsidP="002312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4EB">
      <w:rPr>
        <w:rFonts w:ascii="FrankRuehl" w:hAnsi="FrankRuehl" w:cs="FrankRuehl"/>
        <w:noProof/>
        <w:rtl/>
      </w:rPr>
      <w:t>1</w:t>
    </w:r>
    <w:r>
      <w:rPr>
        <w:rFonts w:ascii="FrankRuehl" w:hAnsi="FrankRuehl" w:cs="FrankRuehl"/>
        <w:rtl/>
      </w:rPr>
      <w:fldChar w:fldCharType="end"/>
    </w:r>
  </w:p>
  <w:p w14:paraId="76E6A006" w14:textId="77777777" w:rsidR="009249F4" w:rsidRPr="00231259" w:rsidRDefault="00231259" w:rsidP="002312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9F0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624EA" w14:textId="77777777" w:rsidR="006129E1" w:rsidRDefault="006129E1" w:rsidP="00E2738C">
      <w:r>
        <w:separator/>
      </w:r>
    </w:p>
  </w:footnote>
  <w:footnote w:type="continuationSeparator" w:id="0">
    <w:p w14:paraId="350D3916" w14:textId="77777777" w:rsidR="006129E1" w:rsidRDefault="006129E1" w:rsidP="00E2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512FF" w14:textId="77777777" w:rsidR="00231259" w:rsidRPr="00231259" w:rsidRDefault="00231259" w:rsidP="0023125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57089-02-19</w:t>
    </w:r>
    <w:r>
      <w:rPr>
        <w:rFonts w:ascii="David" w:hAnsi="David"/>
        <w:color w:val="000000"/>
        <w:sz w:val="22"/>
        <w:szCs w:val="22"/>
        <w:rtl/>
      </w:rPr>
      <w:tab/>
      <w:t xml:space="preserve"> מדינת ישראל נ' גיא פנקינסקי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478CC" w14:textId="77777777" w:rsidR="00231259" w:rsidRPr="00231259" w:rsidRDefault="00231259" w:rsidP="0023125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57089-02-19</w:t>
    </w:r>
    <w:r>
      <w:rPr>
        <w:rFonts w:ascii="David" w:hAnsi="David"/>
        <w:color w:val="000000"/>
        <w:sz w:val="22"/>
        <w:szCs w:val="22"/>
        <w:rtl/>
      </w:rPr>
      <w:tab/>
      <w:t xml:space="preserve"> מדינת ישראל נ' גיא פנקינסקי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D6A16BE"/>
    <w:multiLevelType w:val="hybridMultilevel"/>
    <w:tmpl w:val="EEAE09B6"/>
    <w:lvl w:ilvl="0" w:tplc="CF905CF4">
      <w:start w:val="1"/>
      <w:numFmt w:val="decimal"/>
      <w:lvlText w:val="%1."/>
      <w:lvlJc w:val="left"/>
      <w:pPr>
        <w:ind w:left="720" w:hanging="360"/>
      </w:pPr>
    </w:lvl>
    <w:lvl w:ilvl="1" w:tplc="5E763F56">
      <w:start w:val="1"/>
      <w:numFmt w:val="hebrew1"/>
      <w:lvlText w:val="%2."/>
      <w:lvlJc w:val="left"/>
      <w:pPr>
        <w:ind w:left="1440" w:hanging="360"/>
      </w:pPr>
      <w:rPr>
        <w:b/>
        <w:strike w:val="0"/>
        <w:dstrike w:val="0"/>
        <w:u w:val="none"/>
        <w:effect w:val="none"/>
      </w:rPr>
    </w:lvl>
    <w:lvl w:ilvl="2" w:tplc="2D70B0EA">
      <w:start w:val="1"/>
      <w:numFmt w:val="lowerRoman"/>
      <w:lvlText w:val="%3."/>
      <w:lvlJc w:val="right"/>
      <w:pPr>
        <w:ind w:left="2160" w:hanging="180"/>
      </w:pPr>
    </w:lvl>
    <w:lvl w:ilvl="3" w:tplc="89D4277C">
      <w:start w:val="1"/>
      <w:numFmt w:val="decimal"/>
      <w:lvlText w:val="%4."/>
      <w:lvlJc w:val="left"/>
      <w:pPr>
        <w:ind w:left="2880" w:hanging="360"/>
      </w:pPr>
    </w:lvl>
    <w:lvl w:ilvl="4" w:tplc="355EDD8A">
      <w:start w:val="1"/>
      <w:numFmt w:val="lowerLetter"/>
      <w:lvlText w:val="%5."/>
      <w:lvlJc w:val="left"/>
      <w:pPr>
        <w:ind w:left="3600" w:hanging="360"/>
      </w:pPr>
    </w:lvl>
    <w:lvl w:ilvl="5" w:tplc="87925DBC">
      <w:start w:val="1"/>
      <w:numFmt w:val="lowerRoman"/>
      <w:lvlText w:val="%6."/>
      <w:lvlJc w:val="right"/>
      <w:pPr>
        <w:ind w:left="4320" w:hanging="180"/>
      </w:pPr>
    </w:lvl>
    <w:lvl w:ilvl="6" w:tplc="4EF216AA">
      <w:start w:val="1"/>
      <w:numFmt w:val="decimal"/>
      <w:lvlText w:val="%7."/>
      <w:lvlJc w:val="left"/>
      <w:pPr>
        <w:ind w:left="5040" w:hanging="360"/>
      </w:pPr>
    </w:lvl>
    <w:lvl w:ilvl="7" w:tplc="CA3AC000">
      <w:start w:val="1"/>
      <w:numFmt w:val="lowerLetter"/>
      <w:lvlText w:val="%8."/>
      <w:lvlJc w:val="left"/>
      <w:pPr>
        <w:ind w:left="5760" w:hanging="360"/>
      </w:pPr>
    </w:lvl>
    <w:lvl w:ilvl="8" w:tplc="54220128">
      <w:start w:val="1"/>
      <w:numFmt w:val="lowerRoman"/>
      <w:lvlText w:val="%9."/>
      <w:lvlJc w:val="right"/>
      <w:pPr>
        <w:ind w:left="6480" w:hanging="180"/>
      </w:pPr>
    </w:lvl>
  </w:abstractNum>
  <w:num w:numId="1" w16cid:durableId="1033503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330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6274"/>
    <w:rsid w:val="0009395A"/>
    <w:rsid w:val="001B5A3B"/>
    <w:rsid w:val="00231259"/>
    <w:rsid w:val="004E56C2"/>
    <w:rsid w:val="00603726"/>
    <w:rsid w:val="006129E1"/>
    <w:rsid w:val="008854E4"/>
    <w:rsid w:val="008B25C8"/>
    <w:rsid w:val="009249F4"/>
    <w:rsid w:val="00B24751"/>
    <w:rsid w:val="00BD0962"/>
    <w:rsid w:val="00D51A27"/>
    <w:rsid w:val="00DC04EB"/>
    <w:rsid w:val="00E06274"/>
    <w:rsid w:val="00E2738C"/>
    <w:rsid w:val="00F45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5F380F"/>
  <w15:chartTrackingRefBased/>
  <w15:docId w15:val="{7209A4BF-8F6D-4043-8D69-2E41FFD6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62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6274"/>
    <w:pPr>
      <w:tabs>
        <w:tab w:val="center" w:pos="4153"/>
        <w:tab w:val="right" w:pos="8306"/>
      </w:tabs>
    </w:pPr>
  </w:style>
  <w:style w:type="character" w:customStyle="1" w:styleId="a4">
    <w:name w:val="כותרת עליונה תו"/>
    <w:link w:val="a3"/>
    <w:rsid w:val="00E06274"/>
    <w:rPr>
      <w:rFonts w:ascii="Times New Roman" w:eastAsia="Times New Roman" w:hAnsi="Times New Roman" w:cs="David"/>
      <w:sz w:val="24"/>
      <w:szCs w:val="24"/>
    </w:rPr>
  </w:style>
  <w:style w:type="paragraph" w:styleId="a5">
    <w:name w:val="footer"/>
    <w:basedOn w:val="a"/>
    <w:link w:val="a6"/>
    <w:rsid w:val="00E06274"/>
    <w:pPr>
      <w:tabs>
        <w:tab w:val="center" w:pos="4153"/>
        <w:tab w:val="right" w:pos="8306"/>
      </w:tabs>
    </w:pPr>
  </w:style>
  <w:style w:type="character" w:customStyle="1" w:styleId="a6">
    <w:name w:val="כותרת תחתונה תו"/>
    <w:link w:val="a5"/>
    <w:rsid w:val="00E06274"/>
    <w:rPr>
      <w:rFonts w:ascii="Times New Roman" w:eastAsia="Times New Roman" w:hAnsi="Times New Roman" w:cs="David"/>
      <w:sz w:val="24"/>
      <w:szCs w:val="24"/>
    </w:rPr>
  </w:style>
  <w:style w:type="table" w:styleId="a7">
    <w:name w:val="Table Grid"/>
    <w:basedOn w:val="a1"/>
    <w:rsid w:val="00E062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6274"/>
  </w:style>
  <w:style w:type="character" w:styleId="Hyperlink">
    <w:name w:val="Hyperlink"/>
    <w:rsid w:val="00E06274"/>
    <w:rPr>
      <w:rFonts w:ascii="Times New Roman" w:hAnsi="Times New Roman" w:cs="Times New Roman" w:hint="default"/>
      <w:color w:val="0000FF"/>
      <w:u w:val="single"/>
    </w:rPr>
  </w:style>
  <w:style w:type="paragraph" w:styleId="a9">
    <w:name w:val="List Paragraph"/>
    <w:basedOn w:val="a"/>
    <w:qFormat/>
    <w:rsid w:val="00E06274"/>
    <w:pPr>
      <w:spacing w:after="200" w:line="276" w:lineRule="auto"/>
      <w:ind w:left="720"/>
      <w:contextualSpacing/>
    </w:pPr>
    <w:rPr>
      <w:rFonts w:ascii="Calibri" w:eastAsia="Calibri" w:hAnsi="Calibri" w:cs="Arial"/>
      <w:sz w:val="22"/>
      <w:szCs w:val="22"/>
    </w:rPr>
  </w:style>
  <w:style w:type="character" w:customStyle="1" w:styleId="P00">
    <w:name w:val="P00 תו"/>
    <w:link w:val="P000"/>
    <w:locked/>
    <w:rsid w:val="00E06274"/>
    <w:rPr>
      <w:szCs w:val="26"/>
      <w:lang w:eastAsia="he-IL"/>
    </w:rPr>
  </w:style>
  <w:style w:type="paragraph" w:customStyle="1" w:styleId="P000">
    <w:name w:val="P00"/>
    <w:link w:val="P00"/>
    <w:rsid w:val="00E0627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 w:val="22"/>
      <w:szCs w:val="26"/>
      <w:lang w:eastAsia="he-IL"/>
    </w:rPr>
  </w:style>
  <w:style w:type="paragraph" w:customStyle="1" w:styleId="big-header">
    <w:name w:val="big-header"/>
    <w:basedOn w:val="a"/>
    <w:rsid w:val="00E06274"/>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Times New Roman"/>
      <w:sz w:val="20"/>
      <w:szCs w:val="32"/>
      <w:lang w:eastAsia="he-IL"/>
    </w:rPr>
  </w:style>
  <w:style w:type="character" w:customStyle="1" w:styleId="default">
    <w:name w:val="default"/>
    <w:rsid w:val="00E06274"/>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10781" TargetMode="External"/><Relationship Id="rId26" Type="http://schemas.openxmlformats.org/officeDocument/2006/relationships/hyperlink" Target="http://www.nevo.co.il/law/120900" TargetMode="External"/><Relationship Id="rId39" Type="http://schemas.openxmlformats.org/officeDocument/2006/relationships/header" Target="header1.xml"/><Relationship Id="rId21" Type="http://schemas.openxmlformats.org/officeDocument/2006/relationships/hyperlink" Target="http://www.nevo.co.il/case/20632055" TargetMode="External"/><Relationship Id="rId34" Type="http://schemas.openxmlformats.org/officeDocument/2006/relationships/hyperlink" Target="http://www.nevo.co.il/case/22267098"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0889417" TargetMode="External"/><Relationship Id="rId29" Type="http://schemas.openxmlformats.org/officeDocument/2006/relationships/hyperlink" Target="http://www.nevo.co.il/case/2599846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0900" TargetMode="External"/><Relationship Id="rId24" Type="http://schemas.openxmlformats.org/officeDocument/2006/relationships/hyperlink" Target="http://www.nevo.co.il/case/13049328" TargetMode="External"/><Relationship Id="rId32" Type="http://schemas.openxmlformats.org/officeDocument/2006/relationships/hyperlink" Target="http://www.nevo.co.il/case/18107527"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4645679" TargetMode="External"/><Relationship Id="rId28" Type="http://schemas.openxmlformats.org/officeDocument/2006/relationships/hyperlink" Target="http://www.nevo.co.il/case/22360689" TargetMode="External"/><Relationship Id="rId36" Type="http://schemas.openxmlformats.org/officeDocument/2006/relationships/hyperlink" Target="http://www.nevo.co.il/case/22838865"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633505" TargetMode="External"/><Relationship Id="rId31" Type="http://schemas.openxmlformats.org/officeDocument/2006/relationships/hyperlink" Target="http://www.nevo.co.il/case/2088108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0236668"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102277" TargetMode="External"/><Relationship Id="rId35" Type="http://schemas.openxmlformats.org/officeDocument/2006/relationships/hyperlink" Target="http://www.nevo.co.il/case/20211957"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120900/18"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120900/18" TargetMode="External"/><Relationship Id="rId33" Type="http://schemas.openxmlformats.org/officeDocument/2006/relationships/hyperlink" Target="http://www.nevo.co.il/case/1882334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2994</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17929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3407997</vt:i4>
      </vt:variant>
      <vt:variant>
        <vt:i4>87</vt:i4>
      </vt:variant>
      <vt:variant>
        <vt:i4>0</vt:i4>
      </vt:variant>
      <vt:variant>
        <vt:i4>5</vt:i4>
      </vt:variant>
      <vt:variant>
        <vt:lpwstr>http://www.nevo.co.il/case/22838865</vt:lpwstr>
      </vt:variant>
      <vt:variant>
        <vt:lpwstr/>
      </vt:variant>
      <vt:variant>
        <vt:i4>3407996</vt:i4>
      </vt:variant>
      <vt:variant>
        <vt:i4>84</vt:i4>
      </vt:variant>
      <vt:variant>
        <vt:i4>0</vt:i4>
      </vt:variant>
      <vt:variant>
        <vt:i4>5</vt:i4>
      </vt:variant>
      <vt:variant>
        <vt:lpwstr>http://www.nevo.co.il/case/20211957</vt:lpwstr>
      </vt:variant>
      <vt:variant>
        <vt:lpwstr/>
      </vt:variant>
      <vt:variant>
        <vt:i4>4063344</vt:i4>
      </vt:variant>
      <vt:variant>
        <vt:i4>81</vt:i4>
      </vt:variant>
      <vt:variant>
        <vt:i4>0</vt:i4>
      </vt:variant>
      <vt:variant>
        <vt:i4>5</vt:i4>
      </vt:variant>
      <vt:variant>
        <vt:lpwstr>http://www.nevo.co.il/case/22267098</vt:lpwstr>
      </vt:variant>
      <vt:variant>
        <vt:lpwstr/>
      </vt:variant>
      <vt:variant>
        <vt:i4>4063357</vt:i4>
      </vt:variant>
      <vt:variant>
        <vt:i4>78</vt:i4>
      </vt:variant>
      <vt:variant>
        <vt:i4>0</vt:i4>
      </vt:variant>
      <vt:variant>
        <vt:i4>5</vt:i4>
      </vt:variant>
      <vt:variant>
        <vt:lpwstr>http://www.nevo.co.il/case/18823346</vt:lpwstr>
      </vt:variant>
      <vt:variant>
        <vt:lpwstr/>
      </vt:variant>
      <vt:variant>
        <vt:i4>3473529</vt:i4>
      </vt:variant>
      <vt:variant>
        <vt:i4>75</vt:i4>
      </vt:variant>
      <vt:variant>
        <vt:i4>0</vt:i4>
      </vt:variant>
      <vt:variant>
        <vt:i4>5</vt:i4>
      </vt:variant>
      <vt:variant>
        <vt:lpwstr>http://www.nevo.co.il/case/18107527</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3539057</vt:i4>
      </vt:variant>
      <vt:variant>
        <vt:i4>69</vt:i4>
      </vt:variant>
      <vt:variant>
        <vt:i4>0</vt:i4>
      </vt:variant>
      <vt:variant>
        <vt:i4>5</vt:i4>
      </vt:variant>
      <vt:variant>
        <vt:lpwstr>http://www.nevo.co.il/case/27102277</vt:lpwstr>
      </vt:variant>
      <vt:variant>
        <vt:lpwstr/>
      </vt:variant>
      <vt:variant>
        <vt:i4>3473532</vt:i4>
      </vt:variant>
      <vt:variant>
        <vt:i4>66</vt:i4>
      </vt:variant>
      <vt:variant>
        <vt:i4>0</vt:i4>
      </vt:variant>
      <vt:variant>
        <vt:i4>5</vt:i4>
      </vt:variant>
      <vt:variant>
        <vt:lpwstr>http://www.nevo.co.il/case/25998461</vt:lpwstr>
      </vt:variant>
      <vt:variant>
        <vt:lpwstr/>
      </vt:variant>
      <vt:variant>
        <vt:i4>3735670</vt:i4>
      </vt:variant>
      <vt:variant>
        <vt:i4>63</vt:i4>
      </vt:variant>
      <vt:variant>
        <vt:i4>0</vt:i4>
      </vt:variant>
      <vt:variant>
        <vt:i4>5</vt:i4>
      </vt:variant>
      <vt:variant>
        <vt:lpwstr>http://www.nevo.co.il/case/22360689</vt:lpwstr>
      </vt:variant>
      <vt:variant>
        <vt:lpwstr/>
      </vt:variant>
      <vt:variant>
        <vt:i4>7995492</vt:i4>
      </vt:variant>
      <vt:variant>
        <vt:i4>60</vt:i4>
      </vt:variant>
      <vt:variant>
        <vt:i4>0</vt:i4>
      </vt:variant>
      <vt:variant>
        <vt:i4>5</vt:i4>
      </vt:variant>
      <vt:variant>
        <vt:lpwstr>http://www.nevo.co.il/law/70301</vt:lpwstr>
      </vt:variant>
      <vt:variant>
        <vt:lpwstr/>
      </vt:variant>
      <vt:variant>
        <vt:i4>4259921</vt:i4>
      </vt:variant>
      <vt:variant>
        <vt:i4>57</vt:i4>
      </vt:variant>
      <vt:variant>
        <vt:i4>0</vt:i4>
      </vt:variant>
      <vt:variant>
        <vt:i4>5</vt:i4>
      </vt:variant>
      <vt:variant>
        <vt:lpwstr>http://www.nevo.co.il/law/120900</vt:lpwstr>
      </vt:variant>
      <vt:variant>
        <vt:lpwstr/>
      </vt:variant>
      <vt:variant>
        <vt:i4>7340158</vt:i4>
      </vt:variant>
      <vt:variant>
        <vt:i4>54</vt:i4>
      </vt:variant>
      <vt:variant>
        <vt:i4>0</vt:i4>
      </vt:variant>
      <vt:variant>
        <vt:i4>5</vt:i4>
      </vt:variant>
      <vt:variant>
        <vt:lpwstr>http://www.nevo.co.il/law/120900/18</vt:lpwstr>
      </vt:variant>
      <vt:variant>
        <vt:lpwstr/>
      </vt:variant>
      <vt:variant>
        <vt:i4>3801200</vt:i4>
      </vt:variant>
      <vt:variant>
        <vt:i4>51</vt:i4>
      </vt:variant>
      <vt:variant>
        <vt:i4>0</vt:i4>
      </vt:variant>
      <vt:variant>
        <vt:i4>5</vt:i4>
      </vt:variant>
      <vt:variant>
        <vt:lpwstr>http://www.nevo.co.il/case/13049328</vt:lpwstr>
      </vt:variant>
      <vt:variant>
        <vt:lpwstr/>
      </vt:variant>
      <vt:variant>
        <vt:i4>4128880</vt:i4>
      </vt:variant>
      <vt:variant>
        <vt:i4>48</vt:i4>
      </vt:variant>
      <vt:variant>
        <vt:i4>0</vt:i4>
      </vt:variant>
      <vt:variant>
        <vt:i4>5</vt:i4>
      </vt:variant>
      <vt:variant>
        <vt:lpwstr>http://www.nevo.co.il/case/4645679</vt:lpwstr>
      </vt:variant>
      <vt:variant>
        <vt:lpwstr/>
      </vt:variant>
      <vt:variant>
        <vt:i4>3145841</vt:i4>
      </vt:variant>
      <vt:variant>
        <vt:i4>45</vt:i4>
      </vt:variant>
      <vt:variant>
        <vt:i4>0</vt:i4>
      </vt:variant>
      <vt:variant>
        <vt:i4>5</vt:i4>
      </vt:variant>
      <vt:variant>
        <vt:lpwstr>http://www.nevo.co.il/case/20236668</vt:lpwstr>
      </vt:variant>
      <vt:variant>
        <vt:lpwstr/>
      </vt:variant>
      <vt:variant>
        <vt:i4>3342455</vt:i4>
      </vt:variant>
      <vt:variant>
        <vt:i4>42</vt:i4>
      </vt:variant>
      <vt:variant>
        <vt:i4>0</vt:i4>
      </vt:variant>
      <vt:variant>
        <vt:i4>5</vt:i4>
      </vt:variant>
      <vt:variant>
        <vt:lpwstr>http://www.nevo.co.il/case/20632055</vt:lpwstr>
      </vt:variant>
      <vt:variant>
        <vt:lpwstr/>
      </vt:variant>
      <vt:variant>
        <vt:i4>3276920</vt:i4>
      </vt:variant>
      <vt:variant>
        <vt:i4>39</vt:i4>
      </vt:variant>
      <vt:variant>
        <vt:i4>0</vt:i4>
      </vt:variant>
      <vt:variant>
        <vt:i4>5</vt:i4>
      </vt:variant>
      <vt:variant>
        <vt:lpwstr>http://www.nevo.co.il/case/20889417</vt:lpwstr>
      </vt:variant>
      <vt:variant>
        <vt:lpwstr/>
      </vt:variant>
      <vt:variant>
        <vt:i4>3539057</vt:i4>
      </vt:variant>
      <vt:variant>
        <vt:i4>36</vt:i4>
      </vt:variant>
      <vt:variant>
        <vt:i4>0</vt:i4>
      </vt:variant>
      <vt:variant>
        <vt:i4>5</vt:i4>
      </vt:variant>
      <vt:variant>
        <vt:lpwstr>http://www.nevo.co.il/case/5633505</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7995492</vt:i4>
      </vt:variant>
      <vt:variant>
        <vt:i4>18</vt:i4>
      </vt:variant>
      <vt:variant>
        <vt:i4>0</vt:i4>
      </vt:variant>
      <vt:variant>
        <vt:i4>5</vt:i4>
      </vt:variant>
      <vt:variant>
        <vt:lpwstr>http://www.nevo.co.il/law/70301</vt:lpwstr>
      </vt:variant>
      <vt:variant>
        <vt:lpwstr/>
      </vt:variant>
      <vt:variant>
        <vt:i4>7340158</vt:i4>
      </vt:variant>
      <vt:variant>
        <vt:i4>15</vt:i4>
      </vt:variant>
      <vt:variant>
        <vt:i4>0</vt:i4>
      </vt:variant>
      <vt:variant>
        <vt:i4>5</vt:i4>
      </vt:variant>
      <vt:variant>
        <vt:lpwstr>http://www.nevo.co.il/law/120900/18</vt:lpwstr>
      </vt:variant>
      <vt:variant>
        <vt:lpwstr/>
      </vt:variant>
      <vt:variant>
        <vt:i4>4259921</vt:i4>
      </vt:variant>
      <vt:variant>
        <vt:i4>12</vt:i4>
      </vt:variant>
      <vt:variant>
        <vt:i4>0</vt:i4>
      </vt:variant>
      <vt:variant>
        <vt:i4>5</vt:i4>
      </vt:variant>
      <vt:variant>
        <vt:lpwstr>http://www.nevo.co.il/law/120900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57089</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גיא פנקינסקי</vt:lpwstr>
  </property>
  <property fmtid="{D5CDD505-2E9C-101B-9397-08002B2CF9AE}" pid="10" name="LAWYER">
    <vt:lpwstr>איציק אמיר;אבי אודיז</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20221031</vt:lpwstr>
  </property>
  <property fmtid="{D5CDD505-2E9C-101B-9397-08002B2CF9AE}" pid="14" name="TYPE_N_DATE">
    <vt:lpwstr>38020221031</vt:lpwstr>
  </property>
  <property fmtid="{D5CDD505-2E9C-101B-9397-08002B2CF9AE}" pid="15" name="WORDNUMPAGES">
    <vt:lpwstr>8</vt:lpwstr>
  </property>
  <property fmtid="{D5CDD505-2E9C-101B-9397-08002B2CF9AE}" pid="16" name="TYPE_ABS_DATE">
    <vt:lpwstr>380020221031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5810781;5633505;20889417;20632055;20236668;4645679;13049328;22360689;25998461;27102277;20881083;18107527;18823346;22267098;20211957;22838865</vt:lpwstr>
  </property>
  <property fmtid="{D5CDD505-2E9C-101B-9397-08002B2CF9AE}" pid="36" name="LAWLISTTMP1">
    <vt:lpwstr>4216/006;007.a;007.c</vt:lpwstr>
  </property>
  <property fmtid="{D5CDD505-2E9C-101B-9397-08002B2CF9AE}" pid="37" name="LAWLISTTMP2">
    <vt:lpwstr>120900/018</vt:lpwstr>
  </property>
  <property fmtid="{D5CDD505-2E9C-101B-9397-08002B2CF9AE}" pid="38" name="LAWLISTTMP3">
    <vt:lpwstr>70301</vt:lpwstr>
  </property>
</Properties>
</file>