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4973E2" w:rsidRPr="00D546EE" w14:paraId="59FEE5A0" w14:textId="77777777" w:rsidTr="00F50FC5">
        <w:trPr>
          <w:trHeight w:hRule="exact" w:val="418"/>
          <w:jc w:val="center"/>
        </w:trPr>
        <w:tc>
          <w:tcPr>
            <w:tcW w:w="8721" w:type="dxa"/>
            <w:gridSpan w:val="2"/>
          </w:tcPr>
          <w:p w14:paraId="15222555" w14:textId="77777777" w:rsidR="004973E2" w:rsidRPr="00D546EE" w:rsidRDefault="004973E2" w:rsidP="00D02DA3">
            <w:pPr>
              <w:pStyle w:val="a3"/>
              <w:jc w:val="center"/>
              <w:rPr>
                <w:rFonts w:ascii="Tahoma" w:hAnsi="Tahoma" w:cs="Tahoma"/>
                <w:color w:val="000080"/>
                <w:rtl/>
              </w:rPr>
            </w:pPr>
            <w:bookmarkStart w:id="0" w:name="LastJudge"/>
            <w:r w:rsidRPr="00D546EE">
              <w:rPr>
                <w:rFonts w:ascii="Tahoma" w:hAnsi="Tahoma" w:cs="Tahoma"/>
                <w:b/>
                <w:bCs/>
                <w:color w:val="000080"/>
                <w:rtl/>
              </w:rPr>
              <w:t>בית משפט השלום בתל אביב -יפו</w:t>
            </w:r>
          </w:p>
        </w:tc>
      </w:tr>
      <w:tr w:rsidR="004973E2" w:rsidRPr="00D546EE" w14:paraId="00C5DB07" w14:textId="77777777" w:rsidTr="00F50FC5">
        <w:trPr>
          <w:trHeight w:val="337"/>
          <w:jc w:val="center"/>
        </w:trPr>
        <w:tc>
          <w:tcPr>
            <w:tcW w:w="5056" w:type="dxa"/>
          </w:tcPr>
          <w:p w14:paraId="22BC0A5C" w14:textId="77777777" w:rsidR="004973E2" w:rsidRPr="00D546EE" w:rsidRDefault="004973E2" w:rsidP="00D02DA3">
            <w:pPr>
              <w:rPr>
                <w:rFonts w:cs="FrankRuehl"/>
                <w:sz w:val="28"/>
                <w:szCs w:val="28"/>
                <w:rtl/>
              </w:rPr>
            </w:pPr>
            <w:r w:rsidRPr="00D546EE">
              <w:rPr>
                <w:rFonts w:cs="FrankRuehl"/>
                <w:sz w:val="28"/>
                <w:szCs w:val="28"/>
                <w:rtl/>
              </w:rPr>
              <w:t>ת"פ</w:t>
            </w:r>
            <w:r w:rsidRPr="00D546EE">
              <w:rPr>
                <w:rFonts w:cs="FrankRuehl" w:hint="cs"/>
                <w:sz w:val="28"/>
                <w:szCs w:val="28"/>
                <w:rtl/>
              </w:rPr>
              <w:t xml:space="preserve"> </w:t>
            </w:r>
            <w:r w:rsidRPr="00D546EE">
              <w:rPr>
                <w:rFonts w:cs="FrankRuehl"/>
                <w:sz w:val="28"/>
                <w:szCs w:val="28"/>
                <w:rtl/>
              </w:rPr>
              <w:t>58269-02-19</w:t>
            </w:r>
            <w:r w:rsidRPr="00D546EE">
              <w:rPr>
                <w:rFonts w:cs="FrankRuehl" w:hint="cs"/>
                <w:sz w:val="28"/>
                <w:szCs w:val="28"/>
                <w:rtl/>
              </w:rPr>
              <w:t xml:space="preserve"> </w:t>
            </w:r>
            <w:r w:rsidRPr="00D546EE">
              <w:rPr>
                <w:rFonts w:cs="FrankRuehl"/>
                <w:sz w:val="28"/>
                <w:szCs w:val="28"/>
                <w:rtl/>
              </w:rPr>
              <w:t>מדינת ישראל נ' איסטחרוב</w:t>
            </w:r>
          </w:p>
          <w:p w14:paraId="22E64018" w14:textId="77777777" w:rsidR="004973E2" w:rsidRPr="00D546EE" w:rsidRDefault="004973E2" w:rsidP="00D02DA3">
            <w:pPr>
              <w:pStyle w:val="a3"/>
              <w:rPr>
                <w:rFonts w:cs="FrankRuehl"/>
                <w:sz w:val="28"/>
                <w:szCs w:val="28"/>
                <w:rtl/>
              </w:rPr>
            </w:pPr>
          </w:p>
        </w:tc>
        <w:tc>
          <w:tcPr>
            <w:tcW w:w="3665" w:type="dxa"/>
          </w:tcPr>
          <w:p w14:paraId="763595EF" w14:textId="77777777" w:rsidR="004973E2" w:rsidRPr="00D546EE" w:rsidRDefault="004973E2" w:rsidP="00D02DA3">
            <w:pPr>
              <w:pStyle w:val="a3"/>
              <w:jc w:val="right"/>
              <w:rPr>
                <w:rFonts w:cs="FrankRuehl"/>
                <w:sz w:val="28"/>
                <w:szCs w:val="28"/>
                <w:rtl/>
              </w:rPr>
            </w:pPr>
          </w:p>
        </w:tc>
      </w:tr>
    </w:tbl>
    <w:p w14:paraId="41704FEB" w14:textId="77777777" w:rsidR="004973E2" w:rsidRPr="00D546EE" w:rsidRDefault="004973E2" w:rsidP="004973E2">
      <w:pPr>
        <w:pStyle w:val="a3"/>
        <w:rPr>
          <w:rtl/>
        </w:rPr>
      </w:pPr>
      <w:r w:rsidRPr="00D546EE">
        <w:rPr>
          <w:rFonts w:hint="cs"/>
          <w:rtl/>
        </w:rPr>
        <w:t xml:space="preserve"> </w:t>
      </w:r>
    </w:p>
    <w:p w14:paraId="0CB6C2F1" w14:textId="77777777" w:rsidR="004973E2" w:rsidRPr="00D546EE" w:rsidRDefault="004973E2" w:rsidP="004973E2">
      <w:pPr>
        <w:spacing w:line="360" w:lineRule="auto"/>
        <w:rPr>
          <w:rtl/>
        </w:rPr>
      </w:pPr>
    </w:p>
    <w:p w14:paraId="5A614AF3" w14:textId="77777777" w:rsidR="004973E2" w:rsidRPr="00D546EE" w:rsidRDefault="004973E2" w:rsidP="004973E2">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973E2" w:rsidRPr="00D546EE" w14:paraId="14B1890C" w14:textId="77777777" w:rsidTr="004973E2">
        <w:trPr>
          <w:trHeight w:val="295"/>
          <w:jc w:val="center"/>
        </w:trPr>
        <w:tc>
          <w:tcPr>
            <w:tcW w:w="923" w:type="dxa"/>
            <w:tcBorders>
              <w:top w:val="nil"/>
              <w:left w:val="nil"/>
              <w:bottom w:val="nil"/>
              <w:right w:val="nil"/>
            </w:tcBorders>
            <w:shd w:val="clear" w:color="auto" w:fill="auto"/>
          </w:tcPr>
          <w:p w14:paraId="61853D58" w14:textId="77777777" w:rsidR="004973E2" w:rsidRPr="00D546EE" w:rsidRDefault="004973E2" w:rsidP="004973E2">
            <w:pPr>
              <w:spacing w:line="360" w:lineRule="auto"/>
              <w:jc w:val="both"/>
              <w:rPr>
                <w:rFonts w:ascii="David" w:hAnsi="David"/>
                <w:b/>
                <w:bCs/>
                <w:sz w:val="26"/>
                <w:szCs w:val="26"/>
              </w:rPr>
            </w:pPr>
            <w:r w:rsidRPr="00D546EE">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4F8F367B" w14:textId="77777777" w:rsidR="004973E2" w:rsidRPr="00D546EE" w:rsidRDefault="004973E2" w:rsidP="004973E2">
            <w:pPr>
              <w:spacing w:line="360" w:lineRule="auto"/>
              <w:rPr>
                <w:rFonts w:ascii="David" w:hAnsi="David"/>
                <w:b/>
                <w:bCs/>
                <w:sz w:val="26"/>
                <w:szCs w:val="26"/>
                <w:rtl/>
              </w:rPr>
            </w:pPr>
            <w:r w:rsidRPr="00D546EE">
              <w:rPr>
                <w:rFonts w:ascii="David" w:hAnsi="David" w:hint="cs"/>
                <w:b/>
                <w:bCs/>
                <w:sz w:val="26"/>
                <w:szCs w:val="26"/>
                <w:rtl/>
              </w:rPr>
              <w:t>כבוד השופט הבכיר, שאול אבינור</w:t>
            </w:r>
          </w:p>
          <w:p w14:paraId="4429DA89" w14:textId="77777777" w:rsidR="004973E2" w:rsidRPr="00D546EE" w:rsidRDefault="004973E2" w:rsidP="004973E2">
            <w:pPr>
              <w:spacing w:line="360" w:lineRule="auto"/>
              <w:rPr>
                <w:rFonts w:ascii="David" w:hAnsi="David"/>
                <w:sz w:val="26"/>
                <w:szCs w:val="26"/>
              </w:rPr>
            </w:pPr>
          </w:p>
        </w:tc>
      </w:tr>
      <w:tr w:rsidR="004973E2" w:rsidRPr="00D546EE" w14:paraId="4B6C2F0B" w14:textId="77777777" w:rsidTr="004973E2">
        <w:trPr>
          <w:trHeight w:val="355"/>
          <w:jc w:val="center"/>
        </w:trPr>
        <w:tc>
          <w:tcPr>
            <w:tcW w:w="923" w:type="dxa"/>
            <w:tcBorders>
              <w:top w:val="nil"/>
              <w:left w:val="nil"/>
              <w:bottom w:val="nil"/>
              <w:right w:val="nil"/>
            </w:tcBorders>
            <w:shd w:val="clear" w:color="auto" w:fill="auto"/>
          </w:tcPr>
          <w:p w14:paraId="79E34B93" w14:textId="77777777" w:rsidR="004973E2" w:rsidRPr="00D546EE" w:rsidRDefault="004973E2" w:rsidP="004973E2">
            <w:pPr>
              <w:spacing w:line="360" w:lineRule="auto"/>
              <w:jc w:val="both"/>
              <w:rPr>
                <w:rFonts w:ascii="David" w:hAnsi="David"/>
                <w:sz w:val="26"/>
                <w:szCs w:val="26"/>
              </w:rPr>
            </w:pPr>
            <w:bookmarkStart w:id="1" w:name="FirstAppellant"/>
            <w:bookmarkStart w:id="2" w:name="FirstLawyer"/>
            <w:r w:rsidRPr="00D546EE">
              <w:rPr>
                <w:rFonts w:ascii="David" w:hAnsi="David"/>
                <w:sz w:val="26"/>
                <w:szCs w:val="26"/>
                <w:rtl/>
              </w:rPr>
              <w:t>בעניין:</w:t>
            </w:r>
          </w:p>
        </w:tc>
        <w:tc>
          <w:tcPr>
            <w:tcW w:w="3219" w:type="dxa"/>
            <w:tcBorders>
              <w:top w:val="nil"/>
              <w:left w:val="nil"/>
              <w:bottom w:val="nil"/>
              <w:right w:val="nil"/>
            </w:tcBorders>
            <w:shd w:val="clear" w:color="auto" w:fill="auto"/>
          </w:tcPr>
          <w:p w14:paraId="1FD74BC7" w14:textId="77777777" w:rsidR="004973E2" w:rsidRPr="00D546EE" w:rsidRDefault="004973E2" w:rsidP="004973E2">
            <w:pPr>
              <w:suppressLineNumbers/>
              <w:spacing w:line="360" w:lineRule="auto"/>
            </w:pPr>
            <w:r w:rsidRPr="00D546EE">
              <w:rPr>
                <w:rFonts w:ascii="Arial" w:hAnsi="Arial" w:hint="cs"/>
                <w:b/>
                <w:bCs/>
                <w:sz w:val="26"/>
                <w:szCs w:val="26"/>
                <w:rtl/>
              </w:rPr>
              <w:t>המאשימה:</w:t>
            </w:r>
          </w:p>
          <w:p w14:paraId="2182D10F" w14:textId="77777777" w:rsidR="004973E2" w:rsidRPr="00D546EE" w:rsidRDefault="004973E2" w:rsidP="004973E2">
            <w:pPr>
              <w:spacing w:line="360" w:lineRule="auto"/>
              <w:rPr>
                <w:rFonts w:ascii="David" w:hAnsi="David"/>
                <w:sz w:val="26"/>
                <w:szCs w:val="26"/>
              </w:rPr>
            </w:pPr>
          </w:p>
        </w:tc>
        <w:tc>
          <w:tcPr>
            <w:tcW w:w="4678" w:type="dxa"/>
            <w:tcBorders>
              <w:top w:val="nil"/>
              <w:left w:val="nil"/>
              <w:bottom w:val="nil"/>
              <w:right w:val="nil"/>
            </w:tcBorders>
            <w:shd w:val="clear" w:color="auto" w:fill="auto"/>
            <w:vAlign w:val="center"/>
          </w:tcPr>
          <w:p w14:paraId="329AF608" w14:textId="77777777" w:rsidR="004973E2" w:rsidRPr="00D546EE" w:rsidRDefault="004973E2" w:rsidP="004973E2">
            <w:pPr>
              <w:suppressLineNumbers/>
              <w:spacing w:line="360" w:lineRule="auto"/>
              <w:rPr>
                <w:rFonts w:ascii="Arial" w:hAnsi="Arial"/>
                <w:rtl/>
              </w:rPr>
            </w:pPr>
            <w:r w:rsidRPr="00D546EE">
              <w:rPr>
                <w:rFonts w:ascii="Arial" w:hAnsi="Arial"/>
                <w:b/>
                <w:bCs/>
                <w:sz w:val="26"/>
                <w:szCs w:val="26"/>
                <w:rtl/>
              </w:rPr>
              <w:t>מדינת ישראל</w:t>
            </w:r>
            <w:r w:rsidRPr="00D546EE">
              <w:rPr>
                <w:rFonts w:ascii="Arial" w:hAnsi="Arial" w:hint="cs"/>
                <w:b/>
                <w:bCs/>
                <w:sz w:val="26"/>
                <w:szCs w:val="26"/>
                <w:rtl/>
              </w:rPr>
              <w:t xml:space="preserve"> </w:t>
            </w:r>
          </w:p>
          <w:p w14:paraId="7DDD529D" w14:textId="77777777" w:rsidR="004973E2" w:rsidRPr="00D546EE" w:rsidRDefault="004973E2" w:rsidP="004973E2">
            <w:pPr>
              <w:suppressLineNumbers/>
              <w:spacing w:line="360" w:lineRule="auto"/>
            </w:pPr>
            <w:r w:rsidRPr="00D546EE">
              <w:rPr>
                <w:rFonts w:ascii="Arial" w:hAnsi="Arial"/>
                <w:rtl/>
              </w:rPr>
              <w:t>ע"י</w:t>
            </w:r>
            <w:r w:rsidRPr="00D546EE">
              <w:rPr>
                <w:rFonts w:ascii="Arial" w:hAnsi="Arial"/>
                <w:b/>
                <w:bCs/>
                <w:sz w:val="26"/>
                <w:szCs w:val="26"/>
                <w:rtl/>
              </w:rPr>
              <w:t xml:space="preserve"> </w:t>
            </w:r>
            <w:r w:rsidRPr="00D546EE">
              <w:rPr>
                <w:rFonts w:ascii="Arial" w:hAnsi="Arial"/>
                <w:rtl/>
              </w:rPr>
              <w:t>ב"כ עו"ד</w:t>
            </w:r>
            <w:r w:rsidRPr="00D546EE">
              <w:rPr>
                <w:rFonts w:hint="cs"/>
                <w:rtl/>
              </w:rPr>
              <w:t xml:space="preserve"> אבישי דויטש</w:t>
            </w:r>
          </w:p>
          <w:p w14:paraId="2EB75CB4" w14:textId="77777777" w:rsidR="004973E2" w:rsidRPr="00D546EE" w:rsidRDefault="004973E2" w:rsidP="004973E2">
            <w:pPr>
              <w:spacing w:line="360" w:lineRule="auto"/>
              <w:rPr>
                <w:rFonts w:ascii="David" w:hAnsi="David"/>
                <w:sz w:val="26"/>
                <w:szCs w:val="26"/>
              </w:rPr>
            </w:pPr>
          </w:p>
        </w:tc>
      </w:tr>
      <w:bookmarkEnd w:id="1"/>
      <w:bookmarkEnd w:id="2"/>
      <w:tr w:rsidR="004973E2" w:rsidRPr="00D546EE" w14:paraId="00ECE385" w14:textId="77777777" w:rsidTr="004973E2">
        <w:trPr>
          <w:trHeight w:val="355"/>
          <w:jc w:val="center"/>
        </w:trPr>
        <w:tc>
          <w:tcPr>
            <w:tcW w:w="923" w:type="dxa"/>
            <w:tcBorders>
              <w:top w:val="nil"/>
              <w:left w:val="nil"/>
              <w:bottom w:val="nil"/>
              <w:right w:val="nil"/>
            </w:tcBorders>
            <w:shd w:val="clear" w:color="auto" w:fill="auto"/>
          </w:tcPr>
          <w:p w14:paraId="1055A80B" w14:textId="77777777" w:rsidR="004973E2" w:rsidRPr="00D546EE" w:rsidRDefault="004973E2" w:rsidP="004973E2">
            <w:pPr>
              <w:spacing w:line="360" w:lineRule="auto"/>
              <w:jc w:val="both"/>
              <w:rPr>
                <w:rFonts w:ascii="David" w:hAnsi="David"/>
                <w:sz w:val="26"/>
                <w:szCs w:val="26"/>
                <w:rtl/>
              </w:rPr>
            </w:pPr>
          </w:p>
        </w:tc>
        <w:tc>
          <w:tcPr>
            <w:tcW w:w="7897" w:type="dxa"/>
            <w:gridSpan w:val="2"/>
            <w:tcBorders>
              <w:top w:val="nil"/>
              <w:left w:val="nil"/>
              <w:bottom w:val="nil"/>
              <w:right w:val="nil"/>
            </w:tcBorders>
            <w:shd w:val="clear" w:color="auto" w:fill="auto"/>
          </w:tcPr>
          <w:p w14:paraId="411C68D1" w14:textId="77777777" w:rsidR="004973E2" w:rsidRPr="00D546EE" w:rsidRDefault="004973E2" w:rsidP="004973E2">
            <w:pPr>
              <w:spacing w:line="360" w:lineRule="auto"/>
              <w:jc w:val="center"/>
              <w:rPr>
                <w:rFonts w:ascii="David" w:hAnsi="David"/>
                <w:b/>
                <w:bCs/>
                <w:sz w:val="26"/>
                <w:szCs w:val="26"/>
                <w:rtl/>
              </w:rPr>
            </w:pPr>
          </w:p>
          <w:p w14:paraId="79EDE3F4" w14:textId="77777777" w:rsidR="004973E2" w:rsidRPr="00D546EE" w:rsidRDefault="004973E2" w:rsidP="004973E2">
            <w:pPr>
              <w:spacing w:line="360" w:lineRule="auto"/>
              <w:jc w:val="center"/>
              <w:rPr>
                <w:rFonts w:ascii="David" w:hAnsi="David"/>
                <w:b/>
                <w:bCs/>
                <w:sz w:val="26"/>
                <w:szCs w:val="26"/>
                <w:rtl/>
              </w:rPr>
            </w:pPr>
            <w:r w:rsidRPr="00D546EE">
              <w:rPr>
                <w:rFonts w:ascii="David" w:hAnsi="David"/>
                <w:b/>
                <w:bCs/>
                <w:sz w:val="26"/>
                <w:szCs w:val="26"/>
                <w:rtl/>
              </w:rPr>
              <w:t>נגד</w:t>
            </w:r>
          </w:p>
          <w:p w14:paraId="364EF32A" w14:textId="77777777" w:rsidR="004973E2" w:rsidRPr="00D546EE" w:rsidRDefault="004973E2" w:rsidP="004973E2">
            <w:pPr>
              <w:spacing w:line="360" w:lineRule="auto"/>
              <w:jc w:val="both"/>
              <w:rPr>
                <w:rFonts w:ascii="David" w:hAnsi="David"/>
                <w:sz w:val="26"/>
                <w:szCs w:val="26"/>
                <w:rtl/>
              </w:rPr>
            </w:pPr>
          </w:p>
          <w:p w14:paraId="0DD35EEA" w14:textId="77777777" w:rsidR="004973E2" w:rsidRPr="00D546EE" w:rsidRDefault="004973E2" w:rsidP="004973E2">
            <w:pPr>
              <w:spacing w:line="360" w:lineRule="auto"/>
              <w:jc w:val="both"/>
              <w:rPr>
                <w:rFonts w:ascii="David" w:hAnsi="David"/>
                <w:sz w:val="26"/>
                <w:szCs w:val="26"/>
              </w:rPr>
            </w:pPr>
          </w:p>
        </w:tc>
      </w:tr>
      <w:tr w:rsidR="004973E2" w:rsidRPr="00D546EE" w14:paraId="1EC22C23" w14:textId="77777777" w:rsidTr="004973E2">
        <w:trPr>
          <w:trHeight w:val="355"/>
          <w:jc w:val="center"/>
        </w:trPr>
        <w:tc>
          <w:tcPr>
            <w:tcW w:w="923" w:type="dxa"/>
            <w:tcBorders>
              <w:top w:val="nil"/>
              <w:left w:val="nil"/>
              <w:bottom w:val="nil"/>
              <w:right w:val="nil"/>
            </w:tcBorders>
            <w:shd w:val="clear" w:color="auto" w:fill="auto"/>
          </w:tcPr>
          <w:p w14:paraId="1AE114C0" w14:textId="77777777" w:rsidR="004973E2" w:rsidRPr="00D546EE" w:rsidRDefault="004973E2" w:rsidP="004973E2">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47E5BC67" w14:textId="77777777" w:rsidR="004973E2" w:rsidRPr="00D546EE" w:rsidRDefault="004973E2" w:rsidP="004973E2">
            <w:pPr>
              <w:spacing w:line="360" w:lineRule="auto"/>
              <w:rPr>
                <w:rFonts w:ascii="Arial" w:hAnsi="Arial"/>
                <w:b/>
                <w:bCs/>
                <w:sz w:val="26"/>
                <w:szCs w:val="26"/>
                <w:rtl/>
              </w:rPr>
            </w:pPr>
            <w:r w:rsidRPr="00D546EE">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537998AA" w14:textId="77777777" w:rsidR="004973E2" w:rsidRPr="00D546EE" w:rsidRDefault="004973E2" w:rsidP="004973E2">
            <w:pPr>
              <w:suppressLineNumbers/>
              <w:spacing w:line="360" w:lineRule="auto"/>
              <w:rPr>
                <w:rFonts w:ascii="Arial" w:hAnsi="Arial"/>
                <w:b/>
                <w:bCs/>
                <w:sz w:val="26"/>
                <w:szCs w:val="26"/>
                <w:rtl/>
              </w:rPr>
            </w:pPr>
            <w:r w:rsidRPr="00D546EE">
              <w:rPr>
                <w:rFonts w:ascii="Arial" w:hAnsi="Arial"/>
                <w:b/>
                <w:bCs/>
                <w:sz w:val="26"/>
                <w:szCs w:val="26"/>
                <w:rtl/>
              </w:rPr>
              <w:t>דמיטרי איסטחרוב</w:t>
            </w:r>
            <w:r w:rsidRPr="00D546EE">
              <w:rPr>
                <w:rFonts w:ascii="Arial" w:hAnsi="Arial" w:hint="cs"/>
                <w:b/>
                <w:bCs/>
                <w:sz w:val="26"/>
                <w:szCs w:val="26"/>
                <w:rtl/>
              </w:rPr>
              <w:t xml:space="preserve"> </w:t>
            </w:r>
          </w:p>
          <w:p w14:paraId="7AE2A0CC" w14:textId="77777777" w:rsidR="004973E2" w:rsidRPr="00D546EE" w:rsidRDefault="004973E2" w:rsidP="004973E2">
            <w:pPr>
              <w:suppressLineNumbers/>
              <w:spacing w:line="360" w:lineRule="auto"/>
            </w:pPr>
            <w:r w:rsidRPr="00D546EE">
              <w:rPr>
                <w:rFonts w:ascii="Arial" w:hAnsi="Arial"/>
                <w:rtl/>
              </w:rPr>
              <w:t>ע"י</w:t>
            </w:r>
            <w:r w:rsidRPr="00D546EE">
              <w:rPr>
                <w:rFonts w:ascii="Arial" w:hAnsi="Arial"/>
                <w:b/>
                <w:bCs/>
                <w:sz w:val="26"/>
                <w:szCs w:val="26"/>
                <w:rtl/>
              </w:rPr>
              <w:t xml:space="preserve"> </w:t>
            </w:r>
            <w:r w:rsidRPr="00D546EE">
              <w:rPr>
                <w:rFonts w:ascii="Arial" w:hAnsi="Arial"/>
                <w:rtl/>
              </w:rPr>
              <w:t>ב"כ עו"ד</w:t>
            </w:r>
            <w:r w:rsidRPr="00D546EE">
              <w:rPr>
                <w:rFonts w:ascii="Arial" w:hAnsi="Arial" w:hint="cs"/>
                <w:rtl/>
              </w:rPr>
              <w:t xml:space="preserve"> שמרית צור</w:t>
            </w:r>
          </w:p>
          <w:p w14:paraId="633FB9A7" w14:textId="77777777" w:rsidR="004973E2" w:rsidRPr="00D546EE" w:rsidRDefault="004973E2" w:rsidP="004973E2">
            <w:pPr>
              <w:spacing w:line="360" w:lineRule="auto"/>
              <w:rPr>
                <w:rFonts w:ascii="David" w:hAnsi="David"/>
                <w:sz w:val="26"/>
                <w:szCs w:val="26"/>
              </w:rPr>
            </w:pPr>
          </w:p>
        </w:tc>
      </w:tr>
    </w:tbl>
    <w:p w14:paraId="1A2406D8" w14:textId="77777777" w:rsidR="00D546EE" w:rsidRPr="00D546EE" w:rsidRDefault="00D546EE" w:rsidP="00D546EE">
      <w:pPr>
        <w:spacing w:before="120" w:after="120" w:line="240" w:lineRule="exact"/>
        <w:ind w:left="283" w:hanging="283"/>
        <w:jc w:val="both"/>
        <w:rPr>
          <w:rFonts w:ascii="FrankRuehl" w:hAnsi="FrankRuehl" w:cs="FrankRuehl"/>
          <w:rtl/>
        </w:rPr>
      </w:pPr>
    </w:p>
    <w:p w14:paraId="732754EC" w14:textId="77777777" w:rsidR="000C4DE3" w:rsidRPr="000C4DE3" w:rsidRDefault="000C4DE3" w:rsidP="000C4DE3">
      <w:pPr>
        <w:spacing w:before="120" w:after="120" w:line="240" w:lineRule="exact"/>
        <w:ind w:left="283" w:hanging="283"/>
        <w:jc w:val="both"/>
        <w:rPr>
          <w:rFonts w:ascii="FrankRuehl" w:hAnsi="FrankRuehl" w:cs="FrankRuehl"/>
          <w:rtl/>
        </w:rPr>
      </w:pPr>
    </w:p>
    <w:p w14:paraId="46F1D460" w14:textId="77777777" w:rsidR="00785250" w:rsidRDefault="00785250" w:rsidP="00785250">
      <w:pPr>
        <w:spacing w:line="360" w:lineRule="auto"/>
        <w:rPr>
          <w:sz w:val="26"/>
          <w:szCs w:val="26"/>
          <w:rtl/>
        </w:rPr>
      </w:pPr>
      <w:bookmarkStart w:id="3" w:name="LawTable"/>
      <w:bookmarkEnd w:id="3"/>
    </w:p>
    <w:p w14:paraId="466D3D6B" w14:textId="77777777" w:rsidR="00785250" w:rsidRPr="00785250" w:rsidRDefault="00785250" w:rsidP="00785250">
      <w:pPr>
        <w:spacing w:before="120" w:after="120" w:line="240" w:lineRule="exact"/>
        <w:ind w:left="283" w:hanging="283"/>
        <w:jc w:val="both"/>
        <w:rPr>
          <w:rFonts w:ascii="FrankRuehl" w:hAnsi="FrankRuehl" w:cs="FrankRuehl"/>
          <w:rtl/>
        </w:rPr>
      </w:pPr>
    </w:p>
    <w:p w14:paraId="67DA03D7" w14:textId="77777777" w:rsidR="00785250" w:rsidRPr="00785250" w:rsidRDefault="00785250" w:rsidP="00785250">
      <w:pPr>
        <w:spacing w:before="120" w:after="120" w:line="240" w:lineRule="exact"/>
        <w:ind w:left="283" w:hanging="283"/>
        <w:jc w:val="both"/>
        <w:rPr>
          <w:rFonts w:ascii="FrankRuehl" w:hAnsi="FrankRuehl" w:cs="FrankRuehl"/>
          <w:rtl/>
        </w:rPr>
      </w:pPr>
    </w:p>
    <w:p w14:paraId="31D2445F" w14:textId="77777777" w:rsidR="00785250" w:rsidRPr="00785250" w:rsidRDefault="00785250" w:rsidP="00785250">
      <w:pPr>
        <w:spacing w:before="120" w:after="120" w:line="240" w:lineRule="exact"/>
        <w:ind w:left="283" w:hanging="283"/>
        <w:jc w:val="both"/>
        <w:rPr>
          <w:rFonts w:ascii="FrankRuehl" w:hAnsi="FrankRuehl" w:cs="FrankRuehl"/>
          <w:rtl/>
        </w:rPr>
      </w:pPr>
      <w:r w:rsidRPr="00785250">
        <w:rPr>
          <w:rFonts w:ascii="FrankRuehl" w:hAnsi="FrankRuehl" w:cs="FrankRuehl"/>
          <w:rtl/>
        </w:rPr>
        <w:t xml:space="preserve">חקיקה שאוזכרה: </w:t>
      </w:r>
    </w:p>
    <w:p w14:paraId="6A95AE40" w14:textId="77777777" w:rsidR="00785250" w:rsidRPr="00785250" w:rsidRDefault="00785250" w:rsidP="00785250">
      <w:pPr>
        <w:spacing w:before="120" w:after="120" w:line="240" w:lineRule="exact"/>
        <w:ind w:left="283" w:hanging="283"/>
        <w:jc w:val="both"/>
        <w:rPr>
          <w:rFonts w:ascii="FrankRuehl" w:hAnsi="FrankRuehl" w:cs="FrankRuehl"/>
          <w:rtl/>
        </w:rPr>
      </w:pPr>
      <w:hyperlink r:id="rId7" w:history="1">
        <w:r w:rsidRPr="00785250">
          <w:rPr>
            <w:rFonts w:ascii="FrankRuehl" w:hAnsi="FrankRuehl" w:cs="FrankRuehl"/>
            <w:color w:val="0000FF"/>
            <w:rtl/>
          </w:rPr>
          <w:t>פקודת הסמים המסוכנים [נוסח חדש], תשל"ג-1973</w:t>
        </w:r>
      </w:hyperlink>
      <w:r w:rsidRPr="00785250">
        <w:rPr>
          <w:rFonts w:ascii="FrankRuehl" w:hAnsi="FrankRuehl" w:cs="FrankRuehl"/>
          <w:rtl/>
        </w:rPr>
        <w:t xml:space="preserve">: סע'  </w:t>
      </w:r>
      <w:hyperlink r:id="rId8" w:history="1">
        <w:r w:rsidRPr="00785250">
          <w:rPr>
            <w:rFonts w:ascii="FrankRuehl" w:hAnsi="FrankRuehl" w:cs="FrankRuehl"/>
            <w:color w:val="0000FF"/>
            <w:rtl/>
          </w:rPr>
          <w:t>7(א)</w:t>
        </w:r>
      </w:hyperlink>
      <w:r w:rsidRPr="00785250">
        <w:rPr>
          <w:rFonts w:ascii="FrankRuehl" w:hAnsi="FrankRuehl" w:cs="FrankRuehl"/>
          <w:rtl/>
        </w:rPr>
        <w:t xml:space="preserve">, </w:t>
      </w:r>
      <w:hyperlink r:id="rId9" w:history="1">
        <w:r w:rsidRPr="00785250">
          <w:rPr>
            <w:rFonts w:ascii="FrankRuehl" w:hAnsi="FrankRuehl" w:cs="FrankRuehl"/>
            <w:color w:val="0000FF"/>
            <w:rtl/>
          </w:rPr>
          <w:t>7(ג)</w:t>
        </w:r>
      </w:hyperlink>
      <w:r w:rsidRPr="00785250">
        <w:rPr>
          <w:rFonts w:ascii="FrankRuehl" w:hAnsi="FrankRuehl" w:cs="FrankRuehl"/>
          <w:rtl/>
        </w:rPr>
        <w:t xml:space="preserve">, </w:t>
      </w:r>
      <w:hyperlink r:id="rId10" w:history="1">
        <w:r w:rsidRPr="00785250">
          <w:rPr>
            <w:rFonts w:ascii="FrankRuehl" w:hAnsi="FrankRuehl" w:cs="FrankRuehl"/>
            <w:color w:val="0000FF"/>
            <w:rtl/>
          </w:rPr>
          <w:t>13</w:t>
        </w:r>
      </w:hyperlink>
      <w:r w:rsidRPr="00785250">
        <w:rPr>
          <w:rFonts w:ascii="FrankRuehl" w:hAnsi="FrankRuehl" w:cs="FrankRuehl"/>
          <w:rtl/>
        </w:rPr>
        <w:t xml:space="preserve">, </w:t>
      </w:r>
      <w:hyperlink r:id="rId11" w:history="1">
        <w:r w:rsidRPr="00785250">
          <w:rPr>
            <w:rFonts w:ascii="FrankRuehl" w:hAnsi="FrankRuehl" w:cs="FrankRuehl"/>
            <w:color w:val="0000FF"/>
            <w:rtl/>
          </w:rPr>
          <w:t>19א</w:t>
        </w:r>
      </w:hyperlink>
    </w:p>
    <w:p w14:paraId="0B4AC0DE" w14:textId="77777777" w:rsidR="00785250" w:rsidRPr="00785250" w:rsidRDefault="00785250" w:rsidP="00785250">
      <w:pPr>
        <w:spacing w:before="120" w:after="120" w:line="240" w:lineRule="exact"/>
        <w:ind w:left="283" w:hanging="283"/>
        <w:jc w:val="both"/>
        <w:rPr>
          <w:rFonts w:ascii="FrankRuehl" w:hAnsi="FrankRuehl" w:cs="FrankRuehl"/>
          <w:rtl/>
        </w:rPr>
      </w:pPr>
      <w:hyperlink r:id="rId12" w:history="1">
        <w:r w:rsidRPr="00785250">
          <w:rPr>
            <w:rFonts w:ascii="FrankRuehl" w:hAnsi="FrankRuehl" w:cs="FrankRuehl"/>
            <w:color w:val="0000FF"/>
            <w:rtl/>
          </w:rPr>
          <w:t>חוק העונשין, תשל"ז-1977</w:t>
        </w:r>
      </w:hyperlink>
      <w:r w:rsidRPr="00785250">
        <w:rPr>
          <w:rFonts w:ascii="FrankRuehl" w:hAnsi="FrankRuehl" w:cs="FrankRuehl"/>
          <w:rtl/>
        </w:rPr>
        <w:t xml:space="preserve">: סע'  </w:t>
      </w:r>
      <w:hyperlink r:id="rId13" w:history="1">
        <w:r w:rsidRPr="00785250">
          <w:rPr>
            <w:rFonts w:ascii="FrankRuehl" w:hAnsi="FrankRuehl" w:cs="FrankRuehl"/>
            <w:color w:val="0000FF"/>
            <w:rtl/>
          </w:rPr>
          <w:t>25</w:t>
        </w:r>
      </w:hyperlink>
      <w:r w:rsidRPr="00785250">
        <w:rPr>
          <w:rFonts w:ascii="FrankRuehl" w:hAnsi="FrankRuehl" w:cs="FrankRuehl"/>
          <w:rtl/>
        </w:rPr>
        <w:t xml:space="preserve">, </w:t>
      </w:r>
      <w:hyperlink r:id="rId14" w:history="1">
        <w:r w:rsidRPr="00785250">
          <w:rPr>
            <w:rFonts w:ascii="FrankRuehl" w:hAnsi="FrankRuehl" w:cs="FrankRuehl"/>
            <w:color w:val="0000FF"/>
            <w:rtl/>
          </w:rPr>
          <w:t>40יא</w:t>
        </w:r>
      </w:hyperlink>
    </w:p>
    <w:p w14:paraId="4DD5C28A" w14:textId="77777777" w:rsidR="00785250" w:rsidRPr="00785250" w:rsidRDefault="00785250" w:rsidP="00785250">
      <w:pPr>
        <w:spacing w:before="120" w:after="120" w:line="240" w:lineRule="exact"/>
        <w:ind w:left="283" w:hanging="283"/>
        <w:jc w:val="both"/>
        <w:rPr>
          <w:rFonts w:ascii="FrankRuehl" w:hAnsi="FrankRuehl" w:cs="FrankRuehl"/>
          <w:rtl/>
        </w:rPr>
      </w:pPr>
      <w:hyperlink r:id="rId15" w:history="1">
        <w:r w:rsidRPr="00785250">
          <w:rPr>
            <w:rFonts w:ascii="FrankRuehl" w:hAnsi="FrankRuehl" w:cs="FrankRuehl"/>
            <w:color w:val="0000FF"/>
            <w:rtl/>
          </w:rPr>
          <w:t>פקודת התעבורה [נוסח חדש]</w:t>
        </w:r>
      </w:hyperlink>
      <w:r w:rsidRPr="00785250">
        <w:rPr>
          <w:rFonts w:ascii="FrankRuehl" w:hAnsi="FrankRuehl" w:cs="FrankRuehl"/>
          <w:rtl/>
        </w:rPr>
        <w:t xml:space="preserve">: סע'  </w:t>
      </w:r>
      <w:hyperlink r:id="rId16" w:history="1">
        <w:r w:rsidRPr="00785250">
          <w:rPr>
            <w:rFonts w:ascii="FrankRuehl" w:hAnsi="FrankRuehl" w:cs="FrankRuehl"/>
            <w:color w:val="0000FF"/>
            <w:rtl/>
          </w:rPr>
          <w:t>62(2)</w:t>
        </w:r>
      </w:hyperlink>
    </w:p>
    <w:p w14:paraId="1C950353" w14:textId="77777777" w:rsidR="00785250" w:rsidRPr="00785250" w:rsidRDefault="00785250" w:rsidP="00785250">
      <w:pPr>
        <w:spacing w:line="360" w:lineRule="auto"/>
        <w:rPr>
          <w:sz w:val="26"/>
          <w:szCs w:val="26"/>
          <w:rtl/>
        </w:rPr>
      </w:pPr>
      <w:bookmarkStart w:id="4" w:name="LawTable_End"/>
      <w:bookmarkEnd w:id="4"/>
    </w:p>
    <w:p w14:paraId="1BAD3CCE" w14:textId="77777777" w:rsidR="004973E2" w:rsidRPr="000C4DE3" w:rsidRDefault="004973E2" w:rsidP="000C4DE3">
      <w:pPr>
        <w:spacing w:line="360" w:lineRule="auto"/>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73E2" w14:paraId="74B53E9F" w14:textId="77777777" w:rsidTr="004973E2">
        <w:trPr>
          <w:trHeight w:val="355"/>
          <w:jc w:val="center"/>
        </w:trPr>
        <w:tc>
          <w:tcPr>
            <w:tcW w:w="8820" w:type="dxa"/>
            <w:tcBorders>
              <w:top w:val="nil"/>
              <w:left w:val="nil"/>
              <w:bottom w:val="nil"/>
              <w:right w:val="nil"/>
            </w:tcBorders>
            <w:shd w:val="clear" w:color="auto" w:fill="auto"/>
          </w:tcPr>
          <w:p w14:paraId="60026068" w14:textId="77777777" w:rsidR="00D546EE" w:rsidRPr="00D546EE" w:rsidRDefault="00D546EE" w:rsidP="00D546EE">
            <w:pPr>
              <w:spacing w:after="120" w:line="360" w:lineRule="auto"/>
              <w:jc w:val="center"/>
              <w:rPr>
                <w:rFonts w:ascii="David" w:hAnsi="David"/>
                <w:b/>
                <w:bCs/>
                <w:sz w:val="36"/>
                <w:szCs w:val="36"/>
                <w:u w:val="single"/>
                <w:rtl/>
              </w:rPr>
            </w:pPr>
            <w:bookmarkStart w:id="5" w:name="PsakDin" w:colFirst="0" w:colLast="0"/>
            <w:bookmarkEnd w:id="0"/>
            <w:r w:rsidRPr="00D546EE">
              <w:rPr>
                <w:rFonts w:ascii="David" w:hAnsi="David"/>
                <w:b/>
                <w:bCs/>
                <w:sz w:val="36"/>
                <w:szCs w:val="36"/>
                <w:u w:val="single"/>
                <w:rtl/>
              </w:rPr>
              <w:t>גזר דין</w:t>
            </w:r>
          </w:p>
          <w:p w14:paraId="5639711D" w14:textId="77777777" w:rsidR="004973E2" w:rsidRPr="00D546EE" w:rsidRDefault="004973E2" w:rsidP="00D546EE">
            <w:pPr>
              <w:spacing w:after="120" w:line="360" w:lineRule="auto"/>
              <w:jc w:val="center"/>
              <w:rPr>
                <w:rFonts w:ascii="David" w:hAnsi="David"/>
                <w:bCs/>
                <w:sz w:val="36"/>
                <w:szCs w:val="36"/>
                <w:u w:val="single"/>
                <w:rtl/>
              </w:rPr>
            </w:pPr>
          </w:p>
        </w:tc>
      </w:tr>
    </w:tbl>
    <w:bookmarkEnd w:id="5"/>
    <w:p w14:paraId="683058D7" w14:textId="77777777" w:rsidR="004973E2" w:rsidRDefault="004973E2" w:rsidP="004973E2">
      <w:pPr>
        <w:pStyle w:val="a9"/>
        <w:numPr>
          <w:ilvl w:val="0"/>
          <w:numId w:val="1"/>
        </w:numPr>
        <w:spacing w:after="120" w:line="360" w:lineRule="auto"/>
        <w:ind w:left="360"/>
        <w:jc w:val="both"/>
        <w:rPr>
          <w:rFonts w:ascii="Tahoma" w:hAnsi="Tahoma"/>
          <w:b/>
          <w:bCs/>
          <w:u w:val="single"/>
        </w:rPr>
      </w:pPr>
      <w:r>
        <w:rPr>
          <w:rFonts w:ascii="Tahoma" w:hAnsi="Tahoma"/>
          <w:b/>
          <w:bCs/>
          <w:u w:val="single"/>
          <w:rtl/>
        </w:rPr>
        <w:t>רקע כללי והשתלשלות ההליכים המשפטיים:</w:t>
      </w:r>
    </w:p>
    <w:p w14:paraId="21CD0C58" w14:textId="77777777" w:rsidR="004973E2" w:rsidRDefault="004973E2" w:rsidP="004973E2">
      <w:pPr>
        <w:numPr>
          <w:ilvl w:val="0"/>
          <w:numId w:val="2"/>
        </w:numPr>
        <w:spacing w:after="120" w:line="360" w:lineRule="auto"/>
        <w:ind w:left="360"/>
        <w:jc w:val="both"/>
        <w:rPr>
          <w:rFonts w:ascii="Tahoma" w:hAnsi="Tahoma"/>
          <w:rtl/>
        </w:rPr>
      </w:pPr>
      <w:bookmarkStart w:id="6" w:name="ABSTRACT_START"/>
      <w:bookmarkEnd w:id="6"/>
      <w:r>
        <w:rPr>
          <w:rFonts w:ascii="Tahoma" w:hAnsi="Tahoma"/>
          <w:rtl/>
        </w:rPr>
        <w:lastRenderedPageBreak/>
        <w:t xml:space="preserve">הנאשם הורשע – על יסוד הודאתו בעובדות כתב האישום המתוקן, שניתנה במסגרת הסדר טיעון דיוני בעיקרו – בביצוע עבירות של </w:t>
      </w:r>
      <w:r>
        <w:rPr>
          <w:rFonts w:ascii="Tahoma" w:hAnsi="Tahoma"/>
          <w:b/>
          <w:bCs/>
          <w:rtl/>
        </w:rPr>
        <w:t>ניסיון סחר בסמים מסוכנים</w:t>
      </w:r>
      <w:r>
        <w:rPr>
          <w:rFonts w:ascii="Tahoma" w:hAnsi="Tahoma"/>
          <w:rtl/>
        </w:rPr>
        <w:t xml:space="preserve">, לפי הוראות </w:t>
      </w:r>
      <w:hyperlink r:id="rId17" w:history="1">
        <w:r w:rsidR="00F50FC5" w:rsidRPr="00F50FC5">
          <w:rPr>
            <w:rStyle w:val="Hyperlink"/>
            <w:rFonts w:ascii="Tahoma" w:hAnsi="Tahoma"/>
            <w:rtl/>
          </w:rPr>
          <w:t>סעיף 13</w:t>
        </w:r>
      </w:hyperlink>
      <w:r>
        <w:rPr>
          <w:rFonts w:ascii="Tahoma" w:hAnsi="Tahoma"/>
          <w:rtl/>
        </w:rPr>
        <w:t xml:space="preserve"> </w:t>
      </w:r>
      <w:hyperlink r:id="rId18" w:history="1">
        <w:r w:rsidR="00F50FC5" w:rsidRPr="00F50FC5">
          <w:rPr>
            <w:rStyle w:val="Hyperlink"/>
            <w:rFonts w:ascii="Tahoma" w:hAnsi="Tahoma"/>
            <w:rtl/>
          </w:rPr>
          <w:t>וסעיף 19א</w:t>
        </w:r>
      </w:hyperlink>
      <w:r>
        <w:rPr>
          <w:rFonts w:ascii="Tahoma" w:hAnsi="Tahoma"/>
          <w:rtl/>
        </w:rPr>
        <w:t xml:space="preserve"> ל</w:t>
      </w:r>
      <w:hyperlink r:id="rId19" w:history="1">
        <w:r w:rsidR="00D546EE" w:rsidRPr="00D546EE">
          <w:rPr>
            <w:rFonts w:ascii="Tahoma" w:hAnsi="Tahoma"/>
            <w:color w:val="0000FF"/>
            <w:u w:val="single"/>
            <w:rtl/>
          </w:rPr>
          <w:t>פקודת הסמים המסוכנים</w:t>
        </w:r>
      </w:hyperlink>
      <w:r>
        <w:rPr>
          <w:rFonts w:ascii="Tahoma" w:hAnsi="Tahoma"/>
          <w:rtl/>
        </w:rPr>
        <w:t xml:space="preserve"> [נוסח חדש], תשל"ג-1973 (להלן – פקודת הסמים המסוכנים) יחד עם </w:t>
      </w:r>
      <w:hyperlink r:id="rId20" w:history="1">
        <w:r w:rsidR="00F50FC5" w:rsidRPr="00F50FC5">
          <w:rPr>
            <w:rStyle w:val="Hyperlink"/>
            <w:rFonts w:ascii="Tahoma" w:hAnsi="Tahoma"/>
            <w:rtl/>
          </w:rPr>
          <w:t>סעיף 25</w:t>
        </w:r>
      </w:hyperlink>
      <w:r>
        <w:rPr>
          <w:rFonts w:ascii="Tahoma" w:hAnsi="Tahoma"/>
          <w:rtl/>
        </w:rPr>
        <w:t xml:space="preserve"> ל</w:t>
      </w:r>
      <w:hyperlink r:id="rId21" w:history="1">
        <w:r w:rsidR="00D546EE" w:rsidRPr="00D546EE">
          <w:rPr>
            <w:rFonts w:ascii="Tahoma" w:hAnsi="Tahoma"/>
            <w:color w:val="0000FF"/>
            <w:u w:val="single"/>
            <w:rtl/>
          </w:rPr>
          <w:t>חוק העונשין</w:t>
        </w:r>
      </w:hyperlink>
      <w:r>
        <w:rPr>
          <w:rFonts w:ascii="Tahoma" w:hAnsi="Tahoma"/>
          <w:rtl/>
        </w:rPr>
        <w:t xml:space="preserve">, תשל"ז-1977 (להלן – חוק העונשין); </w:t>
      </w:r>
      <w:r>
        <w:rPr>
          <w:rFonts w:ascii="Tahoma" w:hAnsi="Tahoma"/>
          <w:b/>
          <w:bCs/>
          <w:rtl/>
        </w:rPr>
        <w:t>החזקת סמים שלא לצריכה עצמית</w:t>
      </w:r>
      <w:r>
        <w:rPr>
          <w:rFonts w:ascii="Tahoma" w:hAnsi="Tahoma"/>
          <w:rtl/>
        </w:rPr>
        <w:t xml:space="preserve">, לפי הוראות </w:t>
      </w:r>
      <w:hyperlink r:id="rId22" w:history="1">
        <w:r w:rsidR="00F50FC5" w:rsidRPr="00F50FC5">
          <w:rPr>
            <w:rStyle w:val="Hyperlink"/>
            <w:rFonts w:ascii="Tahoma" w:hAnsi="Tahoma"/>
            <w:rtl/>
          </w:rPr>
          <w:t>סעיף 7(א)</w:t>
        </w:r>
      </w:hyperlink>
      <w:r>
        <w:rPr>
          <w:rFonts w:ascii="Tahoma" w:hAnsi="Tahoma"/>
          <w:rtl/>
        </w:rPr>
        <w:t xml:space="preserve"> יחד עם </w:t>
      </w:r>
      <w:hyperlink r:id="rId23" w:history="1">
        <w:r w:rsidR="00F50FC5" w:rsidRPr="00F50FC5">
          <w:rPr>
            <w:rStyle w:val="Hyperlink"/>
            <w:rFonts w:ascii="Tahoma" w:hAnsi="Tahoma"/>
            <w:rtl/>
          </w:rPr>
          <w:t>סעיף 7(ג)</w:t>
        </w:r>
      </w:hyperlink>
      <w:r>
        <w:rPr>
          <w:rFonts w:ascii="Tahoma" w:hAnsi="Tahoma"/>
          <w:rtl/>
        </w:rPr>
        <w:t xml:space="preserve"> רישא לפקודת הסמים המסוכנים; ו</w:t>
      </w:r>
      <w:r>
        <w:rPr>
          <w:rFonts w:ascii="Tahoma" w:hAnsi="Tahoma"/>
          <w:b/>
          <w:bCs/>
          <w:rtl/>
        </w:rPr>
        <w:t>נהיגה בקלות ראש</w:t>
      </w:r>
      <w:r>
        <w:rPr>
          <w:rFonts w:ascii="Tahoma" w:hAnsi="Tahoma"/>
          <w:rtl/>
        </w:rPr>
        <w:t xml:space="preserve">, לפי הוראות </w:t>
      </w:r>
      <w:hyperlink r:id="rId24" w:history="1">
        <w:r w:rsidR="00F50FC5" w:rsidRPr="00F50FC5">
          <w:rPr>
            <w:rStyle w:val="Hyperlink"/>
            <w:rFonts w:ascii="Tahoma" w:hAnsi="Tahoma"/>
            <w:rtl/>
          </w:rPr>
          <w:t>סעיף 62(2)</w:t>
        </w:r>
      </w:hyperlink>
      <w:r>
        <w:rPr>
          <w:rFonts w:ascii="Tahoma" w:hAnsi="Tahoma"/>
          <w:rtl/>
        </w:rPr>
        <w:t xml:space="preserve"> ל</w:t>
      </w:r>
      <w:hyperlink r:id="rId25" w:history="1">
        <w:r w:rsidR="00D546EE" w:rsidRPr="00D546EE">
          <w:rPr>
            <w:rFonts w:ascii="Tahoma" w:hAnsi="Tahoma"/>
            <w:color w:val="0000FF"/>
            <w:u w:val="single"/>
            <w:rtl/>
          </w:rPr>
          <w:t>פקודת התעבורה</w:t>
        </w:r>
      </w:hyperlink>
      <w:r>
        <w:rPr>
          <w:rFonts w:ascii="Tahoma" w:hAnsi="Tahoma"/>
          <w:rtl/>
        </w:rPr>
        <w:t xml:space="preserve"> [נוסח חדש].</w:t>
      </w:r>
    </w:p>
    <w:p w14:paraId="525F5672" w14:textId="77777777" w:rsidR="004973E2" w:rsidRDefault="004973E2" w:rsidP="004973E2">
      <w:pPr>
        <w:numPr>
          <w:ilvl w:val="0"/>
          <w:numId w:val="2"/>
        </w:numPr>
        <w:spacing w:after="120" w:line="360" w:lineRule="auto"/>
        <w:ind w:left="360"/>
        <w:jc w:val="both"/>
        <w:rPr>
          <w:rFonts w:ascii="Tahoma" w:hAnsi="Tahoma"/>
        </w:rPr>
      </w:pPr>
      <w:bookmarkStart w:id="7" w:name="ABSTRACT_END"/>
      <w:bookmarkEnd w:id="7"/>
      <w:r>
        <w:rPr>
          <w:rFonts w:ascii="Tahoma" w:hAnsi="Tahoma"/>
          <w:rtl/>
        </w:rPr>
        <w:t>בעובדות כתב האישום המתוקן נטען, בעיקרי הדברים, כלהלן:</w:t>
      </w:r>
    </w:p>
    <w:p w14:paraId="2E844262" w14:textId="77777777" w:rsidR="004973E2" w:rsidRDefault="004973E2" w:rsidP="004973E2">
      <w:pPr>
        <w:numPr>
          <w:ilvl w:val="0"/>
          <w:numId w:val="3"/>
        </w:numPr>
        <w:spacing w:after="120" w:line="360" w:lineRule="auto"/>
        <w:ind w:left="720"/>
        <w:jc w:val="both"/>
        <w:rPr>
          <w:rFonts w:ascii="Tahoma" w:hAnsi="Tahoma"/>
        </w:rPr>
      </w:pPr>
      <w:r>
        <w:rPr>
          <w:rFonts w:ascii="Tahoma" w:hAnsi="Tahoma"/>
          <w:rtl/>
        </w:rPr>
        <w:t>ביום 22.11.2018, בשעה 19:00 או בסמוך לכך, שהה הנאשם ברכב ב</w:t>
      </w:r>
      <w:r>
        <w:rPr>
          <w:rFonts w:ascii="Tahoma" w:hAnsi="Tahoma" w:hint="cs"/>
          <w:rtl/>
        </w:rPr>
        <w:t xml:space="preserve">איזור </w:t>
      </w:r>
      <w:r>
        <w:rPr>
          <w:rFonts w:ascii="Tahoma" w:hAnsi="Tahoma"/>
          <w:rtl/>
        </w:rPr>
        <w:t>רחוב קהילת ונציה</w:t>
      </w:r>
      <w:r>
        <w:rPr>
          <w:rFonts w:ascii="Tahoma" w:hAnsi="Tahoma" w:hint="cs"/>
          <w:rtl/>
        </w:rPr>
        <w:t>,</w:t>
      </w:r>
      <w:r>
        <w:rPr>
          <w:rFonts w:ascii="Tahoma" w:hAnsi="Tahoma"/>
          <w:rtl/>
        </w:rPr>
        <w:t xml:space="preserve"> בתל אביב. אל הרכב הגיע פלוני, כדי לרכוש מהנאשם שני גרם של סמים מסוכנים</w:t>
      </w:r>
      <w:r>
        <w:rPr>
          <w:rFonts w:ascii="Tahoma" w:hAnsi="Tahoma" w:hint="cs"/>
          <w:rtl/>
        </w:rPr>
        <w:t>,</w:t>
      </w:r>
      <w:r>
        <w:rPr>
          <w:rFonts w:ascii="Tahoma" w:hAnsi="Tahoma"/>
          <w:rtl/>
        </w:rPr>
        <w:t xml:space="preserve"> מסוג קנבוס</w:t>
      </w:r>
      <w:r>
        <w:rPr>
          <w:rFonts w:ascii="Tahoma" w:hAnsi="Tahoma" w:hint="cs"/>
          <w:rtl/>
        </w:rPr>
        <w:t>,</w:t>
      </w:r>
      <w:r>
        <w:rPr>
          <w:rFonts w:ascii="Tahoma" w:hAnsi="Tahoma"/>
          <w:rtl/>
        </w:rPr>
        <w:t xml:space="preserve"> בתמורה ל-150 ₪. ואולם, הנאשם הבחין בשוטרים שנמצאים בקרבת מקום ונמלט.</w:t>
      </w:r>
    </w:p>
    <w:p w14:paraId="22F383D1" w14:textId="77777777" w:rsidR="004973E2" w:rsidRDefault="004973E2" w:rsidP="004973E2">
      <w:pPr>
        <w:numPr>
          <w:ilvl w:val="0"/>
          <w:numId w:val="3"/>
        </w:numPr>
        <w:spacing w:after="120" w:line="360" w:lineRule="auto"/>
        <w:ind w:left="720"/>
        <w:jc w:val="both"/>
        <w:rPr>
          <w:rFonts w:ascii="Tahoma" w:hAnsi="Tahoma"/>
        </w:rPr>
      </w:pPr>
      <w:r>
        <w:rPr>
          <w:rFonts w:ascii="Tahoma" w:hAnsi="Tahoma"/>
          <w:rtl/>
        </w:rPr>
        <w:t>הנאשם החל בנסיעה מהירה ברחוב</w:t>
      </w:r>
      <w:r>
        <w:rPr>
          <w:rFonts w:ascii="Tahoma" w:hAnsi="Tahoma" w:hint="cs"/>
          <w:rtl/>
        </w:rPr>
        <w:t>ות</w:t>
      </w:r>
      <w:r>
        <w:rPr>
          <w:rFonts w:ascii="Tahoma" w:hAnsi="Tahoma"/>
          <w:rtl/>
        </w:rPr>
        <w:t xml:space="preserve"> ובמקביל החל שוטר בנסיעה אחריו, תוך הפעלת סירנות וכריזה "עצור משטרה". ואולם, הנאשם המשיך בנסיעה מהירה באופן שגרם לכלי רכב לסטות מנתיבם.</w:t>
      </w:r>
    </w:p>
    <w:p w14:paraId="7314B713" w14:textId="77777777" w:rsidR="004973E2" w:rsidRDefault="004973E2" w:rsidP="004973E2">
      <w:pPr>
        <w:numPr>
          <w:ilvl w:val="0"/>
          <w:numId w:val="3"/>
        </w:numPr>
        <w:spacing w:after="120" w:line="360" w:lineRule="auto"/>
        <w:ind w:left="720"/>
        <w:jc w:val="both"/>
        <w:rPr>
          <w:rFonts w:ascii="Tahoma" w:hAnsi="Tahoma"/>
        </w:rPr>
      </w:pPr>
      <w:r>
        <w:rPr>
          <w:rFonts w:ascii="Tahoma" w:hAnsi="Tahoma"/>
          <w:rtl/>
        </w:rPr>
        <w:t xml:space="preserve">במהלך הנסיעה השליך הנאשם מחלון הרכב שקית, בה החזיק 19 שקיות עם סמים מסוכנים מסוג </w:t>
      </w:r>
      <w:r w:rsidRPr="006A744D">
        <w:rPr>
          <w:rFonts w:ascii="Tahoma" w:hAnsi="Tahoma"/>
          <w:b/>
          <w:bCs/>
          <w:rtl/>
        </w:rPr>
        <w:t>קנבוס</w:t>
      </w:r>
      <w:r>
        <w:rPr>
          <w:rFonts w:ascii="Tahoma" w:hAnsi="Tahoma" w:hint="cs"/>
          <w:rtl/>
        </w:rPr>
        <w:t>,</w:t>
      </w:r>
      <w:r>
        <w:rPr>
          <w:rFonts w:ascii="Tahoma" w:hAnsi="Tahoma"/>
          <w:rtl/>
        </w:rPr>
        <w:t xml:space="preserve"> במשקל כולל של </w:t>
      </w:r>
      <w:r w:rsidRPr="006A744D">
        <w:rPr>
          <w:rFonts w:ascii="Tahoma" w:hAnsi="Tahoma"/>
          <w:b/>
          <w:bCs/>
          <w:rtl/>
        </w:rPr>
        <w:t>97.22 גרם</w:t>
      </w:r>
      <w:r w:rsidRPr="006A744D">
        <w:rPr>
          <w:rFonts w:ascii="Tahoma" w:hAnsi="Tahoma"/>
          <w:rtl/>
        </w:rPr>
        <w:t xml:space="preserve"> נטו. </w:t>
      </w:r>
      <w:r>
        <w:rPr>
          <w:rFonts w:ascii="Tahoma" w:hAnsi="Tahoma"/>
          <w:rtl/>
        </w:rPr>
        <w:t xml:space="preserve">עוד החזיק הנאשם, בדלת הנהג ברכב, בחמש שקיות עם סמים מסוכנים מסוג </w:t>
      </w:r>
      <w:r w:rsidRPr="006A744D">
        <w:rPr>
          <w:rFonts w:ascii="Tahoma" w:hAnsi="Tahoma"/>
          <w:b/>
          <w:bCs/>
          <w:rtl/>
        </w:rPr>
        <w:t>קנבוס</w:t>
      </w:r>
      <w:r>
        <w:rPr>
          <w:rFonts w:ascii="Tahoma" w:hAnsi="Tahoma"/>
          <w:rtl/>
        </w:rPr>
        <w:t xml:space="preserve"> במשקל כולל של </w:t>
      </w:r>
      <w:r w:rsidRPr="006A744D">
        <w:rPr>
          <w:rFonts w:ascii="Tahoma" w:hAnsi="Tahoma"/>
          <w:b/>
          <w:bCs/>
          <w:rtl/>
        </w:rPr>
        <w:t xml:space="preserve">23.01 גרם </w:t>
      </w:r>
      <w:r w:rsidRPr="006A744D">
        <w:rPr>
          <w:rFonts w:ascii="Tahoma" w:hAnsi="Tahoma"/>
          <w:rtl/>
        </w:rPr>
        <w:t>נטו.</w:t>
      </w:r>
    </w:p>
    <w:p w14:paraId="7CC03F0C"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 xml:space="preserve">הדיונים המקדמיים החלו להישמע עוד בפני מותב קודם והתמשכו מאוד, תחילה בשל בקשות דחייה מטעם ההגנה ולאחר מכן בעיקר עקב אי התייצבויות של הנאשם, שהביאו להוצאת צווי הבאה נגדו ולאחר מכן אף להתליית ההליכים המשפטיים בתיק. לאחר שחודשו ההליכים </w:t>
      </w:r>
      <w:r>
        <w:rPr>
          <w:rFonts w:ascii="Tahoma" w:hAnsi="Tahoma" w:hint="cs"/>
          <w:rtl/>
        </w:rPr>
        <w:t xml:space="preserve">המשפטיים </w:t>
      </w:r>
      <w:r>
        <w:rPr>
          <w:rFonts w:ascii="Tahoma" w:hAnsi="Tahoma"/>
          <w:rtl/>
        </w:rPr>
        <w:t>עתרה ההגנה לבחינת התאמתו של הנאשם לבית המשפט הקהילתי, אך הוא נמצא בלתי מתאים לכך (ר' הבדיקה הסופית מיום 27.02.2022).</w:t>
      </w:r>
    </w:p>
    <w:p w14:paraId="763FA5F8"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בהמשך הדרך הגיעו הצדדים להסדר טיעון, אשר במסגרתו הוגש כתב האישום המתוקן. כתב האישום המקורי תוקן באופן שהושמטה ממנו העבירה של הפרעה לשוטר בשעת מילוי תפקידו, והעבירה של נהיגה פוחזת תוקנה לעבירה של נהיגה בקלות ראש. לעניין הענישה עתרו הצדדים במשותף לקבלת תסקיר שירות המבחן. עם זאת, המאשימה הודיעה כי עמדתה היא לענישה של מאסר בפועל, ברף הגבוה של נשיאת עונש זה בדרך של עבודות שירות</w:t>
      </w:r>
      <w:r>
        <w:rPr>
          <w:rFonts w:ascii="Tahoma" w:hAnsi="Tahoma" w:hint="cs"/>
          <w:rtl/>
        </w:rPr>
        <w:t xml:space="preserve"> (9 חודשים)</w:t>
      </w:r>
      <w:r>
        <w:rPr>
          <w:rFonts w:ascii="Tahoma" w:hAnsi="Tahoma"/>
          <w:rtl/>
        </w:rPr>
        <w:t>, לצד ענישה נלווית שתכלול מאסר מותנה, קנס כספי ופסילה בפועל ועל תנאי.</w:t>
      </w:r>
    </w:p>
    <w:p w14:paraId="02CF099E"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הנאשם הודה אפוא בעובדות כתב האישום המתוקן והורשע, על יסוד הודאה זו, בעבירות בהן הואשם כאמור בפסקה 1 דלעיל. בית המשפט נעתר לבקשת הצדדים והורה על קבלת תסקיר שירות מבחן וחוות דעת מטעם הממונה על עבודות שירות, תוך הבהר</w:t>
      </w:r>
      <w:r>
        <w:rPr>
          <w:rFonts w:ascii="Tahoma" w:hAnsi="Tahoma" w:hint="cs"/>
          <w:rtl/>
        </w:rPr>
        <w:t>ה</w:t>
      </w:r>
      <w:r>
        <w:rPr>
          <w:rFonts w:ascii="Tahoma" w:hAnsi="Tahoma"/>
          <w:rtl/>
        </w:rPr>
        <w:t xml:space="preserve"> </w:t>
      </w:r>
      <w:r>
        <w:rPr>
          <w:rFonts w:ascii="Tahoma" w:hAnsi="Tahoma" w:hint="cs"/>
          <w:rtl/>
        </w:rPr>
        <w:t>ש</w:t>
      </w:r>
      <w:r>
        <w:rPr>
          <w:rFonts w:ascii="Tahoma" w:hAnsi="Tahoma"/>
          <w:rtl/>
        </w:rPr>
        <w:t>אין בהחלטות אלה משום קביעה לעניין העונש הראוי (בפרוטוקול, עמ' 20 שורה 11 ואילך).</w:t>
      </w:r>
    </w:p>
    <w:p w14:paraId="5BB0A2E0" w14:textId="77777777" w:rsidR="004973E2" w:rsidRPr="00CA4456" w:rsidRDefault="004973E2" w:rsidP="004973E2">
      <w:pPr>
        <w:spacing w:after="120" w:line="360" w:lineRule="auto"/>
        <w:jc w:val="both"/>
        <w:rPr>
          <w:rFonts w:ascii="Tahoma" w:hAnsi="Tahoma"/>
          <w:b/>
          <w:bCs/>
          <w:u w:val="single"/>
        </w:rPr>
      </w:pPr>
    </w:p>
    <w:p w14:paraId="22655939" w14:textId="77777777" w:rsidR="004973E2" w:rsidRDefault="004973E2" w:rsidP="004973E2">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תסקיר שירות המבחן:</w:t>
      </w:r>
    </w:p>
    <w:p w14:paraId="251CB521" w14:textId="77777777" w:rsidR="004973E2" w:rsidRDefault="004973E2" w:rsidP="004973E2">
      <w:pPr>
        <w:numPr>
          <w:ilvl w:val="0"/>
          <w:numId w:val="2"/>
        </w:numPr>
        <w:spacing w:after="120" w:line="360" w:lineRule="auto"/>
        <w:ind w:left="360"/>
        <w:jc w:val="both"/>
        <w:rPr>
          <w:rFonts w:ascii="Tahoma" w:hAnsi="Tahoma"/>
          <w:rtl/>
        </w:rPr>
      </w:pPr>
      <w:r>
        <w:rPr>
          <w:rFonts w:ascii="Tahoma" w:hAnsi="Tahoma"/>
          <w:rtl/>
        </w:rPr>
        <w:t>תסקיר שירות המבחן (מיום 05.06.2023) מפרט את נסיבותיו האישיות של הנאשם, יליד שנת 1981 (כבן 43 שנים כיום), רווק ואב לשתי בנות. הנאשם תיאר כי עלה ארצה עם אמו ואחיו</w:t>
      </w:r>
      <w:r>
        <w:rPr>
          <w:rFonts w:ascii="Tahoma" w:hAnsi="Tahoma" w:hint="cs"/>
          <w:rtl/>
        </w:rPr>
        <w:t>,</w:t>
      </w:r>
      <w:r>
        <w:rPr>
          <w:rFonts w:ascii="Tahoma" w:hAnsi="Tahoma"/>
          <w:rtl/>
        </w:rPr>
        <w:t xml:space="preserve"> בגיל 12, עקב אלימות שספגו בבית מצד האב. הנאשם תיאר בעיות משמעת והתנהגותו בנערותו, שהובילו למעבר בין מסגרות לימוד. מהצבא פוטר הנאשם בשל אי התאמה.</w:t>
      </w:r>
    </w:p>
    <w:p w14:paraId="595D6929"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את זוגתו לשעבר הכיר הנאשם בגיל צעיר ולאחר זמן משותף יחד</w:t>
      </w:r>
      <w:r>
        <w:rPr>
          <w:rFonts w:ascii="Tahoma" w:hAnsi="Tahoma" w:hint="cs"/>
          <w:rtl/>
        </w:rPr>
        <w:t>יו</w:t>
      </w:r>
      <w:r>
        <w:rPr>
          <w:rFonts w:ascii="Tahoma" w:hAnsi="Tahoma"/>
          <w:rtl/>
        </w:rPr>
        <w:t xml:space="preserve"> הביאו לעולם את שתי בנותיהם, שכיום הן בגירות. הנאשם תיאר אורח חיים שולי, לרבות תוך שימוש בסמים והשתתפות בהימורים, שבעטיים צבר חובות רבים לשוק האפור</w:t>
      </w:r>
      <w:r>
        <w:rPr>
          <w:rFonts w:ascii="Tahoma" w:hAnsi="Tahoma" w:hint="cs"/>
          <w:rtl/>
        </w:rPr>
        <w:t>;</w:t>
      </w:r>
      <w:r>
        <w:rPr>
          <w:rFonts w:ascii="Tahoma" w:hAnsi="Tahoma"/>
          <w:rtl/>
        </w:rPr>
        <w:t xml:space="preserve"> ומאז הוא חושש מנושיו ועובר ממקום מגורים אחד למשנהו. הנאשם שלל שימוש בעייתי בסמים או באלכוהול, אך לא התייצב לבדיקות שתן שאליהן זומן. עוד שלל הנאשם נזקקות טיפולית בתחום ההימורים.</w:t>
      </w:r>
    </w:p>
    <w:p w14:paraId="6F98303E"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 xml:space="preserve">בהתייחסותו לביצוע העבירות דנא התקשה הנאשם ליטול אחריות על ביצוען. הנאשם שלל התנהלות שולית סביב </w:t>
      </w:r>
      <w:r>
        <w:rPr>
          <w:rFonts w:ascii="Tahoma" w:hAnsi="Tahoma" w:hint="cs"/>
          <w:rtl/>
        </w:rPr>
        <w:t>ה</w:t>
      </w:r>
      <w:r>
        <w:rPr>
          <w:rFonts w:ascii="Tahoma" w:hAnsi="Tahoma"/>
          <w:rtl/>
        </w:rPr>
        <w:t>סמים וביקש להשליך את האחריות על אחר. עוד מסר הנאשם כי ביום ביצוע העבירה חזר מטייבה לאחר שגנב מריחואנה</w:t>
      </w:r>
      <w:r>
        <w:rPr>
          <w:rFonts w:ascii="Tahoma" w:hAnsi="Tahoma" w:hint="cs"/>
          <w:rtl/>
        </w:rPr>
        <w:t>,</w:t>
      </w:r>
      <w:r>
        <w:rPr>
          <w:rFonts w:ascii="Tahoma" w:hAnsi="Tahoma"/>
          <w:rtl/>
        </w:rPr>
        <w:t xml:space="preserve"> לשימוש עצמי</w:t>
      </w:r>
      <w:r>
        <w:rPr>
          <w:rFonts w:ascii="Tahoma" w:hAnsi="Tahoma" w:hint="cs"/>
          <w:rtl/>
        </w:rPr>
        <w:t>,</w:t>
      </w:r>
      <w:r>
        <w:rPr>
          <w:rFonts w:ascii="Tahoma" w:hAnsi="Tahoma"/>
          <w:rtl/>
        </w:rPr>
        <w:t xml:space="preserve"> וטלפון נייד. לטענתו, הוא ברח משום שלא ידע כי מדובר בשוטרים וסבר שהאנשים מהם גנב רדפו אחריו. בהתייחסותו לאופן נהיגתו טען </w:t>
      </w:r>
      <w:r>
        <w:rPr>
          <w:rFonts w:ascii="Tahoma" w:hAnsi="Tahoma" w:hint="cs"/>
          <w:rtl/>
        </w:rPr>
        <w:t xml:space="preserve">הנאשם </w:t>
      </w:r>
      <w:r>
        <w:rPr>
          <w:rFonts w:ascii="Tahoma" w:hAnsi="Tahoma"/>
          <w:rtl/>
        </w:rPr>
        <w:t>שהכביש היה פנוי ו</w:t>
      </w:r>
      <w:r>
        <w:rPr>
          <w:rFonts w:ascii="Tahoma" w:hAnsi="Tahoma" w:hint="cs"/>
          <w:rtl/>
        </w:rPr>
        <w:t xml:space="preserve">על כן </w:t>
      </w:r>
      <w:r>
        <w:rPr>
          <w:rFonts w:ascii="Tahoma" w:hAnsi="Tahoma"/>
          <w:rtl/>
        </w:rPr>
        <w:t>הוא לא סיכן אחרים. שירות המבחן התרשם אפוא שהנאשם מתקשה לערוך התבוננות פנימית על אופן התנהלותו ואף משליך אחריות על אחר.</w:t>
      </w:r>
    </w:p>
    <w:p w14:paraId="3C7FBF5F"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שירות המבחן הוסיף ובחן את גורמי הסיכון והסיכוי בעניינו של הנאשם, כאשר כגורמי סיכון צוינו אופי ה</w:t>
      </w:r>
      <w:r>
        <w:rPr>
          <w:rFonts w:ascii="Tahoma" w:hAnsi="Tahoma" w:hint="cs"/>
          <w:rtl/>
        </w:rPr>
        <w:t>עבירות</w:t>
      </w:r>
      <w:r>
        <w:rPr>
          <w:rFonts w:ascii="Tahoma" w:hAnsi="Tahoma"/>
          <w:rtl/>
        </w:rPr>
        <w:t>, העונשים שהוטלו בעבר על הנאשם ולא הרתיעו אותו מלשוב ולבצע עבירות, קשיי ההסתגלות והקשיים הכלכליים, ההתמכרות להימורים ולסמים, והיעדר מקום מגורים קבוע. שירות המבחן ציין שלא מצא גורמי סיכוי לשיקום בעניינו של הנאשם, למעט ביטוי מילולי של רצון לערוך שינוי. בנסיבות אלה נמנע שירות המבחן מהמלצה שיקומית-טיפולית בעניינו של הנאשם.</w:t>
      </w:r>
    </w:p>
    <w:p w14:paraId="0BDD7B4D" w14:textId="77777777" w:rsidR="004973E2" w:rsidRDefault="004973E2" w:rsidP="004973E2">
      <w:pPr>
        <w:spacing w:after="120" w:line="360" w:lineRule="auto"/>
        <w:jc w:val="both"/>
        <w:rPr>
          <w:rFonts w:ascii="Tahoma" w:hAnsi="Tahoma"/>
          <w:b/>
          <w:bCs/>
          <w:u w:val="single"/>
        </w:rPr>
      </w:pPr>
    </w:p>
    <w:p w14:paraId="4AD00001" w14:textId="77777777" w:rsidR="004973E2" w:rsidRDefault="004973E2" w:rsidP="004973E2">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הראיות והטיעונים לעונש:</w:t>
      </w:r>
    </w:p>
    <w:p w14:paraId="289D07B2" w14:textId="77777777" w:rsidR="004973E2" w:rsidRDefault="004973E2" w:rsidP="004973E2">
      <w:pPr>
        <w:numPr>
          <w:ilvl w:val="0"/>
          <w:numId w:val="2"/>
        </w:numPr>
        <w:spacing w:after="120" w:line="360" w:lineRule="auto"/>
        <w:ind w:left="360"/>
        <w:jc w:val="both"/>
        <w:rPr>
          <w:rFonts w:ascii="Tahoma" w:hAnsi="Tahoma"/>
          <w:rtl/>
        </w:rPr>
      </w:pPr>
      <w:r>
        <w:rPr>
          <w:rFonts w:ascii="Tahoma" w:hAnsi="Tahoma"/>
          <w:rtl/>
        </w:rPr>
        <w:t xml:space="preserve">ב"כ המאשימה הגיש, כראיה לקביעת העונש, את תדפיס המידע הפלילי בעניינו של הנאשם. כעולה מתדפיס זה לנאשם, כאמור יליד שנת 1981, שישה רישומים </w:t>
      </w:r>
      <w:r>
        <w:rPr>
          <w:rFonts w:ascii="Tahoma" w:hAnsi="Tahoma" w:hint="cs"/>
          <w:rtl/>
        </w:rPr>
        <w:t xml:space="preserve">פליליים </w:t>
      </w:r>
      <w:r>
        <w:rPr>
          <w:rFonts w:ascii="Tahoma" w:hAnsi="Tahoma"/>
          <w:rtl/>
        </w:rPr>
        <w:t>קודמים</w:t>
      </w:r>
      <w:r>
        <w:rPr>
          <w:rFonts w:ascii="Tahoma" w:hAnsi="Tahoma" w:hint="cs"/>
          <w:rtl/>
        </w:rPr>
        <w:t>,</w:t>
      </w:r>
      <w:r>
        <w:rPr>
          <w:rFonts w:ascii="Tahoma" w:hAnsi="Tahoma"/>
          <w:rtl/>
        </w:rPr>
        <w:t xml:space="preserve"> החל מבית המשפט לנוער. עם זאת, הרשעתו הקודמת האחרונה של הנאשם מתייחסת לעבירה של איומים</w:t>
      </w:r>
      <w:r>
        <w:rPr>
          <w:rFonts w:ascii="Tahoma" w:hAnsi="Tahoma" w:hint="cs"/>
          <w:rtl/>
        </w:rPr>
        <w:t>,</w:t>
      </w:r>
      <w:r>
        <w:rPr>
          <w:rFonts w:ascii="Tahoma" w:hAnsi="Tahoma"/>
          <w:rtl/>
        </w:rPr>
        <w:t xml:space="preserve"> </w:t>
      </w:r>
      <w:r>
        <w:rPr>
          <w:rFonts w:ascii="Tahoma" w:hAnsi="Tahoma" w:hint="cs"/>
          <w:rtl/>
        </w:rPr>
        <w:t>שבוצעה ב</w:t>
      </w:r>
      <w:r>
        <w:rPr>
          <w:rFonts w:ascii="Tahoma" w:hAnsi="Tahoma"/>
          <w:rtl/>
        </w:rPr>
        <w:t>שנת 2016, ובגינה נגזר עליו מאסר מותנה.</w:t>
      </w:r>
    </w:p>
    <w:p w14:paraId="2B3D0FA2"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 xml:space="preserve">בטיעוניו לעונש עמד ב"כ המאשימה על עובדות כתב האישום המתוקן, בהן הודה הנאשם, תוך הדגשת נסיבות החומרה העולות מהן. ב"כ המאשימה ציין כי עסקת הסמים לא הושלמה אך ורק משום שהנאשם הבחין בשוטרים וברח מהמקום. יתר על כן, הנאשם נהג </w:t>
      </w:r>
      <w:r>
        <w:rPr>
          <w:rFonts w:ascii="Tahoma" w:hAnsi="Tahoma" w:hint="cs"/>
          <w:rtl/>
        </w:rPr>
        <w:t xml:space="preserve">ברכבו </w:t>
      </w:r>
      <w:r>
        <w:rPr>
          <w:rFonts w:ascii="Tahoma" w:hAnsi="Tahoma"/>
          <w:rtl/>
        </w:rPr>
        <w:t xml:space="preserve">במהירות ובאופן שגרם לכלי רכב לסטות מנתיב נסיעתם; כך שרק במזל האירוע הסתיים </w:t>
      </w:r>
      <w:r>
        <w:rPr>
          <w:rFonts w:ascii="Tahoma" w:hAnsi="Tahoma" w:hint="cs"/>
          <w:rtl/>
        </w:rPr>
        <w:t>ל</w:t>
      </w:r>
      <w:r>
        <w:rPr>
          <w:rFonts w:ascii="Tahoma" w:hAnsi="Tahoma"/>
          <w:rtl/>
        </w:rPr>
        <w:t xml:space="preserve">לא פגיעות בגופם של </w:t>
      </w:r>
      <w:r>
        <w:rPr>
          <w:rFonts w:ascii="Tahoma" w:hAnsi="Tahoma" w:hint="cs"/>
          <w:rtl/>
        </w:rPr>
        <w:t>ה</w:t>
      </w:r>
      <w:r>
        <w:rPr>
          <w:rFonts w:ascii="Tahoma" w:hAnsi="Tahoma"/>
          <w:rtl/>
        </w:rPr>
        <w:t>עוברים ו</w:t>
      </w:r>
      <w:r>
        <w:rPr>
          <w:rFonts w:ascii="Tahoma" w:hAnsi="Tahoma" w:hint="cs"/>
          <w:rtl/>
        </w:rPr>
        <w:t>ה</w:t>
      </w:r>
      <w:r>
        <w:rPr>
          <w:rFonts w:ascii="Tahoma" w:hAnsi="Tahoma"/>
          <w:rtl/>
        </w:rPr>
        <w:t>שבים</w:t>
      </w:r>
      <w:r>
        <w:rPr>
          <w:rFonts w:ascii="Tahoma" w:hAnsi="Tahoma" w:hint="cs"/>
          <w:rtl/>
        </w:rPr>
        <w:t xml:space="preserve"> במקום</w:t>
      </w:r>
      <w:r>
        <w:rPr>
          <w:rFonts w:ascii="Tahoma" w:hAnsi="Tahoma"/>
          <w:rtl/>
        </w:rPr>
        <w:t>. לעניין החזקת הסמים על ידי הנאשם הדגיש התובע את משקלם הכולל</w:t>
      </w:r>
      <w:r>
        <w:rPr>
          <w:rFonts w:ascii="Tahoma" w:hAnsi="Tahoma" w:hint="cs"/>
          <w:rtl/>
        </w:rPr>
        <w:t xml:space="preserve"> של הסמים</w:t>
      </w:r>
      <w:r>
        <w:rPr>
          <w:rFonts w:ascii="Tahoma" w:hAnsi="Tahoma"/>
          <w:rtl/>
        </w:rPr>
        <w:t xml:space="preserve"> (120 גרם) ואת חלוקתם </w:t>
      </w:r>
      <w:r>
        <w:rPr>
          <w:rFonts w:ascii="Tahoma" w:hAnsi="Tahoma" w:hint="cs"/>
          <w:rtl/>
        </w:rPr>
        <w:t>(</w:t>
      </w:r>
      <w:r>
        <w:rPr>
          <w:rFonts w:ascii="Tahoma" w:hAnsi="Tahoma"/>
          <w:rtl/>
        </w:rPr>
        <w:t>ל-24 שקיות</w:t>
      </w:r>
      <w:r>
        <w:rPr>
          <w:rFonts w:ascii="Tahoma" w:hAnsi="Tahoma" w:hint="cs"/>
          <w:rtl/>
        </w:rPr>
        <w:t>) ה</w:t>
      </w:r>
      <w:r>
        <w:rPr>
          <w:rFonts w:ascii="Tahoma" w:hAnsi="Tahoma"/>
          <w:rtl/>
        </w:rPr>
        <w:t>מלמדת על פוטנציאל הפצה גבוה.</w:t>
      </w:r>
    </w:p>
    <w:p w14:paraId="608D76C4"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אשר למדיניות הענישה הנהוגה הפנה ב"כ המאשימה ל</w:t>
      </w:r>
      <w:hyperlink r:id="rId26" w:history="1">
        <w:r w:rsidR="00D546EE" w:rsidRPr="00D546EE">
          <w:rPr>
            <w:rFonts w:ascii="Tahoma" w:hAnsi="Tahoma"/>
            <w:color w:val="0000FF"/>
            <w:u w:val="single"/>
            <w:rtl/>
          </w:rPr>
          <w:t>ת"פ (שלום ב"ש) 14656-12-20</w:t>
        </w:r>
      </w:hyperlink>
      <w:r>
        <w:rPr>
          <w:rFonts w:ascii="Tahoma" w:hAnsi="Tahoma"/>
          <w:rtl/>
        </w:rPr>
        <w:t xml:space="preserve"> </w:t>
      </w:r>
      <w:r>
        <w:rPr>
          <w:rFonts w:ascii="Tahoma" w:hAnsi="Tahoma"/>
          <w:b/>
          <w:bCs/>
          <w:rtl/>
        </w:rPr>
        <w:t>מדינת ישראל נ' אלעלאוין</w:t>
      </w:r>
      <w:r>
        <w:rPr>
          <w:rFonts w:ascii="Tahoma" w:hAnsi="Tahoma"/>
          <w:rtl/>
        </w:rPr>
        <w:t xml:space="preserve"> (10.03.2021), שם נקבע מתחם עונש הולם שבין מספר חודשי מאסר לבין 18 חודשי מאסר, במקרה של החזקת  סמים מסוכנים מסוג קנבוס, במשקל של 457 גרם, בבית. עוד הפנה ב"כ המאשימה ל</w:t>
      </w:r>
      <w:hyperlink r:id="rId27" w:history="1">
        <w:r w:rsidR="00D546EE" w:rsidRPr="00D546EE">
          <w:rPr>
            <w:rFonts w:ascii="Tahoma" w:hAnsi="Tahoma"/>
            <w:color w:val="0000FF"/>
            <w:u w:val="single"/>
            <w:rtl/>
          </w:rPr>
          <w:t>ת"פ (שלום י-ם) 33141-05-18</w:t>
        </w:r>
      </w:hyperlink>
      <w:r>
        <w:rPr>
          <w:rFonts w:ascii="Tahoma" w:hAnsi="Tahoma"/>
          <w:rtl/>
        </w:rPr>
        <w:t xml:space="preserve"> </w:t>
      </w:r>
      <w:r>
        <w:rPr>
          <w:rFonts w:ascii="Tahoma" w:hAnsi="Tahoma"/>
          <w:b/>
          <w:bCs/>
          <w:rtl/>
        </w:rPr>
        <w:t xml:space="preserve">מדינת ישראל נ' ארקיבה </w:t>
      </w:r>
      <w:r>
        <w:rPr>
          <w:rFonts w:ascii="Tahoma" w:hAnsi="Tahoma"/>
          <w:rtl/>
        </w:rPr>
        <w:t xml:space="preserve">(06.05.2020), שם נקבע מתחם עונש הולם שבין 8 חודשי מאסר </w:t>
      </w:r>
      <w:r>
        <w:rPr>
          <w:rFonts w:ascii="Tahoma" w:hAnsi="Tahoma" w:hint="cs"/>
          <w:rtl/>
        </w:rPr>
        <w:t xml:space="preserve">בפועל </w:t>
      </w:r>
      <w:r>
        <w:rPr>
          <w:rFonts w:ascii="Tahoma" w:hAnsi="Tahoma"/>
          <w:rtl/>
        </w:rPr>
        <w:t xml:space="preserve">לבין 20 חודשי מאסר </w:t>
      </w:r>
      <w:r>
        <w:rPr>
          <w:rFonts w:ascii="Tahoma" w:hAnsi="Tahoma" w:hint="cs"/>
          <w:rtl/>
        </w:rPr>
        <w:t xml:space="preserve">בפועל </w:t>
      </w:r>
      <w:r>
        <w:rPr>
          <w:rFonts w:ascii="Tahoma" w:hAnsi="Tahoma"/>
          <w:rtl/>
        </w:rPr>
        <w:t>במקרה של שתי עסקאות מכר סמים מסוכנים מסוג קנבוס, בכמויות של גרמים.</w:t>
      </w:r>
    </w:p>
    <w:p w14:paraId="2E1230E5"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ב</w:t>
      </w:r>
      <w:r>
        <w:rPr>
          <w:rFonts w:ascii="Tahoma" w:hAnsi="Tahoma" w:hint="cs"/>
          <w:rtl/>
        </w:rPr>
        <w:t>מכלול ה</w:t>
      </w:r>
      <w:r>
        <w:rPr>
          <w:rFonts w:ascii="Tahoma" w:hAnsi="Tahoma"/>
          <w:rtl/>
        </w:rPr>
        <w:t>נסיב</w:t>
      </w:r>
      <w:r>
        <w:rPr>
          <w:rFonts w:ascii="Tahoma" w:hAnsi="Tahoma" w:hint="cs"/>
          <w:rtl/>
        </w:rPr>
        <w:t xml:space="preserve">ות </w:t>
      </w:r>
      <w:r>
        <w:rPr>
          <w:rFonts w:ascii="Tahoma" w:hAnsi="Tahoma"/>
          <w:rtl/>
        </w:rPr>
        <w:t>עתר ב"כ המאשימה לקביעת מתחם עונש הולם שבין 8 חודשי מאסר בפועל לבין 18 חודשי מאסר בפועל. אשר לגזירת העונש בתוך מתחם העונש ההולם הפנה התובע להיבטים השליליים העולים מתסקיר שירות המבחן. התובע ער לנסיבות החיים הלא פשוטות, בהן גדל הנאשם, אך בד בבד הדגיש את הי</w:t>
      </w:r>
      <w:r>
        <w:rPr>
          <w:rFonts w:ascii="Tahoma" w:hAnsi="Tahoma" w:hint="cs"/>
          <w:rtl/>
        </w:rPr>
        <w:t>מנעות הנאשם מ</w:t>
      </w:r>
      <w:r>
        <w:rPr>
          <w:rFonts w:ascii="Tahoma" w:hAnsi="Tahoma"/>
          <w:rtl/>
        </w:rPr>
        <w:t xml:space="preserve">נטילת האחריות הממשית, </w:t>
      </w:r>
      <w:r>
        <w:rPr>
          <w:rFonts w:ascii="Tahoma" w:hAnsi="Tahoma" w:hint="cs"/>
          <w:rtl/>
        </w:rPr>
        <w:t xml:space="preserve">את </w:t>
      </w:r>
      <w:r>
        <w:rPr>
          <w:rFonts w:ascii="Tahoma" w:hAnsi="Tahoma"/>
          <w:rtl/>
        </w:rPr>
        <w:t>הימנעות</w:t>
      </w:r>
      <w:r>
        <w:rPr>
          <w:rFonts w:ascii="Tahoma" w:hAnsi="Tahoma" w:hint="cs"/>
          <w:rtl/>
        </w:rPr>
        <w:t xml:space="preserve">ו </w:t>
      </w:r>
      <w:r>
        <w:rPr>
          <w:rFonts w:ascii="Tahoma" w:hAnsi="Tahoma"/>
          <w:rtl/>
        </w:rPr>
        <w:t>ממסירת בדיקות שתן ו</w:t>
      </w:r>
      <w:r>
        <w:rPr>
          <w:rFonts w:ascii="Tahoma" w:hAnsi="Tahoma" w:hint="cs"/>
          <w:rtl/>
        </w:rPr>
        <w:t xml:space="preserve">את </w:t>
      </w:r>
      <w:r>
        <w:rPr>
          <w:rFonts w:ascii="Tahoma" w:hAnsi="Tahoma"/>
          <w:rtl/>
        </w:rPr>
        <w:t xml:space="preserve">שלילת הנזקקות הטיפולית. לפיכך חזר התובע על עמדתה העונשית של המאשימה כפי שפורטה </w:t>
      </w:r>
      <w:r>
        <w:rPr>
          <w:rFonts w:ascii="Tahoma" w:hAnsi="Tahoma" w:hint="cs"/>
          <w:rtl/>
        </w:rPr>
        <w:t xml:space="preserve">כאמור </w:t>
      </w:r>
      <w:r>
        <w:rPr>
          <w:rFonts w:ascii="Tahoma" w:hAnsi="Tahoma"/>
          <w:rtl/>
        </w:rPr>
        <w:t>בעת הצגת הסדר הטיעון.</w:t>
      </w:r>
    </w:p>
    <w:p w14:paraId="0AEA860E"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 xml:space="preserve">ב"כ הנאשם, מצידה, הדגישה בפתח טיעוניה את התיקונים שנערכו בכתב האישום המקורי, לרקע קשיים ראייתיים. נוכח תיקונים אלה, שבמסגרתם כזכור הומרה העבירה של נהיגה פוחזת בעבירה של נהיגה בקלות ראש, לא ניתן לטעון כיום – כפי שניסה התובע – כי הנאשם נהג באופן שסיכן חיי אדם או </w:t>
      </w:r>
      <w:r>
        <w:rPr>
          <w:rFonts w:ascii="Tahoma" w:hAnsi="Tahoma" w:hint="cs"/>
          <w:rtl/>
        </w:rPr>
        <w:t>את ה</w:t>
      </w:r>
      <w:r>
        <w:rPr>
          <w:rFonts w:ascii="Tahoma" w:hAnsi="Tahoma"/>
          <w:rtl/>
        </w:rPr>
        <w:t>עוברים ושבים</w:t>
      </w:r>
      <w:r>
        <w:rPr>
          <w:rFonts w:ascii="Tahoma" w:hAnsi="Tahoma" w:hint="cs"/>
          <w:rtl/>
        </w:rPr>
        <w:t xml:space="preserve"> ברחוב</w:t>
      </w:r>
      <w:r>
        <w:rPr>
          <w:rFonts w:ascii="Tahoma" w:hAnsi="Tahoma"/>
          <w:rtl/>
        </w:rPr>
        <w:t>. אשר לעבירות הסמים הדגישה הסניגורית כי הנאשם נטל אחריות מידית על ביצוען, עוד במהלך חקירת המשטרה, ולא ניסה להרחיק עצמו מ</w:t>
      </w:r>
      <w:r>
        <w:rPr>
          <w:rFonts w:ascii="Tahoma" w:hAnsi="Tahoma" w:hint="cs"/>
          <w:rtl/>
        </w:rPr>
        <w:t>ה</w:t>
      </w:r>
      <w:r>
        <w:rPr>
          <w:rFonts w:ascii="Tahoma" w:hAnsi="Tahoma"/>
          <w:rtl/>
        </w:rPr>
        <w:t xml:space="preserve">ן. בנוסף, </w:t>
      </w:r>
      <w:r>
        <w:rPr>
          <w:rFonts w:ascii="Tahoma" w:hAnsi="Tahoma" w:hint="cs"/>
          <w:rtl/>
        </w:rPr>
        <w:t xml:space="preserve">בבית המשפט הודה </w:t>
      </w:r>
      <w:r>
        <w:rPr>
          <w:rFonts w:ascii="Tahoma" w:hAnsi="Tahoma"/>
          <w:rtl/>
        </w:rPr>
        <w:t xml:space="preserve">הנאשם בעובדות כתב האישום המתוקן, וחסך בזמן שיפוטי. </w:t>
      </w:r>
    </w:p>
    <w:p w14:paraId="622577CA"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אשר למדיניות הענישה הנהוגה טענה ב"כ הנאשם כי הפסיקה שהגיש התובע ע</w:t>
      </w:r>
      <w:r>
        <w:rPr>
          <w:rFonts w:ascii="Tahoma" w:hAnsi="Tahoma" w:hint="cs"/>
          <w:rtl/>
        </w:rPr>
        <w:t xml:space="preserve">וסקת </w:t>
      </w:r>
      <w:r>
        <w:rPr>
          <w:rFonts w:ascii="Tahoma" w:hAnsi="Tahoma"/>
          <w:rtl/>
        </w:rPr>
        <w:t>במקרים חמורים מענייננו</w:t>
      </w:r>
      <w:r>
        <w:rPr>
          <w:rFonts w:ascii="Tahoma" w:hAnsi="Tahoma" w:hint="cs"/>
          <w:rtl/>
        </w:rPr>
        <w:t xml:space="preserve">. כטיעונה, </w:t>
      </w:r>
      <w:r>
        <w:rPr>
          <w:rFonts w:ascii="Tahoma" w:hAnsi="Tahoma"/>
          <w:rtl/>
        </w:rPr>
        <w:t>ככלל בעבירות של סחר בסמים מסוכנים מסוג קנבוס</w:t>
      </w:r>
      <w:r>
        <w:rPr>
          <w:rFonts w:ascii="Tahoma" w:hAnsi="Tahoma" w:hint="cs"/>
          <w:rtl/>
        </w:rPr>
        <w:t>,</w:t>
      </w:r>
      <w:r>
        <w:rPr>
          <w:rFonts w:ascii="Tahoma" w:hAnsi="Tahoma"/>
          <w:rtl/>
        </w:rPr>
        <w:t xml:space="preserve"> בכמויות לא גדולות, נקבע מתחם עונש הולם שתחילתו במספר מצומצם של חודשי מאסר בפועל לנשיאה בדרך של עבודות שירות. עם זאת הפנתה הסניגורית למקרה בו נקבע מתחם עונש הולם שתחילתו בענישה צופה פני עתיד </w:t>
      </w:r>
      <w:r>
        <w:rPr>
          <w:rFonts w:ascii="Tahoma" w:hAnsi="Tahoma" w:hint="cs"/>
          <w:rtl/>
        </w:rPr>
        <w:t xml:space="preserve">בלבד </w:t>
      </w:r>
      <w:r>
        <w:rPr>
          <w:rFonts w:ascii="Tahoma" w:hAnsi="Tahoma"/>
          <w:rtl/>
        </w:rPr>
        <w:t>(</w:t>
      </w:r>
      <w:hyperlink r:id="rId28" w:history="1">
        <w:r w:rsidR="00D546EE" w:rsidRPr="00D546EE">
          <w:rPr>
            <w:rFonts w:ascii="Tahoma" w:hAnsi="Tahoma"/>
            <w:color w:val="0000FF"/>
            <w:u w:val="single"/>
            <w:rtl/>
          </w:rPr>
          <w:t>ת"פ (שלום ת"א) 52980-11-15</w:t>
        </w:r>
      </w:hyperlink>
      <w:r>
        <w:rPr>
          <w:rFonts w:ascii="Tahoma" w:hAnsi="Tahoma"/>
          <w:rtl/>
        </w:rPr>
        <w:t xml:space="preserve"> </w:t>
      </w:r>
      <w:r>
        <w:rPr>
          <w:rFonts w:ascii="Tahoma" w:hAnsi="Tahoma"/>
          <w:b/>
          <w:bCs/>
          <w:rtl/>
        </w:rPr>
        <w:t>מדינת ישראל נ' מוחמד</w:t>
      </w:r>
      <w:r>
        <w:rPr>
          <w:rFonts w:ascii="Tahoma" w:hAnsi="Tahoma"/>
          <w:rtl/>
        </w:rPr>
        <w:t xml:space="preserve"> (26.02.2018)), וכן למקרים שבהם הוחלט על חריגה לכף קולה ממתחם העונש ההולם משיקולי שיקום.</w:t>
      </w:r>
    </w:p>
    <w:p w14:paraId="52715CC5"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 xml:space="preserve">הסניגורית ערה לקשיים בעניינו של הנאשם, דהיינו, </w:t>
      </w:r>
      <w:r>
        <w:rPr>
          <w:rFonts w:ascii="Tahoma" w:hAnsi="Tahoma"/>
          <w:b/>
          <w:bCs/>
          <w:rtl/>
        </w:rPr>
        <w:t>ראשית</w:t>
      </w:r>
      <w:r>
        <w:rPr>
          <w:rFonts w:ascii="Tahoma" w:hAnsi="Tahoma"/>
          <w:rtl/>
        </w:rPr>
        <w:t>, ההמלצה השלילית של שירות המבחן</w:t>
      </w:r>
      <w:r>
        <w:rPr>
          <w:rFonts w:ascii="Tahoma" w:hAnsi="Tahoma" w:hint="cs"/>
          <w:rtl/>
        </w:rPr>
        <w:t>,</w:t>
      </w:r>
      <w:r>
        <w:rPr>
          <w:rFonts w:ascii="Tahoma" w:hAnsi="Tahoma"/>
          <w:rtl/>
        </w:rPr>
        <w:t xml:space="preserve"> ברובד השיקומי</w:t>
      </w:r>
      <w:r>
        <w:rPr>
          <w:rFonts w:ascii="Tahoma" w:hAnsi="Tahoma" w:hint="cs"/>
          <w:rtl/>
        </w:rPr>
        <w:t>;</w:t>
      </w:r>
      <w:r>
        <w:rPr>
          <w:rFonts w:ascii="Tahoma" w:hAnsi="Tahoma"/>
          <w:rtl/>
        </w:rPr>
        <w:t xml:space="preserve"> ו</w:t>
      </w:r>
      <w:r>
        <w:rPr>
          <w:rFonts w:ascii="Tahoma" w:hAnsi="Tahoma"/>
          <w:b/>
          <w:bCs/>
          <w:rtl/>
        </w:rPr>
        <w:t>שנית</w:t>
      </w:r>
      <w:r>
        <w:rPr>
          <w:rFonts w:ascii="Tahoma" w:hAnsi="Tahoma"/>
          <w:rtl/>
        </w:rPr>
        <w:t xml:space="preserve">, העובדה שחלוף הזמן </w:t>
      </w:r>
      <w:r>
        <w:rPr>
          <w:rFonts w:ascii="Tahoma" w:hAnsi="Tahoma" w:hint="cs"/>
          <w:rtl/>
        </w:rPr>
        <w:t xml:space="preserve">מאז ביצוע העבירות </w:t>
      </w:r>
      <w:r>
        <w:rPr>
          <w:rFonts w:ascii="Tahoma" w:hAnsi="Tahoma"/>
          <w:rtl/>
        </w:rPr>
        <w:t xml:space="preserve">נגרם בעטיו של הנאשם. עם זאת, גם בקשיים אלה ביקשה </w:t>
      </w:r>
      <w:r>
        <w:rPr>
          <w:rFonts w:ascii="Tahoma" w:hAnsi="Tahoma" w:hint="cs"/>
          <w:rtl/>
        </w:rPr>
        <w:t xml:space="preserve">הסניגורית </w:t>
      </w:r>
      <w:r>
        <w:rPr>
          <w:rFonts w:ascii="Tahoma" w:hAnsi="Tahoma"/>
          <w:rtl/>
        </w:rPr>
        <w:t>למצוא נקודות אור. לעניין השיקום הדגישה הסניגורית את נסיבות חייו הקשות מאוד של הנאשם ו</w:t>
      </w:r>
      <w:r>
        <w:rPr>
          <w:rFonts w:ascii="Tahoma" w:hAnsi="Tahoma" w:hint="cs"/>
          <w:rtl/>
        </w:rPr>
        <w:t xml:space="preserve">את </w:t>
      </w:r>
      <w:r>
        <w:rPr>
          <w:rFonts w:ascii="Tahoma" w:hAnsi="Tahoma"/>
          <w:rtl/>
        </w:rPr>
        <w:t xml:space="preserve">התמודדותו </w:t>
      </w:r>
      <w:r>
        <w:rPr>
          <w:rFonts w:ascii="Tahoma" w:hAnsi="Tahoma" w:hint="cs"/>
          <w:rtl/>
        </w:rPr>
        <w:t xml:space="preserve">המתמשכת </w:t>
      </w:r>
      <w:r>
        <w:rPr>
          <w:rFonts w:ascii="Tahoma" w:hAnsi="Tahoma"/>
          <w:rtl/>
        </w:rPr>
        <w:t>הן עם בעיות בריאות והן עם חובות עתק, לרבות לשוק האפור, שבהם הוא אינו יכול לעמוד ועל כן הוא נע ונד בבריחה מנושיו. לעניין חלוף הזמן הפנתה הסניגורית לעובדה שמאז ביצוע העבירות, לפני חמש וחצי שנים</w:t>
      </w:r>
      <w:r>
        <w:rPr>
          <w:rFonts w:ascii="Tahoma" w:hAnsi="Tahoma" w:hint="cs"/>
          <w:rtl/>
        </w:rPr>
        <w:t xml:space="preserve"> ויותר</w:t>
      </w:r>
      <w:r>
        <w:rPr>
          <w:rFonts w:ascii="Tahoma" w:hAnsi="Tahoma"/>
          <w:rtl/>
        </w:rPr>
        <w:t>, הנאשם לא שב לבצע עבירות</w:t>
      </w:r>
      <w:r>
        <w:rPr>
          <w:rFonts w:ascii="Tahoma" w:hAnsi="Tahoma" w:hint="cs"/>
          <w:rtl/>
        </w:rPr>
        <w:t>;</w:t>
      </w:r>
      <w:r>
        <w:rPr>
          <w:rFonts w:ascii="Tahoma" w:hAnsi="Tahoma"/>
          <w:rtl/>
        </w:rPr>
        <w:t xml:space="preserve"> ומכך ביקשה אף ללמוד סוג של שיקום המצדיק חריגה לכף קולה ממתחם העונש ההולם.</w:t>
      </w:r>
    </w:p>
    <w:p w14:paraId="6200C9FB"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 xml:space="preserve">ב"כ הנאשם הדגישה עוד כי עברו הפלילי של הנאשם הוא ישן, ורובו ככולו אינו ממין העניין, כאשר עבירות סמים בהן הורשע </w:t>
      </w:r>
      <w:r>
        <w:rPr>
          <w:rFonts w:ascii="Tahoma" w:hAnsi="Tahoma" w:hint="cs"/>
          <w:rtl/>
        </w:rPr>
        <w:t xml:space="preserve">הנאשם בזמנו </w:t>
      </w:r>
      <w:r>
        <w:rPr>
          <w:rFonts w:ascii="Tahoma" w:hAnsi="Tahoma"/>
          <w:rtl/>
        </w:rPr>
        <w:t xml:space="preserve">נעברו לפני למעלה משני עשורים. בשורה התחתונה עתרה אפוא ב"כ הנאשם לענישה מקלה, תוך הסתפקות בענישה צופה פני עתיד ובקנס סמלי. אשר לפסילה המבוקשת </w:t>
      </w:r>
      <w:r>
        <w:rPr>
          <w:rFonts w:ascii="Tahoma" w:hAnsi="Tahoma" w:hint="cs"/>
          <w:rtl/>
        </w:rPr>
        <w:t xml:space="preserve">על ידי המאשימה </w:t>
      </w:r>
      <w:r>
        <w:rPr>
          <w:rFonts w:ascii="Tahoma" w:hAnsi="Tahoma"/>
          <w:rtl/>
        </w:rPr>
        <w:t xml:space="preserve">הדגישה הסניגורית כי </w:t>
      </w:r>
      <w:r>
        <w:rPr>
          <w:rFonts w:ascii="Tahoma" w:hAnsi="Tahoma" w:hint="cs"/>
          <w:rtl/>
        </w:rPr>
        <w:t xml:space="preserve">אין </w:t>
      </w:r>
      <w:r>
        <w:rPr>
          <w:rFonts w:ascii="Tahoma" w:hAnsi="Tahoma"/>
          <w:rtl/>
        </w:rPr>
        <w:t>לנאשם רישיון נהיגה ובנסיבות העניין ניתן להסתפק בהשתת שלילה מותנית בלבד.</w:t>
      </w:r>
    </w:p>
    <w:p w14:paraId="535188E9" w14:textId="77777777" w:rsidR="004973E2" w:rsidRDefault="004973E2" w:rsidP="004973E2">
      <w:pPr>
        <w:numPr>
          <w:ilvl w:val="0"/>
          <w:numId w:val="2"/>
        </w:numPr>
        <w:spacing w:after="120" w:line="360" w:lineRule="auto"/>
        <w:ind w:left="360"/>
        <w:jc w:val="both"/>
        <w:rPr>
          <w:rFonts w:ascii="Tahoma" w:hAnsi="Tahoma"/>
        </w:rPr>
      </w:pPr>
      <w:r>
        <w:rPr>
          <w:rFonts w:ascii="Tahoma" w:hAnsi="Tahoma"/>
          <w:rtl/>
        </w:rPr>
        <w:t xml:space="preserve">לבסוף הנאשם, בדברו האחרון לעונש, אישר את דברי הסנגורית ולא הוסיף </w:t>
      </w:r>
      <w:r>
        <w:rPr>
          <w:rFonts w:ascii="Tahoma" w:hAnsi="Tahoma" w:hint="cs"/>
          <w:rtl/>
        </w:rPr>
        <w:t xml:space="preserve">דבר </w:t>
      </w:r>
      <w:r>
        <w:rPr>
          <w:rFonts w:ascii="Tahoma" w:hAnsi="Tahoma"/>
          <w:rtl/>
        </w:rPr>
        <w:t>מעבר לכך (ר' בפרוטוקול, עמ' 31 שורה 14).</w:t>
      </w:r>
    </w:p>
    <w:p w14:paraId="79FE2D9B" w14:textId="77777777" w:rsidR="004973E2" w:rsidRDefault="004973E2" w:rsidP="004973E2">
      <w:pPr>
        <w:spacing w:after="120" w:line="360" w:lineRule="auto"/>
        <w:jc w:val="both"/>
        <w:rPr>
          <w:rFonts w:ascii="Tahoma" w:hAnsi="Tahoma"/>
          <w:rtl/>
        </w:rPr>
      </w:pPr>
    </w:p>
    <w:p w14:paraId="272880C8" w14:textId="77777777" w:rsidR="004973E2" w:rsidRPr="00FC1FE9" w:rsidRDefault="004973E2" w:rsidP="004973E2">
      <w:pPr>
        <w:pStyle w:val="a9"/>
        <w:numPr>
          <w:ilvl w:val="0"/>
          <w:numId w:val="1"/>
        </w:numPr>
        <w:spacing w:after="120" w:line="360" w:lineRule="auto"/>
        <w:ind w:left="360"/>
        <w:jc w:val="both"/>
        <w:rPr>
          <w:rFonts w:ascii="Tahoma" w:hAnsi="Tahoma"/>
          <w:b/>
          <w:bCs/>
          <w:u w:val="single"/>
          <w:rtl/>
        </w:rPr>
      </w:pPr>
      <w:r w:rsidRPr="00FC1FE9">
        <w:rPr>
          <w:rFonts w:hint="cs"/>
          <w:b/>
          <w:bCs/>
          <w:u w:val="single"/>
          <w:rtl/>
        </w:rPr>
        <w:t>קביעת מתחם העונש ההולם:</w:t>
      </w:r>
    </w:p>
    <w:p w14:paraId="57E13AAB" w14:textId="77777777" w:rsidR="004973E2" w:rsidRDefault="004973E2" w:rsidP="004973E2">
      <w:pPr>
        <w:numPr>
          <w:ilvl w:val="0"/>
          <w:numId w:val="2"/>
        </w:numPr>
        <w:spacing w:after="120" w:line="360" w:lineRule="auto"/>
        <w:ind w:left="360"/>
        <w:jc w:val="both"/>
        <w:rPr>
          <w:rFonts w:ascii="Tahoma" w:hAnsi="Tahoma"/>
        </w:rPr>
      </w:pPr>
      <w:r>
        <w:rPr>
          <w:rFonts w:hint="cs"/>
          <w:rtl/>
        </w:rPr>
        <w:t xml:space="preserve">בעת גזירת עונשו של נאשם על בית המשפט לקבוע, תחילה, את מתחם העונש ההולם לאירוע שבגינו הורשע הנאשם, וזאת בהתאם </w:t>
      </w:r>
      <w:r w:rsidRPr="0072704B">
        <w:rPr>
          <w:rFonts w:ascii="Tahoma" w:hAnsi="Tahoma" w:hint="cs"/>
          <w:rtl/>
        </w:rPr>
        <w:t xml:space="preserve">לעיקרון ההלימה. בהקשר זה יתחשב בית המשפט, בין השאר, </w:t>
      </w:r>
      <w:r>
        <w:rPr>
          <w:rFonts w:hint="cs"/>
          <w:rtl/>
        </w:rPr>
        <w:t>בערכים החברתיים שנפגעו מביצוע העבירות ובמידת הפגיעה בהם, במדיניות הענישה הנהוגה ובנסיבות הקשורות בביצוע העבירות.</w:t>
      </w:r>
    </w:p>
    <w:p w14:paraId="76948CEE" w14:textId="77777777" w:rsidR="004973E2" w:rsidRDefault="004973E2" w:rsidP="004973E2">
      <w:pPr>
        <w:numPr>
          <w:ilvl w:val="0"/>
          <w:numId w:val="2"/>
        </w:numPr>
        <w:spacing w:after="120" w:line="360" w:lineRule="auto"/>
        <w:ind w:left="360"/>
        <w:jc w:val="both"/>
        <w:rPr>
          <w:rFonts w:ascii="Tahoma" w:hAnsi="Tahoma"/>
        </w:rPr>
      </w:pPr>
      <w:r>
        <w:rPr>
          <w:rFonts w:ascii="Tahoma" w:hAnsi="Tahoma" w:hint="cs"/>
          <w:rtl/>
        </w:rPr>
        <w:t xml:space="preserve">כידוע, </w:t>
      </w:r>
      <w:r w:rsidRPr="00E335C7">
        <w:rPr>
          <w:rFonts w:ascii="Tahoma" w:hAnsi="Tahoma"/>
          <w:rtl/>
        </w:rPr>
        <w:t xml:space="preserve">הפסיקה חוזרת ומדגישה את חומרתן </w:t>
      </w:r>
      <w:r>
        <w:rPr>
          <w:rFonts w:ascii="Tahoma" w:hAnsi="Tahoma" w:hint="cs"/>
          <w:rtl/>
        </w:rPr>
        <w:t xml:space="preserve">הרבה </w:t>
      </w:r>
      <w:r w:rsidRPr="00E335C7">
        <w:rPr>
          <w:rFonts w:ascii="Tahoma" w:hAnsi="Tahoma"/>
          <w:rtl/>
        </w:rPr>
        <w:t>של עבירות הסמים, שביצוען פוגע בערכים החברתיים של ההגנה על שלום הציבור ועל בריאותו. חומר</w:t>
      </w:r>
      <w:r>
        <w:rPr>
          <w:rFonts w:ascii="Tahoma" w:hAnsi="Tahoma" w:hint="cs"/>
          <w:rtl/>
        </w:rPr>
        <w:t>ה נוספת ש</w:t>
      </w:r>
      <w:r w:rsidRPr="00E335C7">
        <w:rPr>
          <w:rFonts w:ascii="Tahoma" w:hAnsi="Tahoma"/>
          <w:rtl/>
        </w:rPr>
        <w:t>ל עבירות הסמים נ</w:t>
      </w:r>
      <w:r>
        <w:rPr>
          <w:rFonts w:ascii="Tahoma" w:hAnsi="Tahoma" w:hint="cs"/>
          <w:rtl/>
        </w:rPr>
        <w:t xml:space="preserve">עוצה בהיותן </w:t>
      </w:r>
      <w:r w:rsidRPr="00E335C7">
        <w:rPr>
          <w:rFonts w:ascii="Tahoma" w:hAnsi="Tahoma"/>
          <w:rtl/>
        </w:rPr>
        <w:t xml:space="preserve">גורם "מחולל פשיעה", דהיינו: גורם הכרוך או אף עומד ביסוד ביצוען של עבירות רבות אחרות. </w:t>
      </w:r>
      <w:r>
        <w:rPr>
          <w:rFonts w:ascii="Tahoma" w:hAnsi="Tahoma" w:hint="cs"/>
          <w:rtl/>
        </w:rPr>
        <w:t xml:space="preserve">בנוסף, פשיטא שכאשר </w:t>
      </w:r>
      <w:r w:rsidRPr="00E335C7">
        <w:rPr>
          <w:rFonts w:ascii="Tahoma" w:hAnsi="Tahoma"/>
          <w:rtl/>
        </w:rPr>
        <w:t>מדובר ב</w:t>
      </w:r>
      <w:r>
        <w:rPr>
          <w:rFonts w:ascii="Tahoma" w:hAnsi="Tahoma" w:hint="cs"/>
          <w:rtl/>
        </w:rPr>
        <w:t xml:space="preserve">עבירה של </w:t>
      </w:r>
      <w:r w:rsidRPr="00E335C7">
        <w:rPr>
          <w:rFonts w:ascii="Tahoma" w:hAnsi="Tahoma"/>
          <w:rtl/>
        </w:rPr>
        <w:t xml:space="preserve">סחר בסמים מסוכנים </w:t>
      </w:r>
      <w:r>
        <w:rPr>
          <w:rFonts w:ascii="Tahoma" w:hAnsi="Tahoma" w:hint="cs"/>
          <w:rtl/>
        </w:rPr>
        <w:t xml:space="preserve">מידת </w:t>
      </w:r>
      <w:r w:rsidRPr="00E335C7">
        <w:rPr>
          <w:rFonts w:ascii="Tahoma" w:hAnsi="Tahoma"/>
          <w:rtl/>
        </w:rPr>
        <w:t>הפגיעה בערכים החברתיים היא אף חמורה יותר.</w:t>
      </w:r>
    </w:p>
    <w:p w14:paraId="3BEF8C5C" w14:textId="77777777" w:rsidR="004973E2" w:rsidRDefault="004973E2" w:rsidP="004973E2">
      <w:pPr>
        <w:numPr>
          <w:ilvl w:val="0"/>
          <w:numId w:val="2"/>
        </w:numPr>
        <w:spacing w:after="120" w:line="360" w:lineRule="auto"/>
        <w:ind w:left="360"/>
        <w:jc w:val="both"/>
        <w:rPr>
          <w:rFonts w:ascii="Tahoma" w:hAnsi="Tahoma"/>
        </w:rPr>
      </w:pPr>
      <w:r>
        <w:rPr>
          <w:rFonts w:ascii="Tahoma" w:hAnsi="Tahoma" w:hint="cs"/>
          <w:rtl/>
        </w:rPr>
        <w:t>כאמור, בקביעת מתחם העונש ההולם יש להתחשב גם בנסיבות הספציפיות-קונקרטיות של ביצוע העבירות, וכאן עסקינן בהחזקת הסמים ברכב, כשהם מחולקים, על כל המשתמע מכך לעניין פוטנציאל ההפצה. בנוסף, במקרה דנא מדובר אמנם בניסיון סחר בלבד, אך באי השלמת ביצוע העבירה רק בשל כך שהנאשם הבחין בשוטרים שהיו בקרבת מקום; כאשר לכך יש להוסיף את ניסיון הנאשם להימלט מהשוטרים, תוך נהיגה בקלות ראש.</w:t>
      </w:r>
    </w:p>
    <w:p w14:paraId="6FE86FAC" w14:textId="77777777" w:rsidR="004973E2" w:rsidRDefault="004973E2" w:rsidP="004973E2">
      <w:pPr>
        <w:numPr>
          <w:ilvl w:val="0"/>
          <w:numId w:val="2"/>
        </w:numPr>
        <w:spacing w:after="120" w:line="360" w:lineRule="auto"/>
        <w:ind w:left="360"/>
        <w:jc w:val="both"/>
        <w:rPr>
          <w:rFonts w:ascii="Tahoma" w:hAnsi="Tahoma"/>
        </w:rPr>
      </w:pPr>
      <w:r>
        <w:rPr>
          <w:rFonts w:ascii="Tahoma" w:hAnsi="Tahoma" w:hint="cs"/>
          <w:rtl/>
        </w:rPr>
        <w:t xml:space="preserve">כאשר מדובר בסחר בסמים מסוכנים מסוג קנבוס, בכמויות קטנות של גרמים, </w:t>
      </w:r>
      <w:r w:rsidRPr="006F4150">
        <w:rPr>
          <w:rFonts w:ascii="Tahoma" w:hAnsi="Tahoma" w:hint="cs"/>
          <w:rtl/>
        </w:rPr>
        <w:t xml:space="preserve">מדיניות הענישה הנהוגה קובעת </w:t>
      </w:r>
      <w:r w:rsidRPr="006F4150">
        <w:rPr>
          <w:rFonts w:ascii="Tahoma" w:hAnsi="Tahoma"/>
          <w:rtl/>
        </w:rPr>
        <w:t>–</w:t>
      </w:r>
      <w:r w:rsidRPr="006F4150">
        <w:rPr>
          <w:rFonts w:ascii="Tahoma" w:hAnsi="Tahoma" w:hint="cs"/>
          <w:rtl/>
        </w:rPr>
        <w:t xml:space="preserve"> ככלל</w:t>
      </w:r>
      <w:r>
        <w:rPr>
          <w:rFonts w:ascii="Tahoma" w:hAnsi="Tahoma" w:hint="cs"/>
          <w:rtl/>
        </w:rPr>
        <w:t xml:space="preserve">, והגם שקיימים חריגים לכך </w:t>
      </w:r>
      <w:r>
        <w:rPr>
          <w:rFonts w:ascii="Tahoma" w:hAnsi="Tahoma"/>
          <w:rtl/>
        </w:rPr>
        <w:t>–</w:t>
      </w:r>
      <w:r>
        <w:rPr>
          <w:rFonts w:ascii="Tahoma" w:hAnsi="Tahoma" w:hint="cs"/>
          <w:rtl/>
        </w:rPr>
        <w:t xml:space="preserve"> מתחמי עונש הולמים שתחילתם בענישה של מאסר בפועל לנשיאה בדרך של עבודות שירות. על כך לא היתה מחלוקת לפניי וכמעט למותר לציין כי קיימות לכך אסמכתאות בשפע. בנוסף, במקרה דנא לעבירת ניסיון הסחר הצטרפו עבירות נוספות (של החזקת סמים מסוכנים שלא לצריכה עצמית ונהיגה בקלות ראש). ברור אפוא כי במקרה כזה על הרף התחתון של מתחם העונש ההולם לעמוד על מאסר בפועל, ולו לנשיאה בדרך של עבודות שירות (ר' לאחרונה </w:t>
      </w:r>
      <w:hyperlink r:id="rId29" w:history="1">
        <w:r w:rsidR="00D546EE" w:rsidRPr="00D546EE">
          <w:rPr>
            <w:rFonts w:ascii="Tahoma" w:hAnsi="Tahoma"/>
            <w:color w:val="0000FF"/>
            <w:u w:val="single"/>
            <w:rtl/>
          </w:rPr>
          <w:t>ת"פ (שלום ב"ש) 30353-01-23</w:t>
        </w:r>
      </w:hyperlink>
      <w:r w:rsidRPr="00454397">
        <w:rPr>
          <w:rFonts w:ascii="Tahoma" w:hAnsi="Tahoma"/>
          <w:rtl/>
        </w:rPr>
        <w:t xml:space="preserve"> </w:t>
      </w:r>
      <w:r w:rsidRPr="00454397">
        <w:rPr>
          <w:rFonts w:ascii="Tahoma" w:hAnsi="Tahoma"/>
          <w:b/>
          <w:bCs/>
          <w:rtl/>
        </w:rPr>
        <w:t>מדינת ישראל נ' מיכלשוילי</w:t>
      </w:r>
      <w:r w:rsidRPr="00454397">
        <w:rPr>
          <w:rFonts w:ascii="Tahoma" w:hAnsi="Tahoma"/>
          <w:rtl/>
        </w:rPr>
        <w:t xml:space="preserve"> (20.03.2024) וה</w:t>
      </w:r>
      <w:r>
        <w:rPr>
          <w:rFonts w:ascii="Tahoma" w:hAnsi="Tahoma" w:hint="cs"/>
          <w:rtl/>
        </w:rPr>
        <w:t>אסמכתאות שם).</w:t>
      </w:r>
    </w:p>
    <w:p w14:paraId="431119E9" w14:textId="77777777" w:rsidR="004973E2" w:rsidRPr="0072704B" w:rsidRDefault="004973E2" w:rsidP="004973E2">
      <w:pPr>
        <w:numPr>
          <w:ilvl w:val="0"/>
          <w:numId w:val="2"/>
        </w:numPr>
        <w:spacing w:after="120" w:line="360" w:lineRule="auto"/>
        <w:ind w:left="360"/>
        <w:jc w:val="both"/>
        <w:rPr>
          <w:rFonts w:ascii="Tahoma" w:hAnsi="Tahoma"/>
        </w:rPr>
      </w:pPr>
      <w:r>
        <w:rPr>
          <w:rFonts w:hint="cs"/>
          <w:rtl/>
        </w:rPr>
        <w:t>אני קובע אפוא את מתחם העונש ההולם, במקרה זה, בין 4 חודשי מאסר בפועל, לנשיאה בדרך של עבודות שירות, לבין 14 חודשי מאסר בפועל.</w:t>
      </w:r>
    </w:p>
    <w:p w14:paraId="021BE660" w14:textId="77777777" w:rsidR="004973E2" w:rsidRPr="00701527" w:rsidRDefault="004973E2" w:rsidP="004973E2">
      <w:pPr>
        <w:spacing w:after="120" w:line="360" w:lineRule="auto"/>
        <w:jc w:val="both"/>
        <w:rPr>
          <w:rFonts w:ascii="Tahoma" w:hAnsi="Tahoma"/>
          <w:rtl/>
        </w:rPr>
      </w:pPr>
    </w:p>
    <w:p w14:paraId="0361A57B" w14:textId="77777777" w:rsidR="004973E2" w:rsidRDefault="004973E2" w:rsidP="004973E2">
      <w:pPr>
        <w:pStyle w:val="a9"/>
        <w:numPr>
          <w:ilvl w:val="0"/>
          <w:numId w:val="1"/>
        </w:numPr>
        <w:spacing w:after="120" w:line="360" w:lineRule="auto"/>
        <w:ind w:left="360"/>
        <w:jc w:val="both"/>
        <w:rPr>
          <w:rFonts w:ascii="Tahoma" w:hAnsi="Tahoma"/>
          <w:b/>
          <w:bCs/>
          <w:u w:val="single"/>
          <w:rtl/>
        </w:rPr>
      </w:pPr>
      <w:r w:rsidRPr="00CE1F20">
        <w:rPr>
          <w:rFonts w:hint="cs"/>
          <w:b/>
          <w:bCs/>
          <w:u w:val="single"/>
          <w:rtl/>
        </w:rPr>
        <w:t>גזירת עונשו של הנאשם בתוך מתחם העונש ההולם:</w:t>
      </w:r>
    </w:p>
    <w:p w14:paraId="5416006E" w14:textId="77777777" w:rsidR="004973E2" w:rsidRPr="00D05648" w:rsidRDefault="004973E2" w:rsidP="004973E2">
      <w:pPr>
        <w:numPr>
          <w:ilvl w:val="0"/>
          <w:numId w:val="2"/>
        </w:numPr>
        <w:spacing w:after="120" w:line="360" w:lineRule="auto"/>
        <w:ind w:left="360"/>
        <w:jc w:val="both"/>
        <w:rPr>
          <w:rFonts w:ascii="Tahoma" w:hAnsi="Tahoma"/>
        </w:rPr>
      </w:pPr>
      <w:r>
        <w:rPr>
          <w:rFonts w:hint="cs"/>
          <w:rtl/>
        </w:rPr>
        <w:t xml:space="preserve">לאחר קביעת מתחם העונש ההולם על בית המשפט לגזור את עונשו של הנאשם בתוך מתחם זה </w:t>
      </w:r>
      <w:r>
        <w:rPr>
          <w:rtl/>
        </w:rPr>
        <w:t>תוך התחשבות בנסיבות שאינן קשורות בביצוע העביר</w:t>
      </w:r>
      <w:r>
        <w:rPr>
          <w:rFonts w:hint="cs"/>
          <w:rtl/>
        </w:rPr>
        <w:t>ות,</w:t>
      </w:r>
      <w:r>
        <w:rPr>
          <w:rtl/>
        </w:rPr>
        <w:t xml:space="preserve"> לרבות אלה המנויות בהוראות </w:t>
      </w:r>
      <w:hyperlink r:id="rId30" w:history="1">
        <w:r w:rsidR="00F50FC5" w:rsidRPr="00F50FC5">
          <w:rPr>
            <w:rStyle w:val="Hyperlink"/>
            <w:rtl/>
          </w:rPr>
          <w:t>סעיף 40יא</w:t>
        </w:r>
      </w:hyperlink>
      <w:r>
        <w:rPr>
          <w:rtl/>
        </w:rPr>
        <w:t xml:space="preserve"> ל</w:t>
      </w:r>
      <w:hyperlink r:id="rId31" w:history="1">
        <w:r w:rsidR="00D546EE" w:rsidRPr="00D546EE">
          <w:rPr>
            <w:color w:val="0000FF"/>
            <w:u w:val="single"/>
            <w:rtl/>
          </w:rPr>
          <w:t>חוק העונשין</w:t>
        </w:r>
      </w:hyperlink>
      <w:r>
        <w:rPr>
          <w:rtl/>
        </w:rPr>
        <w:t>.</w:t>
      </w:r>
      <w:r>
        <w:rPr>
          <w:rFonts w:ascii="Tahoma" w:hAnsi="Tahoma" w:hint="cs"/>
          <w:rtl/>
        </w:rPr>
        <w:t xml:space="preserve"> יוטעם, כי אין במקרה זה אפשרות משפטית לחריגה לכף קולה ממתחם העונש ההולם מטעמי שיקום: הנאשם שלפניי לא השתתף ואינו משתתף כיום בכל הליך טיפולי-שיקומי. בנוסף, הוא שלל נזקקות טיפולית, ואף אין לפניי אינדיקציה ממשית כלשהי כי השתקם.</w:t>
      </w:r>
    </w:p>
    <w:p w14:paraId="6B1B54E4" w14:textId="77777777" w:rsidR="004973E2" w:rsidRPr="00014B6B" w:rsidRDefault="004973E2" w:rsidP="004973E2">
      <w:pPr>
        <w:numPr>
          <w:ilvl w:val="0"/>
          <w:numId w:val="2"/>
        </w:numPr>
        <w:spacing w:after="120" w:line="360" w:lineRule="auto"/>
        <w:ind w:left="360"/>
        <w:jc w:val="both"/>
        <w:rPr>
          <w:rFonts w:ascii="Tahoma" w:hAnsi="Tahoma"/>
        </w:rPr>
      </w:pPr>
      <w:r>
        <w:rPr>
          <w:rFonts w:hint="cs"/>
          <w:rtl/>
        </w:rPr>
        <w:t>השיקולים הרלוואנטיים לגזירת עונשו של הנאשם דנא הם אפוא כלהלן:</w:t>
      </w:r>
    </w:p>
    <w:p w14:paraId="129490B0" w14:textId="77777777" w:rsidR="004973E2" w:rsidRDefault="004973E2" w:rsidP="004973E2">
      <w:pPr>
        <w:snapToGrid w:val="0"/>
        <w:spacing w:after="120" w:line="360" w:lineRule="auto"/>
        <w:ind w:left="720"/>
        <w:jc w:val="both"/>
        <w:rPr>
          <w:rtl/>
        </w:rPr>
      </w:pPr>
      <w:r w:rsidRPr="00627467">
        <w:rPr>
          <w:rFonts w:hint="cs"/>
          <w:b/>
          <w:bCs/>
          <w:rtl/>
        </w:rPr>
        <w:t xml:space="preserve">עברו הפלילי של הנאשם </w:t>
      </w:r>
      <w:r w:rsidRPr="00627467">
        <w:rPr>
          <w:b/>
          <w:bCs/>
          <w:rtl/>
        </w:rPr>
        <w:t>–</w:t>
      </w:r>
      <w:r w:rsidRPr="00627467">
        <w:rPr>
          <w:rFonts w:hint="cs"/>
          <w:b/>
          <w:bCs/>
          <w:rtl/>
        </w:rPr>
        <w:t xml:space="preserve"> </w:t>
      </w:r>
      <w:r>
        <w:rPr>
          <w:rFonts w:hint="cs"/>
          <w:rtl/>
        </w:rPr>
        <w:t xml:space="preserve">לנאשם </w:t>
      </w:r>
      <w:r>
        <w:rPr>
          <w:rtl/>
        </w:rPr>
        <w:t>–</w:t>
      </w:r>
      <w:r>
        <w:rPr>
          <w:rFonts w:hint="cs"/>
          <w:rtl/>
        </w:rPr>
        <w:t xml:space="preserve"> כאמור יליד שנת 1981, כבן 43 שנים כיום </w:t>
      </w:r>
      <w:r>
        <w:rPr>
          <w:rtl/>
        </w:rPr>
        <w:t>–</w:t>
      </w:r>
      <w:r>
        <w:rPr>
          <w:rFonts w:hint="cs"/>
          <w:rtl/>
        </w:rPr>
        <w:t xml:space="preserve"> 6 הרשעות קודמות. עם זאת, מדובר בעבר פלילי ישן. בנוסף, יש להתחשב בכך שבזמן המשמעותי שחלף מאז ביצוע העבירות לא שב הנאשם לדרך העבירה.</w:t>
      </w:r>
    </w:p>
    <w:p w14:paraId="687F6C1A" w14:textId="77777777" w:rsidR="004973E2" w:rsidRDefault="004973E2" w:rsidP="004973E2">
      <w:pPr>
        <w:snapToGrid w:val="0"/>
        <w:spacing w:after="120" w:line="360" w:lineRule="auto"/>
        <w:ind w:left="720"/>
        <w:jc w:val="both"/>
        <w:rPr>
          <w:rtl/>
        </w:rPr>
      </w:pPr>
      <w:r w:rsidRPr="0047118D">
        <w:rPr>
          <w:rFonts w:hint="cs"/>
          <w:b/>
          <w:bCs/>
          <w:rtl/>
        </w:rPr>
        <w:t>הפגיעה של העונש בנאשם ובמשפחתו –</w:t>
      </w:r>
      <w:r w:rsidRPr="0047118D">
        <w:rPr>
          <w:rFonts w:hint="cs"/>
          <w:rtl/>
        </w:rPr>
        <w:t xml:space="preserve"> הטלת עונש של מאסר בפועל תפגע הן בנאשם והן במשפחתו</w:t>
      </w:r>
      <w:r>
        <w:rPr>
          <w:rFonts w:hint="cs"/>
          <w:rtl/>
        </w:rPr>
        <w:t xml:space="preserve"> (אמו ושתי בנותיו). עם זאת, הטלת עונש כאמור בדרך של עבודות שירות תגבש פגיעה מתונה בהרבה.</w:t>
      </w:r>
    </w:p>
    <w:p w14:paraId="7B631C2D" w14:textId="77777777" w:rsidR="004973E2" w:rsidRDefault="004973E2" w:rsidP="004973E2">
      <w:pPr>
        <w:snapToGrid w:val="0"/>
        <w:spacing w:after="120" w:line="360" w:lineRule="auto"/>
        <w:ind w:left="720"/>
        <w:jc w:val="both"/>
        <w:rPr>
          <w:rtl/>
        </w:rPr>
      </w:pPr>
      <w:r w:rsidRPr="00627467">
        <w:rPr>
          <w:rFonts w:hint="cs"/>
          <w:b/>
          <w:bCs/>
          <w:rtl/>
        </w:rPr>
        <w:t xml:space="preserve">הודאה ונטילת אחריות </w:t>
      </w:r>
      <w:r>
        <w:rPr>
          <w:rtl/>
        </w:rPr>
        <w:t>–</w:t>
      </w:r>
      <w:r>
        <w:rPr>
          <w:rFonts w:hint="cs"/>
          <w:rtl/>
        </w:rPr>
        <w:t xml:space="preserve"> הנאשם הודה בעובדות כתב האישום המתוקן. בכך חסך הנאשם מזמנם של העדים, הצדדים ובית המשפט. נסיבות אלה יש לזקוף לזכותו של הנאשם. </w:t>
      </w:r>
    </w:p>
    <w:p w14:paraId="243CD86B" w14:textId="77777777" w:rsidR="004973E2" w:rsidRDefault="004973E2" w:rsidP="004973E2">
      <w:pPr>
        <w:snapToGrid w:val="0"/>
        <w:spacing w:after="120" w:line="360" w:lineRule="auto"/>
        <w:ind w:left="720"/>
        <w:jc w:val="both"/>
        <w:rPr>
          <w:rtl/>
        </w:rPr>
      </w:pPr>
      <w:r w:rsidRPr="00627467">
        <w:rPr>
          <w:rFonts w:hint="cs"/>
          <w:b/>
          <w:bCs/>
          <w:rtl/>
        </w:rPr>
        <w:t xml:space="preserve">נתוניו האישיים של הנאשם ונסיבות חייו </w:t>
      </w:r>
      <w:r>
        <w:rPr>
          <w:rtl/>
        </w:rPr>
        <w:t>–</w:t>
      </w:r>
      <w:r>
        <w:rPr>
          <w:rFonts w:hint="cs"/>
          <w:rtl/>
        </w:rPr>
        <w:t xml:space="preserve"> נסיבות חייו של הנאשם אינן פשוטות, בלשון המעטה, כעולה מאמור בתסקיר שירות המבחן.</w:t>
      </w:r>
    </w:p>
    <w:p w14:paraId="4D475444" w14:textId="77777777" w:rsidR="004973E2" w:rsidRDefault="004973E2" w:rsidP="004973E2">
      <w:pPr>
        <w:snapToGrid w:val="0"/>
        <w:spacing w:after="120" w:line="360" w:lineRule="auto"/>
        <w:ind w:left="720"/>
        <w:jc w:val="both"/>
        <w:rPr>
          <w:rtl/>
        </w:rPr>
      </w:pPr>
      <w:r>
        <w:rPr>
          <w:rFonts w:hint="cs"/>
          <w:b/>
          <w:bCs/>
          <w:rtl/>
        </w:rPr>
        <w:t>חלוף הזמן מעת ביצוע העבירה –</w:t>
      </w:r>
      <w:r>
        <w:rPr>
          <w:rFonts w:hint="cs"/>
          <w:rtl/>
        </w:rPr>
        <w:t xml:space="preserve"> מאז ביצוע העבירות חלף זמן ניכר. ואולם, חלוף הזמן נגרם, ברובו המכריע, בשל התנהלות הנאשם ואי התייצבותו לדיונים, באופן שאף הביא בשלב מסוים להתליית ההליכים המשפטיים. לא ניתן אפוא לזקוף את חלוף הזמן לזכותו של הנאשם.</w:t>
      </w:r>
    </w:p>
    <w:p w14:paraId="447894E9" w14:textId="77777777" w:rsidR="004973E2" w:rsidRDefault="004973E2" w:rsidP="004973E2">
      <w:pPr>
        <w:numPr>
          <w:ilvl w:val="0"/>
          <w:numId w:val="2"/>
        </w:numPr>
        <w:spacing w:after="120" w:line="360" w:lineRule="auto"/>
        <w:ind w:left="360"/>
        <w:jc w:val="both"/>
        <w:rPr>
          <w:rFonts w:ascii="Tahoma" w:hAnsi="Tahoma"/>
        </w:rPr>
      </w:pPr>
      <w:r>
        <w:rPr>
          <w:rFonts w:hint="cs"/>
          <w:rtl/>
        </w:rPr>
        <w:t xml:space="preserve">המסקנה המתבקשת ממכלול הנסיבות והשיקולים שפורטו לעיל היא כי במקרה זה נסיבות הקולה עולות במשקלן במידה מסוימת על נסיבות החומרה. לפיכך ניתן להסתפק במקרה זה בגזירת העונש בחלק </w:t>
      </w:r>
      <w:r>
        <w:rPr>
          <w:rFonts w:ascii="Tahoma" w:hAnsi="Tahoma" w:hint="cs"/>
          <w:rtl/>
        </w:rPr>
        <w:t xml:space="preserve">התחתון </w:t>
      </w:r>
      <w:r w:rsidRPr="00014B6B">
        <w:rPr>
          <w:rFonts w:ascii="Tahoma" w:hAnsi="Tahoma" w:hint="cs"/>
          <w:rtl/>
        </w:rPr>
        <w:t>של</w:t>
      </w:r>
      <w:r>
        <w:rPr>
          <w:rFonts w:ascii="Tahoma" w:hAnsi="Tahoma" w:hint="cs"/>
          <w:rtl/>
        </w:rPr>
        <w:t xml:space="preserve"> מתחם העונש ההולם, הגם שלא ברף התחתון ממש. בהיבט הפסילה מקובל עליי, במקרה זה, טיעון הסניגורית שלפיו ניתן להסתפק בעונש של פסילה מותנית.</w:t>
      </w:r>
    </w:p>
    <w:p w14:paraId="60F5912C" w14:textId="77777777" w:rsidR="004973E2" w:rsidRPr="006C59CD" w:rsidRDefault="004973E2" w:rsidP="004973E2">
      <w:pPr>
        <w:spacing w:after="120" w:line="360" w:lineRule="auto"/>
        <w:jc w:val="both"/>
        <w:rPr>
          <w:rFonts w:ascii="Tahoma" w:hAnsi="Tahoma"/>
          <w:rtl/>
        </w:rPr>
      </w:pPr>
    </w:p>
    <w:p w14:paraId="47CF3FB7" w14:textId="77777777" w:rsidR="004973E2" w:rsidRDefault="004973E2" w:rsidP="004973E2">
      <w:pPr>
        <w:pStyle w:val="a9"/>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74CC3D8C" w14:textId="77777777" w:rsidR="004973E2" w:rsidRPr="002059D0" w:rsidRDefault="004973E2" w:rsidP="004973E2">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5A621D8B" w14:textId="77777777" w:rsidR="004973E2" w:rsidRDefault="004973E2" w:rsidP="004973E2">
      <w:pPr>
        <w:spacing w:after="120" w:line="360" w:lineRule="auto"/>
        <w:ind w:left="1080" w:hanging="720"/>
        <w:jc w:val="both"/>
        <w:rPr>
          <w:rFonts w:ascii="Tahoma" w:hAnsi="Tahoma"/>
          <w:rtl/>
        </w:rPr>
      </w:pPr>
      <w:r>
        <w:rPr>
          <w:rFonts w:hint="cs"/>
          <w:rtl/>
        </w:rPr>
        <w:t>(א)</w:t>
      </w:r>
      <w:r>
        <w:rPr>
          <w:rtl/>
        </w:rPr>
        <w:tab/>
      </w:r>
      <w:r>
        <w:rPr>
          <w:rFonts w:hint="cs"/>
          <w:rtl/>
        </w:rPr>
        <w:t>5 חודשי מאסר בפועל.</w:t>
      </w:r>
    </w:p>
    <w:p w14:paraId="011436BD" w14:textId="77777777" w:rsidR="004973E2" w:rsidRDefault="004973E2" w:rsidP="004973E2">
      <w:pPr>
        <w:spacing w:after="120" w:line="360" w:lineRule="auto"/>
        <w:ind w:left="1080"/>
        <w:jc w:val="both"/>
        <w:rPr>
          <w:rFonts w:ascii="Tahoma" w:hAnsi="Tahoma"/>
          <w:rtl/>
        </w:rPr>
      </w:pPr>
      <w:r>
        <w:rPr>
          <w:rFonts w:ascii="Tahoma" w:hAnsi="Tahoma" w:hint="cs"/>
          <w:rtl/>
        </w:rPr>
        <w:t>הנאשם יישא את עונש המאסר בדרך של עבודות שירות, כאמור בחוות דעתו של הממונה על עבודות השירות בשירות בתי הסוהר מיום 21.05.2024.</w:t>
      </w:r>
    </w:p>
    <w:p w14:paraId="7F84B0F2" w14:textId="77777777" w:rsidR="004973E2" w:rsidRDefault="004973E2" w:rsidP="004973E2">
      <w:pPr>
        <w:spacing w:after="120" w:line="360" w:lineRule="auto"/>
        <w:ind w:left="1080"/>
        <w:jc w:val="both"/>
        <w:rPr>
          <w:rFonts w:ascii="Tahoma" w:hAnsi="Tahoma"/>
          <w:rtl/>
        </w:rPr>
      </w:pPr>
      <w:r>
        <w:rPr>
          <w:rFonts w:ascii="Tahoma" w:hAnsi="Tahoma" w:hint="cs"/>
          <w:rtl/>
        </w:rPr>
        <w:t>על הנאשם להתייצב לנשיאת עונשו במשרדי הממונה על עבודות השירות, ביום 04.08.2024 עד השעה 08:00.</w:t>
      </w:r>
    </w:p>
    <w:p w14:paraId="20852E46" w14:textId="77777777" w:rsidR="004973E2" w:rsidRDefault="004973E2" w:rsidP="004973E2">
      <w:pPr>
        <w:spacing w:after="120" w:line="360" w:lineRule="auto"/>
        <w:ind w:left="1080"/>
        <w:jc w:val="both"/>
        <w:rPr>
          <w:rFonts w:ascii="Tahoma" w:hAnsi="Tahoma"/>
        </w:rPr>
      </w:pPr>
      <w:r>
        <w:rPr>
          <w:rFonts w:ascii="Tahoma" w:hAnsi="Tahoma" w:hint="cs"/>
          <w:rtl/>
        </w:rPr>
        <w:t>מובהר בזה לנאשם כי בכל הקשור לעבודות השירות עליו לציית להוראות הממונה על עבודות השירות, או למי שהוסמך לכך מטעמו. עוד מובהר לנאשם, כי במידה ולא יציית להוראות כאמור הוא עשוי לשאת את מאסרו, או את יתרת מאסרו, במאסר מאחורי סורג ובריח בבית סוהר.</w:t>
      </w:r>
    </w:p>
    <w:p w14:paraId="304D0A46" w14:textId="77777777" w:rsidR="004973E2" w:rsidRDefault="004973E2" w:rsidP="004973E2">
      <w:pPr>
        <w:spacing w:after="120" w:line="360" w:lineRule="auto"/>
        <w:ind w:left="1080" w:hanging="720"/>
        <w:jc w:val="both"/>
        <w:rPr>
          <w:rFonts w:ascii="Tahoma" w:hAnsi="Tahoma"/>
          <w:rtl/>
        </w:rPr>
      </w:pPr>
      <w:r>
        <w:rPr>
          <w:rFonts w:hint="cs"/>
          <w:rtl/>
        </w:rPr>
        <w:t>(ב)</w:t>
      </w:r>
      <w:r>
        <w:rPr>
          <w:rtl/>
        </w:rPr>
        <w:tab/>
      </w:r>
      <w:r>
        <w:rPr>
          <w:rFonts w:hint="cs"/>
          <w:rtl/>
        </w:rPr>
        <w:t xml:space="preserve">מאסר על תנאי למשך 6 חודשים, אותו לא יישא הנאשם אלא אם כן יעבור, תוך שלוש שנים מיום סיום נשיאת המאסר בדרך של עבודות שירות, עבירה לפי הוראות </w:t>
      </w:r>
      <w:hyperlink r:id="rId32" w:history="1">
        <w:r w:rsidR="00D546EE" w:rsidRPr="00D546EE">
          <w:rPr>
            <w:color w:val="0000FF"/>
            <w:u w:val="single"/>
            <w:rtl/>
          </w:rPr>
          <w:t>פקודת הסמים המסוכנים</w:t>
        </w:r>
      </w:hyperlink>
      <w:r>
        <w:rPr>
          <w:rFonts w:hint="cs"/>
          <w:rtl/>
        </w:rPr>
        <w:t xml:space="preserve"> מסוג פשע.</w:t>
      </w:r>
    </w:p>
    <w:p w14:paraId="168FE6EA" w14:textId="77777777" w:rsidR="004973E2" w:rsidRDefault="004973E2" w:rsidP="004973E2">
      <w:pPr>
        <w:spacing w:after="120" w:line="360" w:lineRule="auto"/>
        <w:ind w:left="1080" w:hanging="720"/>
        <w:jc w:val="both"/>
        <w:rPr>
          <w:rtl/>
        </w:rPr>
      </w:pPr>
      <w:r>
        <w:rPr>
          <w:rFonts w:hint="cs"/>
          <w:rtl/>
        </w:rPr>
        <w:t>(ג)</w:t>
      </w:r>
      <w:r>
        <w:rPr>
          <w:rtl/>
        </w:rPr>
        <w:tab/>
      </w:r>
      <w:r>
        <w:rPr>
          <w:rFonts w:hint="cs"/>
          <w:rtl/>
        </w:rPr>
        <w:t>קנס בסך של 1,500 ₪, או 7 ימי מאסר תמורתו.</w:t>
      </w:r>
    </w:p>
    <w:p w14:paraId="299A5D6D" w14:textId="77777777" w:rsidR="004973E2" w:rsidRDefault="004973E2" w:rsidP="004973E2">
      <w:pPr>
        <w:spacing w:after="120" w:line="360" w:lineRule="auto"/>
        <w:ind w:left="1080"/>
        <w:jc w:val="both"/>
        <w:rPr>
          <w:rFonts w:ascii="Tahoma" w:hAnsi="Tahoma"/>
          <w:rtl/>
        </w:rPr>
      </w:pPr>
      <w:r>
        <w:rPr>
          <w:rFonts w:hint="cs"/>
          <w:rtl/>
        </w:rPr>
        <w:t>הקנס ישולם ב-6 תשלומים חודשיים, שווים ורצופים, החל מיום 01.09.2024 ובכל אחד בחודש שלאחריו. היה והנאשם לא ישלם את אחד התשלומים במועד תועמד כל יתרת הקנס לפירעון מידי.</w:t>
      </w:r>
    </w:p>
    <w:p w14:paraId="21FEDDD7" w14:textId="77777777" w:rsidR="004973E2" w:rsidRDefault="004973E2" w:rsidP="004973E2">
      <w:pPr>
        <w:spacing w:after="120" w:line="360" w:lineRule="auto"/>
        <w:ind w:left="1080" w:hanging="720"/>
        <w:jc w:val="both"/>
        <w:rPr>
          <w:rFonts w:ascii="Tahoma" w:hAnsi="Tahoma"/>
        </w:rPr>
      </w:pPr>
      <w:r>
        <w:rPr>
          <w:rFonts w:hint="cs"/>
          <w:rtl/>
        </w:rPr>
        <w:t>(ד)</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33" w:history="1">
        <w:r w:rsidR="00D546EE" w:rsidRPr="00D546EE">
          <w:rPr>
            <w:color w:val="0000FF"/>
            <w:u w:val="single"/>
            <w:rtl/>
          </w:rPr>
          <w:t>פקודת הסמים המסוכנים</w:t>
        </w:r>
      </w:hyperlink>
      <w:r>
        <w:rPr>
          <w:rFonts w:hint="cs"/>
          <w:rtl/>
        </w:rPr>
        <w:t>.</w:t>
      </w:r>
    </w:p>
    <w:p w14:paraId="49914045" w14:textId="77777777" w:rsidR="004973E2" w:rsidRDefault="004973E2" w:rsidP="004973E2">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בהסכמת ההגנה יקוזז הפיקדון לתשלום הקנס, כאשר הנאשם יידרש לשלם רק את יתרת הסכום שתיוותר. ככל שתיוותר יתרת פיקדון היא תושב לנאשם או למי מטעמו, וזאת בהיעדר עיקול או מניעה אחרת על פי דין להשבת הפיקדון.</w:t>
      </w:r>
    </w:p>
    <w:p w14:paraId="645B75A0" w14:textId="77777777" w:rsidR="004973E2" w:rsidRDefault="00D546EE" w:rsidP="004973E2">
      <w:pPr>
        <w:spacing w:after="120" w:line="360" w:lineRule="auto"/>
        <w:jc w:val="both"/>
        <w:rPr>
          <w:rtl/>
        </w:rPr>
      </w:pPr>
      <w:r w:rsidRPr="00D546EE">
        <w:rPr>
          <w:color w:val="FFFFFF"/>
          <w:sz w:val="2"/>
          <w:szCs w:val="2"/>
          <w:rtl/>
        </w:rPr>
        <w:t>5129371</w:t>
      </w:r>
      <w:r w:rsidR="004973E2">
        <w:rPr>
          <w:rFonts w:hint="cs"/>
          <w:rtl/>
        </w:rPr>
        <w:t>ניתן בזה צו כללי, לעניין מוצגים, לשיקול דעתו של קצין משטרה. הסמים יושמדו.</w:t>
      </w:r>
    </w:p>
    <w:p w14:paraId="23BC5DCF" w14:textId="77777777" w:rsidR="004973E2" w:rsidRDefault="00D546EE" w:rsidP="004973E2">
      <w:pPr>
        <w:snapToGrid w:val="0"/>
        <w:spacing w:after="120" w:line="360" w:lineRule="auto"/>
        <w:jc w:val="both"/>
        <w:rPr>
          <w:rtl/>
        </w:rPr>
      </w:pPr>
      <w:r w:rsidRPr="00D546EE">
        <w:rPr>
          <w:color w:val="FFFFFF"/>
          <w:sz w:val="2"/>
          <w:szCs w:val="2"/>
          <w:rtl/>
        </w:rPr>
        <w:t>54678313</w:t>
      </w:r>
      <w:r w:rsidR="004973E2">
        <w:rPr>
          <w:rFonts w:hint="cs"/>
          <w:rtl/>
        </w:rPr>
        <w:t>זכות ערעור בתוך 45 יום מהיום.</w:t>
      </w:r>
    </w:p>
    <w:p w14:paraId="0C678A25" w14:textId="77777777" w:rsidR="004973E2" w:rsidRPr="00761D70" w:rsidRDefault="004973E2" w:rsidP="004973E2">
      <w:pPr>
        <w:spacing w:after="120" w:line="360" w:lineRule="auto"/>
        <w:jc w:val="both"/>
        <w:rPr>
          <w:rFonts w:ascii="Tahoma" w:hAnsi="Tahoma"/>
          <w:rtl/>
        </w:rPr>
      </w:pPr>
      <w:r>
        <w:rPr>
          <w:rFonts w:hint="cs"/>
          <w:rtl/>
        </w:rPr>
        <w:t>המזכירות תמציא גזר דין זה לשירות המבחן.</w:t>
      </w:r>
    </w:p>
    <w:p w14:paraId="7B2B6CE7" w14:textId="77777777" w:rsidR="004973E2" w:rsidRPr="000F2247" w:rsidRDefault="00D546EE" w:rsidP="004973E2">
      <w:pPr>
        <w:spacing w:line="360" w:lineRule="auto"/>
        <w:jc w:val="both"/>
        <w:rPr>
          <w:rFonts w:ascii="Arial" w:hAnsi="Arial"/>
          <w:b/>
          <w:bCs/>
          <w:sz w:val="26"/>
          <w:szCs w:val="26"/>
          <w:rtl/>
        </w:rPr>
      </w:pPr>
      <w:bookmarkStart w:id="8" w:name="Nitan"/>
      <w:r>
        <w:rPr>
          <w:rFonts w:ascii="Arial" w:hAnsi="Arial"/>
          <w:rtl/>
        </w:rPr>
        <w:t xml:space="preserve">ניתן היום, ד' תמוז תשפ"ד, 10 יולי 2024, במעמד הצדדים. </w:t>
      </w:r>
      <w:bookmarkEnd w:id="8"/>
      <w:r w:rsidR="004973E2">
        <w:rPr>
          <w:rFonts w:ascii="Arial" w:hAnsi="Arial"/>
          <w:b/>
          <w:bCs/>
          <w:sz w:val="26"/>
          <w:szCs w:val="26"/>
          <w:rtl/>
        </w:rPr>
        <w:tab/>
      </w:r>
      <w:r w:rsidR="004973E2">
        <w:rPr>
          <w:rFonts w:ascii="Arial" w:hAnsi="Arial"/>
          <w:b/>
          <w:bCs/>
          <w:sz w:val="26"/>
          <w:szCs w:val="26"/>
          <w:rtl/>
        </w:rPr>
        <w:tab/>
      </w:r>
      <w:r w:rsidR="004973E2">
        <w:rPr>
          <w:rFonts w:ascii="Arial" w:hAnsi="Arial"/>
          <w:b/>
          <w:bCs/>
          <w:sz w:val="26"/>
          <w:szCs w:val="26"/>
          <w:rtl/>
        </w:rPr>
        <w:tab/>
      </w:r>
      <w:r w:rsidR="004973E2">
        <w:rPr>
          <w:rFonts w:ascii="Arial" w:hAnsi="Arial"/>
          <w:b/>
          <w:bCs/>
          <w:sz w:val="26"/>
          <w:szCs w:val="26"/>
          <w:rtl/>
        </w:rPr>
        <w:tab/>
      </w:r>
      <w:r w:rsidR="004973E2">
        <w:rPr>
          <w:rFonts w:ascii="Arial" w:hAnsi="Arial"/>
          <w:b/>
          <w:bCs/>
          <w:sz w:val="26"/>
          <w:szCs w:val="26"/>
          <w:rtl/>
        </w:rPr>
        <w:tab/>
      </w:r>
      <w:r w:rsidR="004973E2">
        <w:rPr>
          <w:rFonts w:ascii="Arial" w:hAnsi="Arial"/>
          <w:b/>
          <w:bCs/>
          <w:sz w:val="26"/>
          <w:szCs w:val="26"/>
          <w:rtl/>
        </w:rPr>
        <w:tab/>
      </w:r>
      <w:r w:rsidR="004973E2">
        <w:rPr>
          <w:rFonts w:ascii="Arial" w:hAnsi="Arial"/>
          <w:b/>
          <w:bCs/>
          <w:sz w:val="26"/>
          <w:szCs w:val="26"/>
          <w:rtl/>
        </w:rPr>
        <w:tab/>
      </w:r>
      <w:r w:rsidR="004973E2">
        <w:rPr>
          <w:rFonts w:ascii="Arial" w:hAnsi="Arial" w:hint="cs"/>
          <w:b/>
          <w:bCs/>
          <w:sz w:val="26"/>
          <w:szCs w:val="26"/>
          <w:rtl/>
        </w:rPr>
        <w:t xml:space="preserve">         </w:t>
      </w:r>
    </w:p>
    <w:p w14:paraId="4BFDD45A" w14:textId="77777777" w:rsidR="004973E2" w:rsidRPr="000F2247" w:rsidRDefault="004973E2" w:rsidP="00D546E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3C8530A" w14:textId="77777777" w:rsidR="004973E2" w:rsidRPr="000F2247" w:rsidRDefault="004973E2" w:rsidP="004973E2">
      <w:pPr>
        <w:jc w:val="center"/>
        <w:rPr>
          <w:rFonts w:ascii="Arial" w:hAnsi="Arial"/>
          <w:b/>
          <w:bCs/>
          <w:sz w:val="26"/>
          <w:szCs w:val="26"/>
          <w:rtl/>
        </w:rPr>
      </w:pPr>
    </w:p>
    <w:p w14:paraId="17269860" w14:textId="77777777" w:rsidR="00453744" w:rsidRPr="00D546EE" w:rsidRDefault="00453744" w:rsidP="00D546EE">
      <w:pPr>
        <w:keepNext/>
        <w:rPr>
          <w:rFonts w:ascii="David" w:hAnsi="David"/>
          <w:color w:val="000000"/>
          <w:sz w:val="22"/>
          <w:szCs w:val="22"/>
          <w:rtl/>
        </w:rPr>
      </w:pPr>
    </w:p>
    <w:p w14:paraId="3EB06A60" w14:textId="77777777" w:rsidR="00D546EE" w:rsidRPr="00D546EE" w:rsidRDefault="00D546EE" w:rsidP="00D546EE">
      <w:pPr>
        <w:keepNext/>
        <w:rPr>
          <w:rFonts w:ascii="David" w:hAnsi="David"/>
          <w:color w:val="000000"/>
          <w:sz w:val="22"/>
          <w:szCs w:val="22"/>
          <w:rtl/>
        </w:rPr>
      </w:pPr>
      <w:r w:rsidRPr="00D546EE">
        <w:rPr>
          <w:rFonts w:ascii="David" w:hAnsi="David"/>
          <w:color w:val="000000"/>
          <w:sz w:val="22"/>
          <w:szCs w:val="22"/>
          <w:rtl/>
        </w:rPr>
        <w:t>שאול אבינור 54678313</w:t>
      </w:r>
    </w:p>
    <w:p w14:paraId="10EDB401" w14:textId="77777777" w:rsidR="00D546EE" w:rsidRDefault="00D546EE" w:rsidP="00D546EE">
      <w:r w:rsidRPr="00D546EE">
        <w:rPr>
          <w:color w:val="000000"/>
          <w:rtl/>
        </w:rPr>
        <w:t>נוסח מסמך זה כפוף לשינויי ניסוח ועריכה</w:t>
      </w:r>
    </w:p>
    <w:p w14:paraId="0A1F36A6" w14:textId="77777777" w:rsidR="00D546EE" w:rsidRDefault="00D546EE" w:rsidP="00D546EE">
      <w:pPr>
        <w:rPr>
          <w:rtl/>
        </w:rPr>
      </w:pPr>
    </w:p>
    <w:p w14:paraId="6A803F31" w14:textId="77777777" w:rsidR="00D546EE" w:rsidRDefault="00D546EE" w:rsidP="00D546EE">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5505202E" w14:textId="77777777" w:rsidR="00D546EE" w:rsidRPr="00D546EE" w:rsidRDefault="00D546EE" w:rsidP="00D546EE">
      <w:pPr>
        <w:jc w:val="center"/>
        <w:rPr>
          <w:color w:val="0000FF"/>
          <w:u w:val="single"/>
        </w:rPr>
      </w:pPr>
    </w:p>
    <w:sectPr w:rsidR="00D546EE" w:rsidRPr="00D546EE" w:rsidSect="00D546EE">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6E40D" w14:textId="77777777" w:rsidR="003603B0" w:rsidRDefault="003603B0" w:rsidP="00F35082">
      <w:r>
        <w:separator/>
      </w:r>
    </w:p>
  </w:endnote>
  <w:endnote w:type="continuationSeparator" w:id="0">
    <w:p w14:paraId="608D5C6E" w14:textId="77777777" w:rsidR="003603B0" w:rsidRDefault="003603B0" w:rsidP="00F35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56897" w14:textId="77777777" w:rsidR="00D546EE" w:rsidRDefault="00D546EE" w:rsidP="00D546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9BA562E" w14:textId="77777777" w:rsidR="00D02DA3" w:rsidRPr="00D546EE" w:rsidRDefault="00D546EE" w:rsidP="00D546E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1E034" w14:textId="77777777" w:rsidR="00D546EE" w:rsidRDefault="00D546EE" w:rsidP="00D546E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6500E">
      <w:rPr>
        <w:rFonts w:ascii="FrankRuehl" w:hAnsi="FrankRuehl" w:cs="FrankRuehl"/>
        <w:noProof/>
        <w:rtl/>
      </w:rPr>
      <w:t>1</w:t>
    </w:r>
    <w:r>
      <w:rPr>
        <w:rFonts w:ascii="FrankRuehl" w:hAnsi="FrankRuehl" w:cs="FrankRuehl"/>
        <w:rtl/>
      </w:rPr>
      <w:fldChar w:fldCharType="end"/>
    </w:r>
  </w:p>
  <w:p w14:paraId="35230DCC" w14:textId="77777777" w:rsidR="00D02DA3" w:rsidRPr="00D546EE" w:rsidRDefault="00D546EE" w:rsidP="00D546E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4C15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688CD" w14:textId="77777777" w:rsidR="003603B0" w:rsidRDefault="003603B0" w:rsidP="00F35082">
      <w:r>
        <w:separator/>
      </w:r>
    </w:p>
  </w:footnote>
  <w:footnote w:type="continuationSeparator" w:id="0">
    <w:p w14:paraId="5809B36A" w14:textId="77777777" w:rsidR="003603B0" w:rsidRDefault="003603B0" w:rsidP="00F35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3F90D" w14:textId="77777777" w:rsidR="00D546EE" w:rsidRPr="00D546EE" w:rsidRDefault="00D546EE" w:rsidP="00D546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58269-02-19</w:t>
    </w:r>
    <w:r>
      <w:rPr>
        <w:rFonts w:ascii="David" w:hAnsi="David"/>
        <w:color w:val="000000"/>
        <w:sz w:val="22"/>
        <w:szCs w:val="22"/>
        <w:rtl/>
      </w:rPr>
      <w:tab/>
      <w:t xml:space="preserve"> מדינת ישראל נ' דמיטרי איסטחרוב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952B5" w14:textId="77777777" w:rsidR="00D546EE" w:rsidRPr="00D546EE" w:rsidRDefault="00D546EE" w:rsidP="00D546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58269-02-19</w:t>
    </w:r>
    <w:r>
      <w:rPr>
        <w:rFonts w:ascii="David" w:hAnsi="David"/>
        <w:color w:val="000000"/>
        <w:sz w:val="22"/>
        <w:szCs w:val="22"/>
        <w:rtl/>
      </w:rPr>
      <w:tab/>
      <w:t xml:space="preserve"> מדינת ישראל נ' דמיטרי איסטחרוב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A6349440"/>
    <w:lvl w:ilvl="0" w:tplc="EF3A0AEC">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BE0C03"/>
    <w:multiLevelType w:val="hybridMultilevel"/>
    <w:tmpl w:val="0D920C9E"/>
    <w:lvl w:ilvl="0" w:tplc="04090001">
      <w:start w:val="1"/>
      <w:numFmt w:val="bullet"/>
      <w:lvlText w:val=""/>
      <w:lvlJc w:val="left"/>
      <w:pPr>
        <w:ind w:left="1372" w:hanging="360"/>
      </w:pPr>
      <w:rPr>
        <w:rFonts w:ascii="Symbol" w:hAnsi="Symbol" w:hint="default"/>
      </w:rPr>
    </w:lvl>
    <w:lvl w:ilvl="1" w:tplc="04090003">
      <w:start w:val="1"/>
      <w:numFmt w:val="bullet"/>
      <w:lvlText w:val="o"/>
      <w:lvlJc w:val="left"/>
      <w:pPr>
        <w:ind w:left="2092" w:hanging="360"/>
      </w:pPr>
      <w:rPr>
        <w:rFonts w:ascii="Courier New" w:hAnsi="Courier New" w:cs="Courier New" w:hint="default"/>
      </w:rPr>
    </w:lvl>
    <w:lvl w:ilvl="2" w:tplc="04090005">
      <w:start w:val="1"/>
      <w:numFmt w:val="bullet"/>
      <w:lvlText w:val=""/>
      <w:lvlJc w:val="left"/>
      <w:pPr>
        <w:ind w:left="2812" w:hanging="360"/>
      </w:pPr>
      <w:rPr>
        <w:rFonts w:ascii="Wingdings" w:hAnsi="Wingdings" w:hint="default"/>
      </w:rPr>
    </w:lvl>
    <w:lvl w:ilvl="3" w:tplc="04090001">
      <w:start w:val="1"/>
      <w:numFmt w:val="bullet"/>
      <w:lvlText w:val=""/>
      <w:lvlJc w:val="left"/>
      <w:pPr>
        <w:ind w:left="3532" w:hanging="360"/>
      </w:pPr>
      <w:rPr>
        <w:rFonts w:ascii="Symbol" w:hAnsi="Symbol" w:hint="default"/>
      </w:rPr>
    </w:lvl>
    <w:lvl w:ilvl="4" w:tplc="04090003">
      <w:start w:val="1"/>
      <w:numFmt w:val="bullet"/>
      <w:lvlText w:val="o"/>
      <w:lvlJc w:val="left"/>
      <w:pPr>
        <w:ind w:left="4252" w:hanging="360"/>
      </w:pPr>
      <w:rPr>
        <w:rFonts w:ascii="Courier New" w:hAnsi="Courier New" w:cs="Courier New" w:hint="default"/>
      </w:rPr>
    </w:lvl>
    <w:lvl w:ilvl="5" w:tplc="04090005">
      <w:start w:val="1"/>
      <w:numFmt w:val="bullet"/>
      <w:lvlText w:val=""/>
      <w:lvlJc w:val="left"/>
      <w:pPr>
        <w:ind w:left="4972" w:hanging="360"/>
      </w:pPr>
      <w:rPr>
        <w:rFonts w:ascii="Wingdings" w:hAnsi="Wingdings" w:hint="default"/>
      </w:rPr>
    </w:lvl>
    <w:lvl w:ilvl="6" w:tplc="04090001">
      <w:start w:val="1"/>
      <w:numFmt w:val="bullet"/>
      <w:lvlText w:val=""/>
      <w:lvlJc w:val="left"/>
      <w:pPr>
        <w:ind w:left="5692" w:hanging="360"/>
      </w:pPr>
      <w:rPr>
        <w:rFonts w:ascii="Symbol" w:hAnsi="Symbol" w:hint="default"/>
      </w:rPr>
    </w:lvl>
    <w:lvl w:ilvl="7" w:tplc="04090003">
      <w:start w:val="1"/>
      <w:numFmt w:val="bullet"/>
      <w:lvlText w:val="o"/>
      <w:lvlJc w:val="left"/>
      <w:pPr>
        <w:ind w:left="6412" w:hanging="360"/>
      </w:pPr>
      <w:rPr>
        <w:rFonts w:ascii="Courier New" w:hAnsi="Courier New" w:cs="Courier New" w:hint="default"/>
      </w:rPr>
    </w:lvl>
    <w:lvl w:ilvl="8" w:tplc="04090005">
      <w:start w:val="1"/>
      <w:numFmt w:val="bullet"/>
      <w:lvlText w:val=""/>
      <w:lvlJc w:val="left"/>
      <w:pPr>
        <w:ind w:left="7132" w:hanging="360"/>
      </w:pPr>
      <w:rPr>
        <w:rFonts w:ascii="Wingdings" w:hAnsi="Wingdings" w:hint="default"/>
      </w:rPr>
    </w:lvl>
  </w:abstractNum>
  <w:abstractNum w:abstractNumId="2" w15:restartNumberingAfterBreak="0">
    <w:nsid w:val="4E696035"/>
    <w:multiLevelType w:val="hybridMultilevel"/>
    <w:tmpl w:val="0FF0C620"/>
    <w:lvl w:ilvl="0" w:tplc="64300682">
      <w:start w:val="1"/>
      <w:numFmt w:val="hebrew1"/>
      <w:lvlText w:val="%1."/>
      <w:lvlJc w:val="left"/>
      <w:pPr>
        <w:ind w:left="728" w:hanging="360"/>
      </w:p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num w:numId="1" w16cid:durableId="5533517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85583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8463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73E2"/>
    <w:rsid w:val="000C4DE3"/>
    <w:rsid w:val="001B5A3B"/>
    <w:rsid w:val="002C12D9"/>
    <w:rsid w:val="00304E70"/>
    <w:rsid w:val="003603B0"/>
    <w:rsid w:val="0043348F"/>
    <w:rsid w:val="00441A73"/>
    <w:rsid w:val="00453744"/>
    <w:rsid w:val="004973E2"/>
    <w:rsid w:val="004B0F31"/>
    <w:rsid w:val="00785250"/>
    <w:rsid w:val="008A5453"/>
    <w:rsid w:val="00B6500E"/>
    <w:rsid w:val="00D02DA3"/>
    <w:rsid w:val="00D546EE"/>
    <w:rsid w:val="00F35082"/>
    <w:rsid w:val="00F50F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B049CE"/>
  <w15:chartTrackingRefBased/>
  <w15:docId w15:val="{93DF8645-5BBC-4F37-96E0-463BC1EB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73E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73E2"/>
    <w:pPr>
      <w:tabs>
        <w:tab w:val="center" w:pos="4153"/>
        <w:tab w:val="right" w:pos="8306"/>
      </w:tabs>
    </w:pPr>
  </w:style>
  <w:style w:type="character" w:customStyle="1" w:styleId="a4">
    <w:name w:val="כותרת עליונה תו"/>
    <w:link w:val="a3"/>
    <w:rsid w:val="004973E2"/>
    <w:rPr>
      <w:rFonts w:ascii="Times New Roman" w:eastAsia="Times New Roman" w:hAnsi="Times New Roman" w:cs="David"/>
      <w:sz w:val="24"/>
      <w:szCs w:val="24"/>
    </w:rPr>
  </w:style>
  <w:style w:type="paragraph" w:styleId="a5">
    <w:name w:val="footer"/>
    <w:basedOn w:val="a"/>
    <w:link w:val="a6"/>
    <w:rsid w:val="004973E2"/>
    <w:pPr>
      <w:tabs>
        <w:tab w:val="center" w:pos="4153"/>
        <w:tab w:val="right" w:pos="8306"/>
      </w:tabs>
    </w:pPr>
  </w:style>
  <w:style w:type="character" w:customStyle="1" w:styleId="a6">
    <w:name w:val="כותרת תחתונה תו"/>
    <w:link w:val="a5"/>
    <w:rsid w:val="004973E2"/>
    <w:rPr>
      <w:rFonts w:ascii="Times New Roman" w:eastAsia="Times New Roman" w:hAnsi="Times New Roman" w:cs="David"/>
      <w:sz w:val="24"/>
      <w:szCs w:val="24"/>
    </w:rPr>
  </w:style>
  <w:style w:type="table" w:styleId="a7">
    <w:name w:val="Table Grid"/>
    <w:basedOn w:val="a1"/>
    <w:rsid w:val="004973E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973E2"/>
  </w:style>
  <w:style w:type="paragraph" w:styleId="a9">
    <w:name w:val="List Paragraph"/>
    <w:basedOn w:val="a"/>
    <w:qFormat/>
    <w:rsid w:val="004973E2"/>
    <w:pPr>
      <w:ind w:left="720"/>
      <w:contextualSpacing/>
    </w:pPr>
    <w:rPr>
      <w:rFonts w:ascii="Arial (W1)" w:hAnsi="Arial (W1)"/>
    </w:rPr>
  </w:style>
  <w:style w:type="character" w:styleId="Hyperlink">
    <w:name w:val="Hyperlink"/>
    <w:rsid w:val="00D546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27217205" TargetMode="External"/><Relationship Id="rId39" Type="http://schemas.openxmlformats.org/officeDocument/2006/relationships/fontTable" Target="fontTable.xml"/><Relationship Id="rId21" Type="http://schemas.openxmlformats.org/officeDocument/2006/relationships/hyperlink" Target="http://www.nevo.co.il/law/70301"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5227"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5227/62.2" TargetMode="External"/><Relationship Id="rId20" Type="http://schemas.openxmlformats.org/officeDocument/2006/relationships/hyperlink" Target="http://www.nevo.co.il/law/70301/25" TargetMode="External"/><Relationship Id="rId29" Type="http://schemas.openxmlformats.org/officeDocument/2006/relationships/hyperlink" Target="http://www.nevo.co.il/case/293013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5227/62.2"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5227"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20738634" TargetMode="External"/><Relationship Id="rId36"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4216/7.a" TargetMode="External"/><Relationship Id="rId27" Type="http://schemas.openxmlformats.org/officeDocument/2006/relationships/hyperlink" Target="http://www.nevo.co.il/case/24185817" TargetMode="External"/><Relationship Id="rId30" Type="http://schemas.openxmlformats.org/officeDocument/2006/relationships/hyperlink" Target="http://www.nevo.co.il/law/70301/40ja"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2454</Words>
  <Characters>12270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14695</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7995492</vt:i4>
      </vt:variant>
      <vt:variant>
        <vt:i4>72</vt:i4>
      </vt:variant>
      <vt:variant>
        <vt:i4>0</vt:i4>
      </vt:variant>
      <vt:variant>
        <vt:i4>5</vt:i4>
      </vt:variant>
      <vt:variant>
        <vt:lpwstr>http://www.nevo.co.il/law/70301</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3342462</vt:i4>
      </vt:variant>
      <vt:variant>
        <vt:i4>66</vt:i4>
      </vt:variant>
      <vt:variant>
        <vt:i4>0</vt:i4>
      </vt:variant>
      <vt:variant>
        <vt:i4>5</vt:i4>
      </vt:variant>
      <vt:variant>
        <vt:lpwstr>http://www.nevo.co.il/case/29301330</vt:lpwstr>
      </vt:variant>
      <vt:variant>
        <vt:lpwstr/>
      </vt:variant>
      <vt:variant>
        <vt:i4>4063345</vt:i4>
      </vt:variant>
      <vt:variant>
        <vt:i4>63</vt:i4>
      </vt:variant>
      <vt:variant>
        <vt:i4>0</vt:i4>
      </vt:variant>
      <vt:variant>
        <vt:i4>5</vt:i4>
      </vt:variant>
      <vt:variant>
        <vt:lpwstr>http://www.nevo.co.il/case/20738634</vt:lpwstr>
      </vt:variant>
      <vt:variant>
        <vt:lpwstr/>
      </vt:variant>
      <vt:variant>
        <vt:i4>3604592</vt:i4>
      </vt:variant>
      <vt:variant>
        <vt:i4>60</vt:i4>
      </vt:variant>
      <vt:variant>
        <vt:i4>0</vt:i4>
      </vt:variant>
      <vt:variant>
        <vt:i4>5</vt:i4>
      </vt:variant>
      <vt:variant>
        <vt:lpwstr>http://www.nevo.co.il/case/24185817</vt:lpwstr>
      </vt:variant>
      <vt:variant>
        <vt:lpwstr/>
      </vt:variant>
      <vt:variant>
        <vt:i4>3604592</vt:i4>
      </vt:variant>
      <vt:variant>
        <vt:i4>57</vt:i4>
      </vt:variant>
      <vt:variant>
        <vt:i4>0</vt:i4>
      </vt:variant>
      <vt:variant>
        <vt:i4>5</vt:i4>
      </vt:variant>
      <vt:variant>
        <vt:lpwstr>http://www.nevo.co.il/case/27217205</vt:lpwstr>
      </vt:variant>
      <vt:variant>
        <vt:lpwstr/>
      </vt:variant>
      <vt:variant>
        <vt:i4>8323175</vt:i4>
      </vt:variant>
      <vt:variant>
        <vt:i4>54</vt:i4>
      </vt:variant>
      <vt:variant>
        <vt:i4>0</vt:i4>
      </vt:variant>
      <vt:variant>
        <vt:i4>5</vt:i4>
      </vt:variant>
      <vt:variant>
        <vt:lpwstr>http://www.nevo.co.il/law/5227</vt:lpwstr>
      </vt:variant>
      <vt:variant>
        <vt:lpwstr/>
      </vt:variant>
      <vt:variant>
        <vt:i4>6750330</vt:i4>
      </vt:variant>
      <vt:variant>
        <vt:i4>51</vt:i4>
      </vt:variant>
      <vt:variant>
        <vt:i4>0</vt:i4>
      </vt:variant>
      <vt:variant>
        <vt:i4>5</vt:i4>
      </vt:variant>
      <vt:variant>
        <vt:lpwstr>http://www.nevo.co.il/law/5227/62.2</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6750330</vt:i4>
      </vt:variant>
      <vt:variant>
        <vt:i4>27</vt:i4>
      </vt:variant>
      <vt:variant>
        <vt:i4>0</vt:i4>
      </vt:variant>
      <vt:variant>
        <vt:i4>5</vt:i4>
      </vt:variant>
      <vt:variant>
        <vt:lpwstr>http://www.nevo.co.il/law/5227/62.2</vt:lpwstr>
      </vt:variant>
      <vt:variant>
        <vt:lpwstr/>
      </vt:variant>
      <vt:variant>
        <vt:i4>8323175</vt:i4>
      </vt:variant>
      <vt:variant>
        <vt:i4>24</vt:i4>
      </vt:variant>
      <vt:variant>
        <vt:i4>0</vt:i4>
      </vt:variant>
      <vt:variant>
        <vt:i4>5</vt:i4>
      </vt:variant>
      <vt:variant>
        <vt:lpwstr>http://www.nevo.co.il/law/5227</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2025-04-23T00:04:00Z</dcterms:created>
  <dcterms:modified xsi:type="dcterms:W3CDTF">2025-04-23T00:04:00Z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58269</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דמיטרי איסטחרוב</vt:lpwstr>
  </property>
  <property fmtid="{D5CDD505-2E9C-101B-9397-08002B2CF9AE}" pid="10" name="LAWYER">
    <vt:lpwstr>אבישי דויטש;שמרית צור</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20240710</vt:lpwstr>
  </property>
  <property fmtid="{D5CDD505-2E9C-101B-9397-08002B2CF9AE}" pid="14" name="TYPE_N_DATE">
    <vt:lpwstr>38020240710</vt:lpwstr>
  </property>
  <property fmtid="{D5CDD505-2E9C-101B-9397-08002B2CF9AE}" pid="15" name="WORDNUMPAGES">
    <vt:lpwstr>8</vt:lpwstr>
  </property>
  <property fmtid="{D5CDD505-2E9C-101B-9397-08002B2CF9AE}" pid="16" name="TYPE_ABS_DATE">
    <vt:lpwstr>380020240710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27217205;24185817;20738634;29301330</vt:lpwstr>
  </property>
  <property fmtid="{D5CDD505-2E9C-101B-9397-08002B2CF9AE}" pid="36" name="LAWLISTTMP1">
    <vt:lpwstr>4216/013;019a;007.a;007.c</vt:lpwstr>
  </property>
  <property fmtid="{D5CDD505-2E9C-101B-9397-08002B2CF9AE}" pid="37" name="LAWLISTTMP2">
    <vt:lpwstr>70301/025;40ja</vt:lpwstr>
  </property>
  <property fmtid="{D5CDD505-2E9C-101B-9397-08002B2CF9AE}" pid="38" name="LAWLISTTMP3">
    <vt:lpwstr>5227/062.2</vt:lpwstr>
  </property>
</Properties>
</file>