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620BEF" w:rsidRPr="00307D39" w14:paraId="3424D2EF" w14:textId="77777777" w:rsidTr="009B3376">
        <w:trPr>
          <w:trHeight w:hRule="exact" w:val="291"/>
          <w:jc w:val="center"/>
        </w:trPr>
        <w:tc>
          <w:tcPr>
            <w:tcW w:w="8505" w:type="dxa"/>
          </w:tcPr>
          <w:p w14:paraId="5F6B583C" w14:textId="77777777" w:rsidR="00620BEF" w:rsidRPr="00307D39" w:rsidRDefault="00620BEF" w:rsidP="009B3376">
            <w:pPr>
              <w:pStyle w:val="a3"/>
              <w:jc w:val="center"/>
              <w:rPr>
                <w:rFonts w:ascii="Tahoma" w:hAnsi="Tahoma" w:cs="Tahoma"/>
                <w:color w:val="000080"/>
                <w:rtl/>
              </w:rPr>
            </w:pPr>
            <w:bookmarkStart w:id="0" w:name="LastJudge"/>
            <w:r w:rsidRPr="00307D39">
              <w:rPr>
                <w:rFonts w:ascii="Tahoma" w:hAnsi="Tahoma" w:cs="Tahoma"/>
                <w:b/>
                <w:bCs/>
                <w:color w:val="000080"/>
                <w:rtl/>
              </w:rPr>
              <w:t>בית משפט השלום בבאר שבע</w:t>
            </w:r>
          </w:p>
        </w:tc>
      </w:tr>
      <w:tr w:rsidR="00620BEF" w:rsidRPr="00307D39" w14:paraId="01BE1E0C" w14:textId="77777777" w:rsidTr="009B3376">
        <w:trPr>
          <w:trHeight w:val="337"/>
          <w:jc w:val="center"/>
        </w:trPr>
        <w:tc>
          <w:tcPr>
            <w:tcW w:w="8505" w:type="dxa"/>
            <w:vAlign w:val="bottom"/>
          </w:tcPr>
          <w:p w14:paraId="03BCEC33" w14:textId="77777777" w:rsidR="00620BEF" w:rsidRPr="00307D39" w:rsidRDefault="00620BEF" w:rsidP="009B3376">
            <w:pPr>
              <w:pStyle w:val="a3"/>
              <w:rPr>
                <w:rFonts w:cs="FrankRuehl"/>
                <w:sz w:val="28"/>
                <w:szCs w:val="28"/>
                <w:rtl/>
              </w:rPr>
            </w:pPr>
            <w:r w:rsidRPr="00307D39">
              <w:rPr>
                <w:rFonts w:ascii="David" w:hAnsi="David"/>
                <w:b/>
                <w:bCs/>
                <w:sz w:val="26"/>
                <w:szCs w:val="26"/>
                <w:rtl/>
              </w:rPr>
              <w:t>ת"פ 61181-02-19 מדינת ישראל נ' רובינוב</w:t>
            </w:r>
          </w:p>
        </w:tc>
      </w:tr>
    </w:tbl>
    <w:p w14:paraId="75936AB4" w14:textId="77777777" w:rsidR="00620BEF" w:rsidRPr="00307D39" w:rsidRDefault="00620BEF" w:rsidP="00620BEF">
      <w:pPr>
        <w:pStyle w:val="a3"/>
        <w:rPr>
          <w:rtl/>
        </w:rPr>
      </w:pPr>
      <w:r w:rsidRPr="00307D39">
        <w:rPr>
          <w:rFonts w:hint="cs"/>
          <w:rtl/>
        </w:rPr>
        <w:t xml:space="preserve"> </w:t>
      </w:r>
    </w:p>
    <w:p w14:paraId="33716C03" w14:textId="77777777" w:rsidR="00620BEF" w:rsidRPr="00307D39" w:rsidRDefault="00620BEF" w:rsidP="00620BEF">
      <w:pPr>
        <w:rPr>
          <w:rtl/>
        </w:rPr>
      </w:pPr>
    </w:p>
    <w:p w14:paraId="214979CC" w14:textId="77777777" w:rsidR="00620BEF" w:rsidRPr="00307D39" w:rsidRDefault="00620BEF" w:rsidP="00620BEF">
      <w:pPr>
        <w:rPr>
          <w:rtl/>
        </w:rPr>
      </w:pPr>
    </w:p>
    <w:tbl>
      <w:tblPr>
        <w:bidiVisual/>
        <w:tblW w:w="8535" w:type="dxa"/>
        <w:tblInd w:w="244" w:type="dxa"/>
        <w:tblLook w:val="01E0" w:firstRow="1" w:lastRow="1" w:firstColumn="1" w:lastColumn="1" w:noHBand="0" w:noVBand="0"/>
      </w:tblPr>
      <w:tblGrid>
        <w:gridCol w:w="2608"/>
        <w:gridCol w:w="5927"/>
      </w:tblGrid>
      <w:tr w:rsidR="00620BEF" w:rsidRPr="00307D39" w14:paraId="0EAB37D5" w14:textId="77777777" w:rsidTr="00620BEF">
        <w:tc>
          <w:tcPr>
            <w:tcW w:w="8535" w:type="dxa"/>
            <w:gridSpan w:val="2"/>
            <w:shd w:val="clear" w:color="auto" w:fill="auto"/>
          </w:tcPr>
          <w:p w14:paraId="1AD23E42" w14:textId="77777777" w:rsidR="00620BEF" w:rsidRPr="00307D39" w:rsidRDefault="00620BEF" w:rsidP="00620BEF">
            <w:pPr>
              <w:spacing w:line="360" w:lineRule="auto"/>
              <w:ind w:left="1440" w:hanging="1440"/>
              <w:jc w:val="both"/>
              <w:rPr>
                <w:b/>
                <w:bCs/>
                <w:sz w:val="26"/>
                <w:szCs w:val="26"/>
              </w:rPr>
            </w:pPr>
            <w:r w:rsidRPr="00307D39">
              <w:rPr>
                <w:b/>
                <w:bCs/>
                <w:sz w:val="26"/>
                <w:szCs w:val="26"/>
                <w:rtl/>
              </w:rPr>
              <w:t>לפני כבוד השופטת זהר דולב להמן</w:t>
            </w:r>
            <w:r w:rsidRPr="00307D39">
              <w:rPr>
                <w:rStyle w:val="TimesNewRomanTimesNewRoman"/>
                <w:rtl/>
              </w:rPr>
              <w:t xml:space="preserve"> </w:t>
            </w:r>
          </w:p>
        </w:tc>
      </w:tr>
      <w:tr w:rsidR="00620BEF" w:rsidRPr="00307D39" w14:paraId="58892849" w14:textId="77777777" w:rsidTr="00620BEF">
        <w:trPr>
          <w:cantSplit/>
          <w:trHeight w:val="477"/>
        </w:trPr>
        <w:tc>
          <w:tcPr>
            <w:tcW w:w="2608" w:type="dxa"/>
            <w:shd w:val="clear" w:color="auto" w:fill="auto"/>
          </w:tcPr>
          <w:p w14:paraId="59898F4A" w14:textId="77777777" w:rsidR="00620BEF" w:rsidRPr="00307D39" w:rsidRDefault="00620BEF" w:rsidP="009B3376">
            <w:pPr>
              <w:rPr>
                <w:b/>
                <w:bCs/>
                <w:sz w:val="26"/>
                <w:szCs w:val="26"/>
              </w:rPr>
            </w:pPr>
            <w:bookmarkStart w:id="1" w:name="FirstAppellant"/>
            <w:bookmarkStart w:id="2" w:name="FirstLawyer"/>
            <w:r w:rsidRPr="00307D39">
              <w:rPr>
                <w:b/>
                <w:bCs/>
                <w:sz w:val="26"/>
                <w:szCs w:val="26"/>
                <w:rtl/>
              </w:rPr>
              <w:t>המאשימה</w:t>
            </w:r>
          </w:p>
        </w:tc>
        <w:tc>
          <w:tcPr>
            <w:tcW w:w="5922" w:type="dxa"/>
            <w:shd w:val="clear" w:color="auto" w:fill="auto"/>
          </w:tcPr>
          <w:p w14:paraId="0D4AEA78" w14:textId="77777777" w:rsidR="00620BEF" w:rsidRPr="00307D39" w:rsidRDefault="00620BEF" w:rsidP="009B3376">
            <w:r w:rsidRPr="00307D39">
              <w:rPr>
                <w:b/>
                <w:bCs/>
                <w:sz w:val="26"/>
                <w:szCs w:val="26"/>
                <w:rtl/>
              </w:rPr>
              <w:t>מדינת ישראל</w:t>
            </w:r>
          </w:p>
          <w:p w14:paraId="0E11B63E" w14:textId="77777777" w:rsidR="00620BEF" w:rsidRPr="00307D39" w:rsidRDefault="00620BEF" w:rsidP="009B3376">
            <w:pPr>
              <w:rPr>
                <w:b/>
                <w:bCs/>
                <w:sz w:val="26"/>
                <w:szCs w:val="26"/>
              </w:rPr>
            </w:pPr>
            <w:r w:rsidRPr="00307D39">
              <w:rPr>
                <w:rtl/>
              </w:rPr>
              <w:t>ע"י ב"כ עו"ד רמה קלימי</w:t>
            </w:r>
          </w:p>
        </w:tc>
      </w:tr>
      <w:bookmarkEnd w:id="1"/>
      <w:bookmarkEnd w:id="2"/>
      <w:tr w:rsidR="00620BEF" w:rsidRPr="00307D39" w14:paraId="51922336" w14:textId="77777777" w:rsidTr="00620BEF">
        <w:tc>
          <w:tcPr>
            <w:tcW w:w="8530" w:type="dxa"/>
            <w:gridSpan w:val="2"/>
            <w:shd w:val="clear" w:color="auto" w:fill="auto"/>
            <w:vAlign w:val="center"/>
          </w:tcPr>
          <w:p w14:paraId="20DB6877" w14:textId="77777777" w:rsidR="00620BEF" w:rsidRPr="00307D39" w:rsidRDefault="00620BEF" w:rsidP="00620BEF">
            <w:pPr>
              <w:jc w:val="center"/>
              <w:rPr>
                <w:rFonts w:ascii="Arial" w:hAnsi="Arial"/>
                <w:b/>
                <w:bCs/>
                <w:sz w:val="26"/>
                <w:szCs w:val="26"/>
                <w:rtl/>
              </w:rPr>
            </w:pPr>
          </w:p>
          <w:p w14:paraId="1C435EF2" w14:textId="77777777" w:rsidR="00620BEF" w:rsidRPr="00307D39" w:rsidRDefault="00620BEF" w:rsidP="00620BEF">
            <w:pPr>
              <w:jc w:val="center"/>
              <w:rPr>
                <w:rFonts w:ascii="Arial" w:hAnsi="Arial"/>
                <w:b/>
                <w:bCs/>
                <w:sz w:val="26"/>
                <w:szCs w:val="26"/>
                <w:rtl/>
              </w:rPr>
            </w:pPr>
            <w:r w:rsidRPr="00307D39">
              <w:rPr>
                <w:rFonts w:ascii="Arial" w:hAnsi="Arial"/>
                <w:b/>
                <w:bCs/>
                <w:sz w:val="26"/>
                <w:szCs w:val="26"/>
                <w:rtl/>
              </w:rPr>
              <w:t>נגד</w:t>
            </w:r>
          </w:p>
          <w:p w14:paraId="5F9E28DA" w14:textId="77777777" w:rsidR="00620BEF" w:rsidRPr="00307D39" w:rsidRDefault="00620BEF" w:rsidP="00620BEF">
            <w:pPr>
              <w:jc w:val="right"/>
              <w:rPr>
                <w:rFonts w:ascii="Arial" w:hAnsi="Arial"/>
                <w:b/>
                <w:bCs/>
                <w:sz w:val="26"/>
                <w:szCs w:val="26"/>
                <w:rtl/>
              </w:rPr>
            </w:pPr>
          </w:p>
        </w:tc>
      </w:tr>
      <w:tr w:rsidR="00620BEF" w:rsidRPr="00307D39" w14:paraId="236B7724" w14:textId="77777777" w:rsidTr="00620BEF">
        <w:tc>
          <w:tcPr>
            <w:tcW w:w="2608" w:type="dxa"/>
            <w:shd w:val="clear" w:color="auto" w:fill="auto"/>
          </w:tcPr>
          <w:p w14:paraId="6E5DBDA9" w14:textId="77777777" w:rsidR="00620BEF" w:rsidRPr="00307D39" w:rsidRDefault="00620BEF" w:rsidP="009B3376">
            <w:pPr>
              <w:rPr>
                <w:b/>
                <w:bCs/>
                <w:sz w:val="26"/>
                <w:szCs w:val="26"/>
                <w:rtl/>
              </w:rPr>
            </w:pPr>
            <w:r w:rsidRPr="00307D39">
              <w:rPr>
                <w:b/>
                <w:bCs/>
                <w:sz w:val="26"/>
                <w:szCs w:val="26"/>
                <w:rtl/>
              </w:rPr>
              <w:t>הנאשם</w:t>
            </w:r>
          </w:p>
        </w:tc>
        <w:tc>
          <w:tcPr>
            <w:tcW w:w="5922" w:type="dxa"/>
            <w:shd w:val="clear" w:color="auto" w:fill="auto"/>
          </w:tcPr>
          <w:p w14:paraId="1D41DD94" w14:textId="77777777" w:rsidR="00620BEF" w:rsidRPr="00307D39" w:rsidRDefault="00620BEF" w:rsidP="009B3376">
            <w:pPr>
              <w:rPr>
                <w:rFonts w:ascii="David" w:hAnsi="David"/>
                <w:rtl/>
              </w:rPr>
            </w:pPr>
            <w:r w:rsidRPr="00307D39">
              <w:rPr>
                <w:rFonts w:ascii="David" w:hAnsi="David"/>
                <w:b/>
                <w:bCs/>
                <w:sz w:val="26"/>
                <w:szCs w:val="26"/>
                <w:rtl/>
              </w:rPr>
              <w:t>ויצ'סלב רובינוב</w:t>
            </w:r>
          </w:p>
          <w:p w14:paraId="02DE40E0" w14:textId="77777777" w:rsidR="00620BEF" w:rsidRPr="00307D39" w:rsidRDefault="00620BEF" w:rsidP="009B3376">
            <w:pPr>
              <w:rPr>
                <w:b/>
                <w:bCs/>
                <w:sz w:val="26"/>
                <w:szCs w:val="26"/>
                <w:rtl/>
              </w:rPr>
            </w:pPr>
            <w:r w:rsidRPr="00307D39">
              <w:rPr>
                <w:rtl/>
              </w:rPr>
              <w:t>ע"י ב"כ עו"ד שלומי הכהן</w:t>
            </w:r>
          </w:p>
        </w:tc>
      </w:tr>
    </w:tbl>
    <w:p w14:paraId="6CC66889" w14:textId="77777777" w:rsidR="00620BEF" w:rsidRPr="00307D39" w:rsidRDefault="00620BEF" w:rsidP="00620BEF">
      <w:pPr>
        <w:rPr>
          <w:rtl/>
        </w:rPr>
      </w:pPr>
    </w:p>
    <w:p w14:paraId="12A5330D" w14:textId="77777777" w:rsidR="00C639C7" w:rsidRPr="00C639C7" w:rsidRDefault="00C639C7" w:rsidP="00C639C7">
      <w:pPr>
        <w:spacing w:before="120" w:after="120" w:line="240" w:lineRule="exact"/>
        <w:ind w:left="283" w:hanging="283"/>
        <w:jc w:val="both"/>
        <w:rPr>
          <w:rFonts w:ascii="FrankRuehl" w:hAnsi="FrankRuehl" w:cs="FrankRuehl"/>
          <w:rtl/>
        </w:rPr>
      </w:pPr>
    </w:p>
    <w:p w14:paraId="66A4471F" w14:textId="77777777" w:rsidR="006A214E" w:rsidRDefault="006A214E" w:rsidP="006A214E">
      <w:pPr>
        <w:spacing w:before="240" w:line="360" w:lineRule="auto"/>
        <w:jc w:val="both"/>
        <w:rPr>
          <w:rFonts w:ascii="David" w:hAnsi="David"/>
          <w:sz w:val="26"/>
          <w:szCs w:val="26"/>
          <w:rtl/>
        </w:rPr>
      </w:pPr>
      <w:bookmarkStart w:id="3" w:name="LawTable"/>
      <w:bookmarkEnd w:id="3"/>
    </w:p>
    <w:p w14:paraId="47496274" w14:textId="77777777" w:rsidR="006A214E" w:rsidRPr="006A214E" w:rsidRDefault="006A214E" w:rsidP="006A214E">
      <w:pPr>
        <w:spacing w:before="120" w:after="120" w:line="240" w:lineRule="exact"/>
        <w:ind w:left="283" w:hanging="283"/>
        <w:jc w:val="both"/>
        <w:rPr>
          <w:rFonts w:ascii="FrankRuehl" w:hAnsi="FrankRuehl" w:cs="FrankRuehl"/>
          <w:rtl/>
        </w:rPr>
      </w:pPr>
    </w:p>
    <w:p w14:paraId="6552CF16" w14:textId="77777777" w:rsidR="006A214E" w:rsidRPr="006A214E" w:rsidRDefault="006A214E" w:rsidP="006A214E">
      <w:pPr>
        <w:spacing w:before="120" w:after="120" w:line="240" w:lineRule="exact"/>
        <w:ind w:left="283" w:hanging="283"/>
        <w:jc w:val="both"/>
        <w:rPr>
          <w:rFonts w:ascii="FrankRuehl" w:hAnsi="FrankRuehl" w:cs="FrankRuehl"/>
          <w:rtl/>
        </w:rPr>
      </w:pPr>
    </w:p>
    <w:p w14:paraId="34DF5BC1" w14:textId="77777777" w:rsidR="006A214E" w:rsidRPr="006A214E" w:rsidRDefault="006A214E" w:rsidP="006A214E">
      <w:pPr>
        <w:spacing w:before="120" w:after="120" w:line="240" w:lineRule="exact"/>
        <w:ind w:left="283" w:hanging="283"/>
        <w:jc w:val="both"/>
        <w:rPr>
          <w:rFonts w:ascii="FrankRuehl" w:hAnsi="FrankRuehl" w:cs="FrankRuehl"/>
          <w:rtl/>
        </w:rPr>
      </w:pPr>
      <w:r w:rsidRPr="006A214E">
        <w:rPr>
          <w:rFonts w:ascii="FrankRuehl" w:hAnsi="FrankRuehl" w:cs="FrankRuehl"/>
          <w:rtl/>
        </w:rPr>
        <w:t xml:space="preserve">חקיקה שאוזכרה: </w:t>
      </w:r>
    </w:p>
    <w:p w14:paraId="77CFD001" w14:textId="77777777" w:rsidR="006A214E" w:rsidRPr="006A214E" w:rsidRDefault="006A214E" w:rsidP="006A214E">
      <w:pPr>
        <w:spacing w:before="120" w:after="120" w:line="240" w:lineRule="exact"/>
        <w:ind w:left="283" w:hanging="283"/>
        <w:jc w:val="both"/>
        <w:rPr>
          <w:rFonts w:ascii="FrankRuehl" w:hAnsi="FrankRuehl" w:cs="FrankRuehl"/>
          <w:rtl/>
        </w:rPr>
      </w:pPr>
      <w:hyperlink r:id="rId7" w:history="1">
        <w:r w:rsidRPr="006A214E">
          <w:rPr>
            <w:rFonts w:ascii="FrankRuehl" w:hAnsi="FrankRuehl" w:cs="FrankRuehl"/>
            <w:color w:val="0000FF"/>
            <w:rtl/>
          </w:rPr>
          <w:t>פקודת הסמים המסוכנים [נוסח חדש], תשל"ג-1973</w:t>
        </w:r>
      </w:hyperlink>
      <w:r w:rsidRPr="006A214E">
        <w:rPr>
          <w:rFonts w:ascii="FrankRuehl" w:hAnsi="FrankRuehl" w:cs="FrankRuehl"/>
          <w:rtl/>
        </w:rPr>
        <w:t xml:space="preserve">: סע'  </w:t>
      </w:r>
      <w:hyperlink r:id="rId8" w:history="1">
        <w:r w:rsidRPr="006A214E">
          <w:rPr>
            <w:rFonts w:ascii="FrankRuehl" w:hAnsi="FrankRuehl" w:cs="FrankRuehl"/>
            <w:color w:val="0000FF"/>
            <w:rtl/>
          </w:rPr>
          <w:t>7(א)</w:t>
        </w:r>
      </w:hyperlink>
      <w:r w:rsidRPr="006A214E">
        <w:rPr>
          <w:rFonts w:ascii="FrankRuehl" w:hAnsi="FrankRuehl" w:cs="FrankRuehl"/>
          <w:rtl/>
        </w:rPr>
        <w:t xml:space="preserve">, </w:t>
      </w:r>
      <w:hyperlink r:id="rId9" w:history="1">
        <w:r w:rsidRPr="006A214E">
          <w:rPr>
            <w:rFonts w:ascii="FrankRuehl" w:hAnsi="FrankRuehl" w:cs="FrankRuehl"/>
            <w:color w:val="0000FF"/>
            <w:rtl/>
          </w:rPr>
          <w:t>7(ג)</w:t>
        </w:r>
      </w:hyperlink>
      <w:r w:rsidRPr="006A214E">
        <w:rPr>
          <w:rFonts w:ascii="FrankRuehl" w:hAnsi="FrankRuehl" w:cs="FrankRuehl"/>
          <w:rtl/>
        </w:rPr>
        <w:t xml:space="preserve">, </w:t>
      </w:r>
      <w:hyperlink r:id="rId10" w:history="1">
        <w:r w:rsidRPr="006A214E">
          <w:rPr>
            <w:rFonts w:ascii="FrankRuehl" w:hAnsi="FrankRuehl" w:cs="FrankRuehl"/>
            <w:color w:val="0000FF"/>
            <w:rtl/>
          </w:rPr>
          <w:t>37א</w:t>
        </w:r>
      </w:hyperlink>
    </w:p>
    <w:p w14:paraId="7A6BAED8" w14:textId="77777777" w:rsidR="006A214E" w:rsidRPr="006A214E" w:rsidRDefault="006A214E" w:rsidP="006A214E">
      <w:pPr>
        <w:spacing w:before="120" w:after="120" w:line="240" w:lineRule="exact"/>
        <w:ind w:left="283" w:hanging="283"/>
        <w:jc w:val="both"/>
        <w:rPr>
          <w:rFonts w:ascii="FrankRuehl" w:hAnsi="FrankRuehl" w:cs="FrankRuehl"/>
          <w:rtl/>
        </w:rPr>
      </w:pPr>
      <w:hyperlink r:id="rId11" w:history="1">
        <w:r w:rsidRPr="006A214E">
          <w:rPr>
            <w:rFonts w:ascii="FrankRuehl" w:hAnsi="FrankRuehl" w:cs="FrankRuehl"/>
            <w:color w:val="0000FF"/>
            <w:rtl/>
          </w:rPr>
          <w:t>חוק העונשין, תשל"ז-1977</w:t>
        </w:r>
      </w:hyperlink>
      <w:r w:rsidRPr="006A214E">
        <w:rPr>
          <w:rFonts w:ascii="FrankRuehl" w:hAnsi="FrankRuehl" w:cs="FrankRuehl"/>
          <w:rtl/>
        </w:rPr>
        <w:t xml:space="preserve">: סע'  </w:t>
      </w:r>
      <w:hyperlink r:id="rId12" w:history="1">
        <w:r w:rsidRPr="006A214E">
          <w:rPr>
            <w:rFonts w:ascii="FrankRuehl" w:hAnsi="FrankRuehl" w:cs="FrankRuehl"/>
            <w:color w:val="0000FF"/>
            <w:rtl/>
          </w:rPr>
          <w:t>40ג(א)</w:t>
        </w:r>
      </w:hyperlink>
      <w:r w:rsidRPr="006A214E">
        <w:rPr>
          <w:rFonts w:ascii="FrankRuehl" w:hAnsi="FrankRuehl" w:cs="FrankRuehl"/>
          <w:rtl/>
        </w:rPr>
        <w:t xml:space="preserve">, </w:t>
      </w:r>
      <w:hyperlink r:id="rId13" w:history="1">
        <w:r w:rsidRPr="006A214E">
          <w:rPr>
            <w:rFonts w:ascii="FrankRuehl" w:hAnsi="FrankRuehl" w:cs="FrankRuehl"/>
            <w:color w:val="0000FF"/>
            <w:rtl/>
          </w:rPr>
          <w:t>40ג(ב)</w:t>
        </w:r>
      </w:hyperlink>
      <w:r w:rsidRPr="006A214E">
        <w:rPr>
          <w:rFonts w:ascii="FrankRuehl" w:hAnsi="FrankRuehl" w:cs="FrankRuehl"/>
          <w:rtl/>
        </w:rPr>
        <w:t xml:space="preserve">, </w:t>
      </w:r>
      <w:hyperlink r:id="rId14" w:history="1">
        <w:r w:rsidRPr="006A214E">
          <w:rPr>
            <w:rFonts w:ascii="FrankRuehl" w:hAnsi="FrankRuehl" w:cs="FrankRuehl"/>
            <w:color w:val="0000FF"/>
            <w:rtl/>
          </w:rPr>
          <w:t>40ד</w:t>
        </w:r>
      </w:hyperlink>
      <w:r w:rsidRPr="006A214E">
        <w:rPr>
          <w:rFonts w:ascii="FrankRuehl" w:hAnsi="FrankRuehl" w:cs="FrankRuehl"/>
          <w:rtl/>
        </w:rPr>
        <w:t xml:space="preserve">, </w:t>
      </w:r>
      <w:hyperlink r:id="rId15" w:history="1">
        <w:r w:rsidRPr="006A214E">
          <w:rPr>
            <w:rFonts w:ascii="FrankRuehl" w:hAnsi="FrankRuehl" w:cs="FrankRuehl"/>
            <w:color w:val="0000FF"/>
            <w:rtl/>
          </w:rPr>
          <w:t>40ו</w:t>
        </w:r>
      </w:hyperlink>
      <w:r w:rsidRPr="006A214E">
        <w:rPr>
          <w:rFonts w:ascii="FrankRuehl" w:hAnsi="FrankRuehl" w:cs="FrankRuehl"/>
          <w:rtl/>
        </w:rPr>
        <w:t xml:space="preserve">, </w:t>
      </w:r>
      <w:hyperlink r:id="rId16" w:history="1">
        <w:r w:rsidRPr="006A214E">
          <w:rPr>
            <w:rFonts w:ascii="FrankRuehl" w:hAnsi="FrankRuehl" w:cs="FrankRuehl"/>
            <w:color w:val="0000FF"/>
            <w:rtl/>
          </w:rPr>
          <w:t>40ז</w:t>
        </w:r>
      </w:hyperlink>
      <w:r w:rsidRPr="006A214E">
        <w:rPr>
          <w:rFonts w:ascii="FrankRuehl" w:hAnsi="FrankRuehl" w:cs="FrankRuehl"/>
          <w:rtl/>
        </w:rPr>
        <w:t xml:space="preserve">, </w:t>
      </w:r>
      <w:hyperlink r:id="rId17" w:history="1">
        <w:r w:rsidRPr="006A214E">
          <w:rPr>
            <w:rFonts w:ascii="FrankRuehl" w:hAnsi="FrankRuehl" w:cs="FrankRuehl"/>
            <w:color w:val="0000FF"/>
            <w:rtl/>
          </w:rPr>
          <w:t>40ח</w:t>
        </w:r>
      </w:hyperlink>
      <w:r w:rsidRPr="006A214E">
        <w:rPr>
          <w:rFonts w:ascii="FrankRuehl" w:hAnsi="FrankRuehl" w:cs="FrankRuehl"/>
          <w:rtl/>
        </w:rPr>
        <w:t xml:space="preserve">, </w:t>
      </w:r>
      <w:hyperlink r:id="rId18" w:history="1">
        <w:r w:rsidRPr="006A214E">
          <w:rPr>
            <w:rFonts w:ascii="FrankRuehl" w:hAnsi="FrankRuehl" w:cs="FrankRuehl"/>
            <w:color w:val="0000FF"/>
            <w:rtl/>
          </w:rPr>
          <w:t>40יא</w:t>
        </w:r>
      </w:hyperlink>
      <w:r w:rsidRPr="006A214E">
        <w:rPr>
          <w:rFonts w:ascii="FrankRuehl" w:hAnsi="FrankRuehl" w:cs="FrankRuehl"/>
          <w:rtl/>
        </w:rPr>
        <w:t xml:space="preserve">, </w:t>
      </w:r>
      <w:hyperlink r:id="rId19" w:history="1">
        <w:r w:rsidRPr="006A214E">
          <w:rPr>
            <w:rFonts w:ascii="FrankRuehl" w:hAnsi="FrankRuehl" w:cs="FrankRuehl"/>
            <w:color w:val="0000FF"/>
            <w:rtl/>
          </w:rPr>
          <w:t>40יט</w:t>
        </w:r>
      </w:hyperlink>
    </w:p>
    <w:p w14:paraId="101F97AC" w14:textId="77777777" w:rsidR="006A214E" w:rsidRPr="006A214E" w:rsidRDefault="006A214E" w:rsidP="006A214E">
      <w:pPr>
        <w:spacing w:before="240" w:line="360" w:lineRule="auto"/>
        <w:jc w:val="both"/>
        <w:rPr>
          <w:rFonts w:ascii="David" w:hAnsi="David"/>
          <w:sz w:val="26"/>
          <w:szCs w:val="26"/>
          <w:rtl/>
        </w:rPr>
      </w:pPr>
      <w:bookmarkStart w:id="4" w:name="LawTable_End"/>
      <w:bookmarkEnd w:id="4"/>
    </w:p>
    <w:p w14:paraId="270A570F" w14:textId="77777777" w:rsidR="00620BEF" w:rsidRPr="00C639C7" w:rsidRDefault="00620BEF" w:rsidP="00C639C7">
      <w:pPr>
        <w:spacing w:before="240" w:line="360" w:lineRule="auto"/>
        <w:jc w:val="both"/>
        <w:rPr>
          <w:rFonts w:ascii="David" w:hAnsi="David"/>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620BEF" w14:paraId="16DBDA16" w14:textId="77777777" w:rsidTr="00620BEF">
        <w:trPr>
          <w:trHeight w:val="624"/>
          <w:jc w:val="center"/>
        </w:trPr>
        <w:tc>
          <w:tcPr>
            <w:tcW w:w="8505" w:type="dxa"/>
            <w:tcBorders>
              <w:top w:val="nil"/>
              <w:left w:val="nil"/>
              <w:bottom w:val="nil"/>
              <w:right w:val="nil"/>
            </w:tcBorders>
            <w:shd w:val="clear" w:color="auto" w:fill="auto"/>
            <w:vAlign w:val="center"/>
          </w:tcPr>
          <w:p w14:paraId="52BAAF6B" w14:textId="77777777" w:rsidR="00307D39" w:rsidRPr="00307D39" w:rsidRDefault="00307D39" w:rsidP="00307D39">
            <w:pPr>
              <w:jc w:val="center"/>
              <w:rPr>
                <w:rFonts w:ascii="David" w:hAnsi="David"/>
                <w:b/>
                <w:bCs/>
                <w:sz w:val="32"/>
                <w:szCs w:val="32"/>
                <w:u w:val="single"/>
                <w:rtl/>
              </w:rPr>
            </w:pPr>
            <w:bookmarkStart w:id="5" w:name="PsakDin" w:colFirst="0" w:colLast="0"/>
            <w:bookmarkEnd w:id="0"/>
            <w:r w:rsidRPr="00307D39">
              <w:rPr>
                <w:rFonts w:ascii="David" w:hAnsi="David"/>
                <w:b/>
                <w:bCs/>
                <w:sz w:val="32"/>
                <w:szCs w:val="32"/>
                <w:u w:val="single"/>
                <w:rtl/>
              </w:rPr>
              <w:t>גזר דין</w:t>
            </w:r>
          </w:p>
          <w:p w14:paraId="5EE874F6" w14:textId="77777777" w:rsidR="00620BEF" w:rsidRPr="00307D39" w:rsidRDefault="00620BEF" w:rsidP="00307D39">
            <w:pPr>
              <w:jc w:val="center"/>
              <w:rPr>
                <w:rFonts w:ascii="David" w:hAnsi="David"/>
                <w:bCs/>
                <w:sz w:val="32"/>
                <w:szCs w:val="32"/>
                <w:u w:val="single"/>
                <w:rtl/>
              </w:rPr>
            </w:pPr>
          </w:p>
        </w:tc>
      </w:tr>
    </w:tbl>
    <w:bookmarkEnd w:id="5"/>
    <w:p w14:paraId="0B4A33DF" w14:textId="77777777" w:rsidR="00620BEF" w:rsidRDefault="00620BEF" w:rsidP="00620BEF">
      <w:pPr>
        <w:spacing w:before="240" w:line="360" w:lineRule="auto"/>
        <w:jc w:val="both"/>
        <w:rPr>
          <w:rFonts w:ascii="David" w:hAnsi="David"/>
          <w:b/>
          <w:bCs/>
          <w:sz w:val="26"/>
          <w:szCs w:val="26"/>
          <w:rtl/>
        </w:rPr>
      </w:pPr>
      <w:r>
        <w:rPr>
          <w:rFonts w:ascii="David" w:hAnsi="David"/>
          <w:b/>
          <w:bCs/>
          <w:sz w:val="26"/>
          <w:szCs w:val="26"/>
          <w:rtl/>
        </w:rPr>
        <w:t>כתב האישום והכרעת הדין</w:t>
      </w:r>
    </w:p>
    <w:p w14:paraId="38B49621" w14:textId="77777777" w:rsidR="00620BEF" w:rsidRDefault="00620BEF" w:rsidP="00620BEF">
      <w:pPr>
        <w:numPr>
          <w:ilvl w:val="0"/>
          <w:numId w:val="1"/>
        </w:numPr>
        <w:snapToGrid w:val="0"/>
        <w:spacing w:line="360" w:lineRule="auto"/>
        <w:ind w:left="360"/>
        <w:jc w:val="both"/>
        <w:rPr>
          <w:sz w:val="20"/>
          <w:rtl/>
          <w:lang w:eastAsia="he-IL"/>
        </w:rPr>
      </w:pPr>
      <w:bookmarkStart w:id="6" w:name="ABSTRACT_START"/>
      <w:bookmarkEnd w:id="6"/>
      <w:r>
        <w:rPr>
          <w:sz w:val="20"/>
          <w:rtl/>
          <w:lang w:eastAsia="he-IL"/>
        </w:rPr>
        <w:t xml:space="preserve">הנאשם הורשע בהכרעת דין מיום 8.4.21 בעבירת </w:t>
      </w:r>
      <w:r>
        <w:rPr>
          <w:b/>
          <w:bCs/>
          <w:sz w:val="20"/>
          <w:rtl/>
          <w:lang w:eastAsia="he-IL"/>
        </w:rPr>
        <w:t>החזקת סמים מסוכנים שלא לצריכה עצמית</w:t>
      </w:r>
      <w:r>
        <w:rPr>
          <w:sz w:val="20"/>
          <w:rtl/>
          <w:lang w:eastAsia="he-IL"/>
        </w:rPr>
        <w:t xml:space="preserve">, בהתאם </w:t>
      </w:r>
      <w:hyperlink r:id="rId20" w:history="1">
        <w:r w:rsidR="002E7923" w:rsidRPr="002E7923">
          <w:rPr>
            <w:rStyle w:val="Hyperlink"/>
            <w:sz w:val="20"/>
            <w:rtl/>
            <w:lang w:eastAsia="he-IL"/>
          </w:rPr>
          <w:t>לסעיפים 7(א)</w:t>
        </w:r>
      </w:hyperlink>
      <w:r>
        <w:rPr>
          <w:sz w:val="20"/>
          <w:rtl/>
          <w:lang w:eastAsia="he-IL"/>
        </w:rPr>
        <w:t xml:space="preserve"> ו-</w:t>
      </w:r>
      <w:hyperlink r:id="rId21" w:history="1">
        <w:r w:rsidR="002E7923" w:rsidRPr="002E7923">
          <w:rPr>
            <w:rStyle w:val="Hyperlink"/>
            <w:sz w:val="20"/>
            <w:rtl/>
            <w:lang w:eastAsia="he-IL"/>
          </w:rPr>
          <w:t>7(ג)</w:t>
        </w:r>
      </w:hyperlink>
      <w:r>
        <w:rPr>
          <w:sz w:val="20"/>
          <w:rtl/>
          <w:lang w:eastAsia="he-IL"/>
        </w:rPr>
        <w:t xml:space="preserve"> סיפא ל-</w:t>
      </w:r>
      <w:hyperlink r:id="rId22" w:history="1">
        <w:r w:rsidR="00307D39" w:rsidRPr="00307D39">
          <w:rPr>
            <w:rFonts w:ascii="Miriam" w:hAnsi="Miriam" w:cs="Miriam"/>
            <w:b/>
            <w:bCs/>
            <w:color w:val="0000FF"/>
            <w:sz w:val="18"/>
            <w:szCs w:val="22"/>
            <w:u w:val="single"/>
            <w:rtl/>
            <w:lang w:eastAsia="he-IL"/>
          </w:rPr>
          <w:t>פקודת הסמים המסוכנים</w:t>
        </w:r>
      </w:hyperlink>
      <w:r>
        <w:rPr>
          <w:sz w:val="20"/>
          <w:rtl/>
          <w:lang w:eastAsia="he-IL"/>
        </w:rPr>
        <w:t xml:space="preserve">, התשל"ג-1973 (להלן: </w:t>
      </w:r>
      <w:r>
        <w:rPr>
          <w:rFonts w:ascii="Miriam" w:hAnsi="Miriam" w:cs="Miriam"/>
          <w:b/>
          <w:bCs/>
          <w:sz w:val="18"/>
          <w:szCs w:val="22"/>
          <w:rtl/>
          <w:lang w:eastAsia="he-IL"/>
        </w:rPr>
        <w:t>פקודת הסמים</w:t>
      </w:r>
      <w:r>
        <w:rPr>
          <w:sz w:val="20"/>
          <w:rtl/>
          <w:lang w:eastAsia="he-IL"/>
        </w:rPr>
        <w:t xml:space="preserve">). </w:t>
      </w:r>
    </w:p>
    <w:p w14:paraId="02F03899" w14:textId="77777777" w:rsidR="00620BEF" w:rsidRDefault="00620BEF" w:rsidP="00620BEF">
      <w:pPr>
        <w:numPr>
          <w:ilvl w:val="0"/>
          <w:numId w:val="1"/>
        </w:numPr>
        <w:snapToGrid w:val="0"/>
        <w:spacing w:before="240" w:line="360" w:lineRule="auto"/>
        <w:ind w:left="357" w:hanging="357"/>
        <w:jc w:val="both"/>
        <w:rPr>
          <w:sz w:val="20"/>
          <w:rtl/>
          <w:lang w:eastAsia="he-IL"/>
        </w:rPr>
      </w:pPr>
      <w:bookmarkStart w:id="7" w:name="ABSTRACT_END"/>
      <w:bookmarkEnd w:id="7"/>
      <w:r>
        <w:rPr>
          <w:sz w:val="20"/>
          <w:rtl/>
          <w:lang w:eastAsia="he-IL"/>
        </w:rPr>
        <w:t>בהכרעת הדין נקבע,</w:t>
      </w:r>
      <w:r>
        <w:rPr>
          <w:rFonts w:ascii="David" w:hAnsi="David"/>
          <w:rtl/>
        </w:rPr>
        <w:t xml:space="preserve"> כי בתאריך 23.2.19 בשעה 23:54 או בסמוך לכך, על כביש 310 סמוך לרהט, החזיק הנאשם בתוך רכב מסוג יונדאי ל"ז 85-110-62 (להלן: </w:t>
      </w:r>
      <w:r>
        <w:rPr>
          <w:rFonts w:ascii="David" w:hAnsi="David"/>
          <w:b/>
          <w:bCs/>
          <w:rtl/>
        </w:rPr>
        <w:t>הרכב</w:t>
      </w:r>
      <w:r>
        <w:rPr>
          <w:rFonts w:ascii="David" w:hAnsi="David"/>
          <w:rtl/>
        </w:rPr>
        <w:t>) 101.5 גרם סם מסוכן מסוג חשיש, שלא לצריכתו העצמית ומבלי שהדבר הותר לו בפקודה, בתקנות או ברישיון מאת המנהל</w:t>
      </w:r>
      <w:r>
        <w:rPr>
          <w:sz w:val="20"/>
          <w:rtl/>
          <w:lang w:eastAsia="he-IL"/>
        </w:rPr>
        <w:t xml:space="preserve">. </w:t>
      </w:r>
    </w:p>
    <w:p w14:paraId="54B7F96E" w14:textId="77777777" w:rsidR="00620BEF" w:rsidRDefault="00620BEF" w:rsidP="00620BEF">
      <w:pPr>
        <w:spacing w:before="240" w:line="360" w:lineRule="auto"/>
        <w:jc w:val="both"/>
        <w:rPr>
          <w:bCs/>
          <w:sz w:val="26"/>
          <w:szCs w:val="26"/>
          <w:rtl/>
        </w:rPr>
      </w:pPr>
      <w:r>
        <w:rPr>
          <w:bCs/>
          <w:sz w:val="26"/>
          <w:szCs w:val="26"/>
          <w:rtl/>
        </w:rPr>
        <w:t xml:space="preserve">סוגיית ביטול הרשעת הנאשם </w:t>
      </w:r>
    </w:p>
    <w:p w14:paraId="30E8E57A" w14:textId="77777777" w:rsidR="00620BEF" w:rsidRDefault="00620BEF" w:rsidP="00620BEF">
      <w:pPr>
        <w:numPr>
          <w:ilvl w:val="0"/>
          <w:numId w:val="1"/>
        </w:numPr>
        <w:snapToGrid w:val="0"/>
        <w:spacing w:line="360" w:lineRule="auto"/>
        <w:ind w:left="357" w:hanging="357"/>
        <w:jc w:val="both"/>
        <w:rPr>
          <w:b/>
          <w:bCs/>
          <w:sz w:val="20"/>
          <w:rtl/>
          <w:lang w:eastAsia="he-IL"/>
        </w:rPr>
      </w:pPr>
      <w:r>
        <w:rPr>
          <w:rFonts w:ascii="David" w:hAnsi="David"/>
          <w:b/>
          <w:sz w:val="20"/>
          <w:rtl/>
          <w:lang w:eastAsia="he-IL"/>
        </w:rPr>
        <w:t>בסעיף 7 לפסק דינה ב-</w:t>
      </w:r>
      <w:hyperlink r:id="rId23" w:history="1">
        <w:r w:rsidR="00307D39" w:rsidRPr="00307D39">
          <w:rPr>
            <w:rFonts w:ascii="David" w:hAnsi="David"/>
            <w:b/>
            <w:color w:val="0000FF"/>
            <w:sz w:val="20"/>
            <w:u w:val="single"/>
            <w:rtl/>
            <w:lang w:eastAsia="he-IL"/>
          </w:rPr>
          <w:t>ע"פ 2083/96</w:t>
        </w:r>
      </w:hyperlink>
      <w:r>
        <w:rPr>
          <w:rFonts w:ascii="David" w:hAnsi="David"/>
          <w:b/>
          <w:sz w:val="20"/>
          <w:rtl/>
          <w:lang w:eastAsia="he-IL"/>
        </w:rPr>
        <w:t xml:space="preserve"> </w:t>
      </w:r>
      <w:r>
        <w:rPr>
          <w:rFonts w:ascii="Miriam" w:hAnsi="Miriam" w:cs="Miriam"/>
          <w:b/>
          <w:bCs/>
          <w:sz w:val="18"/>
          <w:szCs w:val="22"/>
          <w:rtl/>
          <w:lang w:eastAsia="he-IL"/>
        </w:rPr>
        <w:t xml:space="preserve">כתב נ' מדינת ישראל </w:t>
      </w:r>
      <w:r>
        <w:rPr>
          <w:rFonts w:ascii="David" w:hAnsi="David"/>
          <w:b/>
          <w:sz w:val="20"/>
          <w:rtl/>
          <w:lang w:eastAsia="he-IL"/>
        </w:rPr>
        <w:t xml:space="preserve">(21.8.97) (להלן: </w:t>
      </w:r>
      <w:r>
        <w:rPr>
          <w:rFonts w:ascii="Miriam" w:hAnsi="Miriam" w:cs="Miriam"/>
          <w:b/>
          <w:bCs/>
          <w:sz w:val="18"/>
          <w:szCs w:val="22"/>
          <w:rtl/>
          <w:lang w:eastAsia="he-IL"/>
        </w:rPr>
        <w:t>הלכת כתב</w:t>
      </w:r>
      <w:r>
        <w:rPr>
          <w:rFonts w:ascii="David" w:hAnsi="David"/>
          <w:b/>
          <w:sz w:val="20"/>
          <w:rtl/>
          <w:lang w:eastAsia="he-IL"/>
        </w:rPr>
        <w:t xml:space="preserve">), קבעה כב' הש' דורנר, כי </w:t>
      </w:r>
      <w:r>
        <w:rPr>
          <w:rtl/>
        </w:rPr>
        <w:t xml:space="preserve">(ההדגשות לא במקור - זד"ל) - </w:t>
      </w:r>
    </w:p>
    <w:p w14:paraId="71B8551B" w14:textId="77777777" w:rsidR="00620BEF" w:rsidRDefault="00620BEF" w:rsidP="00620BEF">
      <w:pPr>
        <w:spacing w:before="60" w:line="360" w:lineRule="auto"/>
        <w:ind w:left="1440" w:right="992"/>
        <w:jc w:val="both"/>
      </w:pPr>
      <w:r>
        <w:rPr>
          <w:rtl/>
        </w:rPr>
        <w:lastRenderedPageBreak/>
        <w:t>"</w:t>
      </w:r>
      <w:r>
        <w:rPr>
          <w:b/>
          <w:bCs/>
          <w:rtl/>
        </w:rPr>
        <w:t xml:space="preserve">הימנעות מהרשעה אפשרית אפוא בהצטבר שני גורמים: ראשית, על ההרשעה לפגוע </w:t>
      </w:r>
      <w:r>
        <w:rPr>
          <w:b/>
          <w:bCs/>
          <w:u w:val="single"/>
          <w:rtl/>
        </w:rPr>
        <w:t>פגיעה חמורה בשיקום הנאשם</w:t>
      </w:r>
      <w:r>
        <w:rPr>
          <w:b/>
          <w:bCs/>
          <w:rtl/>
        </w:rPr>
        <w:t xml:space="preserve">, ושנית, </w:t>
      </w:r>
      <w:r>
        <w:rPr>
          <w:b/>
          <w:bCs/>
          <w:u w:val="single"/>
          <w:rtl/>
        </w:rPr>
        <w:t>סוג העבירה מאפשר</w:t>
      </w:r>
      <w:r>
        <w:rPr>
          <w:b/>
          <w:bCs/>
          <w:rtl/>
        </w:rPr>
        <w:t xml:space="preserve"> לוותר בנסיבות המקרה המסוים על ההרשעה </w:t>
      </w:r>
      <w:r>
        <w:rPr>
          <w:b/>
          <w:bCs/>
          <w:u w:val="single"/>
          <w:rtl/>
        </w:rPr>
        <w:t>בלי לפגוע באופן מהותי בשיקולי הענישה האחרים</w:t>
      </w:r>
      <w:r>
        <w:rPr>
          <w:b/>
          <w:bCs/>
          <w:rtl/>
        </w:rPr>
        <w:t xml:space="preserve"> המפורטים לעיל</w:t>
      </w:r>
      <w:r>
        <w:rPr>
          <w:rtl/>
        </w:rPr>
        <w:t>"</w:t>
      </w:r>
    </w:p>
    <w:p w14:paraId="47A5DA34" w14:textId="77777777" w:rsidR="00620BEF" w:rsidRDefault="00620BEF" w:rsidP="00620BEF">
      <w:pPr>
        <w:snapToGrid w:val="0"/>
        <w:spacing w:before="120" w:line="360" w:lineRule="auto"/>
        <w:ind w:left="357"/>
        <w:jc w:val="both"/>
        <w:rPr>
          <w:rFonts w:ascii="David" w:hAnsi="David"/>
          <w:b/>
          <w:sz w:val="20"/>
          <w:lang w:eastAsia="he-IL"/>
        </w:rPr>
      </w:pPr>
      <w:r>
        <w:rPr>
          <w:rFonts w:ascii="David" w:hAnsi="David"/>
          <w:b/>
          <w:sz w:val="20"/>
          <w:rtl/>
          <w:lang w:eastAsia="he-IL"/>
        </w:rPr>
        <w:t>ב</w:t>
      </w:r>
      <w:r>
        <w:rPr>
          <w:rFonts w:ascii="Miriam" w:hAnsi="Miriam" w:cs="Miriam"/>
          <w:b/>
          <w:bCs/>
          <w:sz w:val="18"/>
          <w:szCs w:val="22"/>
          <w:rtl/>
          <w:lang w:eastAsia="he-IL"/>
        </w:rPr>
        <w:t xml:space="preserve">הלכת כתב </w:t>
      </w:r>
      <w:r>
        <w:rPr>
          <w:rFonts w:ascii="David" w:hAnsi="David"/>
          <w:b/>
          <w:sz w:val="20"/>
          <w:rtl/>
          <w:lang w:eastAsia="he-IL"/>
        </w:rPr>
        <w:t>נקבע כי סיום הליך ללא הרשעה יעשה במקרים נדירים וחריגים ביותר. כך, ובהתאם ל</w:t>
      </w:r>
      <w:r>
        <w:rPr>
          <w:rFonts w:ascii="Miriam" w:hAnsi="Miriam" w:cs="Miriam"/>
          <w:b/>
          <w:bCs/>
          <w:sz w:val="18"/>
          <w:szCs w:val="22"/>
          <w:rtl/>
          <w:lang w:eastAsia="he-IL"/>
        </w:rPr>
        <w:t>הלכת כתב</w:t>
      </w:r>
      <w:r>
        <w:rPr>
          <w:rFonts w:ascii="David" w:hAnsi="David"/>
          <w:b/>
          <w:sz w:val="20"/>
          <w:rtl/>
          <w:lang w:eastAsia="he-IL"/>
        </w:rPr>
        <w:t xml:space="preserve">, על ההגנה לשכנע את בית המשפט שהנזק - העלול להיגרם לנאשם אם יורשע - חמור במיוחד ובלתי מידתי בהשוואה לנזק שייגרם לציבור, אם ההליך יסתיים ללא הרשעתו. </w:t>
      </w:r>
    </w:p>
    <w:p w14:paraId="40B0DE39" w14:textId="77777777" w:rsidR="00620BEF" w:rsidRDefault="00620BEF" w:rsidP="00620BEF">
      <w:pPr>
        <w:numPr>
          <w:ilvl w:val="0"/>
          <w:numId w:val="1"/>
        </w:numPr>
        <w:snapToGrid w:val="0"/>
        <w:spacing w:before="240" w:line="360" w:lineRule="auto"/>
        <w:ind w:left="357" w:hanging="357"/>
        <w:jc w:val="both"/>
        <w:rPr>
          <w:sz w:val="20"/>
          <w:lang w:eastAsia="he-IL"/>
        </w:rPr>
      </w:pPr>
      <w:r>
        <w:rPr>
          <w:rFonts w:ascii="David" w:hAnsi="David"/>
          <w:b/>
          <w:bCs/>
          <w:rtl/>
          <w:lang w:eastAsia="he-IL"/>
        </w:rPr>
        <w:t>באשר לסוג העבירה, נסיבות ביצוע העבירה ושיקולי ענישה</w:t>
      </w:r>
      <w:r>
        <w:rPr>
          <w:rFonts w:ascii="David" w:hAnsi="David"/>
          <w:rtl/>
          <w:lang w:eastAsia="he-IL"/>
        </w:rPr>
        <w:t xml:space="preserve"> - </w:t>
      </w:r>
      <w:r>
        <w:rPr>
          <w:sz w:val="20"/>
          <w:rtl/>
          <w:lang w:eastAsia="he-IL"/>
        </w:rPr>
        <w:t xml:space="preserve">מקובלת עלי טענת ב"כ המאשימה, כי מדובר בעבירה שאין להקל ראש בחומרתה. רק במקרים חריגים שבחריגים, ניתן להורות על ביטול הרשעת בגיר בעבירת החזקת סם שלא לצריכה עצמית. </w:t>
      </w:r>
      <w:r>
        <w:rPr>
          <w:rFonts w:ascii="Arial" w:hAnsi="Arial"/>
          <w:sz w:val="20"/>
          <w:rtl/>
          <w:lang w:eastAsia="he-IL"/>
        </w:rPr>
        <w:t>בהחזקת סמים במשקל 101.5 גרם שלא לצריכה עצמית טמון פוטנציאל נזק רב, בשל פגיעתם הרעה בבריאות הציבור, בחלקים נרחבים באוכלוסיה</w:t>
      </w:r>
      <w:r>
        <w:rPr>
          <w:sz w:val="20"/>
          <w:rtl/>
          <w:lang w:eastAsia="he-IL"/>
        </w:rPr>
        <w:t xml:space="preserve">. </w:t>
      </w:r>
      <w:r>
        <w:rPr>
          <w:rFonts w:ascii="David" w:hAnsi="David"/>
          <w:rtl/>
        </w:rPr>
        <w:t xml:space="preserve">עבירות הסמים מחוללות פשיעה, אגב הפצת הסם וצריכתו, כאשר </w:t>
      </w:r>
      <w:r>
        <w:rPr>
          <w:sz w:val="20"/>
          <w:rtl/>
          <w:lang w:eastAsia="he-IL"/>
        </w:rPr>
        <w:t>מעבר לנזקים הישירים הנגרמים למשתמשי הסם, נגע הסמים מלווה ואף יוצר עבירות נוספות, ובכלל זה עבירות רכוש ו</w:t>
      </w:r>
      <w:r>
        <w:rPr>
          <w:noProof/>
          <w:sz w:val="20"/>
          <w:rtl/>
          <w:lang w:eastAsia="he-IL"/>
        </w:rPr>
        <w:t xml:space="preserve">אלימות. </w:t>
      </w:r>
      <w:r>
        <w:rPr>
          <w:rtl/>
        </w:rPr>
        <w:t>מידת הפגיעה בערכים החברתיים</w:t>
      </w:r>
      <w:r>
        <w:rPr>
          <w:b/>
          <w:bCs/>
          <w:rtl/>
        </w:rPr>
        <w:t xml:space="preserve"> </w:t>
      </w:r>
      <w:r>
        <w:rPr>
          <w:rFonts w:ascii="David" w:hAnsi="David"/>
          <w:rtl/>
        </w:rPr>
        <w:t>לא מבוטלת, נוכח נסיבות החזקת הסם, אליהם אתייחס בהרחבה בהמשך.</w:t>
      </w:r>
    </w:p>
    <w:p w14:paraId="5C4A08AC" w14:textId="77777777" w:rsidR="00620BEF" w:rsidRDefault="00620BEF" w:rsidP="00620BEF">
      <w:pPr>
        <w:numPr>
          <w:ilvl w:val="0"/>
          <w:numId w:val="1"/>
        </w:numPr>
        <w:snapToGrid w:val="0"/>
        <w:spacing w:before="240" w:line="360" w:lineRule="auto"/>
        <w:ind w:left="357" w:hanging="357"/>
        <w:jc w:val="both"/>
        <w:rPr>
          <w:sz w:val="20"/>
          <w:lang w:eastAsia="he-IL"/>
        </w:rPr>
      </w:pPr>
      <w:r>
        <w:rPr>
          <w:sz w:val="20"/>
          <w:rtl/>
          <w:lang w:eastAsia="he-IL"/>
        </w:rPr>
        <w:t>מנגד, מקובלת עלי טענת ב"כ הנאשם כי מדובר בסם שלא נמנה על הסמים הקטלניים שב-</w:t>
      </w:r>
      <w:r>
        <w:rPr>
          <w:rFonts w:ascii="Miriam" w:hAnsi="Miriam" w:cs="Miriam"/>
          <w:b/>
          <w:bCs/>
          <w:sz w:val="18"/>
          <w:szCs w:val="22"/>
          <w:rtl/>
          <w:lang w:eastAsia="he-IL"/>
        </w:rPr>
        <w:t>פקודת הסמים</w:t>
      </w:r>
      <w:r>
        <w:rPr>
          <w:sz w:val="20"/>
          <w:rtl/>
          <w:lang w:eastAsia="he-IL"/>
        </w:rPr>
        <w:t xml:space="preserve"> ובכמות לא רבה. עם זאת, מקובלת עלי טענת ב"כ המאשימה, כי אין להקל ראש גם בהחזקת סמים אלו. </w:t>
      </w:r>
      <w:r>
        <w:rPr>
          <w:rtl/>
        </w:rPr>
        <w:t xml:space="preserve">יש לזכור כי </w:t>
      </w:r>
      <w:r>
        <w:rPr>
          <w:rFonts w:ascii="David" w:hAnsi="David"/>
          <w:rtl/>
        </w:rPr>
        <w:t>מדובר בהחזקה של כמות שהיא כמעט פי 7 מהכמות הקבועה ב-</w:t>
      </w:r>
      <w:r>
        <w:rPr>
          <w:rFonts w:ascii="David" w:hAnsi="David" w:cs="Miriam"/>
          <w:b/>
          <w:bCs/>
          <w:sz w:val="22"/>
          <w:szCs w:val="22"/>
          <w:rtl/>
        </w:rPr>
        <w:t>פקודת הסמים</w:t>
      </w:r>
      <w:r>
        <w:rPr>
          <w:rFonts w:ascii="David" w:hAnsi="David"/>
          <w:rtl/>
        </w:rPr>
        <w:t xml:space="preserve"> לצריכה עצמית, כאשר אין מחלוקת שההחזקה היתה שלא לשימוש עצמי.</w:t>
      </w:r>
      <w:r>
        <w:rPr>
          <w:sz w:val="20"/>
          <w:rtl/>
          <w:lang w:eastAsia="he-IL"/>
        </w:rPr>
        <w:t xml:space="preserve"> כפי שנקבע בהכרעת הדין, הנאשם הודה ב-</w:t>
      </w:r>
      <w:r>
        <w:rPr>
          <w:rFonts w:ascii="Miriam" w:hAnsi="Miriam" w:cs="Miriam"/>
          <w:b/>
          <w:bCs/>
          <w:sz w:val="18"/>
          <w:szCs w:val="22"/>
          <w:rtl/>
          <w:lang w:eastAsia="he-IL"/>
        </w:rPr>
        <w:t>ת/5</w:t>
      </w:r>
      <w:r>
        <w:rPr>
          <w:sz w:val="20"/>
          <w:rtl/>
          <w:lang w:eastAsia="he-IL"/>
        </w:rPr>
        <w:t xml:space="preserve"> כי החזיק את הסמים בשל מצוקה כלכלית בה היה אותה עת, וקיווה למכור את הסמים כדי להרוויח כסף. </w:t>
      </w:r>
    </w:p>
    <w:p w14:paraId="1F3B91C4" w14:textId="77777777" w:rsidR="00620BEF" w:rsidRDefault="00620BEF" w:rsidP="00620BEF">
      <w:pPr>
        <w:numPr>
          <w:ilvl w:val="0"/>
          <w:numId w:val="1"/>
        </w:numPr>
        <w:snapToGrid w:val="0"/>
        <w:spacing w:before="240" w:line="360" w:lineRule="auto"/>
        <w:ind w:left="357" w:hanging="357"/>
        <w:jc w:val="both"/>
        <w:rPr>
          <w:sz w:val="20"/>
          <w:lang w:eastAsia="he-IL"/>
        </w:rPr>
      </w:pPr>
      <w:r>
        <w:rPr>
          <w:rtl/>
        </w:rPr>
        <w:t xml:space="preserve">מבחינת שיקולי ענישה נקבע בפסיקה, </w:t>
      </w:r>
      <w:r>
        <w:rPr>
          <w:sz w:val="20"/>
          <w:rtl/>
          <w:lang w:eastAsia="he-IL"/>
        </w:rPr>
        <w:t>כי גם כאשר מדובר בסם ה"...</w:t>
      </w:r>
      <w:r>
        <w:rPr>
          <w:b/>
          <w:bCs/>
          <w:sz w:val="20"/>
          <w:rtl/>
          <w:lang w:eastAsia="he-IL"/>
        </w:rPr>
        <w:t>נחשב סם 'קל'</w:t>
      </w:r>
      <w:r>
        <w:rPr>
          <w:sz w:val="20"/>
          <w:rtl/>
          <w:lang w:eastAsia="he-IL"/>
        </w:rPr>
        <w:t>", עדין מדובר ב"</w:t>
      </w:r>
      <w:r>
        <w:rPr>
          <w:rFonts w:ascii="Arial" w:hAnsi="Arial"/>
          <w:b/>
          <w:bCs/>
          <w:sz w:val="20"/>
          <w:rtl/>
          <w:lang w:eastAsia="he-IL"/>
        </w:rPr>
        <w:t>סם מזיק</w:t>
      </w:r>
      <w:r>
        <w:rPr>
          <w:rFonts w:ascii="Arial" w:hAnsi="Arial"/>
          <w:sz w:val="20"/>
          <w:rtl/>
          <w:lang w:eastAsia="he-IL"/>
        </w:rPr>
        <w:t>", אשר החזקתו נאסר ב-</w:t>
      </w:r>
      <w:r>
        <w:rPr>
          <w:rFonts w:ascii="Miriam" w:hAnsi="Miriam" w:cs="Miriam"/>
          <w:b/>
          <w:bCs/>
          <w:sz w:val="18"/>
          <w:szCs w:val="22"/>
          <w:rtl/>
          <w:lang w:eastAsia="he-IL"/>
        </w:rPr>
        <w:t>פקודת הסמים</w:t>
      </w:r>
      <w:r>
        <w:rPr>
          <w:rFonts w:ascii="Arial" w:hAnsi="Arial"/>
          <w:sz w:val="20"/>
          <w:rtl/>
          <w:lang w:eastAsia="he-IL"/>
        </w:rPr>
        <w:t>. בפסיקה נקבע לא אחת, כי "</w:t>
      </w:r>
      <w:r>
        <w:rPr>
          <w:rFonts w:ascii="Arial" w:hAnsi="Arial"/>
          <w:b/>
          <w:bCs/>
          <w:sz w:val="20"/>
          <w:rtl/>
          <w:lang w:eastAsia="he-IL"/>
        </w:rPr>
        <w:t>אין להקל ראש בעבירות הנוגעות לסמים המוגדרים כ'קלים'</w:t>
      </w:r>
      <w:r>
        <w:rPr>
          <w:rFonts w:ascii="Arial" w:hAnsi="Arial"/>
          <w:sz w:val="20"/>
          <w:rtl/>
          <w:lang w:eastAsia="he-IL"/>
        </w:rPr>
        <w:t>" וכי "</w:t>
      </w:r>
      <w:r>
        <w:rPr>
          <w:rFonts w:ascii="Arial" w:hAnsi="Arial"/>
          <w:b/>
          <w:bCs/>
          <w:sz w:val="20"/>
          <w:rtl/>
          <w:lang w:eastAsia="he-IL"/>
        </w:rPr>
        <w:t xml:space="preserve">המאבק בנגע הסמים מחייב כי ההתייחסות לכל החוליות בשרשרת המסתיימת בהגעת הסם לציבור תהא מחמירה </w:t>
      </w:r>
      <w:r>
        <w:rPr>
          <w:rFonts w:ascii="Arial" w:hAnsi="Arial"/>
          <w:b/>
          <w:bCs/>
          <w:sz w:val="20"/>
          <w:u w:val="single"/>
          <w:rtl/>
          <w:lang w:eastAsia="he-IL"/>
        </w:rPr>
        <w:t>ועל כל מי שמהווה חוליה מחוליות השרשרת לדעת כי הוא נוטל על עצמו את הסיכון שבנשיאה בעונש</w:t>
      </w:r>
      <w:r>
        <w:rPr>
          <w:rFonts w:ascii="Arial" w:hAnsi="Arial"/>
          <w:b/>
          <w:bCs/>
          <w:sz w:val="20"/>
          <w:rtl/>
          <w:lang w:eastAsia="he-IL"/>
        </w:rPr>
        <w:t xml:space="preserve"> המשקף את חומרת העבירות שביצעו ואשר משקף את הנזק שבמעשיהם לחברה</w:t>
      </w:r>
      <w:r>
        <w:rPr>
          <w:rFonts w:ascii="Arial" w:hAnsi="Arial"/>
          <w:sz w:val="20"/>
          <w:rtl/>
          <w:lang w:eastAsia="he-IL"/>
        </w:rPr>
        <w:t>", בעיקר באותם מקרים בהם ההחזקה נעשתה במטרה להניב "</w:t>
      </w:r>
      <w:r>
        <w:rPr>
          <w:rFonts w:ascii="Arial" w:hAnsi="Arial"/>
          <w:b/>
          <w:bCs/>
          <w:sz w:val="20"/>
          <w:rtl/>
          <w:lang w:eastAsia="he-IL"/>
        </w:rPr>
        <w:t>רווח קל</w:t>
      </w:r>
      <w:r>
        <w:rPr>
          <w:rFonts w:ascii="Arial" w:hAnsi="Arial"/>
          <w:sz w:val="20"/>
          <w:rtl/>
          <w:lang w:eastAsia="he-IL"/>
        </w:rPr>
        <w:t xml:space="preserve">" על חשבון הציבור [ראו </w:t>
      </w:r>
      <w:hyperlink r:id="rId24" w:history="1">
        <w:r w:rsidR="00307D39" w:rsidRPr="00307D39">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tl/>
        </w:rPr>
        <w:t>)]</w:t>
      </w:r>
      <w:r>
        <w:rPr>
          <w:rFonts w:ascii="Arial" w:hAnsi="Arial"/>
          <w:sz w:val="20"/>
          <w:rtl/>
          <w:lang w:eastAsia="he-IL"/>
        </w:rPr>
        <w:t>. סקירת הפסיקה מלמדת כי גם במקרים בהם נסיבות ביצוע העבירה היו קלות יותר או כאשר מדובר בנסיבות אישיות מורכבות - נקבע כי אין מקום לבטל את ההרשעה, אלא בנסיבות יוצאות דופן:</w:t>
      </w:r>
      <w:r>
        <w:rPr>
          <w:sz w:val="20"/>
          <w:rtl/>
          <w:lang w:eastAsia="he-IL"/>
        </w:rPr>
        <w:t xml:space="preserve"> </w:t>
      </w:r>
    </w:p>
    <w:p w14:paraId="4B53D987" w14:textId="77777777" w:rsidR="00620BEF" w:rsidRDefault="00307D39" w:rsidP="00620BEF">
      <w:pPr>
        <w:numPr>
          <w:ilvl w:val="1"/>
          <w:numId w:val="1"/>
        </w:numPr>
        <w:snapToGrid w:val="0"/>
        <w:spacing w:before="240" w:line="360" w:lineRule="auto"/>
        <w:jc w:val="both"/>
        <w:rPr>
          <w:sz w:val="20"/>
          <w:lang w:eastAsia="he-IL"/>
        </w:rPr>
      </w:pPr>
      <w:hyperlink r:id="rId25" w:history="1">
        <w:r w:rsidRPr="00307D39">
          <w:rPr>
            <w:color w:val="0000FF"/>
            <w:sz w:val="20"/>
            <w:u w:val="single"/>
            <w:rtl/>
            <w:lang w:eastAsia="he-IL"/>
          </w:rPr>
          <w:t>רע"פ 8458/18</w:t>
        </w:r>
      </w:hyperlink>
      <w:r w:rsidR="00620BEF">
        <w:rPr>
          <w:sz w:val="20"/>
          <w:rtl/>
          <w:lang w:eastAsia="he-IL"/>
        </w:rPr>
        <w:t xml:space="preserve"> </w:t>
      </w:r>
      <w:r w:rsidR="00620BEF">
        <w:rPr>
          <w:rFonts w:ascii="Miriam" w:hAnsi="Miriam" w:cs="Miriam"/>
          <w:b/>
          <w:bCs/>
          <w:sz w:val="18"/>
          <w:szCs w:val="22"/>
          <w:rtl/>
          <w:lang w:eastAsia="he-IL"/>
        </w:rPr>
        <w:t>שטרר נ' מדינת ישראל</w:t>
      </w:r>
      <w:r w:rsidR="00620BEF">
        <w:rPr>
          <w:sz w:val="20"/>
          <w:rtl/>
          <w:lang w:eastAsia="he-IL"/>
        </w:rPr>
        <w:t xml:space="preserve"> (4.4.19) - נדחו ערעור ובקשת רשות ערעור של צעיר, נעדר עבר פלילי, אשר הורשע בגידול שני שתילי קנבוס במשקל 248.4 גרם </w:t>
      </w:r>
      <w:r w:rsidR="00620BEF">
        <w:rPr>
          <w:sz w:val="20"/>
          <w:u w:val="single"/>
          <w:rtl/>
          <w:lang w:eastAsia="he-IL"/>
        </w:rPr>
        <w:t xml:space="preserve">לצריכתו </w:t>
      </w:r>
      <w:r w:rsidR="00620BEF">
        <w:rPr>
          <w:sz w:val="20"/>
          <w:u w:val="single"/>
          <w:rtl/>
          <w:lang w:eastAsia="he-IL"/>
        </w:rPr>
        <w:lastRenderedPageBreak/>
        <w:t>העצמית</w:t>
      </w:r>
      <w:r w:rsidR="00620BEF">
        <w:rPr>
          <w:sz w:val="20"/>
          <w:rtl/>
          <w:lang w:eastAsia="he-IL"/>
        </w:rPr>
        <w:t xml:space="preserve"> והחזקת כ-2 גרם קנבוס. נקבע שלא הוּכחה בראיות פגיעה קשה וקונקרטית בסיכויי שיקומו, המהווה תנאי לאי-הרשעה וגם לא היה מקום לבטל הרשעתו;</w:t>
      </w:r>
    </w:p>
    <w:p w14:paraId="6ACCFB43" w14:textId="77777777" w:rsidR="00620BEF" w:rsidRDefault="00307D39" w:rsidP="00620BEF">
      <w:pPr>
        <w:numPr>
          <w:ilvl w:val="1"/>
          <w:numId w:val="1"/>
        </w:numPr>
        <w:snapToGrid w:val="0"/>
        <w:spacing w:before="240" w:line="360" w:lineRule="auto"/>
        <w:jc w:val="both"/>
        <w:rPr>
          <w:sz w:val="20"/>
          <w:lang w:eastAsia="he-IL"/>
        </w:rPr>
      </w:pPr>
      <w:hyperlink r:id="rId26" w:history="1">
        <w:r w:rsidRPr="00307D39">
          <w:rPr>
            <w:color w:val="0000FF"/>
            <w:sz w:val="20"/>
            <w:u w:val="single"/>
            <w:rtl/>
            <w:lang w:eastAsia="he-IL"/>
          </w:rPr>
          <w:t>רע"פ 5018/18</w:t>
        </w:r>
      </w:hyperlink>
      <w:r w:rsidR="00620BEF">
        <w:rPr>
          <w:sz w:val="20"/>
          <w:rtl/>
          <w:lang w:eastAsia="he-IL"/>
        </w:rPr>
        <w:t xml:space="preserve"> </w:t>
      </w:r>
      <w:r w:rsidR="00620BEF">
        <w:rPr>
          <w:rFonts w:ascii="Miriam" w:hAnsi="Miriam" w:cs="Miriam"/>
          <w:b/>
          <w:bCs/>
          <w:sz w:val="18"/>
          <w:szCs w:val="22"/>
          <w:rtl/>
          <w:lang w:eastAsia="he-IL"/>
        </w:rPr>
        <w:t xml:space="preserve">בוזגלו נ' מדינת ישראל </w:t>
      </w:r>
      <w:r w:rsidR="00620BEF">
        <w:rPr>
          <w:sz w:val="20"/>
          <w:rtl/>
          <w:lang w:eastAsia="he-IL"/>
        </w:rPr>
        <w:t xml:space="preserve">(21.10.18) - נדחו ערעור ובקשת רשות ערעור של מי שחרף היותו </w:t>
      </w:r>
      <w:r w:rsidR="00620BEF">
        <w:rPr>
          <w:sz w:val="20"/>
          <w:u w:val="single"/>
          <w:rtl/>
          <w:lang w:eastAsia="he-IL"/>
        </w:rPr>
        <w:t>נעדר הרשעות קודמות והחל בלימודי רפואה</w:t>
      </w:r>
      <w:r w:rsidR="00620BEF">
        <w:rPr>
          <w:sz w:val="20"/>
          <w:rtl/>
          <w:lang w:eastAsia="he-IL"/>
        </w:rPr>
        <w:t xml:space="preserve"> - לא בוטלה הרשעתו בעבירות </w:t>
      </w:r>
      <w:r w:rsidR="00620BEF">
        <w:rPr>
          <w:rtl/>
        </w:rPr>
        <w:t xml:space="preserve">גידול כחצי קילו קנבוס, בצוותא עם שותפו בדירתם באילת, החזקת 3.6 גרם קנבוס לצריכה עצמית והפרעה לשוטר במילוי תפקידו. </w:t>
      </w:r>
      <w:r w:rsidR="00620BEF">
        <w:rPr>
          <w:sz w:val="20"/>
          <w:rtl/>
          <w:lang w:eastAsia="he-IL"/>
        </w:rPr>
        <w:t>בתי המשפט לא ראו לבטל הרשעתו, חרף המלצת שירות המבחן</w:t>
      </w:r>
      <w:r w:rsidR="00620BEF">
        <w:rPr>
          <w:rtl/>
        </w:rPr>
        <w:t>;</w:t>
      </w:r>
    </w:p>
    <w:p w14:paraId="54D036C5" w14:textId="77777777" w:rsidR="00620BEF" w:rsidRDefault="00307D39" w:rsidP="00620BEF">
      <w:pPr>
        <w:numPr>
          <w:ilvl w:val="1"/>
          <w:numId w:val="1"/>
        </w:numPr>
        <w:snapToGrid w:val="0"/>
        <w:spacing w:before="240" w:line="360" w:lineRule="auto"/>
        <w:jc w:val="both"/>
        <w:rPr>
          <w:sz w:val="20"/>
          <w:lang w:eastAsia="he-IL"/>
        </w:rPr>
      </w:pPr>
      <w:hyperlink r:id="rId27" w:history="1">
        <w:r w:rsidRPr="00307D39">
          <w:rPr>
            <w:color w:val="0000FF"/>
            <w:sz w:val="20"/>
            <w:u w:val="single"/>
            <w:rtl/>
            <w:lang w:eastAsia="he-IL"/>
          </w:rPr>
          <w:t>עפ"ג 28110-10-15</w:t>
        </w:r>
      </w:hyperlink>
      <w:r w:rsidR="00620BEF">
        <w:rPr>
          <w:sz w:val="20"/>
          <w:rtl/>
          <w:lang w:eastAsia="he-IL"/>
        </w:rPr>
        <w:t xml:space="preserve"> </w:t>
      </w:r>
      <w:r w:rsidR="00620BEF">
        <w:rPr>
          <w:rFonts w:ascii="Miriam" w:hAnsi="Miriam" w:cs="Miriam"/>
          <w:b/>
          <w:bCs/>
          <w:sz w:val="18"/>
          <w:szCs w:val="22"/>
          <w:rtl/>
          <w:lang w:eastAsia="he-IL"/>
        </w:rPr>
        <w:t>מדינת ישראל נ' דוד</w:t>
      </w:r>
      <w:r w:rsidR="00620BEF">
        <w:rPr>
          <w:sz w:val="20"/>
          <w:rtl/>
          <w:lang w:eastAsia="he-IL"/>
        </w:rPr>
        <w:t xml:space="preserve"> (17.12.15) (להלן: </w:t>
      </w:r>
      <w:r w:rsidR="00620BEF">
        <w:rPr>
          <w:rFonts w:ascii="Miriam" w:hAnsi="Miriam" w:cs="Miriam"/>
          <w:b/>
          <w:bCs/>
          <w:sz w:val="18"/>
          <w:szCs w:val="22"/>
          <w:rtl/>
          <w:lang w:eastAsia="he-IL"/>
        </w:rPr>
        <w:t>ענין דוד</w:t>
      </w:r>
      <w:r w:rsidR="00620BEF">
        <w:rPr>
          <w:sz w:val="20"/>
          <w:rtl/>
          <w:lang w:eastAsia="he-IL"/>
        </w:rPr>
        <w:t>) - בית המשפט המחוזי בחיפה דחה, לאחר לבטים רבים וחרף הביקורת על פסק דינו של בית משפט קמא, ערעור המדינה על סיום הליך ללא הרשעה בעבירות גידול בצוותא של 21 שתילי קנבוס במשקל כשלושה וחצי ק"ג. אולם לצד זאת צו המבחן הוארך ל-18 חודשים וסכום הפיצוי עלה ל-11,000 ₪ חלף 5,000 ₪. בית המשפט המחוזי התחשב בהודיית המשיב, הבעת החרטה על מעשיו, הפוטנציאל החיובי לשיקום עליו עמד שירות המבחן, שהמליץ על סיום ההליך ללא הרשעה ונסיבותיו הייחודיות של המשיב, כאשר "...</w:t>
      </w:r>
      <w:r w:rsidR="00620BEF">
        <w:rPr>
          <w:b/>
          <w:bCs/>
          <w:sz w:val="20"/>
          <w:rtl/>
          <w:lang w:eastAsia="he-IL"/>
        </w:rPr>
        <w:t>ברי כי הרשעת המשיב בביצוע העבירה, יש בה כדי לסכל אפשרות של המשיב לחזור לעבודתו בנמל, ומאידך אי הרשעתו נותנת בידי ועד העובדים אפשרות מעשית לסייע בידו להשתלב חזרה במקום עבודתו, אשר משמש עבורו לא רק מקור פרנסה אלא משענת חשובה להמשך הליכי שיקומו</w:t>
      </w:r>
      <w:r w:rsidR="00620BEF">
        <w:rPr>
          <w:sz w:val="20"/>
          <w:rtl/>
          <w:lang w:eastAsia="he-IL"/>
        </w:rPr>
        <w:t xml:space="preserve">...". </w:t>
      </w:r>
    </w:p>
    <w:p w14:paraId="52D2001A" w14:textId="77777777" w:rsidR="00620BEF" w:rsidRDefault="00620BEF" w:rsidP="00620BEF">
      <w:pPr>
        <w:snapToGrid w:val="0"/>
        <w:spacing w:before="60" w:line="360" w:lineRule="auto"/>
        <w:ind w:left="782"/>
        <w:jc w:val="both"/>
        <w:rPr>
          <w:sz w:val="20"/>
          <w:lang w:eastAsia="he-IL"/>
        </w:rPr>
      </w:pPr>
      <w:r>
        <w:rPr>
          <w:sz w:val="20"/>
          <w:rtl/>
          <w:lang w:eastAsia="he-IL"/>
        </w:rPr>
        <w:t>* לא למותר לציין כי הגם שבענייננו מדובר בהחזקת סם בכמות קטנה משמעותית - הנסיבות המיוחדות שפורטו ב-</w:t>
      </w:r>
      <w:r>
        <w:rPr>
          <w:rFonts w:ascii="Miriam" w:hAnsi="Miriam" w:cs="Miriam"/>
          <w:b/>
          <w:bCs/>
          <w:sz w:val="18"/>
          <w:szCs w:val="22"/>
          <w:rtl/>
          <w:lang w:eastAsia="he-IL"/>
        </w:rPr>
        <w:t xml:space="preserve">ענין דוד </w:t>
      </w:r>
      <w:r>
        <w:rPr>
          <w:sz w:val="20"/>
          <w:rtl/>
          <w:lang w:eastAsia="he-IL"/>
        </w:rPr>
        <w:t>לא מתקיימות בעניינו של הנאשם שלפני.</w:t>
      </w:r>
    </w:p>
    <w:p w14:paraId="5D5ACBCC" w14:textId="77777777" w:rsidR="00620BEF" w:rsidRDefault="00307D39" w:rsidP="00620BEF">
      <w:pPr>
        <w:numPr>
          <w:ilvl w:val="1"/>
          <w:numId w:val="1"/>
        </w:numPr>
        <w:snapToGrid w:val="0"/>
        <w:spacing w:before="240" w:line="360" w:lineRule="auto"/>
        <w:jc w:val="both"/>
        <w:rPr>
          <w:sz w:val="20"/>
          <w:lang w:eastAsia="he-IL"/>
        </w:rPr>
      </w:pPr>
      <w:hyperlink r:id="rId28" w:history="1">
        <w:r w:rsidRPr="00307D39">
          <w:rPr>
            <w:color w:val="0000FF"/>
            <w:u w:val="single"/>
            <w:rtl/>
          </w:rPr>
          <w:t>עפ"ג (מחוזי-ב"ש) 41634-10-14</w:t>
        </w:r>
      </w:hyperlink>
      <w:r w:rsidR="00620BEF">
        <w:rPr>
          <w:rtl/>
        </w:rPr>
        <w:t xml:space="preserve">, 42384 </w:t>
      </w:r>
      <w:r w:rsidR="00620BEF">
        <w:rPr>
          <w:rFonts w:ascii="Miriam" w:hAnsi="Miriam" w:cs="Miriam"/>
          <w:b/>
          <w:bCs/>
          <w:sz w:val="18"/>
          <w:szCs w:val="22"/>
          <w:rtl/>
          <w:lang w:eastAsia="he-IL"/>
        </w:rPr>
        <w:t xml:space="preserve">לסרי ו-מזלומיאן נ' מדינת ישראל </w:t>
      </w:r>
      <w:r w:rsidR="00620BEF">
        <w:rPr>
          <w:sz w:val="28"/>
          <w:rtl/>
        </w:rPr>
        <w:t xml:space="preserve">(22.3.15) - נדחה ערעור שניים, שכל אחד מהם </w:t>
      </w:r>
      <w:r w:rsidR="00620BEF">
        <w:rPr>
          <w:rtl/>
          <w:lang w:eastAsia="he-IL"/>
        </w:rPr>
        <w:t xml:space="preserve">החזיק 230 גרם סם מסוכן מסוג קנבוס, שלא לצריכה עצמית. בית </w:t>
      </w:r>
      <w:r w:rsidR="00620BEF">
        <w:rPr>
          <w:sz w:val="28"/>
          <w:rtl/>
        </w:rPr>
        <w:t xml:space="preserve">משפט השלום לא ביטל הרשעתם, </w:t>
      </w:r>
      <w:r w:rsidR="00620BEF">
        <w:rPr>
          <w:sz w:val="28"/>
          <w:u w:val="single"/>
          <w:rtl/>
        </w:rPr>
        <w:t>חרף התסקירים החיובים</w:t>
      </w:r>
      <w:r w:rsidR="00620BEF">
        <w:rPr>
          <w:sz w:val="28"/>
          <w:rtl/>
        </w:rPr>
        <w:t xml:space="preserve"> בעניינם, שהמליצו על ביטול ההרשעה, היותם </w:t>
      </w:r>
      <w:r w:rsidR="00620BEF">
        <w:rPr>
          <w:rtl/>
          <w:lang w:eastAsia="he-IL"/>
        </w:rPr>
        <w:t xml:space="preserve">נורמטיביים, בעלי תפיסות חברתיות תקינות, תרומתם למדינה בשירותם הצבאי, היות ההליך הפלילי גורם מרתיע עבורם. בדחותו ערעורם, קבע כב' הש' עדן דברים הרלוונטיים לעניינו (ההדגשות לא במקור - זד"ל) - </w:t>
      </w:r>
    </w:p>
    <w:p w14:paraId="7F492F97" w14:textId="77777777" w:rsidR="00620BEF" w:rsidRDefault="00620BEF" w:rsidP="00620BEF">
      <w:pPr>
        <w:spacing w:line="360" w:lineRule="auto"/>
        <w:ind w:left="1440" w:right="993"/>
        <w:jc w:val="both"/>
      </w:pPr>
      <w:r>
        <w:rPr>
          <w:rtl/>
        </w:rPr>
        <w:t>"</w:t>
      </w:r>
      <w:r>
        <w:rPr>
          <w:b/>
          <w:bCs/>
          <w:rtl/>
        </w:rPr>
        <w:t>גם אם נצא מנקודת ההנחה שיהיה בהרשעה כדי לגרום להם לפגיעה באפשרויות תעסוקה מסוימות, הרי שהעבירה, חומרתה ונסיבות ביצועה, אינם מאפשרים הימנעות מהרשעה</w:t>
      </w:r>
      <w:r>
        <w:rPr>
          <w:rtl/>
        </w:rPr>
        <w:t xml:space="preserve">. </w:t>
      </w:r>
    </w:p>
    <w:p w14:paraId="35B3B5EF" w14:textId="77777777" w:rsidR="00620BEF" w:rsidRDefault="00620BEF" w:rsidP="00620BEF">
      <w:pPr>
        <w:spacing w:before="60" w:line="360" w:lineRule="auto"/>
        <w:ind w:left="1440" w:right="992"/>
        <w:jc w:val="both"/>
        <w:rPr>
          <w:rtl/>
        </w:rPr>
      </w:pPr>
      <w:r>
        <w:rPr>
          <w:b/>
          <w:bCs/>
          <w:rtl/>
        </w:rPr>
        <w:t>מדובר בעבירת סמים חמורה, של החזקה שלא לצריכה עצמית, אשר העונש לצידה הינו 20 שנות מאסר</w:t>
      </w:r>
      <w:r>
        <w:rPr>
          <w:rtl/>
        </w:rPr>
        <w:t>...</w:t>
      </w:r>
    </w:p>
    <w:p w14:paraId="4A5751E3" w14:textId="77777777" w:rsidR="00620BEF" w:rsidRDefault="00620BEF" w:rsidP="00620BEF">
      <w:pPr>
        <w:spacing w:before="60" w:line="360" w:lineRule="auto"/>
        <w:ind w:left="1440" w:right="992"/>
        <w:jc w:val="both"/>
        <w:rPr>
          <w:b/>
          <w:bCs/>
          <w:rtl/>
        </w:rPr>
      </w:pPr>
      <w:r>
        <w:rPr>
          <w:b/>
          <w:bCs/>
          <w:u w:val="single"/>
          <w:rtl/>
        </w:rPr>
        <w:t>חומרת עבירות הסמים אינה רק בעבירות סחר אלא רק גם בעבירות של החזקה שלא לצריכה עצמית, מתוך הראיה כי יש להילחם בכל שלבי מערך הפצת הסמים</w:t>
      </w:r>
      <w:r>
        <w:rPr>
          <w:rtl/>
        </w:rPr>
        <w:t xml:space="preserve">... </w:t>
      </w:r>
    </w:p>
    <w:p w14:paraId="12ED56EC" w14:textId="77777777" w:rsidR="00620BEF" w:rsidRDefault="00620BEF" w:rsidP="00620BEF">
      <w:pPr>
        <w:spacing w:before="60" w:line="360" w:lineRule="auto"/>
        <w:ind w:left="1440" w:right="992"/>
        <w:jc w:val="both"/>
        <w:rPr>
          <w:rtl/>
        </w:rPr>
      </w:pPr>
      <w:r>
        <w:rPr>
          <w:b/>
          <w:bCs/>
          <w:u w:val="single"/>
          <w:rtl/>
        </w:rPr>
        <w:t>מדובר בעבירה חמורה, ובמעשה אשר יש להטביע עליו את חותם הפליליות, ויש ליתן תוקף גם להיבט ההרתעתי של ההרשעה</w:t>
      </w:r>
      <w:r>
        <w:rPr>
          <w:b/>
          <w:bCs/>
          <w:rtl/>
        </w:rPr>
        <w:t xml:space="preserve">. אין לאפשר מסר פייסני לביצוע העבירה בנסיבות אלו, </w:t>
      </w:r>
      <w:r>
        <w:rPr>
          <w:b/>
          <w:bCs/>
          <w:u w:val="single"/>
          <w:rtl/>
        </w:rPr>
        <w:t>ובביטול ההרשעה יהיה כדי לפגוע באינטרס הציבורי ובשיקולי ענישה הקשורים במניעת הפצת סמים מסוכנים</w:t>
      </w:r>
      <w:r>
        <w:rPr>
          <w:rtl/>
        </w:rPr>
        <w:t xml:space="preserve">. </w:t>
      </w:r>
    </w:p>
    <w:p w14:paraId="362C4CF7" w14:textId="77777777" w:rsidR="00620BEF" w:rsidRDefault="00620BEF" w:rsidP="00620BEF">
      <w:pPr>
        <w:spacing w:before="60" w:line="360" w:lineRule="auto"/>
        <w:ind w:left="1440" w:right="992"/>
        <w:jc w:val="both"/>
        <w:rPr>
          <w:rtl/>
        </w:rPr>
      </w:pPr>
      <w:r>
        <w:rPr>
          <w:b/>
          <w:bCs/>
          <w:rtl/>
        </w:rPr>
        <w:t>מכל האמור, לא היה כל מקום לעתירה לביטול ההרשעה, והעבירה בנסיבות ביצועה, אינה מאפשרת זאת</w:t>
      </w:r>
      <w:r>
        <w:rPr>
          <w:rtl/>
        </w:rPr>
        <w:t>".</w:t>
      </w:r>
    </w:p>
    <w:p w14:paraId="5C91602B" w14:textId="77777777" w:rsidR="00620BEF" w:rsidRDefault="00307D39" w:rsidP="00620BEF">
      <w:pPr>
        <w:numPr>
          <w:ilvl w:val="1"/>
          <w:numId w:val="1"/>
        </w:numPr>
        <w:snapToGrid w:val="0"/>
        <w:spacing w:before="240" w:line="360" w:lineRule="auto"/>
        <w:jc w:val="both"/>
        <w:rPr>
          <w:rtl/>
        </w:rPr>
      </w:pPr>
      <w:hyperlink r:id="rId29" w:history="1">
        <w:r w:rsidRPr="00307D39">
          <w:rPr>
            <w:color w:val="0000FF"/>
            <w:u w:val="single"/>
            <w:rtl/>
          </w:rPr>
          <w:t>ת"פ 31016-09-15</w:t>
        </w:r>
      </w:hyperlink>
      <w:r w:rsidR="00620BEF">
        <w:rPr>
          <w:rtl/>
        </w:rPr>
        <w:t xml:space="preserve"> </w:t>
      </w:r>
      <w:r w:rsidR="00620BEF">
        <w:rPr>
          <w:rFonts w:ascii="Miriam" w:hAnsi="Miriam" w:cs="Miriam"/>
          <w:b/>
          <w:bCs/>
          <w:sz w:val="18"/>
          <w:szCs w:val="22"/>
          <w:rtl/>
          <w:lang w:eastAsia="he-IL"/>
        </w:rPr>
        <w:t>מדינת ישראל נ' קובי</w:t>
      </w:r>
      <w:r w:rsidR="00620BEF">
        <w:rPr>
          <w:rtl/>
        </w:rPr>
        <w:t xml:space="preserve"> (8.4.18) (להלן: </w:t>
      </w:r>
      <w:r w:rsidR="00620BEF">
        <w:rPr>
          <w:rFonts w:ascii="Miriam" w:hAnsi="Miriam" w:cs="Miriam"/>
          <w:b/>
          <w:bCs/>
          <w:sz w:val="18"/>
          <w:szCs w:val="22"/>
          <w:rtl/>
          <w:lang w:eastAsia="he-IL"/>
        </w:rPr>
        <w:t>ענין קובי</w:t>
      </w:r>
      <w:r w:rsidR="00620BEF">
        <w:rPr>
          <w:rtl/>
        </w:rPr>
        <w:t>) - בגין החזקת קנבוס במשקל 46.86 גרם לצריכה עצמית קבע כב' הש' קרשן כי מבחינת האינטרס הציבורי "</w:t>
      </w:r>
      <w:r w:rsidR="00620BEF">
        <w:rPr>
          <w:b/>
          <w:bCs/>
          <w:rtl/>
        </w:rPr>
        <w:t>קיימת חשיבות לא מבוטלת בהרשעת הנאשם בעבירה אותה ביצע</w:t>
      </w:r>
      <w:r w:rsidR="00620BEF">
        <w:rPr>
          <w:rtl/>
        </w:rPr>
        <w:t>" וכי בנסיבותיו של הנאשם "</w:t>
      </w:r>
      <w:r w:rsidR="00620BEF">
        <w:rPr>
          <w:b/>
          <w:bCs/>
          <w:rtl/>
        </w:rPr>
        <w:t>כפות המאזניים מעוינות: לא ניתן לומר שהשיקול האינדיבידואלי גובר על השיקול הציבורי המערכתי הכללי בהרשעת הנאשם</w:t>
      </w:r>
      <w:r w:rsidR="00620BEF">
        <w:rPr>
          <w:rtl/>
        </w:rPr>
        <w:t>". כב' הש' קרשן סיים את ההליך ללא הרשעה, אך בשל "</w:t>
      </w:r>
      <w:r w:rsidR="00620BEF">
        <w:rPr>
          <w:b/>
          <w:bCs/>
          <w:rtl/>
        </w:rPr>
        <w:t>שינוי מדיניות הממשלה ביחס לצרכני סמים קלים</w:t>
      </w:r>
      <w:r w:rsidR="00620BEF">
        <w:rPr>
          <w:rtl/>
        </w:rPr>
        <w:t>". קביעות אלו לא רלוונטיות לענייננו, שכן הנאשם שלפני הורשע בהחזקת סמים שלא לצריכה עצמית, ובכמות הגדולה למעלה מפי 2 מהכמות שהוחזקה ב-</w:t>
      </w:r>
      <w:r w:rsidR="00620BEF">
        <w:rPr>
          <w:rFonts w:ascii="Miriam" w:hAnsi="Miriam" w:cs="Miriam"/>
          <w:b/>
          <w:bCs/>
          <w:sz w:val="18"/>
          <w:szCs w:val="22"/>
          <w:rtl/>
          <w:lang w:eastAsia="he-IL"/>
        </w:rPr>
        <w:t>ענין קובי</w:t>
      </w:r>
      <w:r w:rsidR="00620BEF">
        <w:rPr>
          <w:rtl/>
        </w:rPr>
        <w:t xml:space="preserve">. </w:t>
      </w:r>
    </w:p>
    <w:p w14:paraId="5023338D" w14:textId="77777777" w:rsidR="00620BEF" w:rsidRDefault="00307D39" w:rsidP="00620BEF">
      <w:pPr>
        <w:numPr>
          <w:ilvl w:val="1"/>
          <w:numId w:val="1"/>
        </w:numPr>
        <w:snapToGrid w:val="0"/>
        <w:spacing w:before="240" w:line="360" w:lineRule="auto"/>
        <w:jc w:val="both"/>
      </w:pPr>
      <w:hyperlink r:id="rId30" w:history="1">
        <w:r w:rsidRPr="00307D39">
          <w:rPr>
            <w:color w:val="0000FF"/>
            <w:sz w:val="20"/>
            <w:u w:val="single"/>
            <w:rtl/>
            <w:lang w:eastAsia="he-IL"/>
          </w:rPr>
          <w:t>ת"פ 23797-03-14</w:t>
        </w:r>
      </w:hyperlink>
      <w:r w:rsidR="00620BEF">
        <w:rPr>
          <w:sz w:val="20"/>
          <w:rtl/>
          <w:lang w:eastAsia="he-IL"/>
        </w:rPr>
        <w:t xml:space="preserve"> </w:t>
      </w:r>
      <w:r w:rsidR="00620BEF">
        <w:rPr>
          <w:rFonts w:cs="Miriam"/>
          <w:b/>
          <w:bCs/>
          <w:sz w:val="18"/>
          <w:szCs w:val="22"/>
          <w:rtl/>
          <w:lang w:eastAsia="he-IL"/>
        </w:rPr>
        <w:t>מדינת ישראל נ' אביב</w:t>
      </w:r>
      <w:r w:rsidR="00620BEF">
        <w:rPr>
          <w:sz w:val="20"/>
          <w:rtl/>
          <w:lang w:eastAsia="he-IL"/>
        </w:rPr>
        <w:t xml:space="preserve"> (1.12.15) - בעבירות גידול, החזקת כלים והחזקת 48.31 גרם קנבוס, 9.1 גרם חשיש ו-923.6 גרם קנבוס בשתילים נקבע כי יש מקום לסיים את ההליך ללא הרשעה, נוכח היות הנאשם נעדר הרשעות קודמות, שומר על יציבות תעסוקתית ועובד בחברת הייטק לשביעות רצון מעסיקיו, חלוף הזמן במהלכו היה הנאשם בהליך טיפול משמעותי, פעילות התנדבותית וספורטיבית מאומצת והפגיעה הקונקרטית המשמעותית בנאשם ובהמשך ההליך הטיפולי, כמו גם המלצת שירות המבחן. לא ניתן להקיש מהמקרה לענייננו, שכן אמנם מדובר בכמות קטנה של יותר של סם - אולם הנאשם שלפניי לא עבר הליך טיפולי, לא הוכח בעניינו נזק קונקרטי והמלצת שירות המבחן בעניינו שונה. </w:t>
      </w:r>
    </w:p>
    <w:p w14:paraId="717D9192" w14:textId="77777777" w:rsidR="00620BEF" w:rsidRDefault="00620BEF" w:rsidP="00620BEF">
      <w:pPr>
        <w:numPr>
          <w:ilvl w:val="0"/>
          <w:numId w:val="1"/>
        </w:numPr>
        <w:snapToGrid w:val="0"/>
        <w:spacing w:before="240" w:line="360" w:lineRule="auto"/>
        <w:ind w:left="357" w:hanging="357"/>
        <w:jc w:val="both"/>
        <w:rPr>
          <w:sz w:val="20"/>
          <w:rtl/>
          <w:lang w:eastAsia="he-IL"/>
        </w:rPr>
      </w:pPr>
      <w:r>
        <w:rPr>
          <w:b/>
          <w:bCs/>
          <w:color w:val="000000"/>
          <w:sz w:val="20"/>
          <w:rtl/>
          <w:lang w:eastAsia="he-IL"/>
        </w:rPr>
        <w:t xml:space="preserve">עולה מן המקובץ, כי סוג העבירה, </w:t>
      </w:r>
      <w:r>
        <w:rPr>
          <w:b/>
          <w:bCs/>
          <w:color w:val="000000"/>
          <w:sz w:val="20"/>
          <w:u w:val="single"/>
          <w:rtl/>
          <w:lang w:eastAsia="he-IL"/>
        </w:rPr>
        <w:t>בנסיבותיה</w:t>
      </w:r>
      <w:r>
        <w:rPr>
          <w:b/>
          <w:bCs/>
          <w:color w:val="000000"/>
          <w:sz w:val="20"/>
          <w:rtl/>
          <w:lang w:eastAsia="he-IL"/>
        </w:rPr>
        <w:t>, תומך בהעדפת ההרשעה על פני ביטולה</w:t>
      </w:r>
      <w:r>
        <w:rPr>
          <w:color w:val="000000"/>
          <w:sz w:val="20"/>
          <w:rtl/>
          <w:lang w:eastAsia="he-IL"/>
        </w:rPr>
        <w:t xml:space="preserve">. </w:t>
      </w:r>
      <w:r>
        <w:rPr>
          <w:b/>
          <w:bCs/>
          <w:color w:val="000000"/>
          <w:sz w:val="20"/>
          <w:rtl/>
          <w:lang w:eastAsia="he-IL"/>
        </w:rPr>
        <w:t>בנסיבות המקרה שלפני, ביטול ההרשעה יכול לפגוע באופן מהותי בשיקולי הענישה אחרים</w:t>
      </w:r>
      <w:r>
        <w:rPr>
          <w:color w:val="000000"/>
          <w:sz w:val="20"/>
          <w:rtl/>
          <w:lang w:eastAsia="he-IL"/>
        </w:rPr>
        <w:t xml:space="preserve">. </w:t>
      </w:r>
      <w:r>
        <w:rPr>
          <w:b/>
          <w:bCs/>
          <w:sz w:val="20"/>
          <w:rtl/>
          <w:lang w:eastAsia="he-IL"/>
        </w:rPr>
        <w:t xml:space="preserve">אולם, </w:t>
      </w:r>
      <w:r>
        <w:rPr>
          <w:b/>
          <w:bCs/>
          <w:color w:val="000000"/>
          <w:rtl/>
        </w:rPr>
        <w:t>אין בשיקול זה, כשלעצמו, כדי למנוע אפשרות לאי-הרשעה</w:t>
      </w:r>
      <w:r>
        <w:rPr>
          <w:color w:val="000000"/>
          <w:rtl/>
        </w:rPr>
        <w:t>.</w:t>
      </w:r>
    </w:p>
    <w:p w14:paraId="794676B6" w14:textId="77777777" w:rsidR="00620BEF" w:rsidRDefault="00620BEF" w:rsidP="00620BEF">
      <w:pPr>
        <w:numPr>
          <w:ilvl w:val="0"/>
          <w:numId w:val="1"/>
        </w:numPr>
        <w:snapToGrid w:val="0"/>
        <w:spacing w:before="240" w:line="360" w:lineRule="auto"/>
        <w:ind w:left="357" w:hanging="357"/>
        <w:jc w:val="both"/>
        <w:rPr>
          <w:rFonts w:ascii="David" w:hAnsi="David"/>
          <w:b/>
          <w:bCs/>
          <w:sz w:val="26"/>
          <w:szCs w:val="26"/>
        </w:rPr>
      </w:pPr>
      <w:r>
        <w:rPr>
          <w:sz w:val="20"/>
          <w:rtl/>
          <w:lang w:eastAsia="he-IL"/>
        </w:rPr>
        <w:t>באשר ל-</w:t>
      </w:r>
      <w:r>
        <w:rPr>
          <w:b/>
          <w:bCs/>
          <w:sz w:val="20"/>
          <w:rtl/>
          <w:lang w:eastAsia="he-IL"/>
        </w:rPr>
        <w:t>פגיעה בנאשם</w:t>
      </w:r>
      <w:r>
        <w:rPr>
          <w:sz w:val="20"/>
          <w:rtl/>
          <w:lang w:eastAsia="he-IL"/>
        </w:rPr>
        <w:t xml:space="preserve"> - לדברי ב"כ הנאשם מדובר בנאשם כבן 38, אדם נורמטיבי, נעדר עבר פלילי, שזו למעשה הסתבכותו הראשונה עם החוק ומיום הגשת כתב האישום לא נפתחו נגדו תיקים נוספים. הנאשם שירת שירות צבאי מלא במג"ב, רובאי 05 (</w:t>
      </w:r>
      <w:r>
        <w:rPr>
          <w:rFonts w:ascii="Miriam" w:hAnsi="Miriam" w:cs="Miriam"/>
          <w:b/>
          <w:bCs/>
          <w:sz w:val="22"/>
          <w:szCs w:val="22"/>
          <w:rtl/>
          <w:lang w:eastAsia="he-IL"/>
        </w:rPr>
        <w:t>מוצג ה/9</w:t>
      </w:r>
      <w:r>
        <w:rPr>
          <w:sz w:val="20"/>
          <w:rtl/>
          <w:lang w:eastAsia="he-IL"/>
        </w:rPr>
        <w:t xml:space="preserve">) וכיום משרת בשירות מילואים פעיל. ב"כ הנאשם ביקש גם להתחשב בנסיבותיו האישיות והמשפחתיות, שכן שני ילדי הנאשם סובלים מנכות ועל כן יש להסתפק בעניינו בסיום ההליך ללא הרשעה ושל"צ. </w:t>
      </w:r>
    </w:p>
    <w:p w14:paraId="1F451AE1" w14:textId="77777777" w:rsidR="00620BEF" w:rsidRDefault="00620BEF" w:rsidP="00620BEF">
      <w:pPr>
        <w:snapToGrid w:val="0"/>
        <w:spacing w:before="120" w:line="360" w:lineRule="auto"/>
        <w:ind w:left="357"/>
        <w:jc w:val="both"/>
        <w:rPr>
          <w:rFonts w:ascii="David" w:hAnsi="David"/>
        </w:rPr>
      </w:pPr>
      <w:r>
        <w:rPr>
          <w:rtl/>
        </w:rPr>
        <w:t>ב"כ הנאשם ביקש בטיעוניו לעונש להתייחס להתרשמות שירות המבחן</w:t>
      </w:r>
      <w:r>
        <w:rPr>
          <w:rFonts w:ascii="David" w:hAnsi="David"/>
          <w:rtl/>
        </w:rPr>
        <w:t xml:space="preserve">, כעולה מתסקירו מיום 13.11.19 - שירות המבחן התייחס להיות הנאשם נעדר עבר פלילי, לרצונו להתגייס למשטרה ליחידות מובחרות וחששו כי הרשעתו תהווה פגיעה בהליך הגיוס. לצד זאת, התרשם שירות המבחן כי לנאשם קושי לקחת אחריות על ביצוע העבירה וכי הרשעת הנאשם לא תהווה פגיעה ממשית או פוטנציאלית ביכולותיו התעסוקתיות או בדימויו העצמי. בנסיבות אלו שירות המבחן לא מצא נימוקים המצדיקים ביטול ההרשעה. </w:t>
      </w:r>
    </w:p>
    <w:p w14:paraId="3924FFD5" w14:textId="77777777" w:rsidR="00620BEF" w:rsidRDefault="00620BEF" w:rsidP="00620BEF">
      <w:pPr>
        <w:snapToGrid w:val="0"/>
        <w:spacing w:before="120" w:line="360" w:lineRule="auto"/>
        <w:ind w:left="357"/>
        <w:jc w:val="both"/>
        <w:rPr>
          <w:sz w:val="20"/>
          <w:rtl/>
          <w:lang w:eastAsia="he-IL"/>
        </w:rPr>
      </w:pPr>
      <w:r>
        <w:rPr>
          <w:sz w:val="20"/>
          <w:rtl/>
          <w:lang w:eastAsia="he-IL"/>
        </w:rPr>
        <w:t xml:space="preserve">בענייננו, לא הוצגו ראיות לכך שהרשעת הנאשם תפגע פגיעה חמורה בשיקומו. מרבית טיעוני הנאשם ובא כוחו התמקדו במצבו המשפחתי, בעיקר בכל הנוגע למצבם הרפואי של שניים מילדיו. אין בטיעונים אלו, כשלעצמם, כדי להצדיק סיום ההליך ללא הרשעה. הנאשם הגיש המלצה של מעסיקו, אולם לא הוצגו ראיות לכך שהרשעתו בדין תפגע בפרנסתו. נתוניו האישיים, אליהם אתייחס בהרחבה להלן, אף הם לא מלמדים על פגיעה אפשרית בסיכויי שיקומו של הנאשם. </w:t>
      </w:r>
    </w:p>
    <w:p w14:paraId="5B775CE7" w14:textId="77777777" w:rsidR="00620BEF" w:rsidRDefault="00620BEF" w:rsidP="00620BEF">
      <w:pPr>
        <w:numPr>
          <w:ilvl w:val="0"/>
          <w:numId w:val="1"/>
        </w:numPr>
        <w:snapToGrid w:val="0"/>
        <w:spacing w:before="240" w:line="360" w:lineRule="auto"/>
        <w:ind w:left="357" w:hanging="357"/>
        <w:jc w:val="both"/>
        <w:rPr>
          <w:sz w:val="20"/>
          <w:lang w:eastAsia="he-IL"/>
        </w:rPr>
      </w:pPr>
      <w:r>
        <w:rPr>
          <w:b/>
          <w:bCs/>
          <w:sz w:val="20"/>
          <w:rtl/>
          <w:lang w:eastAsia="he-IL"/>
        </w:rPr>
        <w:t>לאחר ששמעתי דברי הנאשם וטיעוני ב"כ הצדדים הגעתי לכלל מסקנה, כי בעניינו של הנאשם שלפניי לא ניתן לסטות מהכלל בדבר הרשעה</w:t>
      </w:r>
      <w:r>
        <w:rPr>
          <w:sz w:val="20"/>
          <w:rtl/>
          <w:lang w:eastAsia="he-IL"/>
        </w:rPr>
        <w:t xml:space="preserve">. </w:t>
      </w:r>
      <w:r>
        <w:rPr>
          <w:color w:val="000000"/>
          <w:sz w:val="20"/>
          <w:rtl/>
          <w:lang w:eastAsia="he-IL"/>
        </w:rPr>
        <w:t xml:space="preserve">סוג העבירה, בנסיבותיה, תומך בהעדפת הרשעה. </w:t>
      </w:r>
      <w:r>
        <w:rPr>
          <w:sz w:val="20"/>
          <w:rtl/>
          <w:lang w:eastAsia="he-IL"/>
        </w:rPr>
        <w:t xml:space="preserve">לא התרשמתי כי הרשעה תפגע פגיעה חמורה בסיכויי שיקומו של הנאשם. </w:t>
      </w:r>
      <w:r>
        <w:rPr>
          <w:color w:val="000000"/>
          <w:sz w:val="20"/>
          <w:rtl/>
          <w:lang w:eastAsia="he-IL"/>
        </w:rPr>
        <w:t>ביטול הרשעה בתיק שלפניי עלול לפגוע באופן מהותי בשיקולי הענישה אחרים</w:t>
      </w:r>
      <w:r>
        <w:rPr>
          <w:sz w:val="20"/>
          <w:rtl/>
          <w:lang w:eastAsia="he-IL"/>
        </w:rPr>
        <w:t xml:space="preserve">, לרבות שוויון בין נאשמים, שכן נדירים ביותר המקרים בהם בעבירת החזקת סם שלא לצריכה עצמית תבוטל ההרשעה, בשל האינטרסים הציבוריים הגלומים באכיפת עבירות אלו והרתעת הציבור, עליהם אעמוד להלן, בפרק הדן בערכים החברתיים שנפגעו ומידת הפגיעה בהם. כאמור לעיל, לא נעלמו מעיניי דברי הנאשם וטיעוני בא-כוחו - אולם כוחם של טיעונים אלו יפה לעניין גזירת העונש. אין בטיעונים אלו כדי ללמד על פגיעה קונקרטית בסיכויי שיקומו של הנאשם והם לא מהווים טעמים כבדי משקל לסטייה מהמלצת שרות המבחן. </w:t>
      </w:r>
    </w:p>
    <w:p w14:paraId="0D33F18C" w14:textId="77777777" w:rsidR="00620BEF" w:rsidRDefault="00620BEF" w:rsidP="00620BEF">
      <w:pPr>
        <w:snapToGrid w:val="0"/>
        <w:spacing w:before="240" w:line="360" w:lineRule="auto"/>
        <w:jc w:val="both"/>
        <w:rPr>
          <w:rFonts w:ascii="David" w:hAnsi="David"/>
          <w:b/>
          <w:bCs/>
          <w:sz w:val="26"/>
          <w:szCs w:val="26"/>
        </w:rPr>
      </w:pPr>
      <w:r>
        <w:rPr>
          <w:rFonts w:ascii="David" w:hAnsi="David"/>
          <w:b/>
          <w:bCs/>
          <w:sz w:val="26"/>
          <w:szCs w:val="26"/>
          <w:rtl/>
        </w:rPr>
        <w:t>קביעת מתחם העונש ההולם</w:t>
      </w:r>
    </w:p>
    <w:p w14:paraId="1CC6435B" w14:textId="77777777" w:rsidR="00620BEF" w:rsidRDefault="00620BEF" w:rsidP="00620BEF">
      <w:pPr>
        <w:numPr>
          <w:ilvl w:val="0"/>
          <w:numId w:val="1"/>
        </w:numPr>
        <w:snapToGrid w:val="0"/>
        <w:spacing w:line="360" w:lineRule="auto"/>
        <w:ind w:left="357" w:hanging="357"/>
        <w:jc w:val="both"/>
        <w:rPr>
          <w:sz w:val="20"/>
          <w:lang w:eastAsia="he-IL"/>
        </w:rPr>
      </w:pPr>
      <w:r>
        <w:rPr>
          <w:sz w:val="20"/>
          <w:rtl/>
          <w:lang w:eastAsia="he-IL"/>
        </w:rPr>
        <w:t xml:space="preserve">בקביעת מתחם העונש ההולם, בהתאם </w:t>
      </w:r>
      <w:hyperlink r:id="rId31" w:history="1">
        <w:r w:rsidR="002E7923" w:rsidRPr="002E7923">
          <w:rPr>
            <w:rStyle w:val="Hyperlink"/>
            <w:sz w:val="20"/>
            <w:rtl/>
            <w:lang w:eastAsia="he-IL"/>
          </w:rPr>
          <w:t>לסעיף 40ג(א)</w:t>
        </w:r>
      </w:hyperlink>
      <w:r>
        <w:rPr>
          <w:sz w:val="20"/>
          <w:rtl/>
          <w:lang w:eastAsia="he-IL"/>
        </w:rPr>
        <w:t xml:space="preserve"> ל-</w:t>
      </w:r>
      <w:hyperlink r:id="rId32" w:history="1">
        <w:r w:rsidR="00307D39" w:rsidRPr="00307D39">
          <w:rPr>
            <w:rFonts w:ascii="Miriam" w:hAnsi="Miriam" w:cs="Miriam"/>
            <w:b/>
            <w:bCs/>
            <w:color w:val="0000FF"/>
            <w:sz w:val="18"/>
            <w:szCs w:val="22"/>
            <w:u w:val="single"/>
            <w:rtl/>
            <w:lang w:eastAsia="he-IL"/>
          </w:rPr>
          <w:t>חוק העונשין</w:t>
        </w:r>
      </w:hyperlink>
      <w:r>
        <w:rPr>
          <w:sz w:val="20"/>
          <w:rtl/>
          <w:lang w:eastAsia="he-IL"/>
        </w:rPr>
        <w:t xml:space="preserve">, התשל"ז-1977 (להלן: </w:t>
      </w:r>
      <w:r>
        <w:rPr>
          <w:rFonts w:ascii="Miriam" w:hAnsi="Miriam" w:cs="Miriam"/>
          <w:b/>
          <w:bCs/>
          <w:sz w:val="18"/>
          <w:szCs w:val="22"/>
          <w:rtl/>
          <w:lang w:eastAsia="he-IL"/>
        </w:rPr>
        <w:t>חוק העונשין</w:t>
      </w:r>
      <w:r>
        <w:rPr>
          <w:sz w:val="20"/>
          <w:rtl/>
          <w:lang w:eastAsia="he-IL"/>
        </w:rPr>
        <w:t xml:space="preserve">), התחשבתי בקריטריונים הבאים: </w:t>
      </w:r>
    </w:p>
    <w:p w14:paraId="7D12B613" w14:textId="77777777" w:rsidR="00620BEF" w:rsidRDefault="00620BEF" w:rsidP="00620BEF">
      <w:pPr>
        <w:numPr>
          <w:ilvl w:val="1"/>
          <w:numId w:val="1"/>
        </w:numPr>
        <w:snapToGrid w:val="0"/>
        <w:spacing w:before="120" w:line="360" w:lineRule="auto"/>
        <w:ind w:left="714" w:hanging="357"/>
        <w:jc w:val="both"/>
        <w:rPr>
          <w:sz w:val="20"/>
          <w:lang w:eastAsia="he-IL"/>
        </w:rPr>
      </w:pPr>
      <w:r>
        <w:rPr>
          <w:rtl/>
        </w:rPr>
        <w:t xml:space="preserve">כאמור לעיל, מקובלת עלי טענת בא כוח המאשימה, כי </w:t>
      </w:r>
      <w:r>
        <w:rPr>
          <w:b/>
          <w:bCs/>
          <w:rtl/>
        </w:rPr>
        <w:t xml:space="preserve">הערכים החברתיים שנפגעו מביצוע העבירה </w:t>
      </w:r>
      <w:r>
        <w:rPr>
          <w:rFonts w:ascii="David" w:hAnsi="David"/>
          <w:rtl/>
        </w:rPr>
        <w:t xml:space="preserve">הם </w:t>
      </w:r>
      <w:r>
        <w:rPr>
          <w:rFonts w:ascii="Arial" w:hAnsi="Arial"/>
          <w:sz w:val="20"/>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Arial" w:hAnsi="Arial"/>
          <w:sz w:val="20"/>
          <w:rtl/>
          <w:lang w:eastAsia="he-IL"/>
        </w:rPr>
        <w:t xml:space="preserve">. </w:t>
      </w:r>
      <w:r>
        <w:rPr>
          <w:rFonts w:ascii="David" w:hAnsi="David"/>
          <w:rtl/>
        </w:rPr>
        <w:t xml:space="preserve">עבירות הסמים מחוללות פשיעה, אגב הפצת הסם וצריכתו, כאשר </w:t>
      </w:r>
      <w:r>
        <w:rPr>
          <w:sz w:val="20"/>
          <w:rtl/>
          <w:lang w:eastAsia="he-IL"/>
        </w:rPr>
        <w:t>מעבר לנזקים הישירים הנגרמים למשתמשי הסם, נגע הסמים מלווה ואף יוצר עבירות נוספות, ובכלל זה עבירות רכוש,</w:t>
      </w:r>
      <w:r>
        <w:rPr>
          <w:b/>
          <w:bCs/>
          <w:sz w:val="20"/>
          <w:rtl/>
          <w:lang w:eastAsia="he-IL"/>
        </w:rPr>
        <w:t xml:space="preserve"> </w:t>
      </w:r>
      <w:r>
        <w:rPr>
          <w:noProof/>
          <w:sz w:val="20"/>
          <w:rtl/>
          <w:lang w:eastAsia="he-IL"/>
        </w:rPr>
        <w:t>בשל הצורך להשיג אותה מנת סם, ולעיתים אף עבירות אלימות, שמבוצעות כתוצאה מהשימוש בסמים, או במהלך ביצוע עבירות הרכוש</w:t>
      </w:r>
      <w:r>
        <w:rPr>
          <w:sz w:val="20"/>
          <w:rtl/>
          <w:lang w:eastAsia="he-IL"/>
        </w:rPr>
        <w:t xml:space="preserve">. </w:t>
      </w:r>
    </w:p>
    <w:p w14:paraId="51DFE3B3" w14:textId="77777777" w:rsidR="00620BEF" w:rsidRDefault="00620BEF" w:rsidP="00620BEF">
      <w:pPr>
        <w:numPr>
          <w:ilvl w:val="1"/>
          <w:numId w:val="1"/>
        </w:numPr>
        <w:snapToGrid w:val="0"/>
        <w:spacing w:before="240" w:line="360" w:lineRule="auto"/>
        <w:ind w:left="714" w:hanging="357"/>
        <w:jc w:val="both"/>
        <w:rPr>
          <w:sz w:val="20"/>
          <w:lang w:eastAsia="he-IL"/>
        </w:rPr>
      </w:pPr>
      <w:r>
        <w:rPr>
          <w:sz w:val="20"/>
          <w:rtl/>
          <w:lang w:eastAsia="he-IL"/>
        </w:rPr>
        <w:t xml:space="preserve">מקובלת עלי גם טענת בא כוח המאשימה, כי </w:t>
      </w:r>
      <w:r>
        <w:rPr>
          <w:b/>
          <w:bCs/>
          <w:rtl/>
        </w:rPr>
        <w:t xml:space="preserve">מידת הפגיעה בערכים החברתיים </w:t>
      </w:r>
      <w:r>
        <w:rPr>
          <w:rFonts w:ascii="David" w:hAnsi="David"/>
          <w:rtl/>
        </w:rPr>
        <w:t>לא מבוטלת, נוכח נסיבות החזקת הסם, אליהם אתייחס בהמשך. עם זאת, מקובלת עלי טענת ב"כ הנאשם, כי לא מדובר בפגיעה מהחמורות, בהתחשב בכמות הסם וסוגו. מדובר בכמות של כמעט פי 7 מהכמות הקבועה ב-</w:t>
      </w:r>
      <w:r>
        <w:rPr>
          <w:rFonts w:ascii="David" w:hAnsi="David" w:cs="Miriam"/>
          <w:b/>
          <w:bCs/>
          <w:sz w:val="22"/>
          <w:szCs w:val="22"/>
          <w:rtl/>
        </w:rPr>
        <w:t>פקודת הסמים</w:t>
      </w:r>
      <w:r>
        <w:rPr>
          <w:rFonts w:ascii="David" w:hAnsi="David"/>
          <w:rtl/>
        </w:rPr>
        <w:t xml:space="preserve"> לצריכה עצמית - אך לא מדובר בהחזקה של קילוגרמים. אכן, כטענת ב"כ הנאשם, פני מדינת ישראל להסדרת ההחזקה והשימוש בקנבוס (כאשר חשיש הוא שרף הקנבוס) וכפועל יוצא מכך גם מעבר לענישה מנהלית של המחזיקים ומשתמשים בו לשימוש עצמי - אולם מקובלת עלי טענת ב"כ המאשימה כי בענייננו אין מחלוקת שההחזקה היתה שלא לשימוש עצמי. משכך מקובלת עלי עמדתה, כי אין להקל ראש גם בהחזקת סם מסוכן מסוג חשיש, הגם שסם זה לא נמנה על הסמים הקטלניים שב-</w:t>
      </w:r>
      <w:r>
        <w:rPr>
          <w:rFonts w:ascii="David" w:hAnsi="David" w:cs="Miriam"/>
          <w:b/>
          <w:bCs/>
          <w:sz w:val="22"/>
          <w:szCs w:val="22"/>
          <w:rtl/>
        </w:rPr>
        <w:t>פקודת הסמים</w:t>
      </w:r>
      <w:r>
        <w:rPr>
          <w:rFonts w:ascii="David" w:hAnsi="David"/>
          <w:rtl/>
        </w:rPr>
        <w:t xml:space="preserve">. </w:t>
      </w:r>
      <w:r>
        <w:rPr>
          <w:rtl/>
        </w:rPr>
        <w:t>בית המשפט העליון עמד לא אחת על עצמת הפגיעה של עבירות הסמים בערכים המוגנים ועל תפקיד בית המשפט במאבק בנגע הסמים, כמו הצורך להכות בכל אחת ואחת מחוליות הפצת הסם, לרבות בהחזקתו שלא לצריכה עצמית. כך נקבע בסעיף 5 לפסק דינו של כב' השופט עמית</w:t>
      </w:r>
      <w:r>
        <w:rPr>
          <w:sz w:val="20"/>
          <w:rtl/>
          <w:lang w:eastAsia="he-IL"/>
        </w:rPr>
        <w:t xml:space="preserve"> ב</w:t>
      </w:r>
      <w:hyperlink r:id="rId33" w:history="1">
        <w:r w:rsidR="00307D39" w:rsidRPr="00307D39">
          <w:rPr>
            <w:color w:val="0000FF"/>
            <w:sz w:val="20"/>
            <w:u w:val="single"/>
            <w:rtl/>
            <w:lang w:eastAsia="he-IL"/>
          </w:rPr>
          <w:t>ע"פ 3172/13</w:t>
        </w:r>
      </w:hyperlink>
      <w:r>
        <w:rPr>
          <w:sz w:val="20"/>
          <w:rtl/>
          <w:lang w:eastAsia="he-IL"/>
        </w:rPr>
        <w:t xml:space="preserve"> </w:t>
      </w:r>
      <w:r>
        <w:rPr>
          <w:rFonts w:cs="Miriam"/>
          <w:b/>
          <w:bCs/>
          <w:sz w:val="18"/>
          <w:szCs w:val="22"/>
          <w:rtl/>
          <w:lang w:eastAsia="he-IL"/>
        </w:rPr>
        <w:t>סואעד נ' מדינת ישראל</w:t>
      </w:r>
      <w:r>
        <w:rPr>
          <w:sz w:val="18"/>
          <w:szCs w:val="22"/>
          <w:rtl/>
          <w:lang w:eastAsia="he-IL"/>
        </w:rPr>
        <w:t xml:space="preserve"> </w:t>
      </w:r>
      <w:r>
        <w:rPr>
          <w:sz w:val="20"/>
          <w:rtl/>
          <w:lang w:eastAsia="he-IL"/>
        </w:rPr>
        <w:t xml:space="preserve">(7.1.14) (להלן: </w:t>
      </w:r>
      <w:r>
        <w:rPr>
          <w:rFonts w:cs="Miriam"/>
          <w:b/>
          <w:bCs/>
          <w:sz w:val="18"/>
          <w:szCs w:val="22"/>
          <w:rtl/>
          <w:lang w:eastAsia="he-IL"/>
        </w:rPr>
        <w:t>פס"ד סואעד</w:t>
      </w:r>
      <w:r>
        <w:rPr>
          <w:sz w:val="20"/>
          <w:rtl/>
          <w:lang w:eastAsia="he-IL"/>
        </w:rPr>
        <w:t>. ההדגשות לא במקור - זד"ל).</w:t>
      </w:r>
    </w:p>
    <w:p w14:paraId="152F19FB" w14:textId="77777777" w:rsidR="00620BEF" w:rsidRDefault="00620BEF" w:rsidP="00620BEF">
      <w:pPr>
        <w:snapToGrid w:val="0"/>
        <w:spacing w:before="120" w:line="360" w:lineRule="auto"/>
        <w:ind w:left="1440" w:right="993"/>
        <w:jc w:val="both"/>
        <w:rPr>
          <w:rFonts w:ascii="Arial" w:hAnsi="Arial"/>
          <w:sz w:val="20"/>
          <w:rtl/>
          <w:lang w:eastAsia="he-IL"/>
        </w:rPr>
      </w:pP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לצד</w:t>
      </w:r>
      <w:r>
        <w:rPr>
          <w:rFonts w:hint="cs"/>
          <w:b/>
          <w:bCs/>
          <w:sz w:val="20"/>
          <w:lang w:eastAsia="he-IL"/>
        </w:rPr>
        <w:t xml:space="preserve"> </w:t>
      </w:r>
      <w:r>
        <w:rPr>
          <w:rFonts w:ascii="Arial" w:hAnsi="Arial"/>
          <w:b/>
          <w:bCs/>
          <w:sz w:val="20"/>
          <w:rtl/>
          <w:lang w:eastAsia="he-IL"/>
        </w:rPr>
        <w:t>גורמים</w:t>
      </w:r>
      <w:r>
        <w:rPr>
          <w:rFonts w:hint="cs"/>
          <w:b/>
          <w:bCs/>
          <w:sz w:val="20"/>
          <w:lang w:eastAsia="he-IL"/>
        </w:rPr>
        <w:t xml:space="preserve"> </w:t>
      </w:r>
      <w:r>
        <w:rPr>
          <w:rFonts w:ascii="Arial" w:hAnsi="Arial"/>
          <w:b/>
          <w:bCs/>
          <w:sz w:val="20"/>
          <w:rtl/>
          <w:lang w:eastAsia="he-IL"/>
        </w:rPr>
        <w:t>וגופים</w:t>
      </w:r>
      <w:r>
        <w:rPr>
          <w:rFonts w:hint="cs"/>
          <w:b/>
          <w:bCs/>
          <w:sz w:val="20"/>
          <w:lang w:eastAsia="he-IL"/>
        </w:rPr>
        <w:t xml:space="preserve"> </w:t>
      </w:r>
      <w:r>
        <w:rPr>
          <w:rFonts w:ascii="Arial" w:hAnsi="Arial"/>
          <w:b/>
          <w:bCs/>
          <w:sz w:val="20"/>
          <w:rtl/>
          <w:lang w:eastAsia="he-IL"/>
        </w:rPr>
        <w:t>נוספים, 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u w:val="single"/>
          <w:rtl/>
          <w:lang w:eastAsia="he-IL"/>
        </w:rPr>
        <w:t>אין</w:t>
      </w:r>
      <w:r>
        <w:rPr>
          <w:rFonts w:hint="cs"/>
          <w:b/>
          <w:bCs/>
          <w:sz w:val="20"/>
          <w:u w:val="single"/>
          <w:lang w:eastAsia="he-IL"/>
        </w:rPr>
        <w:t xml:space="preserve"> </w:t>
      </w:r>
      <w:r>
        <w:rPr>
          <w:rFonts w:ascii="Arial" w:hAnsi="Arial"/>
          <w:b/>
          <w:bCs/>
          <w:sz w:val="20"/>
          <w:u w:val="single"/>
          <w:rtl/>
          <w:lang w:eastAsia="he-IL"/>
        </w:rPr>
        <w:t>ספור</w:t>
      </w:r>
      <w:r>
        <w:rPr>
          <w:rFonts w:hint="cs"/>
          <w:b/>
          <w:bCs/>
          <w:sz w:val="20"/>
          <w:u w:val="single"/>
          <w:lang w:eastAsia="he-IL"/>
        </w:rPr>
        <w:t xml:space="preserve"> </w:t>
      </w:r>
      <w:r>
        <w:rPr>
          <w:rFonts w:ascii="Arial" w:hAnsi="Arial"/>
          <w:b/>
          <w:bCs/>
          <w:sz w:val="20"/>
          <w:u w:val="single"/>
          <w:rtl/>
          <w:lang w:eastAsia="he-IL"/>
        </w:rPr>
        <w:t>מילים</w:t>
      </w:r>
      <w:r>
        <w:rPr>
          <w:rFonts w:hint="cs"/>
          <w:b/>
          <w:bCs/>
          <w:sz w:val="20"/>
          <w:u w:val="single"/>
          <w:lang w:eastAsia="he-IL"/>
        </w:rPr>
        <w:t xml:space="preserve"> </w:t>
      </w:r>
      <w:r>
        <w:rPr>
          <w:rFonts w:ascii="Arial" w:hAnsi="Arial"/>
          <w:b/>
          <w:bCs/>
          <w:sz w:val="20"/>
          <w:u w:val="single"/>
          <w:rtl/>
          <w:lang w:eastAsia="he-IL"/>
        </w:rPr>
        <w:t>נאמרו</w:t>
      </w:r>
      <w:r>
        <w:rPr>
          <w:rFonts w:hint="cs"/>
          <w:b/>
          <w:bCs/>
          <w:sz w:val="20"/>
          <w:u w:val="single"/>
          <w:lang w:eastAsia="he-IL"/>
        </w:rPr>
        <w:t xml:space="preserve"> </w:t>
      </w:r>
      <w:r>
        <w:rPr>
          <w:rFonts w:ascii="Arial" w:hAnsi="Arial"/>
          <w:b/>
          <w:bCs/>
          <w:sz w:val="20"/>
          <w:u w:val="single"/>
          <w:rtl/>
          <w:lang w:eastAsia="he-IL"/>
        </w:rPr>
        <w:t>בדבר</w:t>
      </w:r>
      <w:r>
        <w:rPr>
          <w:rFonts w:hint="cs"/>
          <w:b/>
          <w:bCs/>
          <w:sz w:val="20"/>
          <w:u w:val="single"/>
          <w:lang w:eastAsia="he-IL"/>
        </w:rPr>
        <w:t xml:space="preserve"> </w:t>
      </w:r>
      <w:r>
        <w:rPr>
          <w:rFonts w:ascii="Arial" w:hAnsi="Arial"/>
          <w:b/>
          <w:bCs/>
          <w:sz w:val="20"/>
          <w:u w:val="single"/>
          <w:rtl/>
          <w:lang w:eastAsia="he-IL"/>
        </w:rPr>
        <w:t>הצורך</w:t>
      </w:r>
      <w:r>
        <w:rPr>
          <w:rFonts w:hint="cs"/>
          <w:b/>
          <w:bCs/>
          <w:sz w:val="20"/>
          <w:u w:val="single"/>
          <w:lang w:eastAsia="he-IL"/>
        </w:rPr>
        <w:t xml:space="preserve"> </w:t>
      </w:r>
      <w:r>
        <w:rPr>
          <w:rFonts w:ascii="Arial" w:hAnsi="Arial"/>
          <w:b/>
          <w:bCs/>
          <w:sz w:val="20"/>
          <w:u w:val="single"/>
          <w:rtl/>
          <w:lang w:eastAsia="he-IL"/>
        </w:rPr>
        <w:t>להכות</w:t>
      </w:r>
      <w:r>
        <w:rPr>
          <w:rFonts w:hint="cs"/>
          <w:b/>
          <w:bCs/>
          <w:sz w:val="20"/>
          <w:u w:val="single"/>
          <w:lang w:eastAsia="he-IL"/>
        </w:rPr>
        <w:t xml:space="preserve"> </w:t>
      </w:r>
      <w:r>
        <w:rPr>
          <w:rFonts w:ascii="Arial" w:hAnsi="Arial"/>
          <w:b/>
          <w:bCs/>
          <w:sz w:val="20"/>
          <w:u w:val="single"/>
          <w:rtl/>
          <w:lang w:eastAsia="he-IL"/>
        </w:rPr>
        <w:t>בכל</w:t>
      </w:r>
      <w:r>
        <w:rPr>
          <w:rFonts w:hint="cs"/>
          <w:b/>
          <w:bCs/>
          <w:sz w:val="20"/>
          <w:u w:val="single"/>
          <w:lang w:eastAsia="he-IL"/>
        </w:rPr>
        <w:t xml:space="preserve"> </w:t>
      </w:r>
      <w:r>
        <w:rPr>
          <w:rFonts w:ascii="Arial" w:hAnsi="Arial"/>
          <w:b/>
          <w:bCs/>
          <w:sz w:val="20"/>
          <w:u w:val="single"/>
          <w:rtl/>
          <w:lang w:eastAsia="he-IL"/>
        </w:rPr>
        <w:t>אחת</w:t>
      </w:r>
      <w:r>
        <w:rPr>
          <w:rFonts w:hint="cs"/>
          <w:b/>
          <w:bCs/>
          <w:sz w:val="20"/>
          <w:u w:val="single"/>
          <w:lang w:eastAsia="he-IL"/>
        </w:rPr>
        <w:t xml:space="preserve"> </w:t>
      </w:r>
      <w:r>
        <w:rPr>
          <w:rFonts w:ascii="Arial" w:hAnsi="Arial"/>
          <w:b/>
          <w:bCs/>
          <w:sz w:val="20"/>
          <w:u w:val="single"/>
          <w:rtl/>
          <w:lang w:eastAsia="he-IL"/>
        </w:rPr>
        <w:t>ואחת</w:t>
      </w:r>
      <w:r>
        <w:rPr>
          <w:rFonts w:hint="cs"/>
          <w:b/>
          <w:bCs/>
          <w:sz w:val="20"/>
          <w:u w:val="single"/>
          <w:lang w:eastAsia="he-IL"/>
        </w:rPr>
        <w:t xml:space="preserve"> </w:t>
      </w:r>
      <w:r>
        <w:rPr>
          <w:rFonts w:ascii="Arial" w:hAnsi="Arial"/>
          <w:b/>
          <w:bCs/>
          <w:sz w:val="20"/>
          <w:u w:val="single"/>
          <w:rtl/>
          <w:lang w:eastAsia="he-IL"/>
        </w:rPr>
        <w:t>מחוליות</w:t>
      </w:r>
      <w:r>
        <w:rPr>
          <w:rFonts w:hint="cs"/>
          <w:b/>
          <w:bCs/>
          <w:sz w:val="20"/>
          <w:u w:val="single"/>
          <w:lang w:eastAsia="he-IL"/>
        </w:rPr>
        <w:t xml:space="preserve"> </w:t>
      </w:r>
      <w:r>
        <w:rPr>
          <w:rFonts w:ascii="Arial" w:hAnsi="Arial"/>
          <w:b/>
          <w:bCs/>
          <w:sz w:val="20"/>
          <w:u w:val="single"/>
          <w:rtl/>
          <w:lang w:eastAsia="he-IL"/>
        </w:rPr>
        <w:t>הפצת</w:t>
      </w:r>
      <w:r>
        <w:rPr>
          <w:rFonts w:hint="cs"/>
          <w:b/>
          <w:bCs/>
          <w:sz w:val="20"/>
          <w:u w:val="single"/>
          <w:lang w:eastAsia="he-IL"/>
        </w:rPr>
        <w:t xml:space="preserve"> </w:t>
      </w:r>
      <w:r>
        <w:rPr>
          <w:rFonts w:ascii="Arial" w:hAnsi="Arial"/>
          <w:b/>
          <w:bCs/>
          <w:sz w:val="20"/>
          <w:u w:val="single"/>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4B045E64" w14:textId="77777777" w:rsidR="00620BEF" w:rsidRDefault="00620BEF" w:rsidP="00620BEF">
      <w:pPr>
        <w:spacing w:before="120" w:line="360" w:lineRule="auto"/>
        <w:ind w:left="720"/>
        <w:jc w:val="both"/>
      </w:pPr>
      <w:r>
        <w:rPr>
          <w:rtl/>
        </w:rPr>
        <w:t>ראו גם קביעת כב' הש' ארבל ב-</w:t>
      </w:r>
      <w:r>
        <w:rPr>
          <w:rFonts w:cs="Miriam"/>
          <w:b/>
          <w:bCs/>
          <w:sz w:val="18"/>
          <w:szCs w:val="22"/>
          <w:rtl/>
        </w:rPr>
        <w:t>פס"ד ויצמן</w:t>
      </w:r>
      <w:r>
        <w:rPr>
          <w:rtl/>
        </w:rPr>
        <w:t>, בו הוחמר עונשם של מי שהחזיקו בסם מסוכן מסוג קנבוס שלא לצריכתם העצמית, הרלוונטית לענייננו, הגם ששם דובר בכמות גדולה מזו שבתיק שלפניי, לגבי הצורך בהרתעת היחיד והרבים "</w:t>
      </w:r>
      <w:r>
        <w:rPr>
          <w:rFonts w:ascii="Arial" w:hAnsi="Arial"/>
          <w:b/>
          <w:bCs/>
          <w:sz w:val="20"/>
          <w:rtl/>
          <w:lang w:eastAsia="he-IL"/>
        </w:rPr>
        <w:t>מפני שליחת ידם בתחום זה המניב רווח קל. 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Arial" w:hAnsi="Arial"/>
          <w:sz w:val="20"/>
          <w:rtl/>
          <w:lang w:eastAsia="he-IL"/>
        </w:rPr>
        <w:t>".</w:t>
      </w:r>
      <w:r>
        <w:rPr>
          <w:rtl/>
        </w:rPr>
        <w:t xml:space="preserve"> כאמור לעיל, קבעה </w:t>
      </w:r>
      <w:r>
        <w:rPr>
          <w:rFonts w:ascii="Arial" w:hAnsi="Arial"/>
          <w:rtl/>
        </w:rPr>
        <w:t>כב' הש' ארבל ב-</w:t>
      </w:r>
      <w:r>
        <w:rPr>
          <w:rFonts w:ascii="Miriam" w:hAnsi="Miriam" w:cs="Miriam"/>
          <w:b/>
          <w:bCs/>
          <w:sz w:val="22"/>
          <w:szCs w:val="22"/>
          <w:rtl/>
        </w:rPr>
        <w:t>פס"ד ויצמן</w:t>
      </w:r>
      <w:r>
        <w:rPr>
          <w:rFonts w:ascii="Arial" w:hAnsi="Arial"/>
          <w:rtl/>
        </w:rPr>
        <w:t xml:space="preserve">, כי </w:t>
      </w:r>
      <w:r>
        <w:rPr>
          <w:rFonts w:ascii="Arial" w:hAnsi="Arial"/>
          <w:sz w:val="20"/>
          <w:rtl/>
          <w:lang w:eastAsia="he-IL"/>
        </w:rPr>
        <w:t>"</w:t>
      </w:r>
      <w:r>
        <w:rPr>
          <w:rFonts w:ascii="Arial" w:hAnsi="Arial"/>
          <w:b/>
          <w:bCs/>
          <w:sz w:val="20"/>
          <w:rtl/>
          <w:lang w:eastAsia="he-IL"/>
        </w:rPr>
        <w:t xml:space="preserve">אכן, הסם לגביו נעברו העבירות בהן הורשעו המשיבים נחשב סם </w:t>
      </w:r>
      <w:r>
        <w:rPr>
          <w:rFonts w:ascii="Arial" w:hAnsi="Arial"/>
          <w:sz w:val="20"/>
          <w:rtl/>
          <w:lang w:eastAsia="he-IL"/>
        </w:rPr>
        <w:t>'</w:t>
      </w:r>
      <w:r>
        <w:rPr>
          <w:rFonts w:ascii="Arial" w:hAnsi="Arial"/>
          <w:b/>
          <w:bCs/>
          <w:sz w:val="20"/>
          <w:rtl/>
          <w:lang w:eastAsia="he-IL"/>
        </w:rPr>
        <w:t>קל</w:t>
      </w:r>
      <w:r>
        <w:rPr>
          <w:rFonts w:ascii="Arial" w:hAnsi="Arial"/>
          <w:sz w:val="20"/>
          <w:rtl/>
          <w:lang w:eastAsia="he-IL"/>
        </w:rPr>
        <w:t xml:space="preserve">'. </w:t>
      </w:r>
      <w:r>
        <w:rPr>
          <w:rFonts w:ascii="Arial" w:hAnsi="Arial"/>
          <w:b/>
          <w:bCs/>
          <w:sz w:val="20"/>
          <w:rtl/>
          <w:lang w:eastAsia="he-IL"/>
        </w:rPr>
        <w:t>יחד עם זאת, סם מזיק הוא והמחוקק מצא לאסור השימוש בו בפקודה</w:t>
      </w:r>
      <w:r>
        <w:rPr>
          <w:rFonts w:ascii="Arial" w:hAnsi="Arial"/>
          <w:sz w:val="20"/>
          <w:rtl/>
          <w:lang w:eastAsia="he-IL"/>
        </w:rPr>
        <w:t>" וכי "</w:t>
      </w:r>
      <w:r>
        <w:rPr>
          <w:rFonts w:ascii="Arial" w:hAnsi="Arial"/>
          <w:b/>
          <w:bCs/>
          <w:sz w:val="20"/>
          <w:rtl/>
          <w:lang w:eastAsia="he-IL"/>
        </w:rPr>
        <w:t>אין להקל ראש בעבירות הנוגעות לסמים המוגדרים כ</w:t>
      </w:r>
      <w:r>
        <w:rPr>
          <w:rFonts w:ascii="Arial" w:hAnsi="Arial"/>
          <w:sz w:val="20"/>
          <w:rtl/>
          <w:lang w:eastAsia="he-IL"/>
        </w:rPr>
        <w:t>'</w:t>
      </w:r>
      <w:r>
        <w:rPr>
          <w:rFonts w:ascii="Arial" w:hAnsi="Arial"/>
          <w:b/>
          <w:bCs/>
          <w:sz w:val="20"/>
          <w:rtl/>
          <w:lang w:eastAsia="he-IL"/>
        </w:rPr>
        <w:t>קלים</w:t>
      </w:r>
      <w:r>
        <w:rPr>
          <w:rFonts w:ascii="Arial" w:hAnsi="Arial"/>
          <w:sz w:val="20"/>
          <w:rtl/>
          <w:lang w:eastAsia="he-IL"/>
        </w:rPr>
        <w:t>'."</w:t>
      </w:r>
    </w:p>
    <w:p w14:paraId="01A6029D" w14:textId="77777777" w:rsidR="00620BEF" w:rsidRDefault="00620BEF" w:rsidP="00620BEF">
      <w:pPr>
        <w:numPr>
          <w:ilvl w:val="1"/>
          <w:numId w:val="1"/>
        </w:numPr>
        <w:snapToGrid w:val="0"/>
        <w:spacing w:before="240" w:line="360" w:lineRule="auto"/>
        <w:ind w:left="714" w:hanging="357"/>
        <w:jc w:val="both"/>
        <w:rPr>
          <w:sz w:val="20"/>
          <w:lang w:eastAsia="he-IL"/>
        </w:rPr>
      </w:pPr>
      <w:r>
        <w:rPr>
          <w:sz w:val="20"/>
          <w:rtl/>
          <w:lang w:eastAsia="he-IL"/>
        </w:rPr>
        <w:t xml:space="preserve">בחינת </w:t>
      </w:r>
      <w:r>
        <w:rPr>
          <w:b/>
          <w:bCs/>
          <w:sz w:val="20"/>
          <w:rtl/>
          <w:lang w:eastAsia="he-IL"/>
        </w:rPr>
        <w:t>מדיניות הענישה הנהוגה בפסיקה</w:t>
      </w:r>
      <w:r>
        <w:rPr>
          <w:sz w:val="20"/>
          <w:rtl/>
          <w:lang w:eastAsia="he-IL"/>
        </w:rPr>
        <w:t xml:space="preserve"> </w:t>
      </w:r>
      <w:r>
        <w:rPr>
          <w:rFonts w:ascii="David" w:hAnsi="David"/>
          <w:rtl/>
        </w:rPr>
        <w:t xml:space="preserve">מלמדת על קשת רחבה של ענישה, החל ממאסר מותנה וכלה במאסר מאחורי סורג ובריח, לתקופות שאורכן תלוי בסוג הסם, כמותו ונסיבות החזקתו. </w:t>
      </w:r>
      <w:r>
        <w:rPr>
          <w:sz w:val="20"/>
          <w:rtl/>
          <w:lang w:eastAsia="he-IL"/>
        </w:rPr>
        <w:t xml:space="preserve">כל אחד מב"כ הצדדים הפנה לפסיקה התואמת עמדתו לעונש ועל פסיקה זו הוספתי פסיקה רלוונטית נוספת. כל מקרה ונסיבותיו, </w:t>
      </w:r>
      <w:r>
        <w:rPr>
          <w:rFonts w:ascii="David" w:hAnsi="David"/>
          <w:rtl/>
        </w:rPr>
        <w:t>ויש לאבחן המקרים השונים למקרה שלפניי, אם כי יש גזרי-דין מהם ניתן לגזור אמת-מידה עונשית הולמת למקרה שלפני</w:t>
      </w:r>
      <w:r>
        <w:rPr>
          <w:sz w:val="20"/>
          <w:rtl/>
          <w:lang w:eastAsia="he-IL"/>
        </w:rPr>
        <w:t xml:space="preserve">י - </w:t>
      </w:r>
    </w:p>
    <w:p w14:paraId="58BF042B" w14:textId="77777777" w:rsidR="00620BEF" w:rsidRDefault="00307D39" w:rsidP="00620BEF">
      <w:pPr>
        <w:numPr>
          <w:ilvl w:val="2"/>
          <w:numId w:val="1"/>
        </w:numPr>
        <w:snapToGrid w:val="0"/>
        <w:spacing w:before="60" w:line="360" w:lineRule="auto"/>
        <w:ind w:left="1275" w:hanging="555"/>
        <w:jc w:val="both"/>
        <w:rPr>
          <w:sz w:val="20"/>
          <w:lang w:eastAsia="he-IL"/>
        </w:rPr>
      </w:pPr>
      <w:hyperlink r:id="rId34" w:history="1">
        <w:r w:rsidRPr="00307D39">
          <w:rPr>
            <w:color w:val="0000FF"/>
            <w:sz w:val="20"/>
            <w:u w:val="single"/>
            <w:rtl/>
            <w:lang w:eastAsia="he-IL"/>
          </w:rPr>
          <w:t>רע"פ 322/15</w:t>
        </w:r>
      </w:hyperlink>
      <w:r w:rsidR="00620BEF">
        <w:rPr>
          <w:sz w:val="20"/>
          <w:rtl/>
          <w:lang w:eastAsia="he-IL"/>
        </w:rPr>
        <w:t xml:space="preserve"> </w:t>
      </w:r>
      <w:r w:rsidR="00620BEF">
        <w:rPr>
          <w:rFonts w:ascii="Miriam" w:hAnsi="Miriam" w:cs="Miriam"/>
          <w:b/>
          <w:bCs/>
          <w:sz w:val="18"/>
          <w:szCs w:val="22"/>
          <w:rtl/>
          <w:lang w:eastAsia="he-IL"/>
        </w:rPr>
        <w:t>ג'אנח נ' מדינת ישראל</w:t>
      </w:r>
      <w:r w:rsidR="00620BEF">
        <w:rPr>
          <w:sz w:val="20"/>
          <w:rtl/>
          <w:lang w:eastAsia="he-IL"/>
        </w:rPr>
        <w:t xml:space="preserve"> (22.1.15) - אליו הפנתה ב"כ המאשימה - נדחו ערעור ובקשת רשות ערעור של מי שבעניינו נקבע מתחם 7-18 חודשים בגין החזקת כ-400 גרם חשיש בביתו, מחולק למספר פלטות (נקבע גם מתחם 6-12 חודשים בהחזקת סכין ובסך הכל מתחם 9-24 חודשים בגין שני התיקים שאוחדו);</w:t>
      </w:r>
    </w:p>
    <w:p w14:paraId="330FDC3C" w14:textId="77777777" w:rsidR="00620BEF" w:rsidRDefault="00307D39" w:rsidP="00620BEF">
      <w:pPr>
        <w:numPr>
          <w:ilvl w:val="2"/>
          <w:numId w:val="1"/>
        </w:numPr>
        <w:snapToGrid w:val="0"/>
        <w:spacing w:before="60" w:line="360" w:lineRule="auto"/>
        <w:ind w:left="1275" w:hanging="555"/>
        <w:jc w:val="both"/>
        <w:rPr>
          <w:sz w:val="20"/>
          <w:rtl/>
          <w:lang w:eastAsia="he-IL"/>
        </w:rPr>
      </w:pPr>
      <w:hyperlink r:id="rId35" w:history="1">
        <w:r w:rsidRPr="00307D39">
          <w:rPr>
            <w:color w:val="0000FF"/>
            <w:sz w:val="20"/>
            <w:u w:val="single"/>
            <w:rtl/>
            <w:lang w:eastAsia="he-IL"/>
          </w:rPr>
          <w:t>עפ"ג (מחוזי-ב"ש) 32337-12-16</w:t>
        </w:r>
      </w:hyperlink>
      <w:r w:rsidR="00620BEF">
        <w:rPr>
          <w:sz w:val="20"/>
          <w:rtl/>
          <w:lang w:eastAsia="he-IL"/>
        </w:rPr>
        <w:t xml:space="preserve"> </w:t>
      </w:r>
      <w:r w:rsidR="00620BEF">
        <w:rPr>
          <w:rFonts w:cs="Miriam"/>
          <w:b/>
          <w:bCs/>
          <w:sz w:val="22"/>
          <w:szCs w:val="22"/>
          <w:rtl/>
          <w:lang w:eastAsia="he-IL"/>
        </w:rPr>
        <w:t>פרץ נ' מדינת ישראל</w:t>
      </w:r>
      <w:r w:rsidR="00620BEF">
        <w:rPr>
          <w:sz w:val="20"/>
          <w:rtl/>
          <w:lang w:eastAsia="he-IL"/>
        </w:rPr>
        <w:t xml:space="preserve"> (1.2.17) - אליו הפנתה ב"כ המאשימה - נדחה ערעור מי שהורשע בהחזקה בביתו, שלא לצריכה עצמית, בסמים שונים, ובכלל זה 178 טבליות </w:t>
      </w:r>
      <w:r w:rsidR="00620BEF">
        <w:rPr>
          <w:rFonts w:ascii="David" w:hAnsi="David"/>
          <w:sz w:val="22"/>
          <w:szCs w:val="22"/>
          <w:lang w:eastAsia="he-IL"/>
        </w:rPr>
        <w:t>LSD</w:t>
      </w:r>
      <w:r w:rsidR="00620BEF">
        <w:rPr>
          <w:sz w:val="20"/>
          <w:rtl/>
          <w:lang w:eastAsia="he-IL"/>
        </w:rPr>
        <w:t>, 14.6 גרם של סם חשיש, 48.9 גרם קנבוס, שקית שהכילה 106.2 גרם קנבוס ו-772.48 גרם חשיש. בדחותו הערעור על העונש, קבע בית המשפט המחוזי בבאר-שבע "</w:t>
      </w:r>
      <w:r w:rsidR="00620BEF">
        <w:rPr>
          <w:b/>
          <w:bCs/>
          <w:rtl/>
        </w:rPr>
        <w:t>אנו סבורים שהסדר הטיעון הקל יתר על המידה עם המערער. מובן, שאנו סבורים שכב' בית המשפט קמא מצא לנכון להקל אף בתוך ההסדר המקל והסתפק רק ב-8 חודשי מאסר לריצוי בפועל</w:t>
      </w:r>
      <w:r w:rsidR="00620BEF">
        <w:rPr>
          <w:rtl/>
        </w:rPr>
        <w:t>"</w:t>
      </w:r>
      <w:r w:rsidR="00620BEF">
        <w:rPr>
          <w:sz w:val="20"/>
          <w:rtl/>
          <w:lang w:eastAsia="he-IL"/>
        </w:rPr>
        <w:t>;</w:t>
      </w:r>
    </w:p>
    <w:p w14:paraId="0280BD59" w14:textId="77777777" w:rsidR="00620BEF" w:rsidRDefault="00307D39" w:rsidP="00620BEF">
      <w:pPr>
        <w:numPr>
          <w:ilvl w:val="2"/>
          <w:numId w:val="1"/>
        </w:numPr>
        <w:snapToGrid w:val="0"/>
        <w:spacing w:before="60" w:line="360" w:lineRule="auto"/>
        <w:ind w:left="1275" w:hanging="555"/>
        <w:jc w:val="both"/>
        <w:rPr>
          <w:sz w:val="20"/>
          <w:lang w:eastAsia="he-IL"/>
        </w:rPr>
      </w:pPr>
      <w:hyperlink r:id="rId36" w:history="1">
        <w:r w:rsidRPr="00307D39">
          <w:rPr>
            <w:color w:val="0000FF"/>
            <w:sz w:val="20"/>
            <w:u w:val="single"/>
            <w:rtl/>
            <w:lang w:eastAsia="he-IL"/>
          </w:rPr>
          <w:t>עפ"ג 28110-10-15</w:t>
        </w:r>
      </w:hyperlink>
      <w:r w:rsidR="00620BEF">
        <w:rPr>
          <w:sz w:val="20"/>
          <w:rtl/>
          <w:lang w:eastAsia="he-IL"/>
        </w:rPr>
        <w:t xml:space="preserve"> </w:t>
      </w:r>
      <w:r w:rsidR="00620BEF">
        <w:rPr>
          <w:rFonts w:ascii="Miriam" w:hAnsi="Miriam" w:cs="Miriam"/>
          <w:b/>
          <w:bCs/>
          <w:sz w:val="18"/>
          <w:szCs w:val="22"/>
          <w:rtl/>
          <w:lang w:eastAsia="he-IL"/>
        </w:rPr>
        <w:t>מדינת ישראל נ' דוד</w:t>
      </w:r>
      <w:r w:rsidR="00620BEF">
        <w:rPr>
          <w:sz w:val="20"/>
          <w:rtl/>
          <w:lang w:eastAsia="he-IL"/>
        </w:rPr>
        <w:t xml:space="preserve"> (17.12.15) (להלן: </w:t>
      </w:r>
      <w:r w:rsidR="00620BEF">
        <w:rPr>
          <w:rFonts w:ascii="Miriam" w:hAnsi="Miriam" w:cs="Miriam"/>
          <w:b/>
          <w:bCs/>
          <w:sz w:val="18"/>
          <w:szCs w:val="22"/>
          <w:rtl/>
          <w:lang w:eastAsia="he-IL"/>
        </w:rPr>
        <w:t>ענין דוד</w:t>
      </w:r>
      <w:r w:rsidR="00620BEF">
        <w:rPr>
          <w:sz w:val="20"/>
          <w:rtl/>
          <w:lang w:eastAsia="he-IL"/>
        </w:rPr>
        <w:t xml:space="preserve">) - אליו הפנה ב"כ הנאשם - בגין גידול בצוותא של 21 שתילי קנבוס במשקל כשלושה וחצי ק"ג הסתיים ההליך ללא הרשעה והושתו 180 שעות של"צ, צו מבחן לשנה, פיצוי בסך 5,000 ₪ ו-6 חודשי פסילה מותנית. לאחר לבטים וביקורת על בית משפט קמא, דחה בית המשפט המחוזי בחיפה את הערעור על סיום ההליך ללא הרשעה - אולם צו המבחן הוארך ל-18 חודשים וסכום הפיצוי עלה ל-11,000 ₪. בית המשפט המחוזי התייחס בהרחבה לנסיבותיו האישיות של המשיב, ובכלל זה הודיית המשיב, הבעת החרטה על מעשיו, הפוטנציאל החיובי לשיקום עליו עמד שירות המבחן, שהמליץ על סיום ההליך ללא הרשעה, החשש לאבדן מקום עבודתו והסיכוי כי המשך העבודה יסייע בשיקומו, כפי שצוטטו לעיל בפרק הדן בשאלת הותרת ההרשעה על כנה.  </w:t>
      </w:r>
    </w:p>
    <w:p w14:paraId="1FECA0C1" w14:textId="77777777" w:rsidR="00620BEF" w:rsidRDefault="00620BEF" w:rsidP="00620BEF">
      <w:pPr>
        <w:snapToGrid w:val="0"/>
        <w:spacing w:before="60" w:line="360" w:lineRule="auto"/>
        <w:ind w:left="1275"/>
        <w:jc w:val="both"/>
        <w:rPr>
          <w:sz w:val="20"/>
          <w:lang w:eastAsia="he-IL"/>
        </w:rPr>
      </w:pPr>
      <w:r>
        <w:rPr>
          <w:sz w:val="20"/>
          <w:rtl/>
          <w:lang w:eastAsia="he-IL"/>
        </w:rPr>
        <w:t>* כאמור לעיל, הגם שכמות הסם גדולה מזו שהחזיק הנאשם שלפני - בעניינו של הנאשם שלפני לא מתקיימות הנסיבות מיוחדות שנסקרו ב-</w:t>
      </w:r>
      <w:r>
        <w:rPr>
          <w:rFonts w:ascii="Miriam" w:hAnsi="Miriam" w:cs="Miriam"/>
          <w:b/>
          <w:bCs/>
          <w:sz w:val="18"/>
          <w:szCs w:val="22"/>
          <w:rtl/>
          <w:lang w:eastAsia="he-IL"/>
        </w:rPr>
        <w:t>ענין דוד</w:t>
      </w:r>
      <w:r>
        <w:rPr>
          <w:sz w:val="20"/>
          <w:rtl/>
          <w:lang w:eastAsia="he-IL"/>
        </w:rPr>
        <w:t>.</w:t>
      </w:r>
    </w:p>
    <w:p w14:paraId="53DFC00A" w14:textId="77777777" w:rsidR="00620BEF" w:rsidRDefault="00307D39" w:rsidP="00620BEF">
      <w:pPr>
        <w:numPr>
          <w:ilvl w:val="2"/>
          <w:numId w:val="1"/>
        </w:numPr>
        <w:snapToGrid w:val="0"/>
        <w:spacing w:before="60" w:line="360" w:lineRule="auto"/>
        <w:ind w:left="1275" w:hanging="555"/>
        <w:jc w:val="both"/>
        <w:rPr>
          <w:sz w:val="20"/>
          <w:lang w:eastAsia="he-IL"/>
        </w:rPr>
      </w:pPr>
      <w:hyperlink r:id="rId37" w:history="1">
        <w:r w:rsidRPr="00307D39">
          <w:rPr>
            <w:color w:val="0000FF"/>
            <w:sz w:val="20"/>
            <w:u w:val="single"/>
            <w:rtl/>
            <w:lang w:eastAsia="he-IL"/>
          </w:rPr>
          <w:t>עפ"ג (מחוזי-ב"ש) 41634-10-14</w:t>
        </w:r>
      </w:hyperlink>
      <w:r w:rsidR="00620BEF">
        <w:rPr>
          <w:sz w:val="20"/>
          <w:rtl/>
          <w:lang w:eastAsia="he-IL"/>
        </w:rPr>
        <w:t xml:space="preserve"> </w:t>
      </w:r>
      <w:r w:rsidR="00620BEF">
        <w:rPr>
          <w:rFonts w:ascii="Miriam" w:hAnsi="Miriam" w:cs="Miriam"/>
          <w:b/>
          <w:bCs/>
          <w:sz w:val="22"/>
          <w:szCs w:val="22"/>
          <w:rtl/>
          <w:lang w:eastAsia="he-IL"/>
        </w:rPr>
        <w:t>לסרי ומזלומיאן נ' מדינת ישראל</w:t>
      </w:r>
      <w:r w:rsidR="00620BEF">
        <w:rPr>
          <w:sz w:val="20"/>
          <w:rtl/>
          <w:lang w:eastAsia="he-IL"/>
        </w:rPr>
        <w:t xml:space="preserve"> (22.3.15) - נדחה ערעור על עונשו של מי שהורשע בהחזקת 220 גרם קנבוס ונדון ל-5 חודשי מאסר לריצוי בעבודות שירות, הגם ששירות המבחן המליץ להימנע מהרשעתו, בהיות אחד מהם סטודנט לראיית חשבון, היותם נורמטיביים, נעדרי עבר פלילי, שהורתעו מההליך ובהינתן נתוניהם האישיים, לרבות תרומתם בשירות הצבאי והעבודה ששניהם עבדו. כב' הש' עדן קבע, תוך התייחסות לפסיקה - </w:t>
      </w:r>
    </w:p>
    <w:p w14:paraId="49D72BC1" w14:textId="77777777" w:rsidR="00620BEF" w:rsidRDefault="00620BEF" w:rsidP="00620BEF">
      <w:pPr>
        <w:snapToGrid w:val="0"/>
        <w:spacing w:line="360" w:lineRule="auto"/>
        <w:ind w:left="1995" w:right="993"/>
        <w:jc w:val="both"/>
        <w:rPr>
          <w:rFonts w:ascii="Arial" w:hAnsi="Arial"/>
          <w:b/>
          <w:bCs/>
          <w:sz w:val="20"/>
          <w:lang w:eastAsia="he-IL"/>
        </w:rPr>
      </w:pPr>
      <w:r>
        <w:rPr>
          <w:rFonts w:ascii="Arial" w:hAnsi="Arial"/>
          <w:sz w:val="20"/>
          <w:rtl/>
          <w:lang w:eastAsia="he-IL"/>
        </w:rPr>
        <w:t>"</w:t>
      </w:r>
      <w:r>
        <w:rPr>
          <w:rFonts w:ascii="Arial" w:hAnsi="Arial"/>
          <w:b/>
          <w:bCs/>
          <w:sz w:val="20"/>
          <w:rtl/>
          <w:lang w:eastAsia="he-IL"/>
        </w:rPr>
        <w:t xml:space="preserve">אשר לענישה הכוללת חמישה חודשי מאסר על דרך עבודות שירות, אין מדובר בענישה מחמירה אשר יש בה כדי להביא להתערבות ערכאת הערעור. </w:t>
      </w:r>
    </w:p>
    <w:p w14:paraId="5EB66912" w14:textId="77777777" w:rsidR="00620BEF" w:rsidRDefault="00620BEF" w:rsidP="00620BEF">
      <w:pPr>
        <w:snapToGrid w:val="0"/>
        <w:spacing w:line="360" w:lineRule="auto"/>
        <w:ind w:left="1995" w:right="993"/>
        <w:jc w:val="both"/>
        <w:rPr>
          <w:rFonts w:ascii="Arial" w:hAnsi="Arial"/>
          <w:b/>
          <w:bCs/>
          <w:sz w:val="20"/>
          <w:lang w:eastAsia="he-IL"/>
        </w:rPr>
      </w:pPr>
      <w:r>
        <w:rPr>
          <w:rFonts w:ascii="Arial" w:hAnsi="Arial"/>
          <w:b/>
          <w:bCs/>
          <w:sz w:val="20"/>
          <w:rtl/>
          <w:lang w:eastAsia="he-IL"/>
        </w:rPr>
        <w:t>נסיבותיהם של המערערים הובאו במסגרת שיקולי בית המשפט, אשר איפשר את ריצוי המאסר על דרך עבודות שירות. יש בענישה כדי להביא לידי ביטוי את שיקולי השיקום, כמו גם את העדר עבר פלילי וגילם הצעיר של המערערים</w:t>
      </w:r>
      <w:r>
        <w:rPr>
          <w:rFonts w:ascii="Arial" w:hAnsi="Arial"/>
          <w:sz w:val="20"/>
          <w:rtl/>
          <w:lang w:eastAsia="he-IL"/>
        </w:rPr>
        <w:t>...</w:t>
      </w:r>
    </w:p>
    <w:p w14:paraId="16E9CF34" w14:textId="77777777" w:rsidR="00620BEF" w:rsidRDefault="00620BEF" w:rsidP="00620BEF">
      <w:pPr>
        <w:snapToGrid w:val="0"/>
        <w:spacing w:line="360" w:lineRule="auto"/>
        <w:ind w:left="1995" w:right="993"/>
        <w:jc w:val="both"/>
        <w:rPr>
          <w:rFonts w:ascii="Arial" w:hAnsi="Arial"/>
          <w:b/>
          <w:bCs/>
          <w:sz w:val="20"/>
          <w:rtl/>
          <w:lang w:eastAsia="he-IL"/>
        </w:rPr>
      </w:pPr>
      <w:r>
        <w:rPr>
          <w:rFonts w:ascii="Arial" w:hAnsi="Arial"/>
          <w:b/>
          <w:bCs/>
          <w:sz w:val="20"/>
          <w:rtl/>
          <w:lang w:eastAsia="he-IL"/>
        </w:rPr>
        <w:t>בענישה המתונה, בנסיבות ביצוע העבירות, אשר הוטלה ע"י בית המשפט קמא, אין כל חריגה לחומרה"</w:t>
      </w:r>
      <w:r>
        <w:rPr>
          <w:sz w:val="20"/>
          <w:rtl/>
          <w:lang w:eastAsia="he-IL"/>
        </w:rPr>
        <w:t>;</w:t>
      </w:r>
    </w:p>
    <w:p w14:paraId="22BEB471" w14:textId="77777777" w:rsidR="00620BEF" w:rsidRDefault="00307D39" w:rsidP="00620BEF">
      <w:pPr>
        <w:numPr>
          <w:ilvl w:val="2"/>
          <w:numId w:val="1"/>
        </w:numPr>
        <w:snapToGrid w:val="0"/>
        <w:spacing w:before="60" w:line="360" w:lineRule="auto"/>
        <w:ind w:left="1275" w:hanging="555"/>
        <w:jc w:val="both"/>
        <w:rPr>
          <w:sz w:val="20"/>
          <w:lang w:eastAsia="he-IL"/>
        </w:rPr>
      </w:pPr>
      <w:hyperlink r:id="rId38" w:history="1">
        <w:r w:rsidRPr="00307D39">
          <w:rPr>
            <w:color w:val="0000FF"/>
            <w:sz w:val="20"/>
            <w:u w:val="single"/>
            <w:rtl/>
            <w:lang w:eastAsia="he-IL"/>
          </w:rPr>
          <w:t>עפ"ג (מחוזי-י-ם) 47347-08-11</w:t>
        </w:r>
      </w:hyperlink>
      <w:r w:rsidR="00620BEF">
        <w:rPr>
          <w:sz w:val="20"/>
          <w:rtl/>
          <w:lang w:eastAsia="he-IL"/>
        </w:rPr>
        <w:t xml:space="preserve"> </w:t>
      </w:r>
      <w:r w:rsidR="00620BEF">
        <w:rPr>
          <w:rFonts w:ascii="Miriam" w:hAnsi="Miriam" w:cs="Miriam"/>
          <w:b/>
          <w:bCs/>
          <w:sz w:val="22"/>
          <w:szCs w:val="22"/>
          <w:rtl/>
          <w:lang w:eastAsia="he-IL"/>
        </w:rPr>
        <w:t>בירגאוז נ' מדינת ישראל</w:t>
      </w:r>
      <w:r w:rsidR="00620BEF">
        <w:rPr>
          <w:sz w:val="20"/>
          <w:rtl/>
          <w:lang w:eastAsia="he-IL"/>
        </w:rPr>
        <w:t xml:space="preserve"> (30.4.12) - אליו הפנתה ב"כ המאשימה - התקבל ערעור הנאשם ועונשו הופחת ל-8 חודשי מאסר לריצוי בפועל, חלף 14 חודשי המאסר שהושתו עליו בבית משפט השלום. כן נקבע כי חודש המאסר המותנה שהופעל ירוצה בחופף ולא במצטבר, בנוסף למאסר המותנה שהושת. מדובר היה במי שהחזיק בדירת נאשם נוסף, 97 גרם סם מסוכן מסוג חשיש. בית המשפט המחוזי קבע כי יש להקל בעונש, בין היתר בהינתן כי "</w:t>
      </w:r>
      <w:r w:rsidR="00620BEF">
        <w:rPr>
          <w:b/>
          <w:bCs/>
          <w:sz w:val="20"/>
          <w:rtl/>
          <w:lang w:eastAsia="he-IL"/>
        </w:rPr>
        <w:t>חרף תנאי פתיחה קשים, ..., מצליח המערער לשמור על רצף תעסוקתי והוא רואה בתפקודו התעסוקתי ערך חשוב ביותר עבורו. עובדה זו יש לזקוף לזכותו. מאז שביצע את העבירה נשוא הדיון, מזה כארבע שנים, לא הסתבך בעבירות נוספות</w:t>
      </w:r>
      <w:r w:rsidR="00620BEF">
        <w:rPr>
          <w:sz w:val="20"/>
          <w:rtl/>
          <w:lang w:eastAsia="he-IL"/>
        </w:rPr>
        <w:t>";</w:t>
      </w:r>
    </w:p>
    <w:p w14:paraId="091D0F86" w14:textId="77777777" w:rsidR="00620BEF" w:rsidRDefault="00307D39" w:rsidP="00620BEF">
      <w:pPr>
        <w:numPr>
          <w:ilvl w:val="2"/>
          <w:numId w:val="1"/>
        </w:numPr>
        <w:snapToGrid w:val="0"/>
        <w:spacing w:before="60" w:line="360" w:lineRule="auto"/>
        <w:ind w:left="1275" w:hanging="555"/>
        <w:jc w:val="both"/>
        <w:rPr>
          <w:sz w:val="20"/>
          <w:rtl/>
          <w:lang w:eastAsia="he-IL"/>
        </w:rPr>
      </w:pPr>
      <w:hyperlink r:id="rId39" w:history="1">
        <w:r w:rsidRPr="00307D39">
          <w:rPr>
            <w:color w:val="0000FF"/>
            <w:sz w:val="20"/>
            <w:u w:val="single"/>
            <w:rtl/>
            <w:lang w:eastAsia="he-IL"/>
          </w:rPr>
          <w:t>ת"פ (אילת) 49728-11-20</w:t>
        </w:r>
      </w:hyperlink>
      <w:r w:rsidR="00620BEF">
        <w:rPr>
          <w:sz w:val="20"/>
          <w:rtl/>
          <w:lang w:eastAsia="he-IL"/>
        </w:rPr>
        <w:t xml:space="preserve"> </w:t>
      </w:r>
      <w:r w:rsidR="00620BEF">
        <w:rPr>
          <w:rFonts w:ascii="Miriam" w:hAnsi="Miriam" w:cs="Miriam"/>
          <w:b/>
          <w:bCs/>
          <w:sz w:val="22"/>
          <w:szCs w:val="22"/>
          <w:rtl/>
          <w:lang w:eastAsia="he-IL"/>
        </w:rPr>
        <w:t>מדינת ישראל נ' עזאם</w:t>
      </w:r>
      <w:r w:rsidR="00620BEF">
        <w:rPr>
          <w:sz w:val="20"/>
          <w:rtl/>
          <w:lang w:eastAsia="he-IL"/>
        </w:rPr>
        <w:t xml:space="preserve"> (20.6.21) - אליו הפנה ב"כ הנאשם בטיעוניו לעונש, שם הנאשם הורשע בעבירה של החזקה ושימוש בסמים לצריכה עצמית, בעת חזרתו משהותו בחו"ל נתפסו על הנאשם זרעי קנבוס במשקל 96.53 גרם. בית המשפט מצא לאמץ את הסדר הטיעון אליו הגיעו ב"כ הצדדים והשית על הנאשם מאסרים מותנים, קנס כספי ושל"צ בהיקף של 100 שעות. מדובר בנסיבות שונות מענייננו, הן מבחינת כמות הסם והן בהינתן ההסדר בין הצדדים;</w:t>
      </w:r>
    </w:p>
    <w:p w14:paraId="3AE92B32" w14:textId="77777777" w:rsidR="00620BEF" w:rsidRDefault="00307D39" w:rsidP="00620BEF">
      <w:pPr>
        <w:numPr>
          <w:ilvl w:val="2"/>
          <w:numId w:val="1"/>
        </w:numPr>
        <w:snapToGrid w:val="0"/>
        <w:spacing w:before="60" w:line="360" w:lineRule="auto"/>
        <w:ind w:left="1275" w:hanging="555"/>
        <w:jc w:val="both"/>
        <w:rPr>
          <w:sz w:val="20"/>
          <w:lang w:eastAsia="he-IL"/>
        </w:rPr>
      </w:pPr>
      <w:hyperlink r:id="rId40" w:history="1">
        <w:r w:rsidRPr="00307D39">
          <w:rPr>
            <w:color w:val="0000FF"/>
            <w:sz w:val="20"/>
            <w:u w:val="single"/>
            <w:rtl/>
            <w:lang w:eastAsia="he-IL"/>
          </w:rPr>
          <w:t>ת"פ (ק"ג) 41968-09-17</w:t>
        </w:r>
      </w:hyperlink>
      <w:r w:rsidR="00620BEF">
        <w:rPr>
          <w:sz w:val="20"/>
          <w:rtl/>
          <w:lang w:eastAsia="he-IL"/>
        </w:rPr>
        <w:t xml:space="preserve"> </w:t>
      </w:r>
      <w:r w:rsidR="00620BEF">
        <w:rPr>
          <w:rFonts w:ascii="Miriam" w:hAnsi="Miriam" w:cs="Miriam"/>
          <w:b/>
          <w:bCs/>
          <w:sz w:val="22"/>
          <w:szCs w:val="22"/>
          <w:rtl/>
          <w:lang w:eastAsia="he-IL"/>
        </w:rPr>
        <w:t>מדינת ישראל נ' אלול</w:t>
      </w:r>
      <w:r w:rsidR="00620BEF">
        <w:rPr>
          <w:sz w:val="20"/>
          <w:rtl/>
          <w:lang w:eastAsia="he-IL"/>
        </w:rPr>
        <w:t xml:space="preserve"> (31.10.18) - אליו הפנה ב"כ הנאשם בטיעוניו לעונש, מדובר בנאשם שהורשע בגידול 7 שתילי קנבוס, ובהחזקת סם מסוכן מסוג קנבוס במשקל של 1.174 גרם לצריכה עצמית. שירות המבחן המליץ על ענישה מרתיעה. בית המשפט אימץ את הסדר הטיעון אליו הגיעו הצדדים, נתן משקל לכך שהנאשם לקח אחריות על מעשיו, השית מאסרים מותנים, קנס כספי, התחייבות, פסילה בפועל למשך 3 חודשים וכן פסילה על תנאי. גם כאן מדובר בנסיבות שונות, בהינתן הסדר הטיעון בין הצדדים;</w:t>
      </w:r>
    </w:p>
    <w:p w14:paraId="1E2AFAC0" w14:textId="77777777" w:rsidR="00620BEF" w:rsidRDefault="00307D39" w:rsidP="00620BEF">
      <w:pPr>
        <w:numPr>
          <w:ilvl w:val="2"/>
          <w:numId w:val="1"/>
        </w:numPr>
        <w:snapToGrid w:val="0"/>
        <w:spacing w:before="60" w:line="360" w:lineRule="auto"/>
        <w:ind w:left="1275" w:hanging="555"/>
        <w:jc w:val="both"/>
        <w:rPr>
          <w:sz w:val="20"/>
          <w:lang w:eastAsia="he-IL"/>
        </w:rPr>
      </w:pPr>
      <w:hyperlink r:id="rId41" w:history="1">
        <w:r w:rsidRPr="00307D39">
          <w:rPr>
            <w:color w:val="0000FF"/>
            <w:u w:val="single"/>
            <w:rtl/>
          </w:rPr>
          <w:t>ת"פ (י-ם) 31016-09-15</w:t>
        </w:r>
      </w:hyperlink>
      <w:r w:rsidR="00620BEF">
        <w:rPr>
          <w:rtl/>
        </w:rPr>
        <w:t xml:space="preserve"> </w:t>
      </w:r>
      <w:r w:rsidR="00620BEF">
        <w:rPr>
          <w:rFonts w:ascii="Miriam" w:hAnsi="Miriam" w:cs="Miriam"/>
          <w:b/>
          <w:bCs/>
          <w:sz w:val="18"/>
          <w:szCs w:val="22"/>
          <w:rtl/>
          <w:lang w:eastAsia="he-IL"/>
        </w:rPr>
        <w:t>מדינת ישראל נ' קובי</w:t>
      </w:r>
      <w:r w:rsidR="00620BEF">
        <w:rPr>
          <w:rtl/>
        </w:rPr>
        <w:t xml:space="preserve"> (8.4.18) (להלן: </w:t>
      </w:r>
      <w:r w:rsidR="00620BEF">
        <w:rPr>
          <w:rFonts w:ascii="Miriam" w:hAnsi="Miriam" w:cs="Miriam"/>
          <w:b/>
          <w:bCs/>
          <w:sz w:val="18"/>
          <w:szCs w:val="22"/>
          <w:rtl/>
          <w:lang w:eastAsia="he-IL"/>
        </w:rPr>
        <w:t>ענין קובי</w:t>
      </w:r>
      <w:r w:rsidR="00620BEF">
        <w:rPr>
          <w:rtl/>
        </w:rPr>
        <w:t>) - אליו הפנה ב"כ הנאשם - בגין החזקת קנבוס במשקל 46.86 גרם לצריכה עצמית קבע כב' הש' קרשן, כאמור לעיל, כי היה מקום להותיר את ההרשעה על כנה מבחינת האינטרס הציבורי. ההליך הסתיים ללא הרשעה, אך בשל "</w:t>
      </w:r>
      <w:r w:rsidR="00620BEF">
        <w:rPr>
          <w:b/>
          <w:bCs/>
          <w:rtl/>
        </w:rPr>
        <w:t>שינוי מדיניות הממשלה ביחס לצרכני סמים קלים</w:t>
      </w:r>
      <w:r w:rsidR="00620BEF">
        <w:rPr>
          <w:rtl/>
        </w:rPr>
        <w:t>". כפי שקבעתי לעיל, אין בכך כדי להשליך על ענייננו, שכן הנאשם שלפני הורשע בהחזקת סמים שלא לצריכה עצמית, בנסיבות חמורות מאלו שנדונו ב-</w:t>
      </w:r>
      <w:r w:rsidR="00620BEF">
        <w:rPr>
          <w:rFonts w:ascii="Miriam" w:hAnsi="Miriam" w:cs="Miriam"/>
          <w:b/>
          <w:bCs/>
          <w:sz w:val="18"/>
          <w:szCs w:val="22"/>
          <w:rtl/>
          <w:lang w:eastAsia="he-IL"/>
        </w:rPr>
        <w:t>ענין קובי</w:t>
      </w:r>
      <w:r w:rsidR="00620BEF">
        <w:rPr>
          <w:rtl/>
        </w:rPr>
        <w:t xml:space="preserve">, אשר יפורטו להלן בהרחבה, ובכלל זה מקום החזקת הסם, הכמות הגדולה למעלה מפי 2, והסיבות שהביאו להחזקתו, כפי שכל אלו יפורטו להלן בהרחבה; </w:t>
      </w:r>
    </w:p>
    <w:p w14:paraId="71E26C91" w14:textId="77777777" w:rsidR="00620BEF" w:rsidRDefault="00307D39" w:rsidP="00620BEF">
      <w:pPr>
        <w:numPr>
          <w:ilvl w:val="2"/>
          <w:numId w:val="1"/>
        </w:numPr>
        <w:snapToGrid w:val="0"/>
        <w:spacing w:before="60" w:line="360" w:lineRule="auto"/>
        <w:ind w:left="1275" w:hanging="555"/>
        <w:jc w:val="both"/>
        <w:rPr>
          <w:sz w:val="20"/>
          <w:rtl/>
          <w:lang w:eastAsia="he-IL"/>
        </w:rPr>
      </w:pPr>
      <w:hyperlink r:id="rId42" w:history="1">
        <w:r w:rsidRPr="00307D39">
          <w:rPr>
            <w:color w:val="0000FF"/>
            <w:sz w:val="20"/>
            <w:u w:val="single"/>
            <w:rtl/>
            <w:lang w:eastAsia="he-IL"/>
          </w:rPr>
          <w:t>ת"פ (ב"ש) 20767-09-16</w:t>
        </w:r>
      </w:hyperlink>
      <w:r w:rsidR="00620BEF">
        <w:rPr>
          <w:sz w:val="20"/>
          <w:rtl/>
          <w:lang w:eastAsia="he-IL"/>
        </w:rPr>
        <w:t xml:space="preserve"> </w:t>
      </w:r>
      <w:r w:rsidR="00620BEF">
        <w:rPr>
          <w:rFonts w:cs="Miriam"/>
          <w:b/>
          <w:bCs/>
          <w:sz w:val="18"/>
          <w:szCs w:val="22"/>
          <w:rtl/>
          <w:lang w:eastAsia="he-IL"/>
        </w:rPr>
        <w:t>מדינת ישראל נ' אבו מעיוף</w:t>
      </w:r>
      <w:r w:rsidR="00620BEF">
        <w:rPr>
          <w:sz w:val="18"/>
          <w:szCs w:val="22"/>
          <w:rtl/>
          <w:lang w:eastAsia="he-IL"/>
        </w:rPr>
        <w:t xml:space="preserve"> </w:t>
      </w:r>
      <w:r w:rsidR="00620BEF">
        <w:rPr>
          <w:sz w:val="20"/>
          <w:rtl/>
          <w:lang w:eastAsia="he-IL"/>
        </w:rPr>
        <w:t xml:space="preserve"> (24.05.17) - כב' השופט ברסלר גונן השית על מי שהורשע בהחזקת 93.8 גרם נטו סם מסוכן מסוג חשיש בצוותא חדא עם שניים אחרים ברכב בו נמצא גם כלי המשמש לעישון סמים - 6 חודשי מאסר בפועל לצד ענישה נלווית, 2,500 ₪ קנס, 4,000 ₪ התחייבות, פסילה בפועל ופסילה מותנית;</w:t>
      </w:r>
    </w:p>
    <w:p w14:paraId="166BE832" w14:textId="77777777" w:rsidR="00620BEF" w:rsidRDefault="00307D39" w:rsidP="00620BEF">
      <w:pPr>
        <w:numPr>
          <w:ilvl w:val="2"/>
          <w:numId w:val="1"/>
        </w:numPr>
        <w:snapToGrid w:val="0"/>
        <w:spacing w:before="60" w:line="360" w:lineRule="auto"/>
        <w:ind w:left="1275" w:hanging="555"/>
        <w:jc w:val="both"/>
        <w:rPr>
          <w:sz w:val="20"/>
          <w:lang w:eastAsia="he-IL"/>
        </w:rPr>
      </w:pPr>
      <w:hyperlink r:id="rId43" w:history="1">
        <w:r w:rsidRPr="00307D39">
          <w:rPr>
            <w:color w:val="0000FF"/>
            <w:u w:val="single"/>
            <w:rtl/>
          </w:rPr>
          <w:t>ת"פ (ב"ש) 44373-01-17</w:t>
        </w:r>
      </w:hyperlink>
      <w:r w:rsidR="00620BEF">
        <w:rPr>
          <w:rtl/>
        </w:rPr>
        <w:t xml:space="preserve"> </w:t>
      </w:r>
      <w:r w:rsidR="00620BEF">
        <w:rPr>
          <w:rFonts w:cs="Miriam"/>
          <w:b/>
          <w:bCs/>
          <w:sz w:val="18"/>
          <w:szCs w:val="22"/>
          <w:rtl/>
          <w:lang w:eastAsia="he-IL"/>
        </w:rPr>
        <w:t>מדינת ישראל נ' אשורוב</w:t>
      </w:r>
      <w:r w:rsidR="00620BEF">
        <w:rPr>
          <w:rtl/>
        </w:rPr>
        <w:t xml:space="preserve"> (6.4.17) (להלן: </w:t>
      </w:r>
      <w:r w:rsidR="00620BEF">
        <w:rPr>
          <w:rFonts w:ascii="Miriam" w:hAnsi="Miriam" w:cs="Miriam"/>
          <w:b/>
          <w:bCs/>
          <w:sz w:val="22"/>
          <w:szCs w:val="22"/>
          <w:rtl/>
          <w:lang w:eastAsia="he-IL"/>
        </w:rPr>
        <w:t>ענין אשורוב</w:t>
      </w:r>
      <w:r w:rsidR="00620BEF">
        <w:rPr>
          <w:rtl/>
        </w:rPr>
        <w:t>) - אליו הפנתה ב"כ המאשימה - בגין החזקת 88 גרם חשיש בביתו קבע כב' הש' בן טולילה מתחם הנע מ-מספר חודשי מאסר, שיכול שירוצו בעבודות שירות עד 12 חודשים מאסר בפועל, והשית על נאשם, שלחובתו רישום ללא הרשעה והרשעה בעבירות רכוש ואלימות ואשר לא שיתף פעולה עם שירות המבחן - 7 חודשי מאסר בפועל וענישה נלווית</w:t>
      </w:r>
      <w:r w:rsidR="00620BEF">
        <w:rPr>
          <w:sz w:val="20"/>
          <w:rtl/>
          <w:lang w:eastAsia="he-IL"/>
        </w:rPr>
        <w:t>;</w:t>
      </w:r>
    </w:p>
    <w:p w14:paraId="44B780D5" w14:textId="77777777" w:rsidR="00620BEF" w:rsidRDefault="00307D39" w:rsidP="00620BEF">
      <w:pPr>
        <w:numPr>
          <w:ilvl w:val="2"/>
          <w:numId w:val="1"/>
        </w:numPr>
        <w:snapToGrid w:val="0"/>
        <w:spacing w:before="60" w:line="360" w:lineRule="auto"/>
        <w:ind w:left="1275" w:hanging="555"/>
        <w:jc w:val="both"/>
        <w:rPr>
          <w:sz w:val="20"/>
          <w:lang w:eastAsia="he-IL"/>
        </w:rPr>
      </w:pPr>
      <w:hyperlink r:id="rId44" w:history="1">
        <w:r w:rsidRPr="00307D39">
          <w:rPr>
            <w:color w:val="0000FF"/>
            <w:sz w:val="20"/>
            <w:u w:val="single"/>
            <w:rtl/>
            <w:lang w:eastAsia="he-IL"/>
          </w:rPr>
          <w:t>ת"פ (ת"א) 23797-03-14</w:t>
        </w:r>
      </w:hyperlink>
      <w:r w:rsidR="00620BEF">
        <w:rPr>
          <w:sz w:val="20"/>
          <w:rtl/>
          <w:lang w:eastAsia="he-IL"/>
        </w:rPr>
        <w:t xml:space="preserve"> </w:t>
      </w:r>
      <w:r w:rsidR="00620BEF">
        <w:rPr>
          <w:rFonts w:cs="Miriam"/>
          <w:b/>
          <w:bCs/>
          <w:sz w:val="18"/>
          <w:szCs w:val="22"/>
          <w:rtl/>
          <w:lang w:eastAsia="he-IL"/>
        </w:rPr>
        <w:t>מדינת ישראל נ' אביב</w:t>
      </w:r>
      <w:r w:rsidR="00620BEF">
        <w:rPr>
          <w:sz w:val="20"/>
          <w:rtl/>
          <w:lang w:eastAsia="he-IL"/>
        </w:rPr>
        <w:t xml:space="preserve"> (1.12.15) - אליו הפנה ב"כ הנאשם - ההליך בעבירות גידול, החזקת כלים והחזקת 48.31 גרם קנבוס, 9.1 גרם חשיש ו-923.6 גרם קנבוס בשתילים הסתיים ללא הרשעה, נוכח היות הנאשם נעדר הרשעות קודמות, שמר על יציבות תעסוקתית, הוכח כי ההרשעה עלולה לפגוע בעבודתו, חלוף הזמן במהלכו היה הנאשם בהליך טיפול משמעותי, פעילות התנדבותית וספורטיבית מאומצת והפגיעה הקונקרטית המשמעותית בנאשם ובהמשך ההליך הטיפולי, כמו גם המלצת שירות המבחן. הושתו 500 שעות של"צ, צו מבחן, 1,000 ₪ קנס, 1 חודש פסילה בפועל, 6 חודשי פסילה על תנאי ו-3,000 ₪ תרומה לעמותת "אל סם".</w:t>
      </w:r>
    </w:p>
    <w:p w14:paraId="4ED64DD6" w14:textId="77777777" w:rsidR="00620BEF" w:rsidRDefault="00620BEF" w:rsidP="00620BEF">
      <w:pPr>
        <w:snapToGrid w:val="0"/>
        <w:spacing w:before="60" w:line="360" w:lineRule="auto"/>
        <w:ind w:left="1275"/>
        <w:jc w:val="both"/>
        <w:rPr>
          <w:sz w:val="20"/>
          <w:lang w:eastAsia="he-IL"/>
        </w:rPr>
      </w:pPr>
      <w:r>
        <w:rPr>
          <w:sz w:val="20"/>
          <w:rtl/>
          <w:lang w:eastAsia="he-IL"/>
        </w:rPr>
        <w:t xml:space="preserve">* בענייננו אמנם מדובר בכמות קטנה של יותר של סם, אולם מדובר במי שלא עבר הליך טיפולי והמלצת שירות המבחן בעניינו שונה. </w:t>
      </w:r>
    </w:p>
    <w:p w14:paraId="0E74D825" w14:textId="77777777" w:rsidR="00620BEF" w:rsidRDefault="00620BEF" w:rsidP="00620BEF">
      <w:pPr>
        <w:numPr>
          <w:ilvl w:val="1"/>
          <w:numId w:val="1"/>
        </w:numPr>
        <w:snapToGrid w:val="0"/>
        <w:spacing w:before="240" w:line="360" w:lineRule="auto"/>
        <w:ind w:left="714" w:hanging="357"/>
        <w:jc w:val="both"/>
        <w:rPr>
          <w:sz w:val="20"/>
          <w:lang w:eastAsia="he-IL"/>
        </w:rPr>
      </w:pPr>
      <w:r>
        <w:rPr>
          <w:sz w:val="20"/>
          <w:rtl/>
          <w:lang w:eastAsia="he-IL"/>
        </w:rPr>
        <w:t>במסגרת קביעת מתחם העונש ההולם, נתתי דעתי גם ל-</w:t>
      </w:r>
      <w:r>
        <w:rPr>
          <w:b/>
          <w:bCs/>
          <w:sz w:val="20"/>
          <w:rtl/>
          <w:lang w:eastAsia="he-IL"/>
        </w:rPr>
        <w:t>נסיבות הקשורות בביצוע העבירות</w:t>
      </w:r>
      <w:r>
        <w:rPr>
          <w:sz w:val="20"/>
          <w:rtl/>
          <w:lang w:eastAsia="he-IL"/>
        </w:rPr>
        <w:t xml:space="preserve">, כאמור </w:t>
      </w:r>
      <w:hyperlink r:id="rId45" w:history="1">
        <w:r w:rsidR="002E7923" w:rsidRPr="002E7923">
          <w:rPr>
            <w:rStyle w:val="Hyperlink"/>
            <w:sz w:val="20"/>
            <w:rtl/>
            <w:lang w:eastAsia="he-IL"/>
          </w:rPr>
          <w:t>בסעיף 40יט</w:t>
        </w:r>
      </w:hyperlink>
      <w:r>
        <w:rPr>
          <w:sz w:val="20"/>
          <w:rtl/>
          <w:lang w:eastAsia="he-IL"/>
        </w:rPr>
        <w:t xml:space="preserve"> ל</w:t>
      </w:r>
      <w:hyperlink r:id="rId46" w:history="1">
        <w:r w:rsidR="00307D39" w:rsidRPr="00307D39">
          <w:rPr>
            <w:rFonts w:ascii="Miriam" w:hAnsi="Miriam" w:cs="Miriam"/>
            <w:b/>
            <w:bCs/>
            <w:color w:val="0000FF"/>
            <w:sz w:val="18"/>
            <w:szCs w:val="22"/>
            <w:u w:val="single"/>
            <w:rtl/>
            <w:lang w:eastAsia="he-IL"/>
          </w:rPr>
          <w:t>חוק העונשין</w:t>
        </w:r>
      </w:hyperlink>
      <w:r>
        <w:rPr>
          <w:sz w:val="20"/>
          <w:rtl/>
          <w:lang w:eastAsia="he-IL"/>
        </w:rPr>
        <w:t xml:space="preserve"> ובכלל זה - </w:t>
      </w:r>
    </w:p>
    <w:p w14:paraId="3394CF45" w14:textId="77777777" w:rsidR="00620BEF" w:rsidRDefault="00620BEF" w:rsidP="00620BEF">
      <w:pPr>
        <w:numPr>
          <w:ilvl w:val="2"/>
          <w:numId w:val="1"/>
        </w:numPr>
        <w:snapToGrid w:val="0"/>
        <w:spacing w:before="60" w:line="360" w:lineRule="auto"/>
        <w:ind w:left="1134" w:hanging="414"/>
        <w:jc w:val="both"/>
        <w:rPr>
          <w:sz w:val="20"/>
          <w:lang w:eastAsia="he-IL"/>
        </w:rPr>
      </w:pPr>
      <w:r>
        <w:rPr>
          <w:sz w:val="20"/>
          <w:rtl/>
          <w:lang w:eastAsia="he-IL"/>
        </w:rPr>
        <w:t xml:space="preserve">עבירת החזקת הסמים, מעצם טיבה וטבעה ברי כי </w:t>
      </w:r>
      <w:r>
        <w:rPr>
          <w:sz w:val="20"/>
          <w:u w:val="single"/>
          <w:rtl/>
          <w:lang w:eastAsia="he-IL"/>
        </w:rPr>
        <w:t>קדם לה תכנון</w:t>
      </w:r>
      <w:r>
        <w:rPr>
          <w:sz w:val="20"/>
          <w:rtl/>
          <w:lang w:eastAsia="he-IL"/>
        </w:rPr>
        <w:t>. לכך יש להוסיף, כאמור לעיל, כי הנאשם הודה ב-</w:t>
      </w:r>
      <w:r>
        <w:rPr>
          <w:rFonts w:ascii="Miriam" w:hAnsi="Miriam" w:cs="Miriam"/>
          <w:b/>
          <w:bCs/>
          <w:sz w:val="18"/>
          <w:szCs w:val="22"/>
          <w:rtl/>
          <w:lang w:eastAsia="he-IL"/>
        </w:rPr>
        <w:t>ת/5</w:t>
      </w:r>
      <w:r>
        <w:rPr>
          <w:sz w:val="20"/>
          <w:rtl/>
          <w:lang w:eastAsia="he-IL"/>
        </w:rPr>
        <w:t xml:space="preserve"> שהחזיק את הסמים בשל מצוקה כלכלית בה היה אותה עת, וקיווה למכור את הסמים כדי להרוויח כסף;</w:t>
      </w:r>
    </w:p>
    <w:p w14:paraId="6EE05D02" w14:textId="77777777" w:rsidR="00620BEF" w:rsidRDefault="00620BEF" w:rsidP="00620BEF">
      <w:pPr>
        <w:numPr>
          <w:ilvl w:val="2"/>
          <w:numId w:val="1"/>
        </w:numPr>
        <w:snapToGrid w:val="0"/>
        <w:spacing w:before="60" w:line="360" w:lineRule="auto"/>
        <w:ind w:left="1134" w:hanging="414"/>
        <w:jc w:val="both"/>
        <w:rPr>
          <w:sz w:val="20"/>
          <w:lang w:eastAsia="he-IL"/>
        </w:rPr>
      </w:pPr>
      <w:r>
        <w:rPr>
          <w:sz w:val="20"/>
          <w:rtl/>
          <w:lang w:eastAsia="he-IL"/>
        </w:rPr>
        <w:t xml:space="preserve">הנאשם הוא </w:t>
      </w:r>
      <w:r>
        <w:rPr>
          <w:sz w:val="20"/>
          <w:u w:val="single"/>
          <w:rtl/>
          <w:lang w:eastAsia="he-IL"/>
        </w:rPr>
        <w:t>המבצע היחיד ומשכך העיקרי</w:t>
      </w:r>
      <w:r>
        <w:rPr>
          <w:sz w:val="20"/>
          <w:rtl/>
          <w:lang w:eastAsia="he-IL"/>
        </w:rPr>
        <w:t>;</w:t>
      </w:r>
    </w:p>
    <w:p w14:paraId="305D18DA" w14:textId="77777777" w:rsidR="00620BEF" w:rsidRDefault="00620BEF" w:rsidP="00620BEF">
      <w:pPr>
        <w:numPr>
          <w:ilvl w:val="2"/>
          <w:numId w:val="1"/>
        </w:numPr>
        <w:snapToGrid w:val="0"/>
        <w:spacing w:before="60" w:line="360" w:lineRule="auto"/>
        <w:ind w:left="1134" w:hanging="414"/>
        <w:jc w:val="both"/>
        <w:rPr>
          <w:sz w:val="18"/>
          <w:szCs w:val="22"/>
          <w:rtl/>
          <w:lang w:eastAsia="he-IL"/>
        </w:rPr>
      </w:pPr>
      <w:r>
        <w:rPr>
          <w:sz w:val="20"/>
          <w:rtl/>
          <w:lang w:eastAsia="he-IL"/>
        </w:rPr>
        <w:t>מדובר בסם מסוכן מסוג חשיש, שאמנם לא נמנה על הסמים המסוכנים שבפקודת הסמים, אולם כאמור לעיל, אין להקל ראש בפגיעתם הרעה, כפי שקבע כב' הש' בן טולילה ב-</w:t>
      </w:r>
      <w:r>
        <w:rPr>
          <w:rFonts w:ascii="Miriam" w:hAnsi="Miriam" w:cs="Miriam"/>
          <w:b/>
          <w:bCs/>
          <w:sz w:val="22"/>
          <w:szCs w:val="22"/>
          <w:rtl/>
          <w:lang w:eastAsia="he-IL"/>
        </w:rPr>
        <w:t>ענין אשורוב</w:t>
      </w:r>
      <w:r>
        <w:rPr>
          <w:rtl/>
        </w:rPr>
        <w:t xml:space="preserve"> - "</w:t>
      </w:r>
      <w:r>
        <w:rPr>
          <w:b/>
          <w:bCs/>
          <w:rtl/>
        </w:rPr>
        <w:t>אין להקל ראש בנזק הגלום באותם סמים אשר מהווים לא אחת צוהר עבור צעירים לעולם אפל זה</w:t>
      </w:r>
      <w:r>
        <w:rPr>
          <w:rtl/>
        </w:rPr>
        <w:t>";</w:t>
      </w:r>
    </w:p>
    <w:p w14:paraId="7E8F383C" w14:textId="77777777" w:rsidR="00620BEF" w:rsidRDefault="00620BEF" w:rsidP="00620BEF">
      <w:pPr>
        <w:numPr>
          <w:ilvl w:val="2"/>
          <w:numId w:val="1"/>
        </w:numPr>
        <w:snapToGrid w:val="0"/>
        <w:spacing w:before="60" w:line="360" w:lineRule="auto"/>
        <w:ind w:left="1134" w:hanging="414"/>
        <w:jc w:val="both"/>
        <w:rPr>
          <w:sz w:val="18"/>
          <w:szCs w:val="22"/>
          <w:lang w:eastAsia="he-IL"/>
        </w:rPr>
      </w:pPr>
      <w:r>
        <w:rPr>
          <w:sz w:val="20"/>
          <w:u w:val="single"/>
          <w:rtl/>
          <w:lang w:eastAsia="he-IL"/>
        </w:rPr>
        <w:t>כמות הסם</w:t>
      </w:r>
      <w:r>
        <w:rPr>
          <w:sz w:val="20"/>
          <w:rtl/>
          <w:lang w:eastAsia="he-IL"/>
        </w:rPr>
        <w:t xml:space="preserve"> לא נמצאת ברף הגבוה של עבירות החזקת סם, אולם מדובר בפלטת חשיש בכמות שהיא כמעט פי 7 מהכמות שנקבע לשימוש עצמי ב-</w:t>
      </w:r>
      <w:r>
        <w:rPr>
          <w:rFonts w:ascii="Miriam" w:hAnsi="Miriam" w:cs="Miriam"/>
          <w:b/>
          <w:bCs/>
          <w:sz w:val="18"/>
          <w:szCs w:val="22"/>
          <w:rtl/>
          <w:lang w:eastAsia="he-IL"/>
        </w:rPr>
        <w:t>פקודת הסמים</w:t>
      </w:r>
      <w:r>
        <w:rPr>
          <w:sz w:val="20"/>
          <w:rtl/>
          <w:lang w:eastAsia="he-IL"/>
        </w:rPr>
        <w:t>. כפי שקבע כב' הש' בן טולילה ב-</w:t>
      </w:r>
      <w:r>
        <w:rPr>
          <w:rFonts w:ascii="Miriam" w:hAnsi="Miriam" w:cs="Miriam"/>
          <w:b/>
          <w:bCs/>
          <w:sz w:val="22"/>
          <w:szCs w:val="22"/>
          <w:rtl/>
          <w:lang w:eastAsia="he-IL"/>
        </w:rPr>
        <w:t>ענין אשורוב</w:t>
      </w:r>
      <w:r>
        <w:rPr>
          <w:rtl/>
        </w:rPr>
        <w:t xml:space="preserve"> - </w:t>
      </w:r>
      <w:r>
        <w:rPr>
          <w:sz w:val="18"/>
          <w:szCs w:val="22"/>
          <w:rtl/>
          <w:lang w:eastAsia="he-IL"/>
        </w:rPr>
        <w:t>"</w:t>
      </w:r>
      <w:r>
        <w:rPr>
          <w:rFonts w:ascii="Calibri" w:eastAsia="Calibri" w:hAnsi="Calibri"/>
          <w:b/>
          <w:bCs/>
          <w:rtl/>
          <w:lang w:eastAsia="he-IL"/>
        </w:rPr>
        <w:t>ברי כי ככל שכמות הסם גדלה כך גם עונשו של הנאשם חמור יותר יחד עם זאת אין לדבר על יחס ליניארי ישיר וקשיח בין כמות הסם לעונש</w:t>
      </w:r>
      <w:r>
        <w:rPr>
          <w:rFonts w:ascii="Calibri" w:eastAsia="Calibri" w:hAnsi="Calibri"/>
          <w:rtl/>
          <w:lang w:eastAsia="he-IL"/>
        </w:rPr>
        <w:t>";</w:t>
      </w:r>
    </w:p>
    <w:p w14:paraId="576D5C38" w14:textId="77777777" w:rsidR="00620BEF" w:rsidRDefault="00620BEF" w:rsidP="00620BEF">
      <w:pPr>
        <w:numPr>
          <w:ilvl w:val="2"/>
          <w:numId w:val="1"/>
        </w:numPr>
        <w:snapToGrid w:val="0"/>
        <w:spacing w:before="60" w:line="360" w:lineRule="auto"/>
        <w:ind w:left="1134" w:hanging="414"/>
        <w:jc w:val="both"/>
        <w:rPr>
          <w:sz w:val="20"/>
          <w:lang w:eastAsia="he-IL"/>
        </w:rPr>
      </w:pPr>
      <w:r>
        <w:rPr>
          <w:sz w:val="20"/>
          <w:u w:val="single"/>
          <w:rtl/>
          <w:lang w:eastAsia="he-IL"/>
        </w:rPr>
        <w:t>נסיבות החזקת הסם</w:t>
      </w:r>
      <w:r>
        <w:rPr>
          <w:sz w:val="20"/>
          <w:rtl/>
          <w:lang w:eastAsia="he-IL"/>
        </w:rPr>
        <w:t xml:space="preserve"> - הסם הוחזק בשעת לילה מאוחרת, ברכב הנאשם, עת נסע בו בעיר רהט, שהיא לא מקום מגוריו. למעשה הנאשם נתפס במרחק לא מבוטל מביתו. פלטת החשיש נתפסה תחת מושב הנוסע שליד הנהג. לא רק שהנאשם לא טען כי החזיק את הסם לצריכתו העצמית, אלא שהנאשם טען כי מעולם לא עשה שימוש בסמים. כאמור לעיל, בחקירתו </w:t>
      </w:r>
      <w:r>
        <w:rPr>
          <w:rFonts w:ascii="Miriam" w:hAnsi="Miriam" w:cs="Miriam"/>
          <w:b/>
          <w:bCs/>
          <w:sz w:val="22"/>
          <w:szCs w:val="22"/>
          <w:rtl/>
        </w:rPr>
        <w:t>ת/5</w:t>
      </w:r>
      <w:r>
        <w:rPr>
          <w:sz w:val="20"/>
          <w:rtl/>
          <w:lang w:eastAsia="he-IL"/>
        </w:rPr>
        <w:t xml:space="preserve"> אף הודה כי ביקש למכור את פלטת החשיש שנתפסה ברכבו. </w:t>
      </w:r>
      <w:r>
        <w:rPr>
          <w:rtl/>
        </w:rPr>
        <w:t>מכאן מתחזקת המסקנה כי הסם המסוכן נועד למצוא דרכו אל הצרכנים השונים.</w:t>
      </w:r>
      <w:r>
        <w:rPr>
          <w:sz w:val="20"/>
          <w:rtl/>
          <w:lang w:eastAsia="he-IL"/>
        </w:rPr>
        <w:t xml:space="preserve"> בענין זה אין לי אלא להפנות לקביעת </w:t>
      </w:r>
      <w:r>
        <w:rPr>
          <w:rtl/>
        </w:rPr>
        <w:t>המשנה לנשיאה, כב' הש' רובינשטיין, בפסקה ד'</w:t>
      </w:r>
      <w:r>
        <w:rPr>
          <w:rFonts w:ascii="David" w:hAnsi="David"/>
          <w:rtl/>
        </w:rPr>
        <w:t xml:space="preserve"> לפסק דינו ב-</w:t>
      </w:r>
      <w:hyperlink r:id="rId47" w:history="1">
        <w:r w:rsidR="00307D39" w:rsidRPr="00307D39">
          <w:rPr>
            <w:rFonts w:ascii="David" w:hAnsi="David"/>
            <w:color w:val="0000FF"/>
            <w:u w:val="single"/>
            <w:rtl/>
          </w:rPr>
          <w:t>ע"פ 6277/14</w:t>
        </w:r>
      </w:hyperlink>
      <w:r>
        <w:rPr>
          <w:rFonts w:ascii="David" w:hAnsi="David"/>
          <w:rtl/>
        </w:rPr>
        <w:t xml:space="preserve"> </w:t>
      </w:r>
      <w:r>
        <w:rPr>
          <w:rFonts w:ascii="Miriam" w:hAnsi="Miriam" w:cs="Miriam"/>
          <w:b/>
          <w:bCs/>
          <w:sz w:val="22"/>
          <w:szCs w:val="22"/>
          <w:rtl/>
        </w:rPr>
        <w:t>משלטי נ' מדינת ישראל</w:t>
      </w:r>
      <w:r>
        <w:rPr>
          <w:rFonts w:ascii="David" w:hAnsi="David"/>
          <w:rtl/>
        </w:rPr>
        <w:t xml:space="preserve"> (2.2.15), אשר אמנם התייחסה לסם אחר, אולם בהינתן נסיבות החזקת הסם וטענת הנאשם כי לא עושה ולא עשה כל שימוש בסמים לצריכתו העצמית - רלוונטית גם לענייננו בשינויים המחויבים </w:t>
      </w:r>
      <w:r>
        <w:rPr>
          <w:rFonts w:ascii="Arial" w:hAnsi="Arial"/>
          <w:b/>
          <w:bCs/>
          <w:sz w:val="20"/>
          <w:rtl/>
          <w:lang w:eastAsia="he-IL"/>
        </w:rPr>
        <w:t>"אין צורך בניחוש יתר כדי להניח כי הקוקאין שנתפס ולצדו שקיות הוכן למטרות מסחריות, להרעיל את הזולת, וזו גישת המחוקק בדברו בהחזקת סמים שלא לצריכה עצמית, אשר העונש המירבי עליה הושווה לשל סחר</w:t>
      </w:r>
      <w:r>
        <w:rPr>
          <w:rFonts w:ascii="Arial" w:hAnsi="Arial"/>
          <w:sz w:val="20"/>
          <w:rtl/>
          <w:lang w:eastAsia="he-IL"/>
        </w:rPr>
        <w:t>";</w:t>
      </w:r>
    </w:p>
    <w:p w14:paraId="1977A517" w14:textId="77777777" w:rsidR="00620BEF" w:rsidRDefault="00620BEF" w:rsidP="00620BEF">
      <w:pPr>
        <w:numPr>
          <w:ilvl w:val="2"/>
          <w:numId w:val="1"/>
        </w:numPr>
        <w:tabs>
          <w:tab w:val="left" w:pos="1134"/>
        </w:tabs>
        <w:spacing w:before="120" w:line="360" w:lineRule="auto"/>
        <w:ind w:left="1134" w:hanging="414"/>
        <w:jc w:val="both"/>
      </w:pPr>
      <w:r>
        <w:rPr>
          <w:rtl/>
        </w:rPr>
        <w:t xml:space="preserve">בהינתן כי הסם המסוכן נתפס </w:t>
      </w:r>
      <w:r>
        <w:rPr>
          <w:u w:val="single"/>
          <w:rtl/>
        </w:rPr>
        <w:t>לא נגרם נזק מביצוע העבירה - אולם הנזק שהיה עלול להיגרם מהחזקת הסם הוא רב</w:t>
      </w:r>
      <w:r>
        <w:rPr>
          <w:rtl/>
        </w:rPr>
        <w:t xml:space="preserve">, בין היתר בהינתן סוג הסם, כמותו ונסיבות החזקתו, כאשר נפסק לא אחת כי עבירת החזקת סמים שלא לצריכה עצמית היא "אחותה" של עבירת הסחר בסמים, כאמור לעיל; </w:t>
      </w:r>
    </w:p>
    <w:p w14:paraId="1E05278B" w14:textId="77777777" w:rsidR="00620BEF" w:rsidRDefault="00620BEF" w:rsidP="00620BEF">
      <w:pPr>
        <w:numPr>
          <w:ilvl w:val="2"/>
          <w:numId w:val="1"/>
        </w:numPr>
        <w:tabs>
          <w:tab w:val="left" w:pos="1134"/>
        </w:tabs>
        <w:spacing w:before="120" w:line="360" w:lineRule="auto"/>
        <w:ind w:left="1134" w:hanging="414"/>
        <w:jc w:val="both"/>
        <w:rPr>
          <w:rtl/>
        </w:rPr>
      </w:pPr>
      <w:r>
        <w:rPr>
          <w:u w:val="single"/>
          <w:rtl/>
        </w:rPr>
        <w:t>הסיבות שהביאו הנאשם לבצע העבירה</w:t>
      </w:r>
      <w:r>
        <w:rPr>
          <w:rtl/>
        </w:rPr>
        <w:t xml:space="preserve"> הן בין היתר בצע כסף, נוכח מצבו הכלכלי הקשה, כפי שעולה מהודאתו </w:t>
      </w:r>
      <w:r>
        <w:rPr>
          <w:rFonts w:ascii="Miriam" w:hAnsi="Miriam" w:cs="Miriam"/>
          <w:b/>
          <w:bCs/>
          <w:sz w:val="22"/>
          <w:szCs w:val="22"/>
          <w:rtl/>
        </w:rPr>
        <w:t>ת/5</w:t>
      </w:r>
      <w:r>
        <w:rPr>
          <w:rtl/>
        </w:rPr>
        <w:t xml:space="preserve">, מתסקיר שירות המבחן ולמעשה מדברי הנאשם וטיעוני בא כוחו לעונש. </w:t>
      </w:r>
    </w:p>
    <w:p w14:paraId="46CABE36" w14:textId="77777777" w:rsidR="00620BEF" w:rsidRDefault="00620BEF" w:rsidP="00620BEF">
      <w:pPr>
        <w:spacing w:before="240" w:line="360" w:lineRule="auto"/>
        <w:jc w:val="both"/>
        <w:rPr>
          <w:rFonts w:ascii="David" w:hAnsi="David"/>
          <w:bCs/>
          <w:rtl/>
        </w:rPr>
      </w:pPr>
      <w:r>
        <w:rPr>
          <w:rFonts w:ascii="David" w:hAnsi="David"/>
          <w:bCs/>
          <w:rtl/>
        </w:rPr>
        <w:t>מתחם העונש ההולם</w:t>
      </w:r>
    </w:p>
    <w:p w14:paraId="6AEFF8BA" w14:textId="77777777" w:rsidR="00620BEF" w:rsidRDefault="00620BEF" w:rsidP="00620BEF">
      <w:pPr>
        <w:numPr>
          <w:ilvl w:val="0"/>
          <w:numId w:val="1"/>
        </w:numPr>
        <w:snapToGrid w:val="0"/>
        <w:spacing w:line="360" w:lineRule="auto"/>
        <w:ind w:left="357" w:hanging="357"/>
        <w:jc w:val="both"/>
        <w:rPr>
          <w:b/>
          <w:sz w:val="20"/>
          <w:lang w:eastAsia="he-IL"/>
        </w:rPr>
      </w:pPr>
      <w:r>
        <w:rPr>
          <w:b/>
          <w:sz w:val="20"/>
          <w:rtl/>
          <w:lang w:eastAsia="he-IL"/>
        </w:rPr>
        <w:t>בקביעת מתחם העונש ההולם נתתי דעתי גם להנחיות ראש חטיבת התביעות "</w:t>
      </w:r>
      <w:r>
        <w:rPr>
          <w:bCs/>
          <w:sz w:val="20"/>
          <w:rtl/>
          <w:lang w:eastAsia="he-IL"/>
        </w:rPr>
        <w:t>הכוונת שיקול הדעת התביעתי בגיבוש מתחמי עונש הולם ועתירה עונשית</w:t>
      </w:r>
      <w:r>
        <w:rPr>
          <w:b/>
          <w:sz w:val="20"/>
          <w:rtl/>
          <w:lang w:eastAsia="he-IL"/>
        </w:rPr>
        <w:t xml:space="preserve">" מיום 15.3.20 (מוצג </w:t>
      </w:r>
      <w:r>
        <w:rPr>
          <w:rFonts w:ascii="Miriam" w:hAnsi="Miriam" w:cs="Miriam"/>
          <w:b/>
          <w:bCs/>
          <w:color w:val="000000"/>
          <w:sz w:val="22"/>
          <w:szCs w:val="22"/>
          <w:rtl/>
        </w:rPr>
        <w:t>ה/13</w:t>
      </w:r>
      <w:r>
        <w:rPr>
          <w:b/>
          <w:sz w:val="20"/>
          <w:rtl/>
          <w:lang w:eastAsia="he-IL"/>
        </w:rPr>
        <w:t xml:space="preserve"> מיום 20.7.21) ולדין וחשבון הצוות הבין משרדי לבחינת המדיניות בנוגע לאיסור על צריכת קנאביס בישראל (מוצג </w:t>
      </w:r>
      <w:r>
        <w:rPr>
          <w:rFonts w:ascii="Miriam" w:hAnsi="Miriam" w:cs="Miriam"/>
          <w:b/>
          <w:bCs/>
          <w:color w:val="000000"/>
          <w:sz w:val="22"/>
          <w:szCs w:val="22"/>
          <w:rtl/>
        </w:rPr>
        <w:t>ה/14</w:t>
      </w:r>
      <w:r>
        <w:rPr>
          <w:b/>
          <w:sz w:val="20"/>
          <w:rtl/>
          <w:lang w:eastAsia="he-IL"/>
        </w:rPr>
        <w:t xml:space="preserve"> מיום 20.7.21). לצד זאת יש לזכור כי מדובר בהמלצות ולא בהנחיות המחייבות את בית המשפט. זאת ועוד, בסעיף 6 ל-</w:t>
      </w:r>
      <w:r>
        <w:rPr>
          <w:rFonts w:ascii="Miriam" w:hAnsi="Miriam" w:cs="Miriam"/>
          <w:b/>
          <w:bCs/>
          <w:sz w:val="18"/>
          <w:szCs w:val="22"/>
          <w:rtl/>
          <w:lang w:eastAsia="he-IL"/>
        </w:rPr>
        <w:t>ה/13</w:t>
      </w:r>
      <w:r>
        <w:rPr>
          <w:b/>
          <w:sz w:val="20"/>
          <w:rtl/>
          <w:lang w:eastAsia="he-IL"/>
        </w:rPr>
        <w:t xml:space="preserve"> נרשם "</w:t>
      </w:r>
      <w:r>
        <w:rPr>
          <w:b/>
          <w:i/>
          <w:iCs/>
          <w:sz w:val="20"/>
          <w:rtl/>
          <w:lang w:eastAsia="he-IL"/>
        </w:rPr>
        <w:t xml:space="preserve">יודגש, כי מתחמי העונש ההולם הנקובים בטבלה תכליתם </w:t>
      </w:r>
      <w:r>
        <w:rPr>
          <w:bCs/>
          <w:i/>
          <w:iCs/>
          <w:sz w:val="20"/>
          <w:rtl/>
          <w:lang w:eastAsia="he-IL"/>
        </w:rPr>
        <w:t>להכווין</w:t>
      </w:r>
      <w:r>
        <w:rPr>
          <w:b/>
          <w:i/>
          <w:iCs/>
          <w:sz w:val="20"/>
          <w:rtl/>
          <w:lang w:eastAsia="he-IL"/>
        </w:rPr>
        <w:t xml:space="preserve"> את שיקול הדעת התביעתי המופעל בכל תיק ותיק בהתאם לנסיבותיו ואין לראות באלו כמתחמי עונש קשיחים שלאורם יש לפעול בכל מקרה ומקרה</w:t>
      </w:r>
      <w:r>
        <w:rPr>
          <w:b/>
          <w:sz w:val="20"/>
          <w:rtl/>
          <w:lang w:eastAsia="he-IL"/>
        </w:rPr>
        <w:t>" (ההדגשה במקור, הקו התחתון לא במקור - זד"ל). כך, ובהתאם לכך, ההמלצה היא כי במקרה בו מדובר בנסיבות קלות של החזקת סם מסוג חשיש עתירת התביעה תהיה למתחם 4-12 חודשי מאסר בפועל ואילו בנסיבות מחמירות עתירת התביעה תהיה למתחם 10-24 חודשי מאסר בפועל. לצד אלו נרשם בטבלה ב-</w:t>
      </w:r>
      <w:r>
        <w:rPr>
          <w:rFonts w:ascii="Miriam" w:hAnsi="Miriam" w:cs="Miriam"/>
          <w:b/>
          <w:bCs/>
          <w:color w:val="000000"/>
          <w:sz w:val="22"/>
          <w:szCs w:val="22"/>
          <w:rtl/>
        </w:rPr>
        <w:t>ה/13</w:t>
      </w:r>
      <w:r>
        <w:rPr>
          <w:b/>
          <w:sz w:val="20"/>
          <w:rtl/>
          <w:lang w:eastAsia="he-IL"/>
        </w:rPr>
        <w:t xml:space="preserve"> כי "</w:t>
      </w:r>
      <w:r>
        <w:rPr>
          <w:bCs/>
          <w:sz w:val="20"/>
          <w:rtl/>
          <w:lang w:eastAsia="he-IL"/>
        </w:rPr>
        <w:t>בנוסף יש לעתור להטלת מע"ת, קנס ופסילת רישיון בהתאם לסעיף 37א לפקודת הסמים וחילוט</w:t>
      </w:r>
      <w:r>
        <w:rPr>
          <w:b/>
          <w:sz w:val="20"/>
          <w:rtl/>
          <w:lang w:eastAsia="he-IL"/>
        </w:rPr>
        <w:t xml:space="preserve">". עוד נרשם בטבלה, כי במסגרת הנסיבות יש להתחשב בכמות הסם, מיקום העבירה, אורח חיים עברייני של הנאשם וכיוב'. </w:t>
      </w:r>
    </w:p>
    <w:p w14:paraId="1325F2FB" w14:textId="77777777" w:rsidR="00620BEF" w:rsidRDefault="00620BEF" w:rsidP="00620BEF">
      <w:pPr>
        <w:numPr>
          <w:ilvl w:val="0"/>
          <w:numId w:val="1"/>
        </w:numPr>
        <w:snapToGrid w:val="0"/>
        <w:spacing w:before="240" w:line="360" w:lineRule="auto"/>
        <w:ind w:left="357" w:hanging="357"/>
        <w:jc w:val="both"/>
        <w:rPr>
          <w:b/>
          <w:sz w:val="20"/>
          <w:lang w:eastAsia="he-IL"/>
        </w:rPr>
      </w:pPr>
      <w:r>
        <w:rPr>
          <w:sz w:val="20"/>
          <w:rtl/>
          <w:lang w:eastAsia="he-IL"/>
        </w:rPr>
        <w:t xml:space="preserve">הנאשם הורשע בעבירה אחת המהווה אירוע אחד, ומשכך אני קובעת מתחם עונש הולם </w:t>
      </w:r>
      <w:r>
        <w:rPr>
          <w:b/>
          <w:sz w:val="20"/>
          <w:rtl/>
          <w:lang w:eastAsia="he-IL"/>
        </w:rPr>
        <w:t xml:space="preserve">לאירוע כולו, </w:t>
      </w:r>
      <w:r>
        <w:rPr>
          <w:sz w:val="20"/>
          <w:rtl/>
          <w:lang w:eastAsia="he-IL"/>
        </w:rPr>
        <w:t>תוך התחשבות במספר העבירות ובזיקה ביניהן</w:t>
      </w:r>
      <w:r>
        <w:rPr>
          <w:rtl/>
        </w:rPr>
        <w:t xml:space="preserve">, כמתחם </w:t>
      </w:r>
      <w:r>
        <w:rPr>
          <w:b/>
          <w:bCs/>
          <w:rtl/>
        </w:rPr>
        <w:t>4-12 חודשי מאסר בפועל, לצד ענישה נלווית, הכוללת מאסרים מותנים, פסילה בפועל ועל תנאי, ועונשים כלכליים, הכוללים קנס והתחייבות</w:t>
      </w:r>
      <w:r>
        <w:rPr>
          <w:rtl/>
        </w:rPr>
        <w:t>.</w:t>
      </w:r>
      <w:r>
        <w:rPr>
          <w:b/>
          <w:sz w:val="20"/>
          <w:rtl/>
          <w:lang w:eastAsia="he-IL"/>
        </w:rPr>
        <w:t xml:space="preserve"> מתחם הקנס יקבע בנפרד כמפורט להלן. </w:t>
      </w:r>
    </w:p>
    <w:p w14:paraId="31E740F4" w14:textId="77777777" w:rsidR="00620BEF" w:rsidRDefault="00620BEF" w:rsidP="00620BEF">
      <w:pPr>
        <w:numPr>
          <w:ilvl w:val="0"/>
          <w:numId w:val="1"/>
        </w:numPr>
        <w:snapToGrid w:val="0"/>
        <w:spacing w:before="240" w:line="360" w:lineRule="auto"/>
        <w:ind w:left="357" w:hanging="357"/>
        <w:jc w:val="both"/>
        <w:rPr>
          <w:b/>
          <w:sz w:val="20"/>
          <w:lang w:eastAsia="he-IL"/>
        </w:rPr>
      </w:pPr>
      <w:r>
        <w:rPr>
          <w:sz w:val="20"/>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48" w:history="1">
        <w:r w:rsidR="002E7923" w:rsidRPr="002E7923">
          <w:rPr>
            <w:rStyle w:val="Hyperlink"/>
            <w:sz w:val="20"/>
            <w:rtl/>
            <w:lang w:eastAsia="he-IL"/>
          </w:rPr>
          <w:t>לסעיף 40ח</w:t>
        </w:r>
      </w:hyperlink>
      <w:r>
        <w:rPr>
          <w:sz w:val="20"/>
          <w:rtl/>
          <w:lang w:eastAsia="he-IL"/>
        </w:rPr>
        <w:t xml:space="preserve"> ל</w:t>
      </w:r>
      <w:hyperlink r:id="rId49" w:history="1">
        <w:r w:rsidR="00307D39" w:rsidRPr="00307D39">
          <w:rPr>
            <w:rFonts w:ascii="Miriam" w:hAnsi="Miriam" w:cs="Miriam"/>
            <w:b/>
            <w:bCs/>
            <w:color w:val="0000FF"/>
            <w:sz w:val="22"/>
            <w:szCs w:val="22"/>
            <w:u w:val="single"/>
            <w:rtl/>
            <w:lang w:eastAsia="he-IL"/>
          </w:rPr>
          <w:t>חוק העונשין</w:t>
        </w:r>
      </w:hyperlink>
      <w:r>
        <w:rPr>
          <w:sz w:val="20"/>
          <w:rtl/>
          <w:lang w:eastAsia="he-IL"/>
        </w:rPr>
        <w:t xml:space="preserve">, התחשבתי במצבו הכלכלי הנטען של הנאשם בקביעת מתחם הקנס, שכן כאשר מדובר בעונש של קנס אין דין פלוני כאלמוני. משכך, אני קובעת כי </w:t>
      </w:r>
      <w:r>
        <w:rPr>
          <w:b/>
          <w:bCs/>
          <w:sz w:val="20"/>
          <w:rtl/>
          <w:lang w:eastAsia="he-IL"/>
        </w:rPr>
        <w:t>מתחם הקנס, בהתאם למנעד שבמדיניות הענישה הנוהגת, נע בין 2,000 ₪ ל-20,000 ₪</w:t>
      </w:r>
      <w:r>
        <w:rPr>
          <w:sz w:val="20"/>
          <w:rtl/>
          <w:lang w:eastAsia="he-IL"/>
        </w:rPr>
        <w:t xml:space="preserve">. </w:t>
      </w:r>
    </w:p>
    <w:p w14:paraId="0FB3AC35" w14:textId="77777777" w:rsidR="00620BEF" w:rsidRDefault="00620BEF" w:rsidP="00620BEF">
      <w:pPr>
        <w:numPr>
          <w:ilvl w:val="0"/>
          <w:numId w:val="1"/>
        </w:numPr>
        <w:snapToGrid w:val="0"/>
        <w:spacing w:before="240" w:line="360" w:lineRule="auto"/>
        <w:ind w:left="357" w:hanging="357"/>
        <w:jc w:val="both"/>
        <w:rPr>
          <w:b/>
          <w:sz w:val="20"/>
          <w:lang w:eastAsia="he-IL"/>
        </w:rPr>
      </w:pPr>
      <w:r>
        <w:rPr>
          <w:sz w:val="20"/>
          <w:rtl/>
          <w:lang w:eastAsia="he-IL"/>
        </w:rPr>
        <w:t xml:space="preserve">כפי שנקבע בפסיקה ובהתאם להוראות </w:t>
      </w:r>
      <w:hyperlink r:id="rId50" w:history="1">
        <w:r w:rsidR="002E7923" w:rsidRPr="002E7923">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בסם מסוכן יש חשיבות לפסילה, כאשר </w:t>
      </w:r>
      <w:r w:rsidRPr="001B1A15">
        <w:rPr>
          <w:b/>
          <w:bCs/>
          <w:sz w:val="20"/>
          <w:rtl/>
          <w:lang w:eastAsia="he-IL"/>
        </w:rPr>
        <w:t>מתחם הפסילה נע בין פסילה מותנית לבין שנת פסילה בפועל</w:t>
      </w:r>
      <w:r>
        <w:rPr>
          <w:sz w:val="20"/>
          <w:rtl/>
          <w:lang w:eastAsia="he-IL"/>
        </w:rPr>
        <w:t>.</w:t>
      </w:r>
    </w:p>
    <w:p w14:paraId="7AE21F61" w14:textId="77777777" w:rsidR="00620BEF" w:rsidRDefault="00620BEF" w:rsidP="00620BEF">
      <w:pPr>
        <w:spacing w:before="240" w:line="360" w:lineRule="auto"/>
        <w:jc w:val="both"/>
        <w:rPr>
          <w:rFonts w:ascii="David" w:hAnsi="David"/>
          <w:bCs/>
        </w:rPr>
      </w:pPr>
      <w:r>
        <w:rPr>
          <w:rFonts w:ascii="David" w:hAnsi="David"/>
          <w:bCs/>
          <w:rtl/>
        </w:rPr>
        <w:t>גזירת העונש המתאים לנאשם במסגרת המתחם</w:t>
      </w:r>
    </w:p>
    <w:p w14:paraId="4FDAB9EF" w14:textId="77777777" w:rsidR="00620BEF" w:rsidRDefault="00620BEF" w:rsidP="00620BEF">
      <w:pPr>
        <w:numPr>
          <w:ilvl w:val="0"/>
          <w:numId w:val="1"/>
        </w:numPr>
        <w:snapToGrid w:val="0"/>
        <w:spacing w:line="360" w:lineRule="auto"/>
        <w:ind w:left="357" w:hanging="357"/>
        <w:jc w:val="both"/>
        <w:rPr>
          <w:sz w:val="20"/>
          <w:rtl/>
          <w:lang w:eastAsia="he-IL"/>
        </w:rPr>
      </w:pPr>
      <w:r>
        <w:rPr>
          <w:sz w:val="20"/>
          <w:rtl/>
          <w:lang w:eastAsia="he-IL"/>
        </w:rPr>
        <w:t xml:space="preserve">בגזירת העונש המתאים לנאשם התחשבתי, בהתאם </w:t>
      </w:r>
      <w:hyperlink r:id="rId51" w:history="1">
        <w:r w:rsidR="002E7923" w:rsidRPr="002E7923">
          <w:rPr>
            <w:rStyle w:val="Hyperlink"/>
            <w:sz w:val="20"/>
            <w:rtl/>
            <w:lang w:eastAsia="he-IL"/>
          </w:rPr>
          <w:t>לסעיף 40ג(ב)</w:t>
        </w:r>
      </w:hyperlink>
      <w:r>
        <w:rPr>
          <w:sz w:val="20"/>
          <w:rtl/>
          <w:lang w:eastAsia="he-IL"/>
        </w:rPr>
        <w:t xml:space="preserve"> ל</w:t>
      </w:r>
      <w:hyperlink r:id="rId52" w:history="1">
        <w:r w:rsidR="00307D39" w:rsidRPr="00307D39">
          <w:rPr>
            <w:rFonts w:ascii="Miriam" w:hAnsi="Miriam" w:cs="Miriam"/>
            <w:b/>
            <w:bCs/>
            <w:color w:val="0000FF"/>
            <w:sz w:val="18"/>
            <w:szCs w:val="22"/>
            <w:u w:val="single"/>
            <w:rtl/>
            <w:lang w:eastAsia="he-IL"/>
          </w:rPr>
          <w:t>חוק העונשין</w:t>
        </w:r>
      </w:hyperlink>
      <w:r>
        <w:rPr>
          <w:rFonts w:ascii="Miriam" w:hAnsi="Miriam" w:cs="Miriam"/>
          <w:b/>
          <w:bCs/>
          <w:sz w:val="18"/>
          <w:szCs w:val="22"/>
          <w:rtl/>
          <w:lang w:eastAsia="he-IL"/>
        </w:rPr>
        <w:t xml:space="preserve">, </w:t>
      </w:r>
      <w:r>
        <w:rPr>
          <w:sz w:val="20"/>
          <w:rtl/>
          <w:lang w:eastAsia="he-IL"/>
        </w:rPr>
        <w:t xml:space="preserve">בנסיבות שאינן קשורות בביצוע העבירה כאמור </w:t>
      </w:r>
      <w:hyperlink r:id="rId53" w:history="1">
        <w:r w:rsidR="002E7923" w:rsidRPr="002E7923">
          <w:rPr>
            <w:rStyle w:val="Hyperlink"/>
            <w:sz w:val="20"/>
            <w:rtl/>
            <w:lang w:eastAsia="he-IL"/>
          </w:rPr>
          <w:t>בסעיף 40יא</w:t>
        </w:r>
      </w:hyperlink>
      <w:r>
        <w:rPr>
          <w:sz w:val="20"/>
          <w:rtl/>
          <w:lang w:eastAsia="he-IL"/>
        </w:rPr>
        <w:t xml:space="preserve"> ל</w:t>
      </w:r>
      <w:r>
        <w:rPr>
          <w:rFonts w:ascii="Miriam" w:hAnsi="Miriam" w:cs="Miriam"/>
          <w:b/>
          <w:bCs/>
          <w:sz w:val="18"/>
          <w:szCs w:val="22"/>
          <w:rtl/>
          <w:lang w:eastAsia="he-IL"/>
        </w:rPr>
        <w:t>חוק העונשין</w:t>
      </w:r>
      <w:r>
        <w:rPr>
          <w:sz w:val="20"/>
          <w:rtl/>
          <w:lang w:eastAsia="he-IL"/>
        </w:rPr>
        <w:t xml:space="preserve"> - </w:t>
      </w:r>
    </w:p>
    <w:p w14:paraId="151BDCAB"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הפגיעה של העונש בנאשם, לרבות בשל גילו</w:t>
      </w:r>
      <w:r>
        <w:rPr>
          <w:rFonts w:ascii="David" w:hAnsi="David"/>
          <w:color w:val="000000"/>
          <w:rtl/>
        </w:rPr>
        <w:t xml:space="preserve"> - </w:t>
      </w:r>
      <w:r>
        <w:rPr>
          <w:sz w:val="20"/>
          <w:rtl/>
          <w:lang w:eastAsia="he-IL"/>
        </w:rPr>
        <w:t xml:space="preserve">הנאשם כבן 38, גרוש ואב ל-6 ילדים. מטיעוני ב"כ הנאשם עולה כי הנאשם משלם מזונות עבור חמשת ילדיו </w:t>
      </w:r>
      <w:r>
        <w:rPr>
          <w:rtl/>
        </w:rPr>
        <w:t xml:space="preserve">ונמצא בימים אלה בהסדרת מעמד אשתו והילד השישי, שנולד לאחרונה. </w:t>
      </w:r>
      <w:r>
        <w:rPr>
          <w:sz w:val="20"/>
          <w:rtl/>
          <w:lang w:eastAsia="he-IL"/>
        </w:rPr>
        <w:t xml:space="preserve">הנאשם המפרנס העיקרי והחמרה בעונש תקשה על הנאשם לתמוך בילדיו ולסייע להם. </w:t>
      </w:r>
      <w:r>
        <w:rPr>
          <w:rFonts w:ascii="David" w:hAnsi="David"/>
          <w:color w:val="000000"/>
          <w:rtl/>
        </w:rPr>
        <w:t>זאת ועוד,</w:t>
      </w:r>
      <w:r>
        <w:rPr>
          <w:rtl/>
        </w:rPr>
        <w:t xml:space="preserve"> הרשעת הנאשם תקשה על מימוש שאיפת הנאשם </w:t>
      </w:r>
      <w:r>
        <w:rPr>
          <w:rFonts w:ascii="David" w:hAnsi="David"/>
          <w:rtl/>
        </w:rPr>
        <w:t>להתגייס למשטרה ליחידות מובחרות</w:t>
      </w:r>
      <w:r>
        <w:rPr>
          <w:sz w:val="20"/>
          <w:rtl/>
          <w:lang w:eastAsia="he-IL"/>
        </w:rPr>
        <w:t>. הנאשם ביקש מבית המשפט התחשבות, מתן הזדמנות והקלה בענישה;</w:t>
      </w:r>
      <w:r>
        <w:rPr>
          <w:rFonts w:ascii="David" w:hAnsi="David"/>
          <w:color w:val="000000"/>
          <w:rtl/>
        </w:rPr>
        <w:t xml:space="preserve"> </w:t>
      </w:r>
    </w:p>
    <w:p w14:paraId="68ED539A"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הפגיעה של העונש במשפחת הנאשם</w:t>
      </w:r>
      <w:r>
        <w:rPr>
          <w:rFonts w:ascii="David" w:hAnsi="David"/>
          <w:color w:val="000000"/>
          <w:rtl/>
        </w:rPr>
        <w:t xml:space="preserve"> -</w:t>
      </w:r>
      <w:r>
        <w:rPr>
          <w:rFonts w:ascii="David" w:hAnsi="David"/>
          <w:color w:val="000000"/>
        </w:rPr>
        <w:t xml:space="preserve">  </w:t>
      </w:r>
      <w:r>
        <w:rPr>
          <w:rFonts w:ascii="David" w:hAnsi="David"/>
          <w:color w:val="000000"/>
          <w:rtl/>
        </w:rPr>
        <w:t>בטיעונים לעונש טען ב"כ הנאשם כי הנאשם המפרנס העיקרי וכן הוא זה שמכלכל את ששת ילדיו. עוד ציין כי בתו הקטינה של הנאשם נפצעה בתאונת דרכים בעקבותיה כמעט ואיבדה את חייה וכיום סובלת מנכות (</w:t>
      </w:r>
      <w:r>
        <w:rPr>
          <w:rFonts w:ascii="Miriam" w:hAnsi="Miriam" w:cs="Miriam"/>
          <w:b/>
          <w:bCs/>
          <w:color w:val="000000"/>
          <w:sz w:val="22"/>
          <w:szCs w:val="22"/>
          <w:rtl/>
        </w:rPr>
        <w:t>צילום תעודת נכה - ה/11</w:t>
      </w:r>
      <w:r>
        <w:rPr>
          <w:rFonts w:ascii="David" w:hAnsi="David"/>
          <w:color w:val="000000"/>
          <w:rtl/>
        </w:rPr>
        <w:t>), כן ציין בא כוחו כי גם בנו של הנאשם סובל אף הוא מנכות (</w:t>
      </w:r>
      <w:r>
        <w:rPr>
          <w:rFonts w:ascii="Miriam" w:hAnsi="Miriam" w:cs="Miriam"/>
          <w:b/>
          <w:bCs/>
          <w:color w:val="000000"/>
          <w:sz w:val="22"/>
          <w:szCs w:val="22"/>
          <w:rtl/>
        </w:rPr>
        <w:t>צילום תעודת נכה - ה/10</w:t>
      </w:r>
      <w:r>
        <w:rPr>
          <w:rFonts w:ascii="David" w:hAnsi="David"/>
          <w:color w:val="000000"/>
          <w:rtl/>
        </w:rPr>
        <w:t>). לטענת ב"כ הנאשם, פסילת רישיון הנהיגה של הנאשם תהווה פגיעה ישירה בילדיו הקטינים של הנאשם, שכן הנאשם מסייע להם להתנייד ולהגיע לטיפולים. שלילת רישיונו של הנאשם תפגע בפרנסתו, שכן הנאשם עובד כנהג, ופסילה תהווה למעשה מכתב פיטורין מאותו מקום עבודה ועל כן יש להסתפק בפסילה על תנאי.</w:t>
      </w:r>
    </w:p>
    <w:p w14:paraId="73AD1FB9" w14:textId="77777777" w:rsidR="00620BEF" w:rsidRDefault="00620BEF" w:rsidP="00620BEF">
      <w:pPr>
        <w:pStyle w:val="a9"/>
        <w:tabs>
          <w:tab w:val="left" w:pos="850"/>
        </w:tabs>
        <w:spacing w:before="60" w:line="360" w:lineRule="auto"/>
        <w:ind w:left="845"/>
        <w:contextualSpacing w:val="0"/>
        <w:jc w:val="both"/>
        <w:rPr>
          <w:rFonts w:ascii="David" w:hAnsi="David"/>
          <w:color w:val="000000"/>
        </w:rPr>
      </w:pPr>
      <w:r>
        <w:rPr>
          <w:rFonts w:ascii="David" w:hAnsi="David"/>
          <w:color w:val="000000"/>
          <w:rtl/>
        </w:rPr>
        <w:t xml:space="preserve">במסגרת הטיעונים לעונש הציג ב"כ הנאשם תמונות של בת הנאשם לאחר פציעתה מהתאונה וכתבה בנושא. יש להניח כי ב"כ הנאשם ביקש בדרך זו ללמד על הפגיעה הקשה שנגרמה לבת הנאשם בתאונה מתוך תקווה כי תמונות קשות אלו יביאו להקלה בעונשו של הנאשם. כפי שציינתי, מדובר בתמונות קשות ובתאונה שגבתה מחירים קשים מבת הנאשם ומהנאשם עצמו. דברים אלו נלקחו בחשבון כאמור לעיל מבחינת הפגיעה של העונש במשפחת הנאשם. לצד זאת לא למותר לציין כי מעבר לחמלה שתמונות אלו מעוררות בקרב מי שמעיין בהן, אין בהן, כשלעצמן, כדי להוסיף על טיעוני ההגנה לעונש. קל וחומר כאשר מדובר בתאונה שהתרחשה זמן רב לאחר ביצוע העבירה. לא למותר לציין כי הכתבה היא עדות שמועה שאין בה כדי לשפוך אור נוסף על המתואר במוצגים </w:t>
      </w:r>
      <w:r>
        <w:rPr>
          <w:rFonts w:ascii="Miriam" w:hAnsi="Miriam" w:cs="Miriam"/>
          <w:b/>
          <w:bCs/>
          <w:color w:val="000000"/>
          <w:sz w:val="22"/>
          <w:szCs w:val="22"/>
          <w:rtl/>
        </w:rPr>
        <w:t>ה/1</w:t>
      </w:r>
      <w:r>
        <w:rPr>
          <w:rFonts w:ascii="David" w:hAnsi="David"/>
          <w:color w:val="000000"/>
          <w:rtl/>
        </w:rPr>
        <w:t xml:space="preserve">, </w:t>
      </w:r>
      <w:r>
        <w:rPr>
          <w:rFonts w:ascii="Miriam" w:hAnsi="Miriam" w:cs="Miriam"/>
          <w:b/>
          <w:bCs/>
          <w:color w:val="000000"/>
          <w:sz w:val="22"/>
          <w:szCs w:val="22"/>
          <w:rtl/>
        </w:rPr>
        <w:t>ה/2</w:t>
      </w:r>
      <w:r>
        <w:rPr>
          <w:rFonts w:ascii="David" w:hAnsi="David"/>
          <w:color w:val="000000"/>
          <w:rtl/>
        </w:rPr>
        <w:t xml:space="preserve">, </w:t>
      </w:r>
      <w:r>
        <w:rPr>
          <w:rFonts w:ascii="Miriam" w:hAnsi="Miriam" w:cs="Miriam"/>
          <w:b/>
          <w:bCs/>
          <w:color w:val="000000"/>
          <w:sz w:val="22"/>
          <w:szCs w:val="22"/>
          <w:rtl/>
        </w:rPr>
        <w:t>ה/7</w:t>
      </w:r>
      <w:r>
        <w:rPr>
          <w:rFonts w:ascii="David" w:hAnsi="David"/>
          <w:color w:val="000000"/>
          <w:rtl/>
        </w:rPr>
        <w:t xml:space="preserve"> ו-</w:t>
      </w:r>
      <w:r>
        <w:rPr>
          <w:rFonts w:ascii="Miriam" w:hAnsi="Miriam" w:cs="Miriam"/>
          <w:b/>
          <w:bCs/>
          <w:color w:val="000000"/>
          <w:sz w:val="22"/>
          <w:szCs w:val="22"/>
          <w:rtl/>
        </w:rPr>
        <w:t>ה/11</w:t>
      </w:r>
      <w:r>
        <w:rPr>
          <w:rFonts w:ascii="David" w:hAnsi="David"/>
          <w:color w:val="000000"/>
          <w:rtl/>
        </w:rPr>
        <w:t xml:space="preserve">; </w:t>
      </w:r>
    </w:p>
    <w:p w14:paraId="53A6E1CF"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נסיבות חיים קשות של הנאשם שהייתה להן השפעה על ביצוע מעשה העבירה</w:t>
      </w:r>
      <w:r>
        <w:rPr>
          <w:rFonts w:ascii="David" w:hAnsi="David"/>
          <w:color w:val="000000"/>
          <w:rtl/>
        </w:rPr>
        <w:t xml:space="preserve"> - מתסקיר שירות המבחן שנערך ביום 13.11.19 עולה כי הנאשם גדל במסגרת משפחתית מורכבת, המונה זוג הורים גרושים ו-7 ילדים. תיאר תפקוד תקין של אחיו מלבד אח אחד שמעורב בפלילים ולדבריו ריצה מאסרים לתקופות קצרות בגין עבירות סמים. הנאשם חווה היעדר דמות אב וקושי בסיפוק צרכי השתייכות וקבלה מצד הדמויות ההוריות. שירות המבחן התרשם כי ניכר שחוויות חייו קשורות בהיעדר פניות לצרכיו הרגשיים מצד הוריו וחוסר סמכות במסגרות הלימודיות. גורמים אלו עיצבו התנהגותו והעצימו המורכבות שבה;</w:t>
      </w:r>
    </w:p>
    <w:p w14:paraId="4431A7BA"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נטילת האחריות של הנאשם על מעשיו, וחזרתו למוטב או מאמציו לחזור למוטב</w:t>
      </w:r>
      <w:r>
        <w:rPr>
          <w:rFonts w:ascii="David" w:hAnsi="David"/>
          <w:color w:val="000000"/>
          <w:rtl/>
        </w:rPr>
        <w:t xml:space="preserve"> - </w:t>
      </w:r>
      <w:r>
        <w:rPr>
          <w:sz w:val="20"/>
          <w:rtl/>
          <w:lang w:eastAsia="he-IL"/>
        </w:rPr>
        <w:t xml:space="preserve">הנאשם חזר בו מהודאתו בדיון מיום 20.11.19 ובחר לנהל את ההליך, שזו זכותו. אולם הנאשם לא יכול ליהנות מההטבות להן זוכים אלו שנוטלים אחריות על מעשיהם ועושים מאמצים לחזור למוטב. לצד זאת לקחתי בחשבון שבטיעוניו לעונש מיום 20.7.21, התנצל הנאשם, מסר שלמד הלקח ממעשיו, וכי מעתה יהיה קפדני יותר; </w:t>
      </w:r>
    </w:p>
    <w:p w14:paraId="3FFC6921"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הנזק שנגרם לנאשם מביצוע העבירות</w:t>
      </w:r>
      <w:r>
        <w:rPr>
          <w:rFonts w:ascii="David" w:hAnsi="David"/>
          <w:color w:val="000000"/>
          <w:rtl/>
        </w:rPr>
        <w:t xml:space="preserve"> - בתסקיר מיום 13.11.19 עלה כי מאז מעצרו של הנאשם ובשל שהותו במעצר בית, הנאשם לא עבד ובשל כך נקלע לחובות, אשר הקשו עליו לשלם את דמי המזונות לגרושתו</w:t>
      </w:r>
      <w:r>
        <w:rPr>
          <w:rtl/>
        </w:rPr>
        <w:t xml:space="preserve">; </w:t>
      </w:r>
    </w:p>
    <w:p w14:paraId="5159F9AB"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sz w:val="20"/>
          <w:u w:val="single"/>
          <w:rtl/>
          <w:lang w:eastAsia="he-IL"/>
        </w:rPr>
        <w:t>חלוף הזמן מביצוע העבירות</w:t>
      </w:r>
      <w:r>
        <w:rPr>
          <w:sz w:val="20"/>
          <w:rtl/>
          <w:lang w:eastAsia="he-IL"/>
        </w:rPr>
        <w:t xml:space="preserve"> - חלפו כמעט שנתיים מביצוע העבירות, במהלכן הקפיד הנאשם לשמור על אורח חיים נורמטיבי, בפרק זמן זה לא נפתחו לנאשם תיקים חדשים;</w:t>
      </w:r>
    </w:p>
    <w:p w14:paraId="03CBF76E" w14:textId="77777777" w:rsidR="00620BEF" w:rsidRDefault="00620BEF" w:rsidP="00620BEF">
      <w:pPr>
        <w:pStyle w:val="a9"/>
        <w:numPr>
          <w:ilvl w:val="2"/>
          <w:numId w:val="1"/>
        </w:numPr>
        <w:tabs>
          <w:tab w:val="left" w:pos="850"/>
        </w:tabs>
        <w:spacing w:before="60" w:line="360" w:lineRule="auto"/>
        <w:ind w:left="845" w:hanging="488"/>
        <w:contextualSpacing w:val="0"/>
        <w:jc w:val="both"/>
        <w:rPr>
          <w:rFonts w:ascii="David" w:hAnsi="David"/>
          <w:color w:val="000000"/>
        </w:rPr>
      </w:pPr>
      <w:r>
        <w:rPr>
          <w:rFonts w:ascii="David" w:hAnsi="David"/>
          <w:color w:val="000000"/>
          <w:u w:val="single"/>
          <w:rtl/>
        </w:rPr>
        <w:t>עברו הפלילי של הנאשם</w:t>
      </w:r>
      <w:r>
        <w:rPr>
          <w:rFonts w:ascii="David" w:hAnsi="David"/>
          <w:color w:val="000000"/>
          <w:rtl/>
        </w:rPr>
        <w:t xml:space="preserve"> - הנאשם נעדר עבר פלילי, יחד עם זאת לנאשם עבר תעבורתי הכולל 32 הרשעות, ביניהן שתי הרשעות של נהיגה בשכרות או תחת השפעת חומרים משכרים. </w:t>
      </w:r>
    </w:p>
    <w:p w14:paraId="42DFF66D" w14:textId="77777777" w:rsidR="00620BEF" w:rsidRDefault="00620BEF" w:rsidP="00620BEF">
      <w:pPr>
        <w:spacing w:before="240" w:line="360" w:lineRule="auto"/>
        <w:jc w:val="both"/>
        <w:rPr>
          <w:rFonts w:ascii="David" w:hAnsi="David"/>
          <w:b/>
          <w:bCs/>
        </w:rPr>
      </w:pPr>
      <w:bookmarkStart w:id="8" w:name="Rov1059"/>
      <w:r>
        <w:rPr>
          <w:rFonts w:ascii="David" w:hAnsi="David"/>
          <w:b/>
          <w:bCs/>
          <w:rtl/>
        </w:rPr>
        <w:t>סוף דבר</w:t>
      </w:r>
    </w:p>
    <w:p w14:paraId="24FD87AB" w14:textId="77777777" w:rsidR="00620BEF" w:rsidRDefault="00620BEF" w:rsidP="00620BEF">
      <w:pPr>
        <w:numPr>
          <w:ilvl w:val="0"/>
          <w:numId w:val="1"/>
        </w:numPr>
        <w:snapToGrid w:val="0"/>
        <w:spacing w:line="360" w:lineRule="auto"/>
        <w:ind w:left="357" w:hanging="357"/>
        <w:jc w:val="both"/>
        <w:rPr>
          <w:sz w:val="20"/>
          <w:lang w:eastAsia="he-IL"/>
        </w:rPr>
      </w:pPr>
      <w:r>
        <w:rPr>
          <w:sz w:val="20"/>
          <w:rtl/>
          <w:lang w:eastAsia="he-IL"/>
        </w:rPr>
        <w:t xml:space="preserve">לא מצאתי מקום לחרוג ממתחם העונש ההולם בשל שיקולי שיקום, לפי הוראות </w:t>
      </w:r>
      <w:hyperlink r:id="rId54" w:history="1">
        <w:r w:rsidR="002E7923" w:rsidRPr="002E7923">
          <w:rPr>
            <w:rStyle w:val="Hyperlink"/>
            <w:sz w:val="20"/>
            <w:rtl/>
            <w:lang w:eastAsia="he-IL"/>
          </w:rPr>
          <w:t>סעיף 40ד</w:t>
        </w:r>
      </w:hyperlink>
      <w:r>
        <w:rPr>
          <w:sz w:val="20"/>
          <w:rtl/>
          <w:lang w:eastAsia="he-IL"/>
        </w:rPr>
        <w:t xml:space="preserve"> ל</w:t>
      </w:r>
      <w:hyperlink r:id="rId55" w:history="1">
        <w:r w:rsidR="00307D39" w:rsidRPr="00307D39">
          <w:rPr>
            <w:rFonts w:ascii="Miriam" w:hAnsi="Miriam" w:cs="Miriam"/>
            <w:b/>
            <w:bCs/>
            <w:color w:val="0000FF"/>
            <w:sz w:val="18"/>
            <w:szCs w:val="22"/>
            <w:u w:val="single"/>
            <w:rtl/>
            <w:lang w:eastAsia="he-IL"/>
          </w:rPr>
          <w:t>חוק העונשין</w:t>
        </w:r>
      </w:hyperlink>
      <w:r>
        <w:rPr>
          <w:sz w:val="20"/>
          <w:rtl/>
          <w:lang w:eastAsia="he-IL"/>
        </w:rPr>
        <w:t xml:space="preserve">. במסגרת גזר הדין לקחתי בחשבון גם את הצורך בהרתעה אישית ובהרתעת הרבים, בהתאם </w:t>
      </w:r>
      <w:hyperlink r:id="rId56" w:history="1">
        <w:r w:rsidR="002E7923" w:rsidRPr="002E7923">
          <w:rPr>
            <w:rStyle w:val="Hyperlink"/>
            <w:sz w:val="20"/>
            <w:rtl/>
            <w:lang w:eastAsia="he-IL"/>
          </w:rPr>
          <w:t>לסעיפים 40ו</w:t>
        </w:r>
      </w:hyperlink>
      <w:r>
        <w:rPr>
          <w:sz w:val="20"/>
          <w:rtl/>
          <w:lang w:eastAsia="he-IL"/>
        </w:rPr>
        <w:t xml:space="preserve"> ו-</w:t>
      </w:r>
      <w:hyperlink r:id="rId57" w:history="1">
        <w:r w:rsidR="002E7923" w:rsidRPr="002E7923">
          <w:rPr>
            <w:rStyle w:val="Hyperlink"/>
            <w:sz w:val="20"/>
            <w:rtl/>
            <w:lang w:eastAsia="he-IL"/>
          </w:rPr>
          <w:t>40ז</w:t>
        </w:r>
      </w:hyperlink>
      <w:r>
        <w:rPr>
          <w:sz w:val="20"/>
          <w:rtl/>
          <w:lang w:eastAsia="he-IL"/>
        </w:rPr>
        <w:t xml:space="preserve"> ל</w:t>
      </w:r>
      <w:hyperlink r:id="rId58" w:history="1">
        <w:r w:rsidR="00307D39" w:rsidRPr="00307D39">
          <w:rPr>
            <w:rFonts w:ascii="Miriam" w:hAnsi="Miriam" w:cs="Miriam"/>
            <w:b/>
            <w:bCs/>
            <w:color w:val="0000FF"/>
            <w:sz w:val="18"/>
            <w:szCs w:val="22"/>
            <w:u w:val="single"/>
            <w:rtl/>
            <w:lang w:eastAsia="he-IL"/>
          </w:rPr>
          <w:t>חוק העונשין</w:t>
        </w:r>
      </w:hyperlink>
      <w:r>
        <w:rPr>
          <w:rFonts w:ascii="Miriam" w:hAnsi="Miriam" w:cs="Miriam"/>
          <w:b/>
          <w:bCs/>
          <w:sz w:val="18"/>
          <w:szCs w:val="22"/>
          <w:rtl/>
          <w:lang w:eastAsia="he-IL"/>
        </w:rPr>
        <w:t>.</w:t>
      </w:r>
      <w:r>
        <w:rPr>
          <w:sz w:val="20"/>
          <w:rtl/>
          <w:lang w:eastAsia="he-IL"/>
        </w:rPr>
        <w:t xml:space="preserve"> בהינתן נסיבותיו האישיות, לרבות מצבם של ילדיו הקטינים והצורך שלהם בטיפול ובסיוע כלכליים מצד הנאשם - מצאתי כי ניתן למקם את הנאשם בחלקו התחתון של המתחם, אך לא בתחתיתו.</w:t>
      </w:r>
      <w:r>
        <w:rPr>
          <w:b/>
          <w:bCs/>
          <w:sz w:val="20"/>
          <w:rtl/>
          <w:lang w:eastAsia="he-IL"/>
        </w:rPr>
        <w:t xml:space="preserve"> אשר על כן, אני גוזרת על הנאשם את העונשים הבאים:</w:t>
      </w:r>
    </w:p>
    <w:p w14:paraId="2D4A7D52" w14:textId="77777777" w:rsidR="00620BEF" w:rsidRDefault="00620BEF" w:rsidP="00620BEF">
      <w:pPr>
        <w:numPr>
          <w:ilvl w:val="1"/>
          <w:numId w:val="1"/>
        </w:numPr>
        <w:tabs>
          <w:tab w:val="left" w:pos="368"/>
        </w:tabs>
        <w:snapToGrid w:val="0"/>
        <w:spacing w:before="120" w:line="360" w:lineRule="auto"/>
        <w:ind w:left="725" w:hanging="357"/>
        <w:jc w:val="both"/>
        <w:rPr>
          <w:b/>
          <w:bCs/>
          <w:sz w:val="20"/>
          <w:lang w:eastAsia="he-IL"/>
        </w:rPr>
      </w:pPr>
      <w:r>
        <w:rPr>
          <w:b/>
          <w:bCs/>
          <w:sz w:val="20"/>
          <w:rtl/>
          <w:lang w:eastAsia="he-IL"/>
        </w:rPr>
        <w:t>6 חודשי מאסר בפועל, אשר ירוצו בעבודות שירות בהתאם לחוות דעת הממונה על עבודות שירות;</w:t>
      </w:r>
    </w:p>
    <w:p w14:paraId="1DB6703C" w14:textId="77777777" w:rsidR="00620BEF" w:rsidRDefault="00620BEF" w:rsidP="00620BEF">
      <w:pPr>
        <w:tabs>
          <w:tab w:val="left" w:pos="368"/>
        </w:tabs>
        <w:snapToGrid w:val="0"/>
        <w:spacing w:before="120" w:line="360" w:lineRule="auto"/>
        <w:ind w:left="725"/>
        <w:jc w:val="both"/>
        <w:rPr>
          <w:sz w:val="20"/>
          <w:rtl/>
          <w:lang w:eastAsia="he-IL"/>
        </w:rPr>
      </w:pPr>
      <w:r>
        <w:rPr>
          <w:sz w:val="20"/>
          <w:rtl/>
          <w:lang w:eastAsia="he-IL"/>
        </w:rPr>
        <w:t>בהתאם לחוות דעת הממונה על עבודות שירות, הנאשם יבצע את עבודות השירות ב-</w:t>
      </w:r>
      <w:r>
        <w:rPr>
          <w:b/>
          <w:bCs/>
          <w:sz w:val="20"/>
          <w:rtl/>
          <w:lang w:eastAsia="he-IL"/>
        </w:rPr>
        <w:t>מועצה דתית מרחבים</w:t>
      </w:r>
      <w:r>
        <w:rPr>
          <w:sz w:val="20"/>
          <w:rtl/>
          <w:lang w:eastAsia="he-IL"/>
        </w:rPr>
        <w:t xml:space="preserve">, צומת גילת ד"נ הנגב 851000, </w:t>
      </w:r>
      <w:r>
        <w:rPr>
          <w:b/>
          <w:bCs/>
          <w:sz w:val="20"/>
          <w:rtl/>
          <w:lang w:eastAsia="he-IL"/>
        </w:rPr>
        <w:t>5 ימים בשבוע, 8.5 שעות ביום</w:t>
      </w:r>
      <w:r>
        <w:rPr>
          <w:sz w:val="20"/>
          <w:rtl/>
          <w:lang w:eastAsia="he-IL"/>
        </w:rPr>
        <w:t>.</w:t>
      </w:r>
    </w:p>
    <w:p w14:paraId="7AFC5F2C" w14:textId="77777777" w:rsidR="00620BEF" w:rsidRDefault="00620BEF" w:rsidP="00620BEF">
      <w:pPr>
        <w:tabs>
          <w:tab w:val="left" w:pos="368"/>
        </w:tabs>
        <w:snapToGrid w:val="0"/>
        <w:spacing w:before="120" w:line="360" w:lineRule="auto"/>
        <w:ind w:left="725"/>
        <w:jc w:val="both"/>
        <w:rPr>
          <w:b/>
          <w:bCs/>
          <w:sz w:val="20"/>
          <w:u w:val="single"/>
          <w:rtl/>
          <w:lang w:eastAsia="he-IL"/>
        </w:rPr>
      </w:pPr>
      <w:r>
        <w:rPr>
          <w:b/>
          <w:bCs/>
          <w:sz w:val="20"/>
          <w:u w:val="single"/>
          <w:rtl/>
          <w:lang w:eastAsia="he-IL"/>
        </w:rPr>
        <w:t xml:space="preserve">תחילת בצוע עבודות השירות ביום 3.4.22. </w:t>
      </w:r>
    </w:p>
    <w:p w14:paraId="3EDC0FB9" w14:textId="77777777" w:rsidR="00620BEF" w:rsidRDefault="00620BEF" w:rsidP="00620BEF">
      <w:pPr>
        <w:tabs>
          <w:tab w:val="left" w:pos="368"/>
        </w:tabs>
        <w:snapToGrid w:val="0"/>
        <w:spacing w:before="120" w:line="360" w:lineRule="auto"/>
        <w:ind w:left="725"/>
        <w:jc w:val="both"/>
        <w:rPr>
          <w:sz w:val="20"/>
          <w:u w:val="single"/>
          <w:lang w:eastAsia="he-IL"/>
        </w:rPr>
      </w:pPr>
      <w:r>
        <w:rPr>
          <w:sz w:val="20"/>
          <w:u w:val="single"/>
          <w:rtl/>
          <w:lang w:eastAsia="he-IL"/>
        </w:rPr>
        <w:t>הנאשם יתייצב לצורך קליטה והצבה ביום 3.4.22, שעה 08:00 ביחידת ברקאי – עבודות שירות – שלוחת דרום, סמוך לכלא באר שבע.</w:t>
      </w:r>
    </w:p>
    <w:p w14:paraId="1B54060C" w14:textId="77777777" w:rsidR="00620BEF" w:rsidRDefault="00620BEF" w:rsidP="00620BEF">
      <w:pPr>
        <w:tabs>
          <w:tab w:val="left" w:pos="368"/>
        </w:tabs>
        <w:snapToGrid w:val="0"/>
        <w:spacing w:before="120" w:line="360" w:lineRule="auto"/>
        <w:ind w:left="725"/>
        <w:jc w:val="both"/>
        <w:rPr>
          <w:sz w:val="20"/>
          <w:rtl/>
          <w:lang w:eastAsia="he-IL"/>
        </w:rPr>
      </w:pPr>
      <w:r>
        <w:rPr>
          <w:sz w:val="20"/>
          <w:rtl/>
          <w:lang w:eastAsia="he-IL"/>
        </w:rPr>
        <w:t>אוטובוסים להגעה: 247, 350, 189.</w:t>
      </w:r>
    </w:p>
    <w:p w14:paraId="0178CC09" w14:textId="77777777" w:rsidR="00620BEF" w:rsidRDefault="00620BEF" w:rsidP="00620BEF">
      <w:pPr>
        <w:tabs>
          <w:tab w:val="left" w:pos="368"/>
        </w:tabs>
        <w:snapToGrid w:val="0"/>
        <w:spacing w:before="120" w:line="360" w:lineRule="auto"/>
        <w:ind w:left="725"/>
        <w:jc w:val="both"/>
        <w:rPr>
          <w:b/>
          <w:bCs/>
          <w:sz w:val="20"/>
          <w:rtl/>
          <w:lang w:eastAsia="he-IL"/>
        </w:rPr>
      </w:pPr>
      <w:r>
        <w:rPr>
          <w:b/>
          <w:bCs/>
          <w:sz w:val="20"/>
          <w:rtl/>
          <w:lang w:eastAsia="he-IL"/>
        </w:rPr>
        <w:t xml:space="preserve">הנאשם מוזהר כי עליו לעדכן את משרד הממונה בכל שינוי, אם יחול, בכתובת מגוריו ובטלפון הנייד שלו. </w:t>
      </w:r>
    </w:p>
    <w:p w14:paraId="1238284C" w14:textId="77777777" w:rsidR="00620BEF" w:rsidRDefault="00620BEF" w:rsidP="00620BEF">
      <w:pPr>
        <w:tabs>
          <w:tab w:val="left" w:pos="368"/>
        </w:tabs>
        <w:snapToGrid w:val="0"/>
        <w:spacing w:before="120" w:line="360" w:lineRule="auto"/>
        <w:ind w:left="725"/>
        <w:jc w:val="both"/>
        <w:rPr>
          <w:b/>
          <w:bCs/>
          <w:sz w:val="20"/>
          <w:rtl/>
          <w:lang w:eastAsia="he-IL"/>
        </w:rPr>
      </w:pPr>
      <w:r>
        <w:rPr>
          <w:b/>
          <w:bCs/>
          <w:sz w:val="20"/>
          <w:rtl/>
          <w:lang w:eastAsia="he-IL"/>
        </w:rPr>
        <w:t>הנאשם מוזהר,</w:t>
      </w:r>
      <w:r w:rsidR="00307D39">
        <w:rPr>
          <w:b/>
          <w:bCs/>
          <w:sz w:val="20"/>
          <w:lang w:eastAsia="he-IL"/>
        </w:rPr>
        <w:t xml:space="preserve"> </w:t>
      </w:r>
      <w:r>
        <w:rPr>
          <w:b/>
          <w:bCs/>
          <w:sz w:val="20"/>
          <w:rtl/>
          <w:lang w:eastAsia="he-IL"/>
        </w:rPr>
        <w:t>כי עליו לעמוד בתנאי הפיקוח, שכן כל הפרה או אי מילוי עבודות השירות על פי הנחיות המפקח, עלול להביא להפסקתן ולהמרתן בריצוי יתרת המאסר בפועל.</w:t>
      </w:r>
    </w:p>
    <w:p w14:paraId="0F6EB9D7" w14:textId="77777777" w:rsidR="00620BEF" w:rsidRDefault="00620BEF" w:rsidP="00620BEF">
      <w:pPr>
        <w:tabs>
          <w:tab w:val="left" w:pos="368"/>
        </w:tabs>
        <w:snapToGrid w:val="0"/>
        <w:spacing w:before="120" w:line="360" w:lineRule="auto"/>
        <w:ind w:left="725"/>
        <w:jc w:val="both"/>
        <w:rPr>
          <w:b/>
          <w:bCs/>
          <w:sz w:val="20"/>
          <w:rtl/>
          <w:lang w:eastAsia="he-IL"/>
        </w:rPr>
      </w:pPr>
      <w:r>
        <w:rPr>
          <w:b/>
          <w:bCs/>
          <w:sz w:val="20"/>
          <w:rtl/>
          <w:lang w:eastAsia="he-IL"/>
        </w:rPr>
        <w:t>כמו כן הנאשם מוזהר, כי במקום נערכות ביקורות, וכי אי עמידה בביקורת עלולה להביא להפסקת עבודות השירות ולהמרתן בריצוי יתרת המאסר בפועל.</w:t>
      </w:r>
    </w:p>
    <w:p w14:paraId="25DC1E00" w14:textId="77777777" w:rsidR="00620BEF" w:rsidRDefault="00620BEF" w:rsidP="00620BEF">
      <w:pPr>
        <w:tabs>
          <w:tab w:val="left" w:pos="368"/>
        </w:tabs>
        <w:snapToGrid w:val="0"/>
        <w:spacing w:before="120" w:line="360" w:lineRule="auto"/>
        <w:ind w:left="725"/>
        <w:jc w:val="both"/>
        <w:rPr>
          <w:b/>
          <w:bCs/>
          <w:sz w:val="20"/>
          <w:rtl/>
          <w:lang w:eastAsia="he-IL"/>
        </w:rPr>
      </w:pPr>
      <w:r>
        <w:rPr>
          <w:b/>
          <w:bCs/>
          <w:sz w:val="20"/>
          <w:rtl/>
          <w:lang w:eastAsia="he-IL"/>
        </w:rPr>
        <w:t>עוד מוזהר הנאשם, כי</w:t>
      </w:r>
      <w:r>
        <w:rPr>
          <w:rFonts w:hint="cs"/>
          <w:b/>
          <w:bCs/>
          <w:sz w:val="20"/>
          <w:lang w:eastAsia="he-IL"/>
        </w:rPr>
        <w:t xml:space="preserve"> </w:t>
      </w:r>
      <w:r>
        <w:rPr>
          <w:b/>
          <w:bCs/>
          <w:sz w:val="20"/>
          <w:rtl/>
          <w:lang w:eastAsia="he-IL"/>
        </w:rPr>
        <w:t>מדובר</w:t>
      </w:r>
      <w:r>
        <w:rPr>
          <w:rFonts w:hint="cs"/>
          <w:b/>
          <w:bCs/>
          <w:sz w:val="20"/>
          <w:lang w:eastAsia="he-IL"/>
        </w:rPr>
        <w:t xml:space="preserve"> </w:t>
      </w:r>
      <w:r>
        <w:rPr>
          <w:b/>
          <w:bCs/>
          <w:sz w:val="20"/>
          <w:rtl/>
          <w:lang w:eastAsia="he-IL"/>
        </w:rPr>
        <w:t>בתנאי</w:t>
      </w:r>
      <w:r>
        <w:rPr>
          <w:rFonts w:hint="cs"/>
          <w:b/>
          <w:bCs/>
          <w:sz w:val="20"/>
          <w:lang w:eastAsia="he-IL"/>
        </w:rPr>
        <w:t xml:space="preserve"> </w:t>
      </w:r>
      <w:r>
        <w:rPr>
          <w:b/>
          <w:bCs/>
          <w:sz w:val="20"/>
          <w:rtl/>
          <w:lang w:eastAsia="he-IL"/>
        </w:rPr>
        <w:t>העסקה</w:t>
      </w:r>
      <w:r>
        <w:rPr>
          <w:rFonts w:hint="cs"/>
          <w:b/>
          <w:bCs/>
          <w:sz w:val="20"/>
          <w:lang w:eastAsia="he-IL"/>
        </w:rPr>
        <w:t xml:space="preserve"> </w:t>
      </w:r>
      <w:r>
        <w:rPr>
          <w:b/>
          <w:bCs/>
          <w:sz w:val="20"/>
          <w:rtl/>
          <w:lang w:eastAsia="he-IL"/>
        </w:rPr>
        <w:t>קפדניים</w:t>
      </w:r>
      <w:r>
        <w:rPr>
          <w:rFonts w:hint="cs"/>
          <w:b/>
          <w:bCs/>
          <w:sz w:val="20"/>
          <w:lang w:eastAsia="he-IL"/>
        </w:rPr>
        <w:t xml:space="preserve"> </w:t>
      </w:r>
      <w:r>
        <w:rPr>
          <w:b/>
          <w:bCs/>
          <w:sz w:val="20"/>
          <w:rtl/>
          <w:lang w:eastAsia="he-IL"/>
        </w:rPr>
        <w:t>וכי כל</w:t>
      </w:r>
      <w:r>
        <w:rPr>
          <w:rFonts w:hint="cs"/>
          <w:b/>
          <w:bCs/>
          <w:sz w:val="20"/>
          <w:lang w:eastAsia="he-IL"/>
        </w:rPr>
        <w:t xml:space="preserve"> </w:t>
      </w:r>
      <w:r>
        <w:rPr>
          <w:b/>
          <w:bCs/>
          <w:sz w:val="20"/>
          <w:rtl/>
          <w:lang w:eastAsia="he-IL"/>
        </w:rPr>
        <w:t>חריגה</w:t>
      </w:r>
      <w:r>
        <w:rPr>
          <w:rFonts w:hint="cs"/>
          <w:b/>
          <w:bCs/>
          <w:sz w:val="20"/>
          <w:lang w:eastAsia="he-IL"/>
        </w:rPr>
        <w:t xml:space="preserve"> </w:t>
      </w:r>
      <w:r>
        <w:rPr>
          <w:b/>
          <w:bCs/>
          <w:sz w:val="20"/>
          <w:rtl/>
          <w:lang w:eastAsia="he-IL"/>
        </w:rPr>
        <w:t>מכללים</w:t>
      </w:r>
      <w:r>
        <w:rPr>
          <w:rFonts w:hint="cs"/>
          <w:b/>
          <w:bCs/>
          <w:sz w:val="20"/>
          <w:lang w:eastAsia="he-IL"/>
        </w:rPr>
        <w:t xml:space="preserve"> </w:t>
      </w:r>
      <w:r>
        <w:rPr>
          <w:b/>
          <w:bCs/>
          <w:sz w:val="20"/>
          <w:rtl/>
          <w:lang w:eastAsia="he-IL"/>
        </w:rPr>
        <w:t>אלו עלולה להביא להפסקת עבודות</w:t>
      </w:r>
      <w:r>
        <w:rPr>
          <w:rFonts w:hint="cs"/>
          <w:b/>
          <w:bCs/>
          <w:sz w:val="20"/>
          <w:lang w:eastAsia="he-IL"/>
        </w:rPr>
        <w:t xml:space="preserve"> </w:t>
      </w:r>
      <w:r>
        <w:rPr>
          <w:b/>
          <w:bCs/>
          <w:sz w:val="20"/>
          <w:rtl/>
          <w:lang w:eastAsia="he-IL"/>
        </w:rPr>
        <w:t>השירות</w:t>
      </w:r>
      <w:r>
        <w:rPr>
          <w:rFonts w:hint="cs"/>
          <w:b/>
          <w:bCs/>
          <w:sz w:val="20"/>
          <w:lang w:eastAsia="he-IL"/>
        </w:rPr>
        <w:t xml:space="preserve"> </w:t>
      </w:r>
      <w:r>
        <w:rPr>
          <w:b/>
          <w:bCs/>
          <w:sz w:val="20"/>
          <w:rtl/>
          <w:lang w:eastAsia="he-IL"/>
        </w:rPr>
        <w:t>ולהמרתן בריצוי יתרת המאסר בפועל.</w:t>
      </w:r>
    </w:p>
    <w:p w14:paraId="08779A44" w14:textId="77777777" w:rsidR="00620BEF" w:rsidRDefault="00620BEF" w:rsidP="00620BEF">
      <w:pPr>
        <w:tabs>
          <w:tab w:val="left" w:pos="368"/>
        </w:tabs>
        <w:snapToGrid w:val="0"/>
        <w:spacing w:before="120" w:line="360" w:lineRule="auto"/>
        <w:ind w:left="725"/>
        <w:jc w:val="both"/>
        <w:rPr>
          <w:b/>
          <w:bCs/>
          <w:sz w:val="20"/>
          <w:rtl/>
          <w:lang w:eastAsia="he-IL"/>
        </w:rPr>
      </w:pPr>
      <w:r>
        <w:rPr>
          <w:b/>
          <w:bCs/>
          <w:sz w:val="20"/>
          <w:u w:val="single"/>
          <w:rtl/>
          <w:lang w:eastAsia="he-IL"/>
        </w:rPr>
        <w:t xml:space="preserve">הממונה תדווח לבית המשפט עם תום ביצוען של העבודות. </w:t>
      </w:r>
    </w:p>
    <w:p w14:paraId="6F65DDA2" w14:textId="77777777" w:rsidR="00620BEF" w:rsidRDefault="00620BEF" w:rsidP="00620BEF">
      <w:pPr>
        <w:numPr>
          <w:ilvl w:val="1"/>
          <w:numId w:val="1"/>
        </w:numPr>
        <w:tabs>
          <w:tab w:val="left" w:pos="368"/>
        </w:tabs>
        <w:snapToGrid w:val="0"/>
        <w:spacing w:before="120" w:line="360" w:lineRule="auto"/>
        <w:ind w:left="725" w:hanging="357"/>
        <w:jc w:val="both"/>
        <w:rPr>
          <w:sz w:val="20"/>
          <w:rtl/>
          <w:lang w:eastAsia="he-IL"/>
        </w:rPr>
      </w:pPr>
      <w:r>
        <w:rPr>
          <w:b/>
          <w:bCs/>
          <w:sz w:val="20"/>
          <w:rtl/>
          <w:lang w:eastAsia="he-IL"/>
        </w:rPr>
        <w:t>4 חודשי מאסר על תנאי, למשך 3 שנים מהיום</w:t>
      </w:r>
      <w:r>
        <w:rPr>
          <w:sz w:val="20"/>
          <w:rtl/>
          <w:lang w:eastAsia="he-IL"/>
        </w:rPr>
        <w:t xml:space="preserve">, שלא יעבור כל עבירה מסוג פשע על </w:t>
      </w:r>
      <w:r>
        <w:rPr>
          <w:rFonts w:ascii="Miriam" w:hAnsi="Miriam" w:cs="Miriam"/>
          <w:b/>
          <w:bCs/>
          <w:sz w:val="18"/>
          <w:szCs w:val="22"/>
          <w:rtl/>
          <w:lang w:eastAsia="he-IL"/>
        </w:rPr>
        <w:t>פקודת הסמים</w:t>
      </w:r>
      <w:r>
        <w:rPr>
          <w:sz w:val="20"/>
          <w:rtl/>
          <w:lang w:eastAsia="he-IL"/>
        </w:rPr>
        <w:t>;</w:t>
      </w:r>
    </w:p>
    <w:p w14:paraId="31F47784" w14:textId="77777777" w:rsidR="00620BEF" w:rsidRDefault="00620BEF" w:rsidP="00620BEF">
      <w:pPr>
        <w:numPr>
          <w:ilvl w:val="1"/>
          <w:numId w:val="1"/>
        </w:numPr>
        <w:tabs>
          <w:tab w:val="left" w:pos="368"/>
        </w:tabs>
        <w:snapToGrid w:val="0"/>
        <w:spacing w:before="120" w:line="360" w:lineRule="auto"/>
        <w:ind w:left="725" w:hanging="357"/>
        <w:jc w:val="both"/>
        <w:rPr>
          <w:sz w:val="20"/>
          <w:rtl/>
          <w:lang w:eastAsia="he-IL"/>
        </w:rPr>
      </w:pPr>
      <w:r>
        <w:rPr>
          <w:b/>
          <w:bCs/>
          <w:rtl/>
          <w:lang w:eastAsia="he-IL"/>
        </w:rPr>
        <w:t>קנס בסך 3,000 ₪, או 1</w:t>
      </w:r>
      <w:r>
        <w:rPr>
          <w:rFonts w:hint="cs"/>
          <w:b/>
          <w:bCs/>
          <w:rtl/>
          <w:lang w:eastAsia="he-IL"/>
        </w:rPr>
        <w:t>0</w:t>
      </w:r>
      <w:r>
        <w:rPr>
          <w:b/>
          <w:bCs/>
          <w:rtl/>
          <w:lang w:eastAsia="he-IL"/>
        </w:rPr>
        <w:t>0 ימי מאסר תמורתו</w:t>
      </w:r>
      <w:r>
        <w:rPr>
          <w:rtl/>
          <w:lang w:eastAsia="he-IL"/>
        </w:rPr>
        <w:t xml:space="preserve">. </w:t>
      </w:r>
    </w:p>
    <w:p w14:paraId="0A99D527" w14:textId="77777777" w:rsidR="00620BEF" w:rsidRDefault="00620BEF" w:rsidP="00620BEF">
      <w:pPr>
        <w:snapToGrid w:val="0"/>
        <w:spacing w:before="60" w:line="360" w:lineRule="auto"/>
        <w:ind w:left="725"/>
        <w:jc w:val="both"/>
        <w:rPr>
          <w:lang w:eastAsia="he-IL"/>
        </w:rPr>
      </w:pPr>
      <w:r>
        <w:rPr>
          <w:rtl/>
          <w:lang w:eastAsia="he-IL"/>
        </w:rPr>
        <w:t>הקנס ישולם ב-10 תשלומים שווים ורצופים, החל מיום 1</w:t>
      </w:r>
      <w:r>
        <w:rPr>
          <w:rFonts w:hint="cs"/>
          <w:rtl/>
          <w:lang w:eastAsia="he-IL"/>
        </w:rPr>
        <w:t>0</w:t>
      </w:r>
      <w:r>
        <w:rPr>
          <w:rtl/>
          <w:lang w:eastAsia="he-IL"/>
        </w:rPr>
        <w:t>.</w:t>
      </w:r>
      <w:r>
        <w:rPr>
          <w:rFonts w:hint="cs"/>
          <w:rtl/>
          <w:lang w:eastAsia="he-IL"/>
        </w:rPr>
        <w:t>5</w:t>
      </w:r>
      <w:r>
        <w:rPr>
          <w:rtl/>
          <w:lang w:eastAsia="he-IL"/>
        </w:rPr>
        <w:t>.22 וכל 1</w:t>
      </w:r>
      <w:r>
        <w:rPr>
          <w:rFonts w:hint="cs"/>
          <w:rtl/>
          <w:lang w:eastAsia="he-IL"/>
        </w:rPr>
        <w:t>0</w:t>
      </w:r>
      <w:r>
        <w:rPr>
          <w:rtl/>
          <w:lang w:eastAsia="he-IL"/>
        </w:rPr>
        <w:t xml:space="preserve"> בחודש שלאחריו.</w:t>
      </w:r>
    </w:p>
    <w:p w14:paraId="4A92F69C" w14:textId="77777777" w:rsidR="00620BEF" w:rsidRDefault="00620BEF" w:rsidP="00620BEF">
      <w:pPr>
        <w:snapToGrid w:val="0"/>
        <w:spacing w:before="60" w:line="360" w:lineRule="auto"/>
        <w:ind w:left="725"/>
        <w:jc w:val="both"/>
        <w:rPr>
          <w:lang w:eastAsia="he-IL"/>
        </w:rPr>
      </w:pPr>
      <w:r>
        <w:rPr>
          <w:rtl/>
          <w:lang w:eastAsia="he-IL"/>
        </w:rPr>
        <w:t>אם לא יבוצע תשלום במועדו - תעמוד כל יתרת הקנס לפירעון מיידי.</w:t>
      </w:r>
    </w:p>
    <w:p w14:paraId="030B966B" w14:textId="77777777" w:rsidR="00620BEF" w:rsidRDefault="00620BEF" w:rsidP="00620BEF">
      <w:pPr>
        <w:snapToGrid w:val="0"/>
        <w:spacing w:before="60" w:line="360" w:lineRule="auto"/>
        <w:ind w:left="725"/>
        <w:jc w:val="both"/>
        <w:rPr>
          <w:u w:val="single"/>
          <w:lang w:eastAsia="he-IL"/>
        </w:rPr>
      </w:pPr>
      <w:r>
        <w:rPr>
          <w:sz w:val="20"/>
          <w:u w:val="single"/>
          <w:rtl/>
          <w:lang w:eastAsia="he-IL"/>
        </w:rPr>
        <w:t>על הנאשם לדאוג להסדרת התשלום מול מזכירות בית המשפט ולא תשמע טענה שלא קיבל שוברי תשלום בדואר</w:t>
      </w:r>
      <w:r>
        <w:rPr>
          <w:u w:val="single"/>
          <w:rtl/>
          <w:lang w:eastAsia="he-IL"/>
        </w:rPr>
        <w:t>;</w:t>
      </w:r>
    </w:p>
    <w:p w14:paraId="6E962EE1" w14:textId="77777777" w:rsidR="00620BEF" w:rsidRDefault="00620BEF" w:rsidP="00620BEF">
      <w:pPr>
        <w:numPr>
          <w:ilvl w:val="1"/>
          <w:numId w:val="1"/>
        </w:numPr>
        <w:tabs>
          <w:tab w:val="left" w:pos="368"/>
        </w:tabs>
        <w:snapToGrid w:val="0"/>
        <w:spacing w:before="120" w:line="360" w:lineRule="auto"/>
        <w:ind w:left="725" w:hanging="357"/>
        <w:jc w:val="both"/>
        <w:rPr>
          <w:sz w:val="20"/>
          <w:lang w:eastAsia="he-IL"/>
        </w:rPr>
      </w:pPr>
      <w:r>
        <w:rPr>
          <w:b/>
          <w:bCs/>
          <w:rtl/>
        </w:rPr>
        <w:t>10,000 ₪ התחייבות</w:t>
      </w:r>
      <w:r>
        <w:rPr>
          <w:rtl/>
        </w:rPr>
        <w:t xml:space="preserve">, למשך 3 שנים מהיום, שלא יעבור כל עבירה מסוג פשע על </w:t>
      </w:r>
      <w:r>
        <w:rPr>
          <w:rFonts w:ascii="Miriam" w:hAnsi="Miriam" w:cs="Miriam"/>
          <w:bCs/>
          <w:sz w:val="18"/>
          <w:szCs w:val="22"/>
          <w:rtl/>
        </w:rPr>
        <w:t>פקודת הסמים</w:t>
      </w:r>
      <w:r>
        <w:rPr>
          <w:rtl/>
        </w:rPr>
        <w:t>.</w:t>
      </w:r>
    </w:p>
    <w:p w14:paraId="12916DCC" w14:textId="77777777" w:rsidR="00620BEF" w:rsidRDefault="00620BEF" w:rsidP="00620BEF">
      <w:pPr>
        <w:tabs>
          <w:tab w:val="left" w:pos="368"/>
        </w:tabs>
        <w:snapToGrid w:val="0"/>
        <w:spacing w:before="60" w:line="360" w:lineRule="auto"/>
        <w:ind w:left="726"/>
        <w:jc w:val="both"/>
        <w:rPr>
          <w:sz w:val="20"/>
          <w:lang w:eastAsia="he-IL"/>
        </w:rPr>
      </w:pPr>
      <w:r>
        <w:rPr>
          <w:rtl/>
        </w:rPr>
        <w:t>על הנאשם להצהיר על ההתחייבות היום. לא יצהיר על ההתחייבות היום - יהיה על הנאשם לרצות 30 ימי מאסר בפועל, על מנת לכפות אותו לעשות כן.</w:t>
      </w:r>
    </w:p>
    <w:p w14:paraId="702DDF7B" w14:textId="77777777" w:rsidR="00620BEF" w:rsidRDefault="00620BEF" w:rsidP="00620BEF">
      <w:pPr>
        <w:numPr>
          <w:ilvl w:val="1"/>
          <w:numId w:val="1"/>
        </w:numPr>
        <w:tabs>
          <w:tab w:val="left" w:pos="368"/>
        </w:tabs>
        <w:snapToGrid w:val="0"/>
        <w:spacing w:before="120" w:line="360" w:lineRule="auto"/>
        <w:ind w:left="725" w:hanging="357"/>
        <w:jc w:val="both"/>
        <w:rPr>
          <w:sz w:val="20"/>
          <w:rtl/>
          <w:lang w:eastAsia="he-IL"/>
        </w:rPr>
      </w:pPr>
      <w:r>
        <w:rPr>
          <w:b/>
          <w:bCs/>
          <w:sz w:val="20"/>
          <w:rtl/>
          <w:lang w:eastAsia="he-IL"/>
        </w:rPr>
        <w:t>11 חודשי פסילה מקבל או מהחזיק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2AE3709D" w14:textId="77777777" w:rsidR="00620BEF" w:rsidRDefault="00620BEF" w:rsidP="00620BEF">
      <w:pPr>
        <w:spacing w:before="240" w:line="360" w:lineRule="auto"/>
        <w:jc w:val="both"/>
        <w:rPr>
          <w:rFonts w:ascii="David" w:hAnsi="David"/>
          <w:b/>
          <w:bCs/>
          <w:rtl/>
        </w:rPr>
      </w:pPr>
      <w:bookmarkStart w:id="9" w:name="Seif595"/>
      <w:bookmarkEnd w:id="9"/>
      <w:r>
        <w:rPr>
          <w:rFonts w:ascii="David" w:hAnsi="David"/>
          <w:b/>
          <w:bCs/>
          <w:u w:val="single"/>
          <w:rtl/>
        </w:rPr>
        <w:t>המזכירות מתבקשת להעביר עותק גזר הדין לשירות המבחן ולממונה על עבודות השירות</w:t>
      </w:r>
      <w:r>
        <w:rPr>
          <w:rFonts w:ascii="David" w:hAnsi="David"/>
          <w:b/>
          <w:bCs/>
          <w:rtl/>
        </w:rPr>
        <w:t xml:space="preserve">. </w:t>
      </w:r>
    </w:p>
    <w:p w14:paraId="7264057B" w14:textId="77777777" w:rsidR="00620BEF" w:rsidRDefault="00620BEF" w:rsidP="00620BEF">
      <w:pPr>
        <w:spacing w:before="240" w:line="360" w:lineRule="auto"/>
        <w:jc w:val="both"/>
        <w:rPr>
          <w:rFonts w:ascii="David" w:hAnsi="David"/>
          <w:b/>
          <w:bCs/>
          <w:rtl/>
        </w:rPr>
      </w:pPr>
      <w:r>
        <w:rPr>
          <w:rFonts w:ascii="David" w:hAnsi="David"/>
          <w:b/>
          <w:bCs/>
          <w:rtl/>
        </w:rPr>
        <w:t>ניתן צו כללי למוצגים: להשמיד, לחלט ולהשיב לבעלים, לפי שיקול דעת היחידה החוקרת.</w:t>
      </w:r>
    </w:p>
    <w:p w14:paraId="023346B5" w14:textId="77777777" w:rsidR="00620BEF" w:rsidRDefault="00307D39" w:rsidP="00620BEF">
      <w:pPr>
        <w:spacing w:before="240" w:line="360" w:lineRule="auto"/>
        <w:jc w:val="both"/>
        <w:rPr>
          <w:rFonts w:ascii="David" w:hAnsi="David"/>
          <w:b/>
          <w:bCs/>
          <w:rtl/>
        </w:rPr>
      </w:pPr>
      <w:r w:rsidRPr="00307D39">
        <w:rPr>
          <w:rFonts w:ascii="David" w:hAnsi="David"/>
          <w:b/>
          <w:bCs/>
          <w:color w:val="FFFFFF"/>
          <w:sz w:val="2"/>
          <w:szCs w:val="2"/>
          <w:rtl/>
        </w:rPr>
        <w:t>5129371</w:t>
      </w:r>
      <w:r w:rsidR="00620BEF">
        <w:rPr>
          <w:rFonts w:ascii="David" w:hAnsi="David"/>
          <w:b/>
          <w:bCs/>
          <w:rtl/>
        </w:rPr>
        <w:t>ניתן צו להשמדת הסם.</w:t>
      </w:r>
    </w:p>
    <w:p w14:paraId="042C4D86" w14:textId="77777777" w:rsidR="00620BEF" w:rsidRDefault="00307D39" w:rsidP="00620BEF">
      <w:pPr>
        <w:spacing w:before="240" w:line="360" w:lineRule="auto"/>
        <w:jc w:val="both"/>
        <w:rPr>
          <w:rFonts w:ascii="David" w:hAnsi="David"/>
          <w:b/>
          <w:bCs/>
          <w:u w:val="single"/>
          <w:rtl/>
        </w:rPr>
      </w:pPr>
      <w:r w:rsidRPr="00307D39">
        <w:rPr>
          <w:rFonts w:ascii="David" w:hAnsi="David"/>
          <w:b/>
          <w:bCs/>
          <w:color w:val="FFFFFF"/>
          <w:sz w:val="2"/>
          <w:szCs w:val="2"/>
          <w:u w:val="single"/>
          <w:rtl/>
        </w:rPr>
        <w:t>54678313</w:t>
      </w:r>
      <w:r w:rsidR="00620BEF">
        <w:rPr>
          <w:rFonts w:ascii="David" w:hAnsi="David"/>
          <w:b/>
          <w:bCs/>
          <w:u w:val="single"/>
          <w:rtl/>
        </w:rPr>
        <w:t>זכות ערעור לבית-המשפט המחוזי תוך 45 יום</w:t>
      </w:r>
      <w:bookmarkEnd w:id="8"/>
      <w:r w:rsidR="00620BEF">
        <w:rPr>
          <w:rFonts w:ascii="David" w:hAnsi="David"/>
          <w:b/>
          <w:bCs/>
          <w:u w:val="single"/>
          <w:rtl/>
        </w:rPr>
        <w:t>.</w:t>
      </w:r>
    </w:p>
    <w:p w14:paraId="32A6B0E6" w14:textId="77777777" w:rsidR="00620BEF" w:rsidRDefault="00620BEF" w:rsidP="00620BEF">
      <w:pPr>
        <w:spacing w:line="360" w:lineRule="auto"/>
        <w:jc w:val="both"/>
        <w:rPr>
          <w:rFonts w:ascii="David" w:hAnsi="David"/>
          <w:sz w:val="26"/>
          <w:szCs w:val="26"/>
          <w:rtl/>
        </w:rPr>
      </w:pPr>
    </w:p>
    <w:p w14:paraId="3FDD4043" w14:textId="77777777" w:rsidR="00620BEF" w:rsidRDefault="00307D39" w:rsidP="00620BEF">
      <w:pPr>
        <w:rPr>
          <w:rFonts w:ascii="David" w:hAnsi="David"/>
          <w:sz w:val="26"/>
          <w:szCs w:val="26"/>
          <w:rtl/>
        </w:rPr>
      </w:pPr>
      <w:bookmarkStart w:id="10" w:name="Nitan"/>
      <w:r>
        <w:rPr>
          <w:b/>
          <w:bCs/>
          <w:rtl/>
        </w:rPr>
        <w:t xml:space="preserve">ניתן והודע היום, כ"ז באדר ב' התשפ"ב, 30 במרץ 2022, במעמד הנוכחים. </w:t>
      </w:r>
      <w:bookmarkEnd w:id="10"/>
    </w:p>
    <w:p w14:paraId="25F71755" w14:textId="77777777" w:rsidR="00620BEF" w:rsidRPr="001B1A15" w:rsidRDefault="00620BEF" w:rsidP="00307D39">
      <w:pPr>
        <w:jc w:val="center"/>
      </w:pPr>
      <w:r>
        <w:rPr>
          <w:rFonts w:ascii="David" w:hAnsi="David"/>
          <w:sz w:val="26"/>
          <w:szCs w:val="26"/>
          <w:rtl/>
        </w:rPr>
        <w:t xml:space="preserve">   </w:t>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p>
    <w:p w14:paraId="1346D087" w14:textId="77777777" w:rsidR="00620BEF" w:rsidRPr="001B1A15" w:rsidRDefault="00620BEF" w:rsidP="00620BEF">
      <w:pPr>
        <w:jc w:val="center"/>
        <w:rPr>
          <w:rFonts w:ascii="David" w:hAnsi="David"/>
          <w:sz w:val="26"/>
          <w:szCs w:val="26"/>
          <w:rtl/>
        </w:rPr>
      </w:pPr>
    </w:p>
    <w:p w14:paraId="1EBA8ACF" w14:textId="77777777" w:rsidR="00461455" w:rsidRPr="00307D39" w:rsidRDefault="00461455" w:rsidP="00307D39">
      <w:pPr>
        <w:keepNext/>
        <w:rPr>
          <w:rFonts w:ascii="David" w:hAnsi="David"/>
          <w:color w:val="000000"/>
          <w:sz w:val="22"/>
          <w:szCs w:val="22"/>
          <w:rtl/>
        </w:rPr>
      </w:pPr>
    </w:p>
    <w:p w14:paraId="756BF0C7" w14:textId="77777777" w:rsidR="00307D39" w:rsidRPr="00307D39" w:rsidRDefault="00307D39" w:rsidP="00307D39">
      <w:pPr>
        <w:keepNext/>
        <w:rPr>
          <w:rFonts w:ascii="David" w:hAnsi="David"/>
          <w:color w:val="000000"/>
          <w:sz w:val="22"/>
          <w:szCs w:val="22"/>
          <w:rtl/>
        </w:rPr>
      </w:pPr>
      <w:r w:rsidRPr="00307D39">
        <w:rPr>
          <w:rFonts w:ascii="David" w:hAnsi="David"/>
          <w:color w:val="000000"/>
          <w:sz w:val="22"/>
          <w:szCs w:val="22"/>
          <w:rtl/>
        </w:rPr>
        <w:t>זהר דולב להמן 54678313</w:t>
      </w:r>
    </w:p>
    <w:p w14:paraId="4900EA5E" w14:textId="77777777" w:rsidR="00307D39" w:rsidRDefault="00307D39" w:rsidP="00307D39">
      <w:r w:rsidRPr="00307D39">
        <w:rPr>
          <w:color w:val="000000"/>
          <w:rtl/>
        </w:rPr>
        <w:t>נוסח מסמך זה כפוף לשינויי ניסוח ועריכה</w:t>
      </w:r>
    </w:p>
    <w:p w14:paraId="432BFD87" w14:textId="77777777" w:rsidR="00307D39" w:rsidRDefault="00307D39" w:rsidP="00307D39">
      <w:pPr>
        <w:rPr>
          <w:rtl/>
        </w:rPr>
      </w:pPr>
    </w:p>
    <w:p w14:paraId="09A9F4AB" w14:textId="77777777" w:rsidR="00307D39" w:rsidRDefault="00307D39" w:rsidP="00307D39">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581C08AE" w14:textId="77777777" w:rsidR="00307D39" w:rsidRPr="00307D39" w:rsidRDefault="00307D39" w:rsidP="00307D39">
      <w:pPr>
        <w:jc w:val="center"/>
        <w:rPr>
          <w:color w:val="0000FF"/>
          <w:u w:val="single"/>
        </w:rPr>
      </w:pPr>
    </w:p>
    <w:sectPr w:rsidR="00307D39" w:rsidRPr="00307D39" w:rsidSect="00307D39">
      <w:headerReference w:type="even" r:id="rId60"/>
      <w:headerReference w:type="default" r:id="rId61"/>
      <w:footerReference w:type="even" r:id="rId62"/>
      <w:footerReference w:type="default" r:id="rId63"/>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A968" w14:textId="77777777" w:rsidR="0092680B" w:rsidRDefault="0092680B" w:rsidP="0028574B">
      <w:r>
        <w:separator/>
      </w:r>
    </w:p>
  </w:endnote>
  <w:endnote w:type="continuationSeparator" w:id="0">
    <w:p w14:paraId="3E783D8D" w14:textId="77777777" w:rsidR="0092680B" w:rsidRDefault="0092680B" w:rsidP="0028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7797" w14:textId="77777777" w:rsidR="00307D39" w:rsidRDefault="00307D39" w:rsidP="00307D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BEA3A4" w14:textId="77777777" w:rsidR="009B3376" w:rsidRPr="00307D39" w:rsidRDefault="00307D39" w:rsidP="00307D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9EFFB" w14:textId="77777777" w:rsidR="00307D39" w:rsidRDefault="00307D39" w:rsidP="00307D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4DDE">
      <w:rPr>
        <w:rFonts w:ascii="FrankRuehl" w:hAnsi="FrankRuehl" w:cs="FrankRuehl"/>
        <w:noProof/>
        <w:rtl/>
      </w:rPr>
      <w:t>1</w:t>
    </w:r>
    <w:r>
      <w:rPr>
        <w:rFonts w:ascii="FrankRuehl" w:hAnsi="FrankRuehl" w:cs="FrankRuehl"/>
        <w:rtl/>
      </w:rPr>
      <w:fldChar w:fldCharType="end"/>
    </w:r>
  </w:p>
  <w:p w14:paraId="4EB85736" w14:textId="77777777" w:rsidR="009B3376" w:rsidRPr="00307D39" w:rsidRDefault="00307D39" w:rsidP="00307D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048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3814" w14:textId="77777777" w:rsidR="0092680B" w:rsidRDefault="0092680B" w:rsidP="0028574B">
      <w:r>
        <w:separator/>
      </w:r>
    </w:p>
  </w:footnote>
  <w:footnote w:type="continuationSeparator" w:id="0">
    <w:p w14:paraId="4EA7D1BD" w14:textId="77777777" w:rsidR="0092680B" w:rsidRDefault="0092680B" w:rsidP="00285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558FD" w14:textId="77777777" w:rsidR="00307D39" w:rsidRPr="00307D39" w:rsidRDefault="00307D39" w:rsidP="00307D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61181-02-19</w:t>
    </w:r>
    <w:r>
      <w:rPr>
        <w:rFonts w:ascii="David" w:hAnsi="David"/>
        <w:color w:val="000000"/>
        <w:sz w:val="22"/>
        <w:szCs w:val="22"/>
        <w:rtl/>
      </w:rPr>
      <w:tab/>
      <w:t xml:space="preserve"> מדינת ישראל נ' ויצ'סלב רובינוב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13CE8" w14:textId="77777777" w:rsidR="00307D39" w:rsidRPr="00307D39" w:rsidRDefault="00307D39" w:rsidP="00307D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61181-02-19</w:t>
    </w:r>
    <w:r>
      <w:rPr>
        <w:rFonts w:ascii="David" w:hAnsi="David"/>
        <w:color w:val="000000"/>
        <w:sz w:val="22"/>
        <w:szCs w:val="22"/>
        <w:rtl/>
      </w:rPr>
      <w:tab/>
      <w:t xml:space="preserve"> מדינת ישראל נ' ויצ'סלב רובינוב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B302C49E"/>
    <w:lvl w:ilvl="0" w:tplc="60EEF7E2">
      <w:start w:val="1"/>
      <w:numFmt w:val="decimal"/>
      <w:lvlText w:val="%1."/>
      <w:lvlJc w:val="left"/>
      <w:pPr>
        <w:ind w:left="720" w:hanging="360"/>
      </w:pPr>
      <w:rPr>
        <w:rFonts w:ascii="David" w:hAnsi="David" w:cs="David"/>
        <w:b w:val="0"/>
        <w:bCs w:val="0"/>
        <w:lang w:bidi="he-IL"/>
      </w:rPr>
    </w:lvl>
    <w:lvl w:ilvl="1" w:tplc="FC6EAB82">
      <w:start w:val="1"/>
      <w:numFmt w:val="hebrew1"/>
      <w:lvlText w:val="%2."/>
      <w:lvlJc w:val="center"/>
      <w:pPr>
        <w:ind w:left="785" w:hanging="360"/>
      </w:pPr>
      <w:rPr>
        <w:rFonts w:ascii="David" w:hAnsi="David" w:cs="David"/>
        <w:b w:val="0"/>
        <w:bCs w:val="0"/>
        <w:lang w:val="en-US"/>
      </w:rPr>
    </w:lvl>
    <w:lvl w:ilvl="2" w:tplc="262A72F0">
      <w:start w:val="1"/>
      <w:numFmt w:val="decimal"/>
      <w:lvlText w:val="(%3)"/>
      <w:lvlJc w:val="left"/>
      <w:pPr>
        <w:ind w:left="1172" w:hanging="180"/>
      </w:pPr>
      <w:rPr>
        <w:rFonts w:ascii="David" w:hAnsi="David" w:cs="David"/>
        <w:bCs w:val="0"/>
        <w:iCs w:val="0"/>
        <w:sz w:val="20"/>
        <w:szCs w:val="24"/>
      </w:rPr>
    </w:lvl>
    <w:lvl w:ilvl="3" w:tplc="E7FC3096">
      <w:start w:val="1"/>
      <w:numFmt w:val="decimal"/>
      <w:lvlText w:val="%4."/>
      <w:lvlJc w:val="left"/>
      <w:pPr>
        <w:ind w:left="2880" w:hanging="360"/>
      </w:pPr>
      <w:rPr>
        <w:rFonts w:cs="Times New Roman"/>
      </w:rPr>
    </w:lvl>
    <w:lvl w:ilvl="4" w:tplc="4E8A8946">
      <w:start w:val="1"/>
      <w:numFmt w:val="lowerLetter"/>
      <w:lvlText w:val="%5."/>
      <w:lvlJc w:val="left"/>
      <w:pPr>
        <w:ind w:left="3600" w:hanging="360"/>
      </w:pPr>
      <w:rPr>
        <w:rFonts w:cs="Times New Roman"/>
      </w:rPr>
    </w:lvl>
    <w:lvl w:ilvl="5" w:tplc="D8E8CC88">
      <w:start w:val="1"/>
      <w:numFmt w:val="lowerRoman"/>
      <w:lvlText w:val="%6."/>
      <w:lvlJc w:val="right"/>
      <w:pPr>
        <w:ind w:left="4320" w:hanging="180"/>
      </w:pPr>
      <w:rPr>
        <w:rFonts w:cs="Times New Roman"/>
      </w:rPr>
    </w:lvl>
    <w:lvl w:ilvl="6" w:tplc="2342E17E">
      <w:start w:val="1"/>
      <w:numFmt w:val="decimal"/>
      <w:lvlText w:val="%7."/>
      <w:lvlJc w:val="left"/>
      <w:pPr>
        <w:ind w:left="5040" w:hanging="360"/>
      </w:pPr>
      <w:rPr>
        <w:rFonts w:cs="Times New Roman"/>
      </w:rPr>
    </w:lvl>
    <w:lvl w:ilvl="7" w:tplc="29C4A194">
      <w:start w:val="1"/>
      <w:numFmt w:val="lowerLetter"/>
      <w:lvlText w:val="%8."/>
      <w:lvlJc w:val="left"/>
      <w:pPr>
        <w:ind w:left="5760" w:hanging="360"/>
      </w:pPr>
      <w:rPr>
        <w:rFonts w:cs="Times New Roman"/>
      </w:rPr>
    </w:lvl>
    <w:lvl w:ilvl="8" w:tplc="45B6B4CA">
      <w:start w:val="1"/>
      <w:numFmt w:val="lowerRoman"/>
      <w:lvlText w:val="%9."/>
      <w:lvlJc w:val="right"/>
      <w:pPr>
        <w:ind w:left="6480" w:hanging="180"/>
      </w:pPr>
      <w:rPr>
        <w:rFonts w:cs="Times New Roman"/>
      </w:rPr>
    </w:lvl>
  </w:abstractNum>
  <w:num w:numId="1" w16cid:durableId="459149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0BEF"/>
    <w:rsid w:val="001409C2"/>
    <w:rsid w:val="001F3FDB"/>
    <w:rsid w:val="0028574B"/>
    <w:rsid w:val="002E1096"/>
    <w:rsid w:val="002E7923"/>
    <w:rsid w:val="00307D39"/>
    <w:rsid w:val="00364DDE"/>
    <w:rsid w:val="00461455"/>
    <w:rsid w:val="00620BEF"/>
    <w:rsid w:val="006A214E"/>
    <w:rsid w:val="007741B4"/>
    <w:rsid w:val="0092680B"/>
    <w:rsid w:val="00982C79"/>
    <w:rsid w:val="009A4E4C"/>
    <w:rsid w:val="009B3376"/>
    <w:rsid w:val="00C639C7"/>
    <w:rsid w:val="00FA21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B6E418"/>
  <w15:chartTrackingRefBased/>
  <w15:docId w15:val="{A7155533-6034-4AEE-83D4-67D206F5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0B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0BEF"/>
    <w:pPr>
      <w:tabs>
        <w:tab w:val="center" w:pos="4153"/>
        <w:tab w:val="right" w:pos="8306"/>
      </w:tabs>
    </w:pPr>
  </w:style>
  <w:style w:type="character" w:customStyle="1" w:styleId="a4">
    <w:name w:val="כותרת עליונה תו"/>
    <w:link w:val="a3"/>
    <w:rsid w:val="00620BEF"/>
    <w:rPr>
      <w:rFonts w:ascii="Times New Roman" w:eastAsia="Times New Roman" w:hAnsi="Times New Roman" w:cs="David"/>
      <w:sz w:val="24"/>
      <w:szCs w:val="24"/>
    </w:rPr>
  </w:style>
  <w:style w:type="paragraph" w:styleId="a5">
    <w:name w:val="footer"/>
    <w:basedOn w:val="a"/>
    <w:link w:val="a6"/>
    <w:rsid w:val="00620BEF"/>
    <w:pPr>
      <w:tabs>
        <w:tab w:val="center" w:pos="4153"/>
        <w:tab w:val="right" w:pos="8306"/>
      </w:tabs>
    </w:pPr>
  </w:style>
  <w:style w:type="character" w:customStyle="1" w:styleId="a6">
    <w:name w:val="כותרת תחתונה תו"/>
    <w:link w:val="a5"/>
    <w:rsid w:val="00620BEF"/>
    <w:rPr>
      <w:rFonts w:ascii="Times New Roman" w:eastAsia="Times New Roman" w:hAnsi="Times New Roman" w:cs="David"/>
      <w:sz w:val="24"/>
      <w:szCs w:val="24"/>
    </w:rPr>
  </w:style>
  <w:style w:type="table" w:styleId="a7">
    <w:name w:val="Table Grid"/>
    <w:basedOn w:val="a1"/>
    <w:rsid w:val="00620B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0BEF"/>
  </w:style>
  <w:style w:type="character" w:customStyle="1" w:styleId="TimesNewRomanTimesNewRoman">
    <w:name w:val="סגנון (לטיני) Times New Roman (עברית ושפות אחרות) Times New Roman..."/>
    <w:rsid w:val="00620BEF"/>
    <w:rPr>
      <w:rFonts w:ascii="Times New Roman" w:hAnsi="Times New Roman" w:cs="David" w:hint="default"/>
      <w:b/>
      <w:bCs/>
      <w:sz w:val="26"/>
      <w:szCs w:val="26"/>
    </w:rPr>
  </w:style>
  <w:style w:type="paragraph" w:styleId="a9">
    <w:name w:val="List Paragraph"/>
    <w:basedOn w:val="a"/>
    <w:qFormat/>
    <w:rsid w:val="00620BEF"/>
    <w:pPr>
      <w:ind w:left="720"/>
      <w:contextualSpacing/>
    </w:pPr>
  </w:style>
  <w:style w:type="character" w:styleId="Hyperlink">
    <w:name w:val="Hyperlink"/>
    <w:rsid w:val="00307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434565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19999565" TargetMode="External"/><Relationship Id="rId42" Type="http://schemas.openxmlformats.org/officeDocument/2006/relationships/hyperlink" Target="http://www.nevo.co.il/case/21924102" TargetMode="External"/><Relationship Id="rId47" Type="http://schemas.openxmlformats.org/officeDocument/2006/relationships/hyperlink" Target="http://www.nevo.co.il/case/17947582" TargetMode="External"/><Relationship Id="rId50" Type="http://schemas.openxmlformats.org/officeDocument/2006/relationships/hyperlink" Target="http://www.nevo.co.il/law/4216/37a" TargetMode="External"/><Relationship Id="rId55" Type="http://schemas.openxmlformats.org/officeDocument/2006/relationships/hyperlink" Target="http://www.nevo.co.il/law/70301"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g" TargetMode="External"/><Relationship Id="rId29" Type="http://schemas.openxmlformats.org/officeDocument/2006/relationships/hyperlink" Target="http://www.nevo.co.il/case/20578888"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0597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118326" TargetMode="External"/><Relationship Id="rId40" Type="http://schemas.openxmlformats.org/officeDocument/2006/relationships/hyperlink" Target="http://www.nevo.co.il/case/23001288" TargetMode="External"/><Relationship Id="rId45" Type="http://schemas.openxmlformats.org/officeDocument/2006/relationships/hyperlink" Target="http://www.nevo.co.il/law/70301/40ji"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40ji"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632055" TargetMode="External"/><Relationship Id="rId30" Type="http://schemas.openxmlformats.org/officeDocument/2006/relationships/hyperlink" Target="http://www.nevo.co.il/case/13049328" TargetMode="External"/><Relationship Id="rId35" Type="http://schemas.openxmlformats.org/officeDocument/2006/relationships/hyperlink" Target="http://www.nevo.co.il/case/21778048" TargetMode="External"/><Relationship Id="rId43" Type="http://schemas.openxmlformats.org/officeDocument/2006/relationships/hyperlink" Target="http://www.nevo.co.il/case/22183077" TargetMode="External"/><Relationship Id="rId48" Type="http://schemas.openxmlformats.org/officeDocument/2006/relationships/hyperlink" Target="http://www.nevo.co.il/law/70301/40h" TargetMode="External"/><Relationship Id="rId56" Type="http://schemas.openxmlformats.org/officeDocument/2006/relationships/hyperlink" Target="http://www.nevo.co.il/law/70301/40f"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law/70301/40c.b"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h" TargetMode="External"/><Relationship Id="rId25" Type="http://schemas.openxmlformats.org/officeDocument/2006/relationships/hyperlink" Target="http://www.nevo.co.il/case/25191250" TargetMode="External"/><Relationship Id="rId33" Type="http://schemas.openxmlformats.org/officeDocument/2006/relationships/hyperlink" Target="http://www.nevo.co.il/case/6987521" TargetMode="External"/><Relationship Id="rId38" Type="http://schemas.openxmlformats.org/officeDocument/2006/relationships/hyperlink" Target="http://www.nevo.co.il/case/3546494"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0578888" TargetMode="External"/><Relationship Id="rId54" Type="http://schemas.openxmlformats.org/officeDocument/2006/relationships/hyperlink" Target="http://www.nevo.co.il/law/70301/40d"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f" TargetMode="External"/><Relationship Id="rId23" Type="http://schemas.openxmlformats.org/officeDocument/2006/relationships/hyperlink" Target="http://www.nevo.co.il/case/5810781" TargetMode="External"/><Relationship Id="rId28" Type="http://schemas.openxmlformats.org/officeDocument/2006/relationships/hyperlink" Target="http://www.nevo.co.il/case/18118326" TargetMode="External"/><Relationship Id="rId36" Type="http://schemas.openxmlformats.org/officeDocument/2006/relationships/hyperlink" Target="http://www.nevo.co.il/case/2063205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40g" TargetMode="External"/><Relationship Id="rId10" Type="http://schemas.openxmlformats.org/officeDocument/2006/relationships/hyperlink" Target="http://www.nevo.co.il/law/4216/37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13049328" TargetMode="External"/><Relationship Id="rId52" Type="http://schemas.openxmlformats.org/officeDocument/2006/relationships/hyperlink" Target="http://www.nevo.co.il/law/7030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71735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5113</Words>
  <Characters>25568</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30620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http://www.nevo.co.il/law/70301/40g</vt:lpwstr>
      </vt:variant>
      <vt:variant>
        <vt:lpwstr/>
      </vt:variant>
      <vt:variant>
        <vt:i4>6619233</vt:i4>
      </vt:variant>
      <vt:variant>
        <vt:i4>147</vt:i4>
      </vt:variant>
      <vt:variant>
        <vt:i4>0</vt:i4>
      </vt:variant>
      <vt:variant>
        <vt:i4>5</vt:i4>
      </vt:variant>
      <vt:variant>
        <vt:lpwstr>http://www.nevo.co.il/law/70301/40f</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http://www.nevo.co.il/law/70301/40d</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http://www.nevo.co.il/law/70301/40c.b</vt:lpwstr>
      </vt:variant>
      <vt:variant>
        <vt:lpwstr/>
      </vt:variant>
      <vt:variant>
        <vt:i4>2883709</vt:i4>
      </vt:variant>
      <vt:variant>
        <vt:i4>129</vt:i4>
      </vt:variant>
      <vt:variant>
        <vt:i4>0</vt:i4>
      </vt:variant>
      <vt:variant>
        <vt:i4>5</vt:i4>
      </vt:variant>
      <vt:variant>
        <vt:lpwstr>http://www.nevo.co.il/law/4216/37a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http://www.nevo.co.il/law/70301/40h</vt:lpwstr>
      </vt:variant>
      <vt:variant>
        <vt:lpwstr/>
      </vt:variant>
      <vt:variant>
        <vt:i4>3604594</vt:i4>
      </vt:variant>
      <vt:variant>
        <vt:i4>120</vt:i4>
      </vt:variant>
      <vt:variant>
        <vt:i4>0</vt:i4>
      </vt:variant>
      <vt:variant>
        <vt:i4>5</vt:i4>
      </vt:variant>
      <vt:variant>
        <vt:lpwstr>http://www.nevo.co.il/case/17947582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786443</vt:i4>
      </vt:variant>
      <vt:variant>
        <vt:i4>114</vt:i4>
      </vt:variant>
      <vt:variant>
        <vt:i4>0</vt:i4>
      </vt:variant>
      <vt:variant>
        <vt:i4>5</vt:i4>
      </vt:variant>
      <vt:variant>
        <vt:lpwstr>http://www.nevo.co.il/law/70301/40ji</vt:lpwstr>
      </vt:variant>
      <vt:variant>
        <vt:lpwstr/>
      </vt:variant>
      <vt:variant>
        <vt:i4>3801200</vt:i4>
      </vt:variant>
      <vt:variant>
        <vt:i4>111</vt:i4>
      </vt:variant>
      <vt:variant>
        <vt:i4>0</vt:i4>
      </vt:variant>
      <vt:variant>
        <vt:i4>5</vt:i4>
      </vt:variant>
      <vt:variant>
        <vt:lpwstr>http://www.nevo.co.il/case/13049328</vt:lpwstr>
      </vt:variant>
      <vt:variant>
        <vt:lpwstr/>
      </vt:variant>
      <vt:variant>
        <vt:i4>3604606</vt:i4>
      </vt:variant>
      <vt:variant>
        <vt:i4>108</vt:i4>
      </vt:variant>
      <vt:variant>
        <vt:i4>0</vt:i4>
      </vt:variant>
      <vt:variant>
        <vt:i4>5</vt:i4>
      </vt:variant>
      <vt:variant>
        <vt:lpwstr>http://www.nevo.co.il/case/22183077</vt:lpwstr>
      </vt:variant>
      <vt:variant>
        <vt:lpwstr/>
      </vt:variant>
      <vt:variant>
        <vt:i4>4128886</vt:i4>
      </vt:variant>
      <vt:variant>
        <vt:i4>105</vt:i4>
      </vt:variant>
      <vt:variant>
        <vt:i4>0</vt:i4>
      </vt:variant>
      <vt:variant>
        <vt:i4>5</vt:i4>
      </vt:variant>
      <vt:variant>
        <vt:lpwstr>http://www.nevo.co.il/case/21924102</vt:lpwstr>
      </vt:variant>
      <vt:variant>
        <vt:lpwstr/>
      </vt:variant>
      <vt:variant>
        <vt:i4>3604603</vt:i4>
      </vt:variant>
      <vt:variant>
        <vt:i4>102</vt:i4>
      </vt:variant>
      <vt:variant>
        <vt:i4>0</vt:i4>
      </vt:variant>
      <vt:variant>
        <vt:i4>5</vt:i4>
      </vt:variant>
      <vt:variant>
        <vt:lpwstr>http://www.nevo.co.il/case/20578888</vt:lpwstr>
      </vt:variant>
      <vt:variant>
        <vt:lpwstr/>
      </vt:variant>
      <vt:variant>
        <vt:i4>3866741</vt:i4>
      </vt:variant>
      <vt:variant>
        <vt:i4>99</vt:i4>
      </vt:variant>
      <vt:variant>
        <vt:i4>0</vt:i4>
      </vt:variant>
      <vt:variant>
        <vt:i4>5</vt:i4>
      </vt:variant>
      <vt:variant>
        <vt:lpwstr>http://www.nevo.co.il/case/23001288</vt:lpwstr>
      </vt:variant>
      <vt:variant>
        <vt:lpwstr/>
      </vt:variant>
      <vt:variant>
        <vt:i4>3473521</vt:i4>
      </vt:variant>
      <vt:variant>
        <vt:i4>96</vt:i4>
      </vt:variant>
      <vt:variant>
        <vt:i4>0</vt:i4>
      </vt:variant>
      <vt:variant>
        <vt:i4>5</vt:i4>
      </vt:variant>
      <vt:variant>
        <vt:lpwstr>http://www.nevo.co.il/case/27173558</vt:lpwstr>
      </vt:variant>
      <vt:variant>
        <vt:lpwstr/>
      </vt:variant>
      <vt:variant>
        <vt:i4>3604606</vt:i4>
      </vt:variant>
      <vt:variant>
        <vt:i4>93</vt:i4>
      </vt:variant>
      <vt:variant>
        <vt:i4>0</vt:i4>
      </vt:variant>
      <vt:variant>
        <vt:i4>5</vt:i4>
      </vt:variant>
      <vt:variant>
        <vt:lpwstr>http://www.nevo.co.il/case/3546494</vt:lpwstr>
      </vt:variant>
      <vt:variant>
        <vt:lpwstr/>
      </vt:variant>
      <vt:variant>
        <vt:i4>3801214</vt:i4>
      </vt:variant>
      <vt:variant>
        <vt:i4>90</vt:i4>
      </vt:variant>
      <vt:variant>
        <vt:i4>0</vt:i4>
      </vt:variant>
      <vt:variant>
        <vt:i4>5</vt:i4>
      </vt:variant>
      <vt:variant>
        <vt:lpwstr>http://www.nevo.co.il/case/18118326</vt:lpwstr>
      </vt:variant>
      <vt:variant>
        <vt:lpwstr/>
      </vt:variant>
      <vt:variant>
        <vt:i4>3342455</vt:i4>
      </vt:variant>
      <vt:variant>
        <vt:i4>87</vt:i4>
      </vt:variant>
      <vt:variant>
        <vt:i4>0</vt:i4>
      </vt:variant>
      <vt:variant>
        <vt:i4>5</vt:i4>
      </vt:variant>
      <vt:variant>
        <vt:lpwstr>http://www.nevo.co.il/case/20632055</vt:lpwstr>
      </vt:variant>
      <vt:variant>
        <vt:lpwstr/>
      </vt:variant>
      <vt:variant>
        <vt:i4>3735666</vt:i4>
      </vt:variant>
      <vt:variant>
        <vt:i4>84</vt:i4>
      </vt:variant>
      <vt:variant>
        <vt:i4>0</vt:i4>
      </vt:variant>
      <vt:variant>
        <vt:i4>5</vt:i4>
      </vt:variant>
      <vt:variant>
        <vt:lpwstr>http://www.nevo.co.il/case/21778048</vt:lpwstr>
      </vt:variant>
      <vt:variant>
        <vt:lpwstr/>
      </vt:variant>
      <vt:variant>
        <vt:i4>3604593</vt:i4>
      </vt:variant>
      <vt:variant>
        <vt:i4>81</vt:i4>
      </vt:variant>
      <vt:variant>
        <vt:i4>0</vt:i4>
      </vt:variant>
      <vt:variant>
        <vt:i4>5</vt:i4>
      </vt:variant>
      <vt:variant>
        <vt:lpwstr>http://www.nevo.co.il/case/19999565</vt:lpwstr>
      </vt:variant>
      <vt:variant>
        <vt:lpwstr/>
      </vt:variant>
      <vt:variant>
        <vt:i4>3801208</vt:i4>
      </vt:variant>
      <vt:variant>
        <vt:i4>78</vt:i4>
      </vt:variant>
      <vt:variant>
        <vt:i4>0</vt:i4>
      </vt:variant>
      <vt:variant>
        <vt:i4>5</vt:i4>
      </vt:variant>
      <vt:variant>
        <vt:lpwstr>http://www.nevo.co.il/case/6987521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3801200</vt:i4>
      </vt:variant>
      <vt:variant>
        <vt:i4>69</vt:i4>
      </vt:variant>
      <vt:variant>
        <vt:i4>0</vt:i4>
      </vt:variant>
      <vt:variant>
        <vt:i4>5</vt:i4>
      </vt:variant>
      <vt:variant>
        <vt:lpwstr>http://www.nevo.co.il/case/13049328</vt:lpwstr>
      </vt:variant>
      <vt:variant>
        <vt:lpwstr/>
      </vt:variant>
      <vt:variant>
        <vt:i4>3604603</vt:i4>
      </vt:variant>
      <vt:variant>
        <vt:i4>66</vt:i4>
      </vt:variant>
      <vt:variant>
        <vt:i4>0</vt:i4>
      </vt:variant>
      <vt:variant>
        <vt:i4>5</vt:i4>
      </vt:variant>
      <vt:variant>
        <vt:lpwstr>http://www.nevo.co.il/case/20578888</vt:lpwstr>
      </vt:variant>
      <vt:variant>
        <vt:lpwstr/>
      </vt:variant>
      <vt:variant>
        <vt:i4>3801214</vt:i4>
      </vt:variant>
      <vt:variant>
        <vt:i4>63</vt:i4>
      </vt:variant>
      <vt:variant>
        <vt:i4>0</vt:i4>
      </vt:variant>
      <vt:variant>
        <vt:i4>5</vt:i4>
      </vt:variant>
      <vt:variant>
        <vt:lpwstr>http://www.nevo.co.il/case/18118326</vt:lpwstr>
      </vt:variant>
      <vt:variant>
        <vt:lpwstr/>
      </vt:variant>
      <vt:variant>
        <vt:i4>3342455</vt:i4>
      </vt:variant>
      <vt:variant>
        <vt:i4>60</vt:i4>
      </vt:variant>
      <vt:variant>
        <vt:i4>0</vt:i4>
      </vt:variant>
      <vt:variant>
        <vt:i4>5</vt:i4>
      </vt:variant>
      <vt:variant>
        <vt:lpwstr>http://www.nevo.co.il/case/20632055</vt:lpwstr>
      </vt:variant>
      <vt:variant>
        <vt:lpwstr/>
      </vt:variant>
      <vt:variant>
        <vt:i4>3211378</vt:i4>
      </vt:variant>
      <vt:variant>
        <vt:i4>57</vt:i4>
      </vt:variant>
      <vt:variant>
        <vt:i4>0</vt:i4>
      </vt:variant>
      <vt:variant>
        <vt:i4>5</vt:i4>
      </vt:variant>
      <vt:variant>
        <vt:lpwstr>http://www.nevo.co.il/case/24345651</vt:lpwstr>
      </vt:variant>
      <vt:variant>
        <vt:lpwstr/>
      </vt:variant>
      <vt:variant>
        <vt:i4>3604602</vt:i4>
      </vt:variant>
      <vt:variant>
        <vt:i4>54</vt:i4>
      </vt:variant>
      <vt:variant>
        <vt:i4>0</vt:i4>
      </vt:variant>
      <vt:variant>
        <vt:i4>5</vt:i4>
      </vt:variant>
      <vt:variant>
        <vt:lpwstr>http://www.nevo.co.il/case/25191250</vt:lpwstr>
      </vt:variant>
      <vt:variant>
        <vt:lpwstr/>
      </vt:variant>
      <vt:variant>
        <vt:i4>3801214</vt:i4>
      </vt:variant>
      <vt:variant>
        <vt:i4>51</vt:i4>
      </vt:variant>
      <vt:variant>
        <vt:i4>0</vt:i4>
      </vt:variant>
      <vt:variant>
        <vt:i4>5</vt:i4>
      </vt:variant>
      <vt:variant>
        <vt:lpwstr>http://www.nevo.co.il/case/5805976</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786443</vt:i4>
      </vt:variant>
      <vt:variant>
        <vt:i4>36</vt:i4>
      </vt:variant>
      <vt:variant>
        <vt:i4>0</vt:i4>
      </vt:variant>
      <vt:variant>
        <vt:i4>5</vt:i4>
      </vt:variant>
      <vt:variant>
        <vt:lpwstr>http://www.nevo.co.il/law/70301/40ji</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61181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ויצ'סלב רובינוב</vt:lpwstr>
  </property>
  <property fmtid="{D5CDD505-2E9C-101B-9397-08002B2CF9AE}" pid="10" name="LAWYER">
    <vt:lpwstr>רמה קלימי;שלומי הכהן</vt:lpwstr>
  </property>
  <property fmtid="{D5CDD505-2E9C-101B-9397-08002B2CF9AE}" pid="11" name="JUDGE">
    <vt:lpwstr>זהר דולב להמן</vt:lpwstr>
  </property>
  <property fmtid="{D5CDD505-2E9C-101B-9397-08002B2CF9AE}" pid="12" name="CITY">
    <vt:lpwstr>ב"ש</vt:lpwstr>
  </property>
  <property fmtid="{D5CDD505-2E9C-101B-9397-08002B2CF9AE}" pid="13" name="DATE">
    <vt:lpwstr>20220330</vt:lpwstr>
  </property>
  <property fmtid="{D5CDD505-2E9C-101B-9397-08002B2CF9AE}" pid="14" name="TYPE_N_DATE">
    <vt:lpwstr>38020220330</vt:lpwstr>
  </property>
  <property fmtid="{D5CDD505-2E9C-101B-9397-08002B2CF9AE}" pid="15" name="WORDNUMPAGES">
    <vt:lpwstr>13</vt:lpwstr>
  </property>
  <property fmtid="{D5CDD505-2E9C-101B-9397-08002B2CF9AE}" pid="16" name="TYPE_ABS_DATE">
    <vt:lpwstr>380020220330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5810781;5805976;25191250;24345651;20632055:2;18118326:2;20578888:2;13049328:2;6987521;19999565;21778048;3546494;27173558;23001288;21924102;22183077;17947582</vt:lpwstr>
  </property>
  <property fmtid="{D5CDD505-2E9C-101B-9397-08002B2CF9AE}" pid="36" name="LAWLISTTMP1">
    <vt:lpwstr>4216/007.a;007.c;037a</vt:lpwstr>
  </property>
  <property fmtid="{D5CDD505-2E9C-101B-9397-08002B2CF9AE}" pid="37" name="LAWLISTTMP2">
    <vt:lpwstr>70301/040c.a;40ji;040h;040c.b;40ja;040d;040f;040g</vt:lpwstr>
  </property>
</Properties>
</file>