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85E64" w:rsidRPr="00802809" w14:paraId="7534291E" w14:textId="77777777" w:rsidTr="00E31387">
        <w:trPr>
          <w:trHeight w:hRule="exact" w:val="418"/>
          <w:jc w:val="center"/>
        </w:trPr>
        <w:tc>
          <w:tcPr>
            <w:tcW w:w="8721" w:type="dxa"/>
            <w:gridSpan w:val="2"/>
          </w:tcPr>
          <w:p w14:paraId="76D56FEF" w14:textId="77777777" w:rsidR="00885E64" w:rsidRPr="00802809" w:rsidRDefault="00885E64" w:rsidP="008F16CB">
            <w:pPr>
              <w:pStyle w:val="a3"/>
              <w:jc w:val="center"/>
              <w:rPr>
                <w:rFonts w:ascii="Tahoma" w:hAnsi="Tahoma" w:cs="Tahoma"/>
                <w:color w:val="000080"/>
                <w:rtl/>
              </w:rPr>
            </w:pPr>
            <w:r w:rsidRPr="00802809">
              <w:rPr>
                <w:rFonts w:ascii="Tahoma" w:hAnsi="Tahoma" w:cs="Tahoma"/>
                <w:b/>
                <w:bCs/>
                <w:color w:val="000080"/>
                <w:rtl/>
              </w:rPr>
              <w:t>בית משפט השלום בקריות</w:t>
            </w:r>
          </w:p>
        </w:tc>
      </w:tr>
      <w:tr w:rsidR="00885E64" w:rsidRPr="00802809" w14:paraId="2B135878" w14:textId="77777777" w:rsidTr="00E31387">
        <w:trPr>
          <w:trHeight w:val="337"/>
          <w:jc w:val="center"/>
        </w:trPr>
        <w:tc>
          <w:tcPr>
            <w:tcW w:w="5056" w:type="dxa"/>
          </w:tcPr>
          <w:p w14:paraId="6D1A697E" w14:textId="77777777" w:rsidR="00885E64" w:rsidRPr="00802809" w:rsidRDefault="00885E64" w:rsidP="008F16CB">
            <w:pPr>
              <w:rPr>
                <w:rFonts w:cs="FrankRuehl"/>
                <w:sz w:val="28"/>
                <w:szCs w:val="28"/>
                <w:rtl/>
              </w:rPr>
            </w:pPr>
            <w:r w:rsidRPr="00802809">
              <w:rPr>
                <w:rFonts w:cs="FrankRuehl"/>
                <w:sz w:val="28"/>
                <w:szCs w:val="28"/>
                <w:rtl/>
              </w:rPr>
              <w:t>ת"פ</w:t>
            </w:r>
            <w:r w:rsidRPr="00802809">
              <w:rPr>
                <w:rFonts w:cs="FrankRuehl" w:hint="cs"/>
                <w:sz w:val="28"/>
                <w:szCs w:val="28"/>
                <w:rtl/>
              </w:rPr>
              <w:t xml:space="preserve"> </w:t>
            </w:r>
            <w:r w:rsidRPr="00802809">
              <w:rPr>
                <w:rFonts w:cs="FrankRuehl"/>
                <w:sz w:val="28"/>
                <w:szCs w:val="28"/>
                <w:rtl/>
              </w:rPr>
              <w:t>63997-02-19</w:t>
            </w:r>
            <w:r w:rsidRPr="00802809">
              <w:rPr>
                <w:rFonts w:cs="FrankRuehl" w:hint="cs"/>
                <w:sz w:val="28"/>
                <w:szCs w:val="28"/>
                <w:rtl/>
              </w:rPr>
              <w:t xml:space="preserve"> </w:t>
            </w:r>
            <w:r w:rsidRPr="00802809">
              <w:rPr>
                <w:rFonts w:cs="FrankRuehl"/>
                <w:sz w:val="28"/>
                <w:szCs w:val="28"/>
                <w:rtl/>
              </w:rPr>
              <w:t>פרקליטות מחוז חיפה - פלילי נ' אלביליה</w:t>
            </w:r>
          </w:p>
          <w:p w14:paraId="294E01E2" w14:textId="77777777" w:rsidR="00885E64" w:rsidRPr="00802809" w:rsidRDefault="00885E64" w:rsidP="008F16CB">
            <w:pPr>
              <w:pStyle w:val="a3"/>
              <w:rPr>
                <w:rFonts w:cs="FrankRuehl"/>
                <w:sz w:val="28"/>
                <w:szCs w:val="28"/>
                <w:rtl/>
              </w:rPr>
            </w:pPr>
          </w:p>
        </w:tc>
        <w:tc>
          <w:tcPr>
            <w:tcW w:w="3665" w:type="dxa"/>
          </w:tcPr>
          <w:p w14:paraId="30AAFF5D" w14:textId="77777777" w:rsidR="00885E64" w:rsidRPr="00802809" w:rsidRDefault="00885E64" w:rsidP="008F16CB">
            <w:pPr>
              <w:pStyle w:val="a3"/>
              <w:jc w:val="right"/>
              <w:rPr>
                <w:rFonts w:cs="FrankRuehl"/>
                <w:sz w:val="28"/>
                <w:szCs w:val="28"/>
                <w:rtl/>
              </w:rPr>
            </w:pPr>
          </w:p>
        </w:tc>
      </w:tr>
    </w:tbl>
    <w:p w14:paraId="2035CA96" w14:textId="77777777" w:rsidR="00885E64" w:rsidRPr="00802809" w:rsidRDefault="00885E64" w:rsidP="00885E64">
      <w:pPr>
        <w:pStyle w:val="a3"/>
        <w:rPr>
          <w:rtl/>
        </w:rPr>
      </w:pPr>
      <w:r w:rsidRPr="00802809">
        <w:rPr>
          <w:rFonts w:hint="cs"/>
          <w:rtl/>
        </w:rPr>
        <w:t xml:space="preserve"> </w:t>
      </w:r>
    </w:p>
    <w:p w14:paraId="4AA9B1E9" w14:textId="77777777" w:rsidR="00885E64" w:rsidRPr="00802809" w:rsidRDefault="00885E64" w:rsidP="00885E64">
      <w:pPr>
        <w:rPr>
          <w:rFonts w:ascii="David" w:hAnsi="David"/>
          <w:b/>
          <w:bCs/>
          <w:rtl/>
        </w:rPr>
      </w:pPr>
    </w:p>
    <w:p w14:paraId="6B1B142E" w14:textId="77777777" w:rsidR="00885E64" w:rsidRPr="00802809" w:rsidRDefault="00885E64" w:rsidP="00885E64">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85E64" w:rsidRPr="00802809" w14:paraId="43527A10" w14:textId="77777777" w:rsidTr="00885E64">
        <w:trPr>
          <w:trHeight w:val="295"/>
          <w:jc w:val="center"/>
        </w:trPr>
        <w:tc>
          <w:tcPr>
            <w:tcW w:w="923" w:type="dxa"/>
            <w:tcBorders>
              <w:top w:val="nil"/>
              <w:left w:val="nil"/>
              <w:bottom w:val="nil"/>
              <w:right w:val="nil"/>
            </w:tcBorders>
            <w:shd w:val="clear" w:color="auto" w:fill="auto"/>
          </w:tcPr>
          <w:p w14:paraId="08E20F11" w14:textId="77777777" w:rsidR="00885E64" w:rsidRPr="00802809" w:rsidRDefault="00885E64" w:rsidP="00885E64">
            <w:pPr>
              <w:jc w:val="both"/>
              <w:rPr>
                <w:rFonts w:ascii="David" w:hAnsi="David"/>
                <w:b/>
                <w:bCs/>
              </w:rPr>
            </w:pPr>
            <w:r w:rsidRPr="00802809">
              <w:rPr>
                <w:rFonts w:ascii="David" w:hAnsi="David" w:hint="cs"/>
                <w:b/>
                <w:bCs/>
                <w:rtl/>
              </w:rPr>
              <w:t>ב</w:t>
            </w:r>
            <w:r w:rsidRPr="00802809">
              <w:rPr>
                <w:rFonts w:ascii="David" w:hAnsi="David"/>
                <w:b/>
                <w:bCs/>
                <w:rtl/>
              </w:rPr>
              <w:t xml:space="preserve">פני </w:t>
            </w:r>
          </w:p>
        </w:tc>
        <w:tc>
          <w:tcPr>
            <w:tcW w:w="7897" w:type="dxa"/>
            <w:gridSpan w:val="2"/>
            <w:tcBorders>
              <w:top w:val="nil"/>
              <w:left w:val="nil"/>
              <w:bottom w:val="nil"/>
              <w:right w:val="nil"/>
            </w:tcBorders>
            <w:shd w:val="clear" w:color="auto" w:fill="auto"/>
          </w:tcPr>
          <w:p w14:paraId="6368B772" w14:textId="77777777" w:rsidR="00885E64" w:rsidRPr="00802809" w:rsidRDefault="00885E64" w:rsidP="00885E64">
            <w:pPr>
              <w:jc w:val="both"/>
              <w:rPr>
                <w:rFonts w:ascii="David" w:hAnsi="David"/>
                <w:b/>
                <w:bCs/>
              </w:rPr>
            </w:pPr>
            <w:r w:rsidRPr="00802809">
              <w:rPr>
                <w:rFonts w:ascii="David" w:hAnsi="David"/>
                <w:b/>
                <w:bCs/>
                <w:rtl/>
              </w:rPr>
              <w:t xml:space="preserve">כב' השופט יוסי טורס , סגן הנשיא </w:t>
            </w:r>
          </w:p>
        </w:tc>
      </w:tr>
      <w:tr w:rsidR="00885E64" w:rsidRPr="00802809" w14:paraId="1C2A1450" w14:textId="77777777" w:rsidTr="00885E64">
        <w:trPr>
          <w:trHeight w:val="355"/>
          <w:jc w:val="center"/>
        </w:trPr>
        <w:tc>
          <w:tcPr>
            <w:tcW w:w="923" w:type="dxa"/>
            <w:tcBorders>
              <w:top w:val="nil"/>
              <w:left w:val="nil"/>
              <w:bottom w:val="nil"/>
              <w:right w:val="nil"/>
            </w:tcBorders>
            <w:shd w:val="clear" w:color="auto" w:fill="auto"/>
          </w:tcPr>
          <w:p w14:paraId="4E2195FF" w14:textId="77777777" w:rsidR="00885E64" w:rsidRPr="00802809" w:rsidRDefault="00885E64" w:rsidP="00885E64">
            <w:pPr>
              <w:jc w:val="both"/>
              <w:rPr>
                <w:rFonts w:ascii="David" w:hAnsi="David"/>
                <w:b/>
                <w:bCs/>
                <w:rtl/>
              </w:rPr>
            </w:pPr>
            <w:bookmarkStart w:id="0" w:name="LastJudge"/>
            <w:bookmarkEnd w:id="0"/>
          </w:p>
          <w:p w14:paraId="79843DD6" w14:textId="77777777" w:rsidR="00885E64" w:rsidRPr="00802809" w:rsidRDefault="00885E64" w:rsidP="00885E64">
            <w:pPr>
              <w:jc w:val="both"/>
              <w:rPr>
                <w:rFonts w:ascii="David" w:hAnsi="David"/>
                <w:b/>
                <w:bCs/>
              </w:rPr>
            </w:pPr>
          </w:p>
        </w:tc>
        <w:tc>
          <w:tcPr>
            <w:tcW w:w="4126" w:type="dxa"/>
            <w:tcBorders>
              <w:top w:val="nil"/>
              <w:left w:val="nil"/>
              <w:bottom w:val="nil"/>
              <w:right w:val="nil"/>
            </w:tcBorders>
            <w:shd w:val="clear" w:color="auto" w:fill="auto"/>
          </w:tcPr>
          <w:p w14:paraId="614531A7" w14:textId="77777777" w:rsidR="00885E64" w:rsidRPr="00802809" w:rsidRDefault="00885E64" w:rsidP="008F16CB">
            <w:pPr>
              <w:rPr>
                <w:rFonts w:ascii="David" w:hAnsi="David"/>
                <w:b/>
                <w:bCs/>
              </w:rPr>
            </w:pPr>
            <w:r w:rsidRPr="00802809">
              <w:rPr>
                <w:rFonts w:ascii="David" w:hAnsi="David"/>
                <w:b/>
                <w:bCs/>
                <w:rtl/>
              </w:rPr>
              <w:br/>
            </w:r>
          </w:p>
        </w:tc>
        <w:tc>
          <w:tcPr>
            <w:tcW w:w="3771" w:type="dxa"/>
            <w:tcBorders>
              <w:top w:val="nil"/>
              <w:left w:val="nil"/>
              <w:bottom w:val="nil"/>
              <w:right w:val="nil"/>
            </w:tcBorders>
            <w:shd w:val="clear" w:color="auto" w:fill="auto"/>
          </w:tcPr>
          <w:p w14:paraId="368EB7B3" w14:textId="77777777" w:rsidR="00885E64" w:rsidRPr="00802809" w:rsidRDefault="00885E64" w:rsidP="00885E64">
            <w:pPr>
              <w:jc w:val="both"/>
              <w:rPr>
                <w:rFonts w:ascii="David" w:hAnsi="David"/>
                <w:b/>
                <w:bCs/>
              </w:rPr>
            </w:pPr>
          </w:p>
        </w:tc>
      </w:tr>
      <w:tr w:rsidR="00885E64" w:rsidRPr="00802809" w14:paraId="0D8D99A3" w14:textId="77777777" w:rsidTr="00885E64">
        <w:trPr>
          <w:trHeight w:val="355"/>
          <w:jc w:val="center"/>
        </w:trPr>
        <w:tc>
          <w:tcPr>
            <w:tcW w:w="923" w:type="dxa"/>
            <w:tcBorders>
              <w:top w:val="nil"/>
              <w:left w:val="nil"/>
              <w:bottom w:val="nil"/>
              <w:right w:val="nil"/>
            </w:tcBorders>
            <w:shd w:val="clear" w:color="auto" w:fill="auto"/>
          </w:tcPr>
          <w:p w14:paraId="155A0314" w14:textId="77777777" w:rsidR="00885E64" w:rsidRPr="00802809" w:rsidRDefault="00885E64" w:rsidP="00885E64">
            <w:pPr>
              <w:jc w:val="both"/>
              <w:rPr>
                <w:rFonts w:ascii="David" w:hAnsi="David"/>
                <w:b/>
                <w:bCs/>
                <w:rtl/>
              </w:rPr>
            </w:pPr>
            <w:bookmarkStart w:id="1" w:name="FirstAppellant"/>
            <w:r w:rsidRPr="00802809">
              <w:rPr>
                <w:rFonts w:ascii="David" w:hAnsi="David"/>
                <w:b/>
                <w:bCs/>
                <w:rtl/>
              </w:rPr>
              <w:t>בעניין:</w:t>
            </w:r>
          </w:p>
        </w:tc>
        <w:tc>
          <w:tcPr>
            <w:tcW w:w="4126" w:type="dxa"/>
            <w:tcBorders>
              <w:top w:val="nil"/>
              <w:left w:val="nil"/>
              <w:bottom w:val="nil"/>
              <w:right w:val="nil"/>
            </w:tcBorders>
            <w:shd w:val="clear" w:color="auto" w:fill="auto"/>
          </w:tcPr>
          <w:p w14:paraId="3934CAB7" w14:textId="77777777" w:rsidR="00885E64" w:rsidRPr="00802809" w:rsidRDefault="00885E64" w:rsidP="00885E64">
            <w:pPr>
              <w:jc w:val="both"/>
              <w:rPr>
                <w:rFonts w:ascii="David" w:hAnsi="David"/>
                <w:b/>
                <w:bCs/>
                <w:rtl/>
              </w:rPr>
            </w:pPr>
            <w:r w:rsidRPr="00802809">
              <w:rPr>
                <w:rFonts w:ascii="David" w:hAnsi="David" w:hint="cs"/>
                <w:b/>
                <w:bCs/>
                <w:rtl/>
              </w:rPr>
              <w:t>מדינת ישראל/פרקליטות מחוז חיפה</w:t>
            </w:r>
          </w:p>
        </w:tc>
        <w:tc>
          <w:tcPr>
            <w:tcW w:w="3771" w:type="dxa"/>
            <w:tcBorders>
              <w:top w:val="nil"/>
              <w:left w:val="nil"/>
              <w:bottom w:val="nil"/>
              <w:right w:val="nil"/>
            </w:tcBorders>
            <w:shd w:val="clear" w:color="auto" w:fill="auto"/>
          </w:tcPr>
          <w:p w14:paraId="3951AE04" w14:textId="77777777" w:rsidR="00885E64" w:rsidRPr="00802809" w:rsidRDefault="00885E64" w:rsidP="00885E64">
            <w:pPr>
              <w:jc w:val="right"/>
              <w:rPr>
                <w:rFonts w:ascii="David" w:hAnsi="David"/>
                <w:b/>
                <w:bCs/>
                <w:rtl/>
              </w:rPr>
            </w:pPr>
            <w:r w:rsidRPr="00802809">
              <w:rPr>
                <w:rFonts w:ascii="David" w:hAnsi="David"/>
                <w:b/>
                <w:bCs/>
                <w:rtl/>
              </w:rPr>
              <w:t>המאשימה</w:t>
            </w:r>
          </w:p>
        </w:tc>
      </w:tr>
      <w:bookmarkEnd w:id="1"/>
      <w:tr w:rsidR="00885E64" w:rsidRPr="00802809" w14:paraId="725223FD" w14:textId="77777777" w:rsidTr="00885E64">
        <w:trPr>
          <w:trHeight w:val="355"/>
          <w:jc w:val="center"/>
        </w:trPr>
        <w:tc>
          <w:tcPr>
            <w:tcW w:w="923" w:type="dxa"/>
            <w:tcBorders>
              <w:top w:val="nil"/>
              <w:left w:val="nil"/>
              <w:bottom w:val="nil"/>
              <w:right w:val="nil"/>
            </w:tcBorders>
            <w:shd w:val="clear" w:color="auto" w:fill="auto"/>
          </w:tcPr>
          <w:p w14:paraId="0C4BAEF3" w14:textId="77777777" w:rsidR="00885E64" w:rsidRPr="00802809" w:rsidRDefault="00885E64" w:rsidP="00885E64">
            <w:pPr>
              <w:jc w:val="both"/>
              <w:rPr>
                <w:rFonts w:ascii="David" w:hAnsi="David"/>
                <w:b/>
                <w:bCs/>
                <w:rtl/>
              </w:rPr>
            </w:pPr>
          </w:p>
        </w:tc>
        <w:tc>
          <w:tcPr>
            <w:tcW w:w="7897" w:type="dxa"/>
            <w:gridSpan w:val="2"/>
            <w:tcBorders>
              <w:top w:val="nil"/>
              <w:left w:val="nil"/>
              <w:bottom w:val="nil"/>
              <w:right w:val="nil"/>
            </w:tcBorders>
            <w:shd w:val="clear" w:color="auto" w:fill="auto"/>
          </w:tcPr>
          <w:p w14:paraId="4E83649D" w14:textId="77777777" w:rsidR="00885E64" w:rsidRPr="00802809" w:rsidRDefault="00885E64" w:rsidP="00885E64">
            <w:pPr>
              <w:jc w:val="center"/>
              <w:rPr>
                <w:rFonts w:ascii="David" w:hAnsi="David"/>
                <w:b/>
                <w:bCs/>
                <w:rtl/>
              </w:rPr>
            </w:pPr>
          </w:p>
          <w:p w14:paraId="21B7A7B0" w14:textId="77777777" w:rsidR="00885E64" w:rsidRPr="00802809" w:rsidRDefault="00885E64" w:rsidP="00885E64">
            <w:pPr>
              <w:jc w:val="center"/>
              <w:rPr>
                <w:rFonts w:ascii="David" w:hAnsi="David"/>
                <w:b/>
                <w:bCs/>
                <w:rtl/>
              </w:rPr>
            </w:pPr>
            <w:r w:rsidRPr="00802809">
              <w:rPr>
                <w:rFonts w:ascii="David" w:hAnsi="David"/>
                <w:b/>
                <w:bCs/>
                <w:rtl/>
              </w:rPr>
              <w:t>נגד</w:t>
            </w:r>
          </w:p>
          <w:p w14:paraId="1DA8DDD0" w14:textId="77777777" w:rsidR="00885E64" w:rsidRPr="00802809" w:rsidRDefault="00885E64" w:rsidP="00885E64">
            <w:pPr>
              <w:jc w:val="both"/>
              <w:rPr>
                <w:rFonts w:ascii="David" w:hAnsi="David"/>
                <w:b/>
                <w:bCs/>
              </w:rPr>
            </w:pPr>
          </w:p>
        </w:tc>
      </w:tr>
      <w:tr w:rsidR="00885E64" w:rsidRPr="00802809" w14:paraId="13D596F0" w14:textId="77777777" w:rsidTr="00885E64">
        <w:trPr>
          <w:trHeight w:val="355"/>
          <w:jc w:val="center"/>
        </w:trPr>
        <w:tc>
          <w:tcPr>
            <w:tcW w:w="923" w:type="dxa"/>
            <w:tcBorders>
              <w:top w:val="nil"/>
              <w:left w:val="nil"/>
              <w:bottom w:val="nil"/>
              <w:right w:val="nil"/>
            </w:tcBorders>
            <w:shd w:val="clear" w:color="auto" w:fill="auto"/>
          </w:tcPr>
          <w:p w14:paraId="543BA04A" w14:textId="77777777" w:rsidR="00885E64" w:rsidRPr="00802809" w:rsidRDefault="00885E64" w:rsidP="008F16CB">
            <w:pPr>
              <w:rPr>
                <w:rFonts w:ascii="David" w:hAnsi="David"/>
                <w:b/>
                <w:bCs/>
                <w:rtl/>
              </w:rPr>
            </w:pPr>
          </w:p>
        </w:tc>
        <w:tc>
          <w:tcPr>
            <w:tcW w:w="4126" w:type="dxa"/>
            <w:tcBorders>
              <w:top w:val="nil"/>
              <w:left w:val="nil"/>
              <w:bottom w:val="nil"/>
              <w:right w:val="nil"/>
            </w:tcBorders>
            <w:shd w:val="clear" w:color="auto" w:fill="auto"/>
          </w:tcPr>
          <w:p w14:paraId="0E8108A2" w14:textId="77777777" w:rsidR="00885E64" w:rsidRPr="00802809" w:rsidRDefault="00885E64" w:rsidP="008F16CB">
            <w:pPr>
              <w:rPr>
                <w:rFonts w:ascii="David" w:hAnsi="David"/>
                <w:b/>
                <w:bCs/>
                <w:rtl/>
              </w:rPr>
            </w:pPr>
          </w:p>
        </w:tc>
        <w:tc>
          <w:tcPr>
            <w:tcW w:w="3771" w:type="dxa"/>
            <w:tcBorders>
              <w:top w:val="nil"/>
              <w:left w:val="nil"/>
              <w:bottom w:val="nil"/>
              <w:right w:val="nil"/>
            </w:tcBorders>
            <w:shd w:val="clear" w:color="auto" w:fill="auto"/>
          </w:tcPr>
          <w:p w14:paraId="0734E8DA" w14:textId="77777777" w:rsidR="00885E64" w:rsidRPr="00802809" w:rsidRDefault="00885E64" w:rsidP="00885E64">
            <w:pPr>
              <w:jc w:val="right"/>
              <w:rPr>
                <w:rFonts w:ascii="David" w:hAnsi="David"/>
                <w:b/>
                <w:bCs/>
              </w:rPr>
            </w:pPr>
          </w:p>
        </w:tc>
      </w:tr>
      <w:tr w:rsidR="00885E64" w:rsidRPr="00802809" w14:paraId="235FE9A2" w14:textId="77777777" w:rsidTr="00885E64">
        <w:trPr>
          <w:trHeight w:val="355"/>
          <w:jc w:val="center"/>
        </w:trPr>
        <w:tc>
          <w:tcPr>
            <w:tcW w:w="923" w:type="dxa"/>
            <w:tcBorders>
              <w:top w:val="nil"/>
              <w:left w:val="nil"/>
              <w:bottom w:val="nil"/>
              <w:right w:val="nil"/>
            </w:tcBorders>
            <w:shd w:val="clear" w:color="auto" w:fill="auto"/>
          </w:tcPr>
          <w:p w14:paraId="040C4152" w14:textId="77777777" w:rsidR="00885E64" w:rsidRPr="00802809" w:rsidRDefault="00885E64" w:rsidP="00885E64">
            <w:pPr>
              <w:jc w:val="both"/>
              <w:rPr>
                <w:rFonts w:ascii="David" w:hAnsi="David"/>
                <w:b/>
                <w:bCs/>
                <w:rtl/>
              </w:rPr>
            </w:pPr>
          </w:p>
        </w:tc>
        <w:tc>
          <w:tcPr>
            <w:tcW w:w="4126" w:type="dxa"/>
            <w:tcBorders>
              <w:top w:val="nil"/>
              <w:left w:val="nil"/>
              <w:bottom w:val="nil"/>
              <w:right w:val="nil"/>
            </w:tcBorders>
            <w:shd w:val="clear" w:color="auto" w:fill="auto"/>
          </w:tcPr>
          <w:p w14:paraId="653288E1" w14:textId="77777777" w:rsidR="00885E64" w:rsidRPr="00802809" w:rsidRDefault="00885E64" w:rsidP="008F16CB">
            <w:pPr>
              <w:rPr>
                <w:rFonts w:ascii="David" w:hAnsi="David"/>
                <w:b/>
                <w:bCs/>
                <w:rtl/>
              </w:rPr>
            </w:pPr>
            <w:r w:rsidRPr="00802809">
              <w:rPr>
                <w:rFonts w:ascii="David" w:hAnsi="David"/>
                <w:b/>
                <w:bCs/>
                <w:rtl/>
              </w:rPr>
              <w:t>נסים אלביליה</w:t>
            </w:r>
          </w:p>
        </w:tc>
        <w:tc>
          <w:tcPr>
            <w:tcW w:w="3771" w:type="dxa"/>
            <w:tcBorders>
              <w:top w:val="nil"/>
              <w:left w:val="nil"/>
              <w:bottom w:val="nil"/>
              <w:right w:val="nil"/>
            </w:tcBorders>
            <w:shd w:val="clear" w:color="auto" w:fill="auto"/>
          </w:tcPr>
          <w:p w14:paraId="5EBA1261" w14:textId="77777777" w:rsidR="00885E64" w:rsidRPr="00802809" w:rsidRDefault="00885E64" w:rsidP="00885E64">
            <w:pPr>
              <w:jc w:val="right"/>
              <w:rPr>
                <w:rFonts w:ascii="David" w:hAnsi="David"/>
                <w:b/>
                <w:bCs/>
              </w:rPr>
            </w:pPr>
            <w:r w:rsidRPr="00802809">
              <w:rPr>
                <w:rFonts w:ascii="David" w:hAnsi="David"/>
                <w:b/>
                <w:bCs/>
                <w:rtl/>
              </w:rPr>
              <w:t>הנאשם</w:t>
            </w:r>
          </w:p>
        </w:tc>
      </w:tr>
    </w:tbl>
    <w:p w14:paraId="3192AFE3" w14:textId="77777777" w:rsidR="00E31387" w:rsidRDefault="00E31387" w:rsidP="00885E64">
      <w:pPr>
        <w:rPr>
          <w:rFonts w:ascii="David" w:hAnsi="David"/>
          <w:rtl/>
        </w:rPr>
      </w:pPr>
    </w:p>
    <w:p w14:paraId="63726E9B" w14:textId="77777777" w:rsidR="00E31387" w:rsidRPr="00E31387" w:rsidRDefault="00E31387" w:rsidP="00E31387">
      <w:pPr>
        <w:spacing w:after="120" w:line="240" w:lineRule="exact"/>
        <w:ind w:left="283" w:hanging="283"/>
        <w:jc w:val="both"/>
        <w:rPr>
          <w:rFonts w:ascii="FrankRuehl" w:hAnsi="FrankRuehl" w:cs="FrankRuehl"/>
          <w:rtl/>
        </w:rPr>
      </w:pPr>
    </w:p>
    <w:p w14:paraId="380A13AA" w14:textId="77777777" w:rsidR="00210E16" w:rsidRDefault="00210E16" w:rsidP="00210E16">
      <w:pPr>
        <w:rPr>
          <w:rFonts w:ascii="David" w:hAnsi="David"/>
          <w:rtl/>
        </w:rPr>
      </w:pPr>
      <w:bookmarkStart w:id="2" w:name="LawTable"/>
      <w:bookmarkEnd w:id="2"/>
    </w:p>
    <w:p w14:paraId="75A1350D" w14:textId="77777777" w:rsidR="00210E16" w:rsidRPr="00210E16" w:rsidRDefault="00210E16" w:rsidP="00210E16">
      <w:pPr>
        <w:spacing w:before="120" w:after="120" w:line="240" w:lineRule="exact"/>
        <w:ind w:left="283" w:hanging="283"/>
        <w:jc w:val="both"/>
        <w:rPr>
          <w:rFonts w:ascii="FrankRuehl" w:hAnsi="FrankRuehl" w:cs="FrankRuehl"/>
          <w:rtl/>
        </w:rPr>
      </w:pPr>
    </w:p>
    <w:p w14:paraId="447D1AD3" w14:textId="77777777" w:rsidR="00210E16" w:rsidRPr="00210E16" w:rsidRDefault="00210E16" w:rsidP="00210E16">
      <w:pPr>
        <w:spacing w:before="120" w:after="120" w:line="240" w:lineRule="exact"/>
        <w:ind w:left="283" w:hanging="283"/>
        <w:jc w:val="both"/>
        <w:rPr>
          <w:rFonts w:ascii="FrankRuehl" w:hAnsi="FrankRuehl" w:cs="FrankRuehl"/>
          <w:rtl/>
        </w:rPr>
      </w:pPr>
    </w:p>
    <w:p w14:paraId="0E7AE819" w14:textId="77777777" w:rsidR="00210E16" w:rsidRPr="00210E16" w:rsidRDefault="00210E16" w:rsidP="00210E16">
      <w:pPr>
        <w:spacing w:before="120" w:after="120" w:line="240" w:lineRule="exact"/>
        <w:ind w:left="283" w:hanging="283"/>
        <w:jc w:val="both"/>
        <w:rPr>
          <w:rFonts w:ascii="FrankRuehl" w:hAnsi="FrankRuehl" w:cs="FrankRuehl"/>
          <w:rtl/>
        </w:rPr>
      </w:pPr>
      <w:r w:rsidRPr="00210E16">
        <w:rPr>
          <w:rFonts w:ascii="FrankRuehl" w:hAnsi="FrankRuehl" w:cs="FrankRuehl"/>
          <w:rtl/>
        </w:rPr>
        <w:t xml:space="preserve">חקיקה שאוזכרה: </w:t>
      </w:r>
    </w:p>
    <w:p w14:paraId="1C26B996" w14:textId="77777777" w:rsidR="00210E16" w:rsidRPr="00210E16" w:rsidRDefault="00210E16" w:rsidP="00210E16">
      <w:pPr>
        <w:spacing w:before="120" w:after="120" w:line="240" w:lineRule="exact"/>
        <w:ind w:left="283" w:hanging="283"/>
        <w:jc w:val="both"/>
        <w:rPr>
          <w:rFonts w:ascii="FrankRuehl" w:hAnsi="FrankRuehl" w:cs="FrankRuehl"/>
          <w:rtl/>
        </w:rPr>
      </w:pPr>
      <w:hyperlink r:id="rId7" w:history="1">
        <w:r w:rsidRPr="00210E16">
          <w:rPr>
            <w:rFonts w:ascii="FrankRuehl" w:hAnsi="FrankRuehl" w:cs="FrankRuehl"/>
            <w:color w:val="0000FF"/>
            <w:rtl/>
          </w:rPr>
          <w:t>פקודת הסמים המסוכנים [נוסח חדש], תשל"ג-1973</w:t>
        </w:r>
      </w:hyperlink>
      <w:r w:rsidRPr="00210E16">
        <w:rPr>
          <w:rFonts w:ascii="FrankRuehl" w:hAnsi="FrankRuehl" w:cs="FrankRuehl"/>
          <w:rtl/>
        </w:rPr>
        <w:t xml:space="preserve">: סע'  </w:t>
      </w:r>
      <w:hyperlink r:id="rId8" w:history="1">
        <w:r w:rsidRPr="00210E16">
          <w:rPr>
            <w:rFonts w:ascii="FrankRuehl" w:hAnsi="FrankRuehl" w:cs="FrankRuehl"/>
            <w:color w:val="0000FF"/>
            <w:rtl/>
          </w:rPr>
          <w:t>7.א.</w:t>
        </w:r>
      </w:hyperlink>
      <w:r w:rsidRPr="00210E16">
        <w:rPr>
          <w:rFonts w:ascii="FrankRuehl" w:hAnsi="FrankRuehl" w:cs="FrankRuehl"/>
          <w:rtl/>
        </w:rPr>
        <w:t xml:space="preserve">, </w:t>
      </w:r>
      <w:hyperlink r:id="rId9" w:history="1">
        <w:r w:rsidRPr="00210E16">
          <w:rPr>
            <w:rFonts w:ascii="FrankRuehl" w:hAnsi="FrankRuehl" w:cs="FrankRuehl"/>
            <w:color w:val="0000FF"/>
            <w:rtl/>
          </w:rPr>
          <w:t>7.ג</w:t>
        </w:r>
      </w:hyperlink>
      <w:r w:rsidRPr="00210E16">
        <w:rPr>
          <w:rFonts w:ascii="FrankRuehl" w:hAnsi="FrankRuehl" w:cs="FrankRuehl"/>
          <w:rtl/>
        </w:rPr>
        <w:t xml:space="preserve">, </w:t>
      </w:r>
      <w:hyperlink r:id="rId10" w:history="1">
        <w:r w:rsidRPr="00210E16">
          <w:rPr>
            <w:rFonts w:ascii="FrankRuehl" w:hAnsi="FrankRuehl" w:cs="FrankRuehl"/>
            <w:color w:val="0000FF"/>
            <w:rtl/>
          </w:rPr>
          <w:t>36א(ב)</w:t>
        </w:r>
      </w:hyperlink>
    </w:p>
    <w:p w14:paraId="14AA734E" w14:textId="77777777" w:rsidR="00210E16" w:rsidRPr="00210E16" w:rsidRDefault="00210E16" w:rsidP="00210E16">
      <w:pPr>
        <w:spacing w:before="120" w:after="120" w:line="240" w:lineRule="exact"/>
        <w:ind w:left="283" w:hanging="283"/>
        <w:jc w:val="both"/>
        <w:rPr>
          <w:rFonts w:ascii="FrankRuehl" w:hAnsi="FrankRuehl" w:cs="FrankRuehl"/>
          <w:rtl/>
        </w:rPr>
      </w:pPr>
      <w:hyperlink r:id="rId11" w:history="1">
        <w:r w:rsidRPr="00210E16">
          <w:rPr>
            <w:rFonts w:ascii="FrankRuehl" w:hAnsi="FrankRuehl" w:cs="FrankRuehl"/>
            <w:color w:val="0000FF"/>
            <w:rtl/>
          </w:rPr>
          <w:t>חוק העונשין, תשל"ז-1977</w:t>
        </w:r>
      </w:hyperlink>
      <w:r w:rsidRPr="00210E16">
        <w:rPr>
          <w:rFonts w:ascii="FrankRuehl" w:hAnsi="FrankRuehl" w:cs="FrankRuehl"/>
          <w:rtl/>
        </w:rPr>
        <w:t xml:space="preserve">: סע'  </w:t>
      </w:r>
      <w:hyperlink r:id="rId12" w:history="1">
        <w:r w:rsidRPr="00210E16">
          <w:rPr>
            <w:rFonts w:ascii="FrankRuehl" w:hAnsi="FrankRuehl" w:cs="FrankRuehl"/>
            <w:color w:val="0000FF"/>
            <w:rtl/>
          </w:rPr>
          <w:t>40ד'</w:t>
        </w:r>
      </w:hyperlink>
      <w:r w:rsidRPr="00210E16">
        <w:rPr>
          <w:rFonts w:ascii="FrankRuehl" w:hAnsi="FrankRuehl" w:cs="FrankRuehl"/>
          <w:rtl/>
        </w:rPr>
        <w:t xml:space="preserve">, </w:t>
      </w:r>
      <w:hyperlink r:id="rId13" w:history="1">
        <w:r w:rsidRPr="00210E16">
          <w:rPr>
            <w:rFonts w:ascii="FrankRuehl" w:hAnsi="FrankRuehl" w:cs="FrankRuehl"/>
            <w:color w:val="0000FF"/>
            <w:rtl/>
          </w:rPr>
          <w:t>40ט'</w:t>
        </w:r>
      </w:hyperlink>
      <w:r w:rsidRPr="00210E16">
        <w:rPr>
          <w:rFonts w:ascii="FrankRuehl" w:hAnsi="FrankRuehl" w:cs="FrankRuehl"/>
          <w:rtl/>
        </w:rPr>
        <w:t xml:space="preserve">, </w:t>
      </w:r>
      <w:hyperlink r:id="rId14" w:history="1">
        <w:r w:rsidRPr="00210E16">
          <w:rPr>
            <w:rFonts w:ascii="FrankRuehl" w:hAnsi="FrankRuehl" w:cs="FrankRuehl"/>
            <w:color w:val="0000FF"/>
            <w:rtl/>
          </w:rPr>
          <w:t>56(ב)</w:t>
        </w:r>
      </w:hyperlink>
      <w:r w:rsidRPr="00210E16">
        <w:rPr>
          <w:rFonts w:ascii="FrankRuehl" w:hAnsi="FrankRuehl" w:cs="FrankRuehl"/>
          <w:rtl/>
        </w:rPr>
        <w:t xml:space="preserve">, </w:t>
      </w:r>
      <w:hyperlink r:id="rId15" w:history="1">
        <w:r w:rsidRPr="00210E16">
          <w:rPr>
            <w:rFonts w:ascii="FrankRuehl" w:hAnsi="FrankRuehl" w:cs="FrankRuehl"/>
            <w:color w:val="0000FF"/>
            <w:rtl/>
          </w:rPr>
          <w:t>85</w:t>
        </w:r>
      </w:hyperlink>
    </w:p>
    <w:p w14:paraId="6A163992" w14:textId="77777777" w:rsidR="00210E16" w:rsidRPr="00210E16" w:rsidRDefault="00210E16" w:rsidP="00210E16">
      <w:pPr>
        <w:rPr>
          <w:rFonts w:ascii="David" w:hAnsi="David"/>
          <w:rtl/>
        </w:rPr>
      </w:pPr>
      <w:bookmarkStart w:id="3" w:name="LawTable_End"/>
      <w:bookmarkEnd w:id="3"/>
    </w:p>
    <w:p w14:paraId="71AB85C1" w14:textId="77777777" w:rsidR="00885E64" w:rsidRPr="00802809" w:rsidRDefault="00885E64" w:rsidP="00885E64">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5E64" w:rsidRPr="008C08B2" w14:paraId="03726DF3" w14:textId="77777777" w:rsidTr="00885E64">
        <w:trPr>
          <w:trHeight w:val="355"/>
          <w:jc w:val="center"/>
        </w:trPr>
        <w:tc>
          <w:tcPr>
            <w:tcW w:w="8820" w:type="dxa"/>
            <w:tcBorders>
              <w:top w:val="nil"/>
              <w:left w:val="nil"/>
              <w:bottom w:val="nil"/>
              <w:right w:val="nil"/>
            </w:tcBorders>
            <w:shd w:val="clear" w:color="auto" w:fill="auto"/>
          </w:tcPr>
          <w:p w14:paraId="5C3736A5" w14:textId="77777777" w:rsidR="00802809" w:rsidRPr="00802809" w:rsidRDefault="00802809" w:rsidP="00802809">
            <w:pPr>
              <w:jc w:val="center"/>
              <w:rPr>
                <w:rFonts w:ascii="David" w:hAnsi="David"/>
                <w:b/>
                <w:bCs/>
                <w:u w:val="single"/>
                <w:rtl/>
              </w:rPr>
            </w:pPr>
            <w:bookmarkStart w:id="4" w:name="PsakDin" w:colFirst="0" w:colLast="0"/>
            <w:r w:rsidRPr="00802809">
              <w:rPr>
                <w:rFonts w:ascii="David" w:hAnsi="David"/>
                <w:b/>
                <w:bCs/>
                <w:u w:val="single"/>
                <w:rtl/>
              </w:rPr>
              <w:t>גזר דין</w:t>
            </w:r>
          </w:p>
          <w:p w14:paraId="4D3849C2" w14:textId="77777777" w:rsidR="00885E64" w:rsidRPr="00802809" w:rsidRDefault="00885E64" w:rsidP="00802809">
            <w:pPr>
              <w:jc w:val="center"/>
              <w:rPr>
                <w:rFonts w:ascii="David" w:hAnsi="David"/>
                <w:b/>
                <w:bCs/>
                <w:u w:val="single"/>
                <w:rtl/>
              </w:rPr>
            </w:pPr>
          </w:p>
        </w:tc>
      </w:tr>
      <w:bookmarkEnd w:id="4"/>
    </w:tbl>
    <w:p w14:paraId="57F0A7EB" w14:textId="77777777" w:rsidR="00885E64" w:rsidRPr="008C08B2" w:rsidRDefault="00885E64" w:rsidP="00885E64">
      <w:pPr>
        <w:rPr>
          <w:rFonts w:ascii="David" w:hAnsi="David"/>
          <w:b/>
          <w:bCs/>
          <w:rtl/>
        </w:rPr>
      </w:pPr>
    </w:p>
    <w:p w14:paraId="4666B564" w14:textId="77777777" w:rsidR="00885E64" w:rsidRPr="008C08B2" w:rsidRDefault="00885E64" w:rsidP="00885E64">
      <w:pPr>
        <w:rPr>
          <w:rFonts w:ascii="David" w:hAnsi="David"/>
          <w:b/>
          <w:bCs/>
          <w:rtl/>
        </w:rPr>
      </w:pPr>
    </w:p>
    <w:p w14:paraId="6D49A10E" w14:textId="77777777" w:rsidR="00885E64" w:rsidRDefault="00885E64" w:rsidP="00885E64">
      <w:pPr>
        <w:spacing w:line="360" w:lineRule="auto"/>
        <w:jc w:val="both"/>
        <w:rPr>
          <w:rFonts w:ascii="David" w:hAnsi="David"/>
          <w:b/>
          <w:bCs/>
          <w:u w:val="single"/>
        </w:rPr>
      </w:pPr>
      <w:r>
        <w:rPr>
          <w:rFonts w:ascii="David" w:hAnsi="David"/>
          <w:b/>
          <w:bCs/>
          <w:u w:val="single"/>
          <w:rtl/>
        </w:rPr>
        <w:t>כתב האישום וההליכים</w:t>
      </w:r>
    </w:p>
    <w:p w14:paraId="3CB48D39" w14:textId="77777777" w:rsidR="00885E64" w:rsidRDefault="00885E64" w:rsidP="00885E64">
      <w:pPr>
        <w:spacing w:line="360" w:lineRule="auto"/>
        <w:jc w:val="both"/>
        <w:rPr>
          <w:rFonts w:ascii="David" w:hAnsi="David"/>
          <w:rtl/>
        </w:rPr>
      </w:pPr>
    </w:p>
    <w:p w14:paraId="759A965A" w14:textId="77777777" w:rsidR="00885E64" w:rsidRDefault="00885E64" w:rsidP="00885E64">
      <w:pPr>
        <w:numPr>
          <w:ilvl w:val="0"/>
          <w:numId w:val="1"/>
        </w:numPr>
        <w:spacing w:line="360" w:lineRule="auto"/>
        <w:contextualSpacing/>
        <w:jc w:val="both"/>
        <w:rPr>
          <w:rFonts w:ascii="David" w:hAnsi="David"/>
        </w:rPr>
      </w:pPr>
      <w:bookmarkStart w:id="5" w:name="ABSTRACT_START"/>
      <w:bookmarkEnd w:id="5"/>
      <w:r>
        <w:rPr>
          <w:rFonts w:ascii="David" w:hAnsi="David"/>
          <w:rtl/>
        </w:rPr>
        <w:t>הנאשם הורשע על פי הודאתו</w:t>
      </w:r>
      <w:r>
        <w:rPr>
          <w:rFonts w:ascii="David" w:hAnsi="David" w:hint="cs"/>
          <w:rtl/>
        </w:rPr>
        <w:t>,</w:t>
      </w:r>
      <w:r>
        <w:rPr>
          <w:rFonts w:ascii="David" w:hAnsi="David"/>
          <w:rtl/>
        </w:rPr>
        <w:t xml:space="preserve"> במסגרת הסדר טיעון </w:t>
      </w:r>
      <w:r>
        <w:rPr>
          <w:rFonts w:ascii="David" w:hAnsi="David" w:hint="cs"/>
          <w:rtl/>
        </w:rPr>
        <w:t xml:space="preserve">שלא כלל הסכמה עונשית, בעבירות של </w:t>
      </w:r>
      <w:r>
        <w:rPr>
          <w:rFonts w:ascii="David" w:hAnsi="David"/>
          <w:rtl/>
        </w:rPr>
        <w:t xml:space="preserve">החזקת סם מסוכן שלא לצריכה עצמית, עבירה לפי </w:t>
      </w:r>
      <w:hyperlink r:id="rId16" w:history="1">
        <w:r w:rsidR="00E31387" w:rsidRPr="00E31387">
          <w:rPr>
            <w:rStyle w:val="Hyperlink"/>
            <w:rFonts w:ascii="David" w:hAnsi="David"/>
            <w:rtl/>
          </w:rPr>
          <w:t>סעיף 7(א)+(ג)</w:t>
        </w:r>
      </w:hyperlink>
      <w:r>
        <w:rPr>
          <w:rFonts w:ascii="David" w:hAnsi="David"/>
          <w:rtl/>
        </w:rPr>
        <w:t xml:space="preserve"> רישא ל</w:t>
      </w:r>
      <w:hyperlink r:id="rId17" w:history="1">
        <w:r w:rsidR="00802809" w:rsidRPr="00802809">
          <w:rPr>
            <w:rFonts w:ascii="David" w:hAnsi="David"/>
            <w:color w:val="0000FF"/>
            <w:u w:val="single"/>
            <w:rtl/>
          </w:rPr>
          <w:t>פקודת הסמים המסוכנים</w:t>
        </w:r>
      </w:hyperlink>
      <w:r>
        <w:rPr>
          <w:rFonts w:ascii="David" w:hAnsi="David"/>
          <w:rtl/>
        </w:rPr>
        <w:t xml:space="preserve"> [נוסח חדש], התשל"ג-1973 </w:t>
      </w:r>
      <w:r>
        <w:rPr>
          <w:rFonts w:ascii="David" w:hAnsi="David" w:hint="cs"/>
          <w:rtl/>
        </w:rPr>
        <w:t xml:space="preserve">(להלן </w:t>
      </w:r>
      <w:r>
        <w:rPr>
          <w:rFonts w:ascii="David" w:hAnsi="David"/>
          <w:rtl/>
        </w:rPr>
        <w:t>–</w:t>
      </w:r>
      <w:r>
        <w:rPr>
          <w:rFonts w:ascii="David" w:hAnsi="David" w:hint="cs"/>
          <w:rtl/>
        </w:rPr>
        <w:t xml:space="preserve"> </w:t>
      </w:r>
      <w:r w:rsidRPr="00510400">
        <w:rPr>
          <w:rFonts w:ascii="Miriam" w:hAnsi="Miriam" w:cs="Miriam"/>
          <w:rtl/>
        </w:rPr>
        <w:t>פקודת הסמים</w:t>
      </w:r>
      <w:r>
        <w:rPr>
          <w:rFonts w:ascii="David" w:hAnsi="David" w:hint="cs"/>
          <w:rtl/>
        </w:rPr>
        <w:t>).</w:t>
      </w:r>
    </w:p>
    <w:p w14:paraId="4686E1F2" w14:textId="77777777" w:rsidR="00885E64" w:rsidRPr="00EB26E9" w:rsidRDefault="00885E64" w:rsidP="00885E64">
      <w:pPr>
        <w:spacing w:line="360" w:lineRule="auto"/>
        <w:contextualSpacing/>
        <w:jc w:val="both"/>
        <w:rPr>
          <w:rFonts w:ascii="David" w:hAnsi="David"/>
        </w:rPr>
      </w:pPr>
      <w:bookmarkStart w:id="6" w:name="ABSTRACT_END"/>
      <w:bookmarkEnd w:id="6"/>
    </w:p>
    <w:p w14:paraId="3F96E671" w14:textId="77777777" w:rsidR="00885E64" w:rsidRDefault="00885E64" w:rsidP="00885E64">
      <w:pPr>
        <w:numPr>
          <w:ilvl w:val="0"/>
          <w:numId w:val="1"/>
        </w:numPr>
        <w:spacing w:line="360" w:lineRule="auto"/>
        <w:contextualSpacing/>
        <w:jc w:val="both"/>
        <w:rPr>
          <w:rFonts w:ascii="David" w:hAnsi="David"/>
        </w:rPr>
      </w:pPr>
      <w:r w:rsidRPr="00F70FD4">
        <w:rPr>
          <w:rFonts w:ascii="David" w:hAnsi="David"/>
          <w:rtl/>
        </w:rPr>
        <w:t>לפי עובדות כתב האישום המתוקן</w:t>
      </w:r>
      <w:r>
        <w:rPr>
          <w:rFonts w:ascii="David" w:hAnsi="David" w:hint="cs"/>
          <w:rtl/>
        </w:rPr>
        <w:t>,</w:t>
      </w:r>
      <w:r w:rsidRPr="00F70FD4">
        <w:rPr>
          <w:rFonts w:ascii="David" w:hAnsi="David"/>
          <w:rtl/>
        </w:rPr>
        <w:t xml:space="preserve"> ביום 18.2.2019 יצא הנאשם מביתו כשהוא מ</w:t>
      </w:r>
      <w:r>
        <w:rPr>
          <w:rFonts w:ascii="David" w:hAnsi="David"/>
          <w:rtl/>
        </w:rPr>
        <w:t xml:space="preserve">חזיק על גופו שקית ניילון שקופה </w:t>
      </w:r>
      <w:r>
        <w:rPr>
          <w:rFonts w:ascii="David" w:hAnsi="David" w:hint="cs"/>
          <w:rtl/>
        </w:rPr>
        <w:t>ו</w:t>
      </w:r>
      <w:r w:rsidRPr="00F70FD4">
        <w:rPr>
          <w:rFonts w:ascii="David" w:hAnsi="David"/>
          <w:rtl/>
        </w:rPr>
        <w:t>בתוכה מספר שקיות שהכילו סם מסוכן מסוג קוקאין במשקל כולל נטו של 3.76 גרם</w:t>
      </w:r>
      <w:r>
        <w:rPr>
          <w:rFonts w:ascii="David" w:hAnsi="David" w:hint="cs"/>
          <w:rtl/>
        </w:rPr>
        <w:t>;</w:t>
      </w:r>
      <w:r w:rsidRPr="00F70FD4">
        <w:rPr>
          <w:rFonts w:ascii="David" w:hAnsi="David"/>
          <w:rtl/>
        </w:rPr>
        <w:t xml:space="preserve"> סם מסוכן מסוג </w:t>
      </w:r>
      <w:r w:rsidRPr="00885E64">
        <w:rPr>
          <w:rFonts w:cs="Times New Roman"/>
          <w:sz w:val="22"/>
          <w:szCs w:val="22"/>
        </w:rPr>
        <w:t>MDMA</w:t>
      </w:r>
      <w:r w:rsidRPr="00F70FD4">
        <w:rPr>
          <w:rFonts w:ascii="David" w:hAnsi="David"/>
          <w:rtl/>
        </w:rPr>
        <w:t xml:space="preserve"> במשקל כולל נטו של 0.75 גרם</w:t>
      </w:r>
      <w:r>
        <w:rPr>
          <w:rFonts w:ascii="David" w:hAnsi="David" w:hint="cs"/>
          <w:rtl/>
        </w:rPr>
        <w:t>;</w:t>
      </w:r>
      <w:r w:rsidRPr="00F70FD4">
        <w:rPr>
          <w:rFonts w:ascii="David" w:hAnsi="David"/>
          <w:rtl/>
        </w:rPr>
        <w:t xml:space="preserve"> ו-48 טבליות המכילות סם מסוכן מסוג </w:t>
      </w:r>
      <w:r w:rsidRPr="00885E64">
        <w:rPr>
          <w:rFonts w:cs="Times New Roman"/>
          <w:sz w:val="22"/>
          <w:szCs w:val="22"/>
        </w:rPr>
        <w:t>MDMA</w:t>
      </w:r>
      <w:r w:rsidRPr="00F70FD4">
        <w:rPr>
          <w:rFonts w:ascii="David" w:hAnsi="David"/>
          <w:rtl/>
        </w:rPr>
        <w:t xml:space="preserve"> (להלן</w:t>
      </w:r>
      <w:r>
        <w:rPr>
          <w:rFonts w:ascii="David" w:hAnsi="David" w:hint="cs"/>
          <w:rtl/>
        </w:rPr>
        <w:t xml:space="preserve"> </w:t>
      </w:r>
      <w:r>
        <w:rPr>
          <w:rFonts w:ascii="David" w:hAnsi="David"/>
          <w:rtl/>
        </w:rPr>
        <w:t>–</w:t>
      </w:r>
      <w:r>
        <w:rPr>
          <w:rFonts w:ascii="David" w:hAnsi="David" w:hint="cs"/>
          <w:rtl/>
        </w:rPr>
        <w:t xml:space="preserve"> </w:t>
      </w:r>
      <w:r w:rsidRPr="00EB26E9">
        <w:rPr>
          <w:rFonts w:ascii="Miriam" w:hAnsi="Miriam" w:cs="Miriam"/>
          <w:rtl/>
        </w:rPr>
        <w:t>שקית  הסמים</w:t>
      </w:r>
      <w:r w:rsidRPr="00F70FD4">
        <w:rPr>
          <w:rFonts w:ascii="David" w:hAnsi="David"/>
          <w:rtl/>
        </w:rPr>
        <w:t>). הנאשם נכנס לרכב</w:t>
      </w:r>
      <w:r>
        <w:rPr>
          <w:rFonts w:ascii="David" w:hAnsi="David" w:hint="cs"/>
          <w:rtl/>
        </w:rPr>
        <w:t xml:space="preserve"> ו</w:t>
      </w:r>
      <w:r w:rsidRPr="00F70FD4">
        <w:rPr>
          <w:rFonts w:ascii="David" w:hAnsi="David"/>
          <w:rtl/>
        </w:rPr>
        <w:t xml:space="preserve">משהבחין </w:t>
      </w:r>
      <w:r>
        <w:rPr>
          <w:rFonts w:ascii="David" w:hAnsi="David" w:hint="cs"/>
          <w:rtl/>
        </w:rPr>
        <w:t>ש</w:t>
      </w:r>
      <w:r w:rsidRPr="00F70FD4">
        <w:rPr>
          <w:rFonts w:ascii="David" w:hAnsi="David"/>
          <w:rtl/>
        </w:rPr>
        <w:t xml:space="preserve">ניגשים לרכב שוטרים ששהו באותה עת בקרבת מקום, השליך מכיס מכנסיו את שקית הסמים בתוך הרכב. </w:t>
      </w:r>
      <w:r w:rsidRPr="00F70FD4">
        <w:rPr>
          <w:rFonts w:ascii="David" w:hAnsi="David"/>
          <w:rtl/>
        </w:rPr>
        <w:lastRenderedPageBreak/>
        <w:t>בהמשך, בחיפוש שנערך בביתו, נמצאו מספר שקיות שהכילו סם מסוכן מסוג קוקאין במשקל כולל נטו של 31.86 גרם</w:t>
      </w:r>
      <w:r>
        <w:rPr>
          <w:rFonts w:ascii="David" w:hAnsi="David" w:hint="cs"/>
          <w:rtl/>
        </w:rPr>
        <w:t>;</w:t>
      </w:r>
      <w:r w:rsidRPr="00F70FD4">
        <w:rPr>
          <w:rFonts w:ascii="David" w:hAnsi="David"/>
          <w:rtl/>
        </w:rPr>
        <w:t xml:space="preserve"> סם מסוכן מסוג קנבוס במשקל כולל נטו של 71.04 גרם</w:t>
      </w:r>
      <w:r>
        <w:rPr>
          <w:rFonts w:ascii="David" w:hAnsi="David" w:hint="cs"/>
          <w:rtl/>
        </w:rPr>
        <w:t>;</w:t>
      </w:r>
      <w:r w:rsidRPr="00F70FD4">
        <w:rPr>
          <w:rFonts w:ascii="David" w:hAnsi="David"/>
          <w:rtl/>
        </w:rPr>
        <w:t xml:space="preserve"> ו-50 טבליות של סם מסוכן מסוג </w:t>
      </w:r>
      <w:r w:rsidRPr="00885E64">
        <w:rPr>
          <w:rFonts w:cs="Times New Roman"/>
          <w:sz w:val="22"/>
          <w:szCs w:val="22"/>
        </w:rPr>
        <w:t>MDMA</w:t>
      </w:r>
      <w:r>
        <w:rPr>
          <w:rFonts w:ascii="David" w:hAnsi="David" w:hint="cs"/>
          <w:rtl/>
        </w:rPr>
        <w:t>,</w:t>
      </w:r>
      <w:r w:rsidRPr="00F70FD4">
        <w:rPr>
          <w:rFonts w:ascii="David" w:hAnsi="David"/>
          <w:rtl/>
        </w:rPr>
        <w:t xml:space="preserve"> וזאת שלא לשימושו האישי</w:t>
      </w:r>
      <w:r>
        <w:rPr>
          <w:rFonts w:ascii="David" w:hAnsi="David" w:hint="cs"/>
          <w:rtl/>
        </w:rPr>
        <w:t xml:space="preserve"> בלבד</w:t>
      </w:r>
      <w:r w:rsidRPr="00F70FD4">
        <w:rPr>
          <w:rFonts w:ascii="David" w:hAnsi="David"/>
          <w:rtl/>
        </w:rPr>
        <w:t xml:space="preserve">. </w:t>
      </w:r>
    </w:p>
    <w:p w14:paraId="1B135B9D" w14:textId="77777777" w:rsidR="00885E64" w:rsidRDefault="00885E64" w:rsidP="00885E64">
      <w:pPr>
        <w:pStyle w:val="a9"/>
        <w:rPr>
          <w:rFonts w:ascii="David" w:hAnsi="David"/>
          <w:rtl/>
        </w:rPr>
      </w:pPr>
    </w:p>
    <w:p w14:paraId="50AE525A" w14:textId="77777777" w:rsidR="00885E64" w:rsidRPr="00F70FD4" w:rsidRDefault="00885E64" w:rsidP="00885E64">
      <w:pPr>
        <w:spacing w:line="360" w:lineRule="auto"/>
        <w:ind w:firstLine="720"/>
        <w:contextualSpacing/>
        <w:jc w:val="both"/>
        <w:rPr>
          <w:rFonts w:ascii="David" w:hAnsi="David"/>
        </w:rPr>
      </w:pPr>
      <w:r>
        <w:rPr>
          <w:rFonts w:ascii="David" w:hAnsi="David"/>
          <w:rtl/>
        </w:rPr>
        <w:t>סך הכל</w:t>
      </w:r>
      <w:r w:rsidRPr="00F70FD4">
        <w:rPr>
          <w:rFonts w:ascii="David" w:hAnsi="David"/>
          <w:rtl/>
        </w:rPr>
        <w:t xml:space="preserve"> החזיק הנאשם בסמים מסוכנים מסוג קוקאין במשקל כולל נטו של 35.63 גרם</w:t>
      </w:r>
      <w:r>
        <w:rPr>
          <w:rFonts w:ascii="David" w:hAnsi="David" w:hint="cs"/>
          <w:rtl/>
        </w:rPr>
        <w:t>;</w:t>
      </w:r>
      <w:r w:rsidRPr="00F70FD4">
        <w:rPr>
          <w:rFonts w:ascii="David" w:hAnsi="David"/>
          <w:rtl/>
        </w:rPr>
        <w:t xml:space="preserve"> קנבוס במשקל כולל נטו של 71.04 גרם</w:t>
      </w:r>
      <w:r>
        <w:rPr>
          <w:rFonts w:ascii="David" w:hAnsi="David" w:hint="cs"/>
          <w:rtl/>
        </w:rPr>
        <w:t>;</w:t>
      </w:r>
      <w:r w:rsidRPr="00F70FD4">
        <w:rPr>
          <w:rFonts w:ascii="David" w:hAnsi="David"/>
          <w:rtl/>
        </w:rPr>
        <w:t xml:space="preserve"> </w:t>
      </w:r>
      <w:r w:rsidRPr="00885E64">
        <w:rPr>
          <w:rFonts w:cs="Times New Roman"/>
          <w:sz w:val="22"/>
          <w:szCs w:val="22"/>
        </w:rPr>
        <w:t>MDMA</w:t>
      </w:r>
      <w:r w:rsidRPr="00F70FD4">
        <w:rPr>
          <w:rFonts w:ascii="David" w:hAnsi="David"/>
          <w:rtl/>
        </w:rPr>
        <w:t xml:space="preserve"> במשקל כולל נטו של 0.75 גרם</w:t>
      </w:r>
      <w:r>
        <w:rPr>
          <w:rFonts w:ascii="David" w:hAnsi="David" w:hint="cs"/>
          <w:rtl/>
        </w:rPr>
        <w:t>;</w:t>
      </w:r>
      <w:r w:rsidRPr="00F70FD4">
        <w:rPr>
          <w:rFonts w:ascii="David" w:hAnsi="David"/>
          <w:rtl/>
        </w:rPr>
        <w:t xml:space="preserve"> ו-98 טבליות </w:t>
      </w:r>
      <w:r w:rsidRPr="00885E64">
        <w:rPr>
          <w:rFonts w:cs="Times New Roman"/>
          <w:sz w:val="22"/>
          <w:szCs w:val="22"/>
        </w:rPr>
        <w:t>MDMA</w:t>
      </w:r>
      <w:r w:rsidRPr="00F70FD4">
        <w:rPr>
          <w:rFonts w:ascii="David" w:hAnsi="David"/>
          <w:rtl/>
        </w:rPr>
        <w:t>, כל זאת שלא לצריכתו העצמית</w:t>
      </w:r>
      <w:r>
        <w:rPr>
          <w:rFonts w:ascii="David" w:hAnsi="David" w:hint="cs"/>
          <w:rtl/>
        </w:rPr>
        <w:t xml:space="preserve"> בלבד</w:t>
      </w:r>
      <w:r w:rsidRPr="00F70FD4">
        <w:rPr>
          <w:rFonts w:ascii="David" w:hAnsi="David"/>
          <w:rtl/>
        </w:rPr>
        <w:t xml:space="preserve">. </w:t>
      </w:r>
    </w:p>
    <w:p w14:paraId="4A9A2900" w14:textId="77777777" w:rsidR="00885E64" w:rsidRDefault="00885E64" w:rsidP="00885E64">
      <w:pPr>
        <w:spacing w:line="360" w:lineRule="auto"/>
        <w:ind w:firstLine="720"/>
        <w:jc w:val="both"/>
        <w:rPr>
          <w:rFonts w:ascii="David" w:hAnsi="David"/>
          <w:rtl/>
        </w:rPr>
      </w:pPr>
    </w:p>
    <w:p w14:paraId="1723CAD5" w14:textId="77777777" w:rsidR="00885E64" w:rsidRDefault="00885E64" w:rsidP="00885E64">
      <w:pPr>
        <w:spacing w:line="360" w:lineRule="auto"/>
        <w:ind w:firstLine="720"/>
        <w:jc w:val="both"/>
        <w:rPr>
          <w:rFonts w:ascii="David" w:hAnsi="David"/>
          <w:rtl/>
        </w:rPr>
      </w:pPr>
      <w:r>
        <w:rPr>
          <w:rFonts w:ascii="David" w:hAnsi="David"/>
          <w:rtl/>
        </w:rPr>
        <w:t>(</w:t>
      </w:r>
      <w:r>
        <w:rPr>
          <w:rFonts w:ascii="David" w:hAnsi="David" w:hint="cs"/>
          <w:rtl/>
        </w:rPr>
        <w:t xml:space="preserve">כתב אישום זה יכונה </w:t>
      </w:r>
      <w:r>
        <w:rPr>
          <w:rFonts w:ascii="David" w:hAnsi="David"/>
          <w:rtl/>
        </w:rPr>
        <w:t>להלן</w:t>
      </w:r>
      <w:r>
        <w:rPr>
          <w:rFonts w:ascii="David" w:hAnsi="David" w:hint="cs"/>
          <w:rtl/>
        </w:rPr>
        <w:t xml:space="preserve"> </w:t>
      </w:r>
      <w:r>
        <w:rPr>
          <w:rFonts w:ascii="David" w:hAnsi="David"/>
          <w:rtl/>
        </w:rPr>
        <w:t>–</w:t>
      </w:r>
      <w:r>
        <w:rPr>
          <w:rFonts w:ascii="David" w:hAnsi="David" w:hint="cs"/>
          <w:rtl/>
        </w:rPr>
        <w:t xml:space="preserve"> </w:t>
      </w:r>
      <w:r>
        <w:rPr>
          <w:rFonts w:ascii="Miriam" w:hAnsi="Miriam" w:cs="Miriam"/>
          <w:rtl/>
        </w:rPr>
        <w:t>התיק העיקרי</w:t>
      </w:r>
      <w:r>
        <w:rPr>
          <w:rFonts w:ascii="David" w:hAnsi="David"/>
          <w:rtl/>
        </w:rPr>
        <w:t>).</w:t>
      </w:r>
    </w:p>
    <w:p w14:paraId="5328FB16" w14:textId="77777777" w:rsidR="00885E64" w:rsidRDefault="00885E64" w:rsidP="00885E64">
      <w:pPr>
        <w:spacing w:line="360" w:lineRule="auto"/>
        <w:ind w:firstLine="720"/>
        <w:jc w:val="both"/>
        <w:rPr>
          <w:rFonts w:ascii="David" w:hAnsi="David"/>
          <w:rtl/>
        </w:rPr>
      </w:pPr>
    </w:p>
    <w:p w14:paraId="66354D30" w14:textId="77777777" w:rsidR="00885E64" w:rsidRDefault="00885E64" w:rsidP="00885E64">
      <w:pPr>
        <w:numPr>
          <w:ilvl w:val="0"/>
          <w:numId w:val="1"/>
        </w:numPr>
        <w:spacing w:line="360" w:lineRule="auto"/>
        <w:contextualSpacing/>
        <w:jc w:val="both"/>
        <w:rPr>
          <w:rFonts w:ascii="David" w:hAnsi="David"/>
        </w:rPr>
      </w:pPr>
      <w:r>
        <w:rPr>
          <w:rFonts w:ascii="David" w:hAnsi="David"/>
          <w:rtl/>
        </w:rPr>
        <w:t xml:space="preserve">הנאשם </w:t>
      </w:r>
      <w:r>
        <w:rPr>
          <w:rFonts w:ascii="David" w:hAnsi="David" w:hint="cs"/>
          <w:rtl/>
        </w:rPr>
        <w:t xml:space="preserve">צירף </w:t>
      </w:r>
      <w:r>
        <w:rPr>
          <w:rFonts w:ascii="David" w:hAnsi="David"/>
          <w:rtl/>
        </w:rPr>
        <w:t xml:space="preserve">תיק נוסף </w:t>
      </w:r>
      <w:r>
        <w:rPr>
          <w:rFonts w:ascii="David" w:hAnsi="David" w:hint="cs"/>
          <w:rtl/>
        </w:rPr>
        <w:t>(</w:t>
      </w:r>
      <w:hyperlink r:id="rId18" w:history="1">
        <w:r w:rsidR="00802809" w:rsidRPr="00802809">
          <w:rPr>
            <w:rFonts w:ascii="David" w:hAnsi="David"/>
            <w:color w:val="0000FF"/>
            <w:u w:val="single"/>
            <w:rtl/>
          </w:rPr>
          <w:t>ת"פ 52922-12-19</w:t>
        </w:r>
      </w:hyperlink>
      <w:r>
        <w:rPr>
          <w:rFonts w:ascii="David" w:hAnsi="David" w:hint="cs"/>
          <w:rtl/>
        </w:rPr>
        <w:t>)</w:t>
      </w:r>
      <w:r>
        <w:rPr>
          <w:rFonts w:ascii="David" w:hAnsi="David"/>
          <w:rtl/>
        </w:rPr>
        <w:t xml:space="preserve"> </w:t>
      </w:r>
      <w:r>
        <w:rPr>
          <w:rFonts w:ascii="David" w:hAnsi="David" w:hint="cs"/>
          <w:rtl/>
        </w:rPr>
        <w:t>ו</w:t>
      </w:r>
      <w:r>
        <w:rPr>
          <w:rFonts w:ascii="David" w:hAnsi="David"/>
          <w:rtl/>
        </w:rPr>
        <w:t xml:space="preserve">הורשע </w:t>
      </w:r>
      <w:r>
        <w:rPr>
          <w:rFonts w:ascii="David" w:hAnsi="David" w:hint="cs"/>
          <w:rtl/>
        </w:rPr>
        <w:t xml:space="preserve">בו, </w:t>
      </w:r>
      <w:r>
        <w:rPr>
          <w:rFonts w:ascii="David" w:hAnsi="David"/>
          <w:rtl/>
        </w:rPr>
        <w:t>על סמך הודאתו</w:t>
      </w:r>
      <w:r>
        <w:rPr>
          <w:rFonts w:ascii="David" w:hAnsi="David" w:hint="cs"/>
          <w:rtl/>
        </w:rPr>
        <w:t>,</w:t>
      </w:r>
      <w:r>
        <w:rPr>
          <w:rFonts w:ascii="David" w:hAnsi="David"/>
          <w:rtl/>
        </w:rPr>
        <w:t xml:space="preserve"> בעבירה של החזקת סם </w:t>
      </w:r>
      <w:r>
        <w:rPr>
          <w:rFonts w:ascii="David" w:hAnsi="David" w:hint="cs"/>
          <w:rtl/>
        </w:rPr>
        <w:t xml:space="preserve">שלא </w:t>
      </w:r>
      <w:r>
        <w:rPr>
          <w:rFonts w:ascii="David" w:hAnsi="David"/>
          <w:rtl/>
        </w:rPr>
        <w:t>לשימוש עצמי</w:t>
      </w:r>
      <w:r>
        <w:rPr>
          <w:rFonts w:ascii="David" w:hAnsi="David" w:hint="cs"/>
          <w:rtl/>
        </w:rPr>
        <w:t xml:space="preserve"> בלבד</w:t>
      </w:r>
      <w:r>
        <w:rPr>
          <w:rFonts w:ascii="David" w:hAnsi="David"/>
          <w:rtl/>
        </w:rPr>
        <w:t xml:space="preserve">, לפי </w:t>
      </w:r>
      <w:hyperlink r:id="rId19" w:history="1">
        <w:r w:rsidR="00E31387" w:rsidRPr="00E31387">
          <w:rPr>
            <w:rStyle w:val="Hyperlink"/>
            <w:rFonts w:ascii="David" w:hAnsi="David"/>
            <w:rtl/>
          </w:rPr>
          <w:t>סעיף 7(א)+(ג)</w:t>
        </w:r>
      </w:hyperlink>
      <w:r>
        <w:rPr>
          <w:rFonts w:ascii="David" w:hAnsi="David"/>
          <w:rtl/>
        </w:rPr>
        <w:t xml:space="preserve"> רישא לפקודת הסמים</w:t>
      </w:r>
      <w:r>
        <w:rPr>
          <w:rFonts w:ascii="David" w:hAnsi="David" w:hint="cs"/>
          <w:rtl/>
        </w:rPr>
        <w:t xml:space="preserve"> </w:t>
      </w:r>
      <w:r>
        <w:rPr>
          <w:rFonts w:ascii="David" w:hAnsi="David"/>
          <w:rtl/>
        </w:rPr>
        <w:t>(להלן</w:t>
      </w:r>
      <w:r>
        <w:rPr>
          <w:rFonts w:ascii="David" w:hAnsi="David" w:hint="cs"/>
          <w:rtl/>
        </w:rPr>
        <w:t xml:space="preserve"> </w:t>
      </w:r>
      <w:r>
        <w:rPr>
          <w:rFonts w:ascii="David" w:hAnsi="David"/>
          <w:rtl/>
        </w:rPr>
        <w:t>–</w:t>
      </w:r>
      <w:r>
        <w:rPr>
          <w:rFonts w:ascii="David" w:hAnsi="David" w:hint="cs"/>
          <w:rtl/>
        </w:rPr>
        <w:t xml:space="preserve"> </w:t>
      </w:r>
      <w:r>
        <w:rPr>
          <w:rFonts w:ascii="David" w:hAnsi="David"/>
          <w:rtl/>
        </w:rPr>
        <w:t xml:space="preserve"> </w:t>
      </w:r>
      <w:r>
        <w:rPr>
          <w:rFonts w:ascii="Miriam" w:hAnsi="Miriam" w:cs="Miriam"/>
          <w:rtl/>
        </w:rPr>
        <w:t>התיק המצורף</w:t>
      </w:r>
      <w:r>
        <w:rPr>
          <w:rFonts w:ascii="David" w:hAnsi="David" w:hint="cs"/>
          <w:rtl/>
        </w:rPr>
        <w:t>).</w:t>
      </w:r>
      <w:r>
        <w:rPr>
          <w:rFonts w:ascii="David" w:hAnsi="David"/>
          <w:rtl/>
        </w:rPr>
        <w:t xml:space="preserve"> בהתאם לעובדות כתב האישום בתיק </w:t>
      </w:r>
      <w:r>
        <w:rPr>
          <w:rFonts w:ascii="David" w:hAnsi="David" w:hint="cs"/>
          <w:rtl/>
        </w:rPr>
        <w:t>המצורף</w:t>
      </w:r>
      <w:r>
        <w:rPr>
          <w:rFonts w:ascii="David" w:hAnsi="David"/>
          <w:rtl/>
        </w:rPr>
        <w:t>, ביום 4.9.2018 החזיק הנאשם בדירתו סם מסוג קוקאין, מחולק ל-</w:t>
      </w:r>
      <w:r>
        <w:rPr>
          <w:rFonts w:ascii="David" w:hAnsi="David" w:hint="cs"/>
          <w:rtl/>
        </w:rPr>
        <w:t>11</w:t>
      </w:r>
      <w:r>
        <w:rPr>
          <w:rFonts w:ascii="David" w:hAnsi="David"/>
          <w:rtl/>
        </w:rPr>
        <w:t xml:space="preserve"> שקיות, במשקל נטו </w:t>
      </w:r>
      <w:r>
        <w:rPr>
          <w:rFonts w:ascii="David" w:hAnsi="David" w:hint="cs"/>
          <w:rtl/>
        </w:rPr>
        <w:t xml:space="preserve">כולל </w:t>
      </w:r>
      <w:r>
        <w:rPr>
          <w:rFonts w:ascii="David" w:hAnsi="David"/>
          <w:rtl/>
        </w:rPr>
        <w:t>של כ-</w:t>
      </w:r>
      <w:r>
        <w:rPr>
          <w:rFonts w:ascii="David" w:hAnsi="David" w:hint="cs"/>
          <w:rtl/>
        </w:rPr>
        <w:t xml:space="preserve">8.8 גרם, שלא </w:t>
      </w:r>
      <w:r>
        <w:rPr>
          <w:rFonts w:ascii="David" w:hAnsi="David"/>
          <w:rtl/>
        </w:rPr>
        <w:t>לצריכתו העצמית</w:t>
      </w:r>
      <w:r>
        <w:rPr>
          <w:rFonts w:ascii="David" w:hAnsi="David" w:hint="cs"/>
          <w:rtl/>
        </w:rPr>
        <w:t xml:space="preserve"> בלבד, וכן </w:t>
      </w:r>
      <w:r>
        <w:rPr>
          <w:rFonts w:ascii="David" w:hAnsi="David"/>
          <w:rtl/>
        </w:rPr>
        <w:t>משקל אלקטרוני ושקית ניילון לחלוקה</w:t>
      </w:r>
      <w:r>
        <w:rPr>
          <w:rFonts w:ascii="David" w:hAnsi="David" w:hint="cs"/>
          <w:rtl/>
        </w:rPr>
        <w:t xml:space="preserve"> </w:t>
      </w:r>
    </w:p>
    <w:p w14:paraId="25DF0E3E" w14:textId="77777777" w:rsidR="00885E64" w:rsidRDefault="00885E64" w:rsidP="00885E64">
      <w:pPr>
        <w:spacing w:line="360" w:lineRule="auto"/>
        <w:contextualSpacing/>
        <w:jc w:val="both"/>
        <w:rPr>
          <w:rFonts w:ascii="David" w:hAnsi="David"/>
          <w:rtl/>
        </w:rPr>
      </w:pPr>
    </w:p>
    <w:p w14:paraId="79323843" w14:textId="77777777" w:rsidR="00885E64" w:rsidRDefault="00885E64" w:rsidP="00885E64">
      <w:pPr>
        <w:spacing w:line="360" w:lineRule="auto"/>
        <w:jc w:val="both"/>
        <w:rPr>
          <w:rFonts w:ascii="David" w:hAnsi="David"/>
          <w:b/>
          <w:bCs/>
          <w:u w:val="single"/>
          <w:rtl/>
        </w:rPr>
      </w:pPr>
      <w:r>
        <w:rPr>
          <w:rFonts w:ascii="David" w:hAnsi="David"/>
          <w:b/>
          <w:bCs/>
          <w:u w:val="single"/>
          <w:rtl/>
        </w:rPr>
        <w:t>תסקירי שירות המבחן</w:t>
      </w:r>
    </w:p>
    <w:p w14:paraId="16A55715" w14:textId="77777777" w:rsidR="00885E64" w:rsidRDefault="00885E64" w:rsidP="00885E64">
      <w:pPr>
        <w:spacing w:line="360" w:lineRule="auto"/>
        <w:contextualSpacing/>
        <w:jc w:val="both"/>
        <w:rPr>
          <w:rFonts w:ascii="David" w:hAnsi="David"/>
        </w:rPr>
      </w:pPr>
    </w:p>
    <w:p w14:paraId="600A741A" w14:textId="77777777" w:rsidR="00885E64" w:rsidRPr="000100EC" w:rsidRDefault="00885E64" w:rsidP="00885E64">
      <w:pPr>
        <w:numPr>
          <w:ilvl w:val="0"/>
          <w:numId w:val="1"/>
        </w:numPr>
        <w:spacing w:line="360" w:lineRule="auto"/>
        <w:contextualSpacing/>
        <w:jc w:val="both"/>
        <w:rPr>
          <w:rFonts w:ascii="David" w:hAnsi="David"/>
        </w:rPr>
      </w:pPr>
      <w:r w:rsidRPr="000100EC">
        <w:rPr>
          <w:rFonts w:ascii="David" w:hAnsi="David"/>
          <w:rtl/>
        </w:rPr>
        <w:t>בעניינו של הנאשם נערכו שני תסקירים</w:t>
      </w:r>
      <w:r>
        <w:rPr>
          <w:rFonts w:ascii="David" w:hAnsi="David" w:hint="cs"/>
          <w:rtl/>
        </w:rPr>
        <w:t xml:space="preserve"> מהם </w:t>
      </w:r>
      <w:r w:rsidRPr="000100EC">
        <w:rPr>
          <w:rFonts w:ascii="David" w:hAnsi="David"/>
          <w:rtl/>
        </w:rPr>
        <w:t xml:space="preserve">עולה </w:t>
      </w:r>
      <w:r>
        <w:rPr>
          <w:rFonts w:ascii="David" w:hAnsi="David" w:hint="cs"/>
          <w:rtl/>
        </w:rPr>
        <w:t>ש</w:t>
      </w:r>
      <w:r w:rsidRPr="000100EC">
        <w:rPr>
          <w:rFonts w:ascii="David" w:hAnsi="David"/>
          <w:rtl/>
        </w:rPr>
        <w:t>הנאשם כבן 56, גרוש</w:t>
      </w:r>
      <w:r>
        <w:rPr>
          <w:rFonts w:ascii="David" w:hAnsi="David" w:hint="cs"/>
          <w:rtl/>
        </w:rPr>
        <w:t>,</w:t>
      </w:r>
      <w:r w:rsidRPr="000100EC">
        <w:rPr>
          <w:rFonts w:ascii="David" w:hAnsi="David"/>
          <w:rtl/>
        </w:rPr>
        <w:t xml:space="preserve"> אב לשמונה ילדים </w:t>
      </w:r>
      <w:r w:rsidRPr="000100EC">
        <w:rPr>
          <w:rFonts w:ascii="David" w:hAnsi="David" w:hint="cs"/>
          <w:rtl/>
        </w:rPr>
        <w:t>ולאחרונה אף נולד לו נכד</w:t>
      </w:r>
      <w:r w:rsidRPr="000100EC">
        <w:rPr>
          <w:rFonts w:ascii="David" w:hAnsi="David"/>
          <w:rtl/>
        </w:rPr>
        <w:t>. בתסקירים פורטו בהרחבה נסיבות חייו המורכבות, אשר מטעמים של צנעת הפרט לא אפרטן</w:t>
      </w:r>
      <w:r w:rsidRPr="000100EC">
        <w:rPr>
          <w:rFonts w:ascii="David" w:hAnsi="David" w:hint="cs"/>
          <w:rtl/>
        </w:rPr>
        <w:t xml:space="preserve">, אך אציין כי הנאשם גדל במציאות חיים מורכבת; </w:t>
      </w:r>
      <w:r w:rsidRPr="000100EC">
        <w:rPr>
          <w:rFonts w:ascii="David" w:hAnsi="David"/>
          <w:rtl/>
        </w:rPr>
        <w:t>החל לצרוך סמים מג</w:t>
      </w:r>
      <w:r>
        <w:rPr>
          <w:rFonts w:ascii="David" w:hAnsi="David" w:hint="cs"/>
          <w:rtl/>
        </w:rPr>
        <w:t>יל</w:t>
      </w:r>
      <w:r w:rsidRPr="000100EC">
        <w:rPr>
          <w:rFonts w:ascii="David" w:hAnsi="David"/>
          <w:rtl/>
        </w:rPr>
        <w:t xml:space="preserve"> </w:t>
      </w:r>
      <w:r w:rsidRPr="000100EC">
        <w:rPr>
          <w:rFonts w:ascii="David" w:hAnsi="David" w:hint="cs"/>
          <w:rtl/>
        </w:rPr>
        <w:t xml:space="preserve">צעיר; </w:t>
      </w:r>
      <w:r w:rsidRPr="000100EC">
        <w:rPr>
          <w:rFonts w:ascii="David" w:hAnsi="David"/>
          <w:rtl/>
        </w:rPr>
        <w:t xml:space="preserve">בהמשך נחשף להימורים ולסוגי סמים </w:t>
      </w:r>
      <w:r>
        <w:rPr>
          <w:rFonts w:ascii="David" w:hAnsi="David" w:hint="cs"/>
          <w:rtl/>
        </w:rPr>
        <w:t xml:space="preserve">שונים </w:t>
      </w:r>
      <w:r w:rsidRPr="000100EC">
        <w:rPr>
          <w:rFonts w:ascii="David" w:hAnsi="David"/>
          <w:rtl/>
        </w:rPr>
        <w:t xml:space="preserve">וניהל אורח חיים התמכרותי ועברייני. </w:t>
      </w:r>
      <w:r w:rsidRPr="000100EC">
        <w:rPr>
          <w:rFonts w:ascii="David" w:hAnsi="David" w:hint="cs"/>
          <w:rtl/>
        </w:rPr>
        <w:t xml:space="preserve">עם זאת, הנאשם סיים שירות צבאי מלא, שירת במילואים כעשרים שנה ואף עבד תקופה ארוכה. עברו של הנאשם כולל מספר עבירות סמים ורכוש והוא ריצה מספר מאסרים, האחרון </w:t>
      </w:r>
      <w:r>
        <w:rPr>
          <w:rFonts w:ascii="David" w:hAnsi="David" w:hint="cs"/>
          <w:rtl/>
        </w:rPr>
        <w:t>ל</w:t>
      </w:r>
      <w:r w:rsidRPr="000100EC">
        <w:rPr>
          <w:rFonts w:ascii="David" w:hAnsi="David" w:hint="cs"/>
          <w:rtl/>
        </w:rPr>
        <w:t>שלוש שנים</w:t>
      </w:r>
      <w:r>
        <w:rPr>
          <w:rFonts w:ascii="David" w:hAnsi="David" w:hint="cs"/>
          <w:rtl/>
        </w:rPr>
        <w:t>,</w:t>
      </w:r>
      <w:r w:rsidRPr="000100EC">
        <w:rPr>
          <w:rFonts w:ascii="David" w:hAnsi="David" w:hint="cs"/>
          <w:rtl/>
        </w:rPr>
        <w:t xml:space="preserve"> בשנת 2015. </w:t>
      </w:r>
      <w:r w:rsidRPr="000100EC">
        <w:rPr>
          <w:rFonts w:ascii="David" w:hAnsi="David"/>
          <w:rtl/>
        </w:rPr>
        <w:t>לאחר שחרורו מ</w:t>
      </w:r>
      <w:r w:rsidRPr="000100EC">
        <w:rPr>
          <w:rFonts w:ascii="David" w:hAnsi="David" w:hint="cs"/>
          <w:rtl/>
        </w:rPr>
        <w:t>ה</w:t>
      </w:r>
      <w:r w:rsidRPr="000100EC">
        <w:rPr>
          <w:rFonts w:ascii="David" w:hAnsi="David"/>
          <w:rtl/>
        </w:rPr>
        <w:t>מאסר</w:t>
      </w:r>
      <w:r w:rsidRPr="000100EC">
        <w:rPr>
          <w:rFonts w:ascii="David" w:hAnsi="David" w:hint="cs"/>
          <w:rtl/>
        </w:rPr>
        <w:t xml:space="preserve"> </w:t>
      </w:r>
      <w:r>
        <w:rPr>
          <w:rFonts w:ascii="David" w:hAnsi="David" w:hint="cs"/>
          <w:rtl/>
        </w:rPr>
        <w:t xml:space="preserve">האחרון </w:t>
      </w:r>
      <w:r w:rsidRPr="000100EC">
        <w:rPr>
          <w:rFonts w:ascii="David" w:hAnsi="David"/>
          <w:rtl/>
        </w:rPr>
        <w:t xml:space="preserve">פנה </w:t>
      </w:r>
      <w:r>
        <w:rPr>
          <w:rFonts w:ascii="David" w:hAnsi="David" w:hint="cs"/>
          <w:rtl/>
        </w:rPr>
        <w:t xml:space="preserve">הנאשם </w:t>
      </w:r>
      <w:r w:rsidRPr="000100EC">
        <w:rPr>
          <w:rFonts w:ascii="David" w:hAnsi="David"/>
          <w:rtl/>
        </w:rPr>
        <w:t>מיוזמתו ליחידה לטיפול בהתמכרויות בנהריה</w:t>
      </w:r>
      <w:r>
        <w:rPr>
          <w:rFonts w:ascii="David" w:hAnsi="David" w:hint="cs"/>
          <w:rtl/>
        </w:rPr>
        <w:t>,</w:t>
      </w:r>
      <w:r w:rsidRPr="000100EC">
        <w:rPr>
          <w:rFonts w:ascii="David" w:hAnsi="David"/>
          <w:rtl/>
        </w:rPr>
        <w:t xml:space="preserve"> אך הטיפול לא צלח. </w:t>
      </w:r>
      <w:r w:rsidRPr="000100EC">
        <w:rPr>
          <w:rFonts w:ascii="David" w:hAnsi="David" w:hint="cs"/>
          <w:rtl/>
        </w:rPr>
        <w:t xml:space="preserve">במסגרת </w:t>
      </w:r>
      <w:r w:rsidRPr="000100EC">
        <w:rPr>
          <w:rFonts w:ascii="David" w:hAnsi="David"/>
          <w:rtl/>
        </w:rPr>
        <w:t>מעצרו בתיק</w:t>
      </w:r>
      <w:r w:rsidRPr="000100EC">
        <w:rPr>
          <w:rFonts w:ascii="David" w:hAnsi="David" w:hint="cs"/>
          <w:rtl/>
        </w:rPr>
        <w:t xml:space="preserve"> הנוכחי</w:t>
      </w:r>
      <w:r w:rsidRPr="000100EC">
        <w:rPr>
          <w:rFonts w:ascii="David" w:hAnsi="David"/>
          <w:rtl/>
        </w:rPr>
        <w:t xml:space="preserve"> ובהתאם להמלצת שירות</w:t>
      </w:r>
      <w:r w:rsidRPr="000100EC">
        <w:rPr>
          <w:rFonts w:ascii="David" w:hAnsi="David" w:hint="cs"/>
          <w:rtl/>
        </w:rPr>
        <w:t xml:space="preserve"> המבחן</w:t>
      </w:r>
      <w:r w:rsidRPr="000100EC">
        <w:rPr>
          <w:rFonts w:ascii="David" w:hAnsi="David"/>
          <w:rtl/>
        </w:rPr>
        <w:t xml:space="preserve">, נקלט הנאשם ביום </w:t>
      </w:r>
      <w:r w:rsidRPr="000100EC">
        <w:rPr>
          <w:rFonts w:ascii="David" w:hAnsi="David" w:hint="cs"/>
          <w:rtl/>
        </w:rPr>
        <w:t xml:space="preserve">19.5.19 </w:t>
      </w:r>
      <w:r w:rsidRPr="000100EC">
        <w:rPr>
          <w:rFonts w:ascii="David" w:hAnsi="David"/>
          <w:rtl/>
        </w:rPr>
        <w:t>בקהילה הט</w:t>
      </w:r>
      <w:r>
        <w:rPr>
          <w:rFonts w:ascii="David" w:hAnsi="David"/>
          <w:rtl/>
        </w:rPr>
        <w:t>יפולית מלכישוע לצורך הליך טיפול</w:t>
      </w:r>
      <w:r w:rsidRPr="000100EC">
        <w:rPr>
          <w:rFonts w:ascii="David" w:hAnsi="David"/>
          <w:rtl/>
        </w:rPr>
        <w:t xml:space="preserve"> אינטנסיבי. מדיווח שהתקבל מהצוות המקצועי בקהילה הטיפולית ע</w:t>
      </w:r>
      <w:r>
        <w:rPr>
          <w:rFonts w:ascii="David" w:hAnsi="David" w:hint="cs"/>
          <w:rtl/>
        </w:rPr>
        <w:t>ו</w:t>
      </w:r>
      <w:r w:rsidRPr="000100EC">
        <w:rPr>
          <w:rFonts w:ascii="David" w:hAnsi="David"/>
          <w:rtl/>
        </w:rPr>
        <w:t xml:space="preserve">לה </w:t>
      </w:r>
      <w:r>
        <w:rPr>
          <w:rFonts w:ascii="David" w:hAnsi="David" w:hint="cs"/>
          <w:rtl/>
        </w:rPr>
        <w:t>ש</w:t>
      </w:r>
      <w:r w:rsidRPr="000100EC">
        <w:rPr>
          <w:rFonts w:ascii="David" w:hAnsi="David"/>
          <w:rtl/>
        </w:rPr>
        <w:t xml:space="preserve">הנאשם סיים </w:t>
      </w:r>
      <w:r w:rsidRPr="000100EC">
        <w:rPr>
          <w:rFonts w:ascii="David" w:hAnsi="David" w:hint="cs"/>
          <w:rtl/>
        </w:rPr>
        <w:t xml:space="preserve">בהצלחה </w:t>
      </w:r>
      <w:r w:rsidRPr="000100EC">
        <w:rPr>
          <w:rFonts w:ascii="David" w:hAnsi="David"/>
          <w:rtl/>
        </w:rPr>
        <w:t xml:space="preserve">את ההליך הטיפולי </w:t>
      </w:r>
      <w:r w:rsidRPr="000100EC">
        <w:rPr>
          <w:rFonts w:ascii="David" w:hAnsi="David" w:hint="cs"/>
          <w:rtl/>
        </w:rPr>
        <w:t xml:space="preserve">(שמשכו </w:t>
      </w:r>
      <w:r>
        <w:rPr>
          <w:rFonts w:ascii="David" w:hAnsi="David" w:hint="cs"/>
          <w:rtl/>
        </w:rPr>
        <w:t>כ</w:t>
      </w:r>
      <w:r w:rsidRPr="000100EC">
        <w:rPr>
          <w:rFonts w:ascii="David" w:hAnsi="David" w:hint="cs"/>
          <w:rtl/>
        </w:rPr>
        <w:t xml:space="preserve">עשרה חודשים) וזאת לאחר שהצוות </w:t>
      </w:r>
      <w:r w:rsidRPr="000100EC">
        <w:rPr>
          <w:rFonts w:ascii="David" w:hAnsi="David"/>
          <w:rtl/>
        </w:rPr>
        <w:t xml:space="preserve">הטיפולי בקהילה </w:t>
      </w:r>
      <w:r w:rsidRPr="000100EC">
        <w:rPr>
          <w:rFonts w:ascii="David" w:hAnsi="David" w:hint="cs"/>
          <w:rtl/>
        </w:rPr>
        <w:t xml:space="preserve">התרשם </w:t>
      </w:r>
      <w:r w:rsidRPr="000100EC">
        <w:rPr>
          <w:rFonts w:ascii="David" w:hAnsi="David"/>
          <w:rtl/>
        </w:rPr>
        <w:t xml:space="preserve">כי </w:t>
      </w:r>
      <w:r w:rsidRPr="000100EC">
        <w:rPr>
          <w:rFonts w:ascii="David" w:hAnsi="David" w:hint="cs"/>
          <w:rtl/>
        </w:rPr>
        <w:t xml:space="preserve">הוא </w:t>
      </w:r>
      <w:r w:rsidRPr="000100EC">
        <w:rPr>
          <w:rFonts w:ascii="David" w:hAnsi="David"/>
          <w:rtl/>
        </w:rPr>
        <w:t>הצליח להיפרד מהשימוש בחומרים ממכרים. גורמי הטיפול במלכישוע</w:t>
      </w:r>
      <w:r w:rsidRPr="000100EC">
        <w:rPr>
          <w:rFonts w:ascii="David" w:hAnsi="David" w:hint="cs"/>
          <w:rtl/>
        </w:rPr>
        <w:t xml:space="preserve"> המליצו </w:t>
      </w:r>
      <w:r w:rsidRPr="000100EC">
        <w:rPr>
          <w:rFonts w:ascii="David" w:hAnsi="David"/>
          <w:rtl/>
        </w:rPr>
        <w:t>על המשך טיפול במסגרת היחידה להתמכרויות במקום מגוריו</w:t>
      </w:r>
      <w:r w:rsidRPr="000100EC">
        <w:rPr>
          <w:rFonts w:ascii="David" w:hAnsi="David" w:hint="cs"/>
          <w:rtl/>
        </w:rPr>
        <w:t xml:space="preserve"> ואולם הדבר לא התאפשר בתחילה בשל סגירת המקום על רקע משבר הקורונה</w:t>
      </w:r>
      <w:r w:rsidRPr="000100EC">
        <w:rPr>
          <w:rFonts w:ascii="David" w:hAnsi="David"/>
          <w:rtl/>
        </w:rPr>
        <w:t xml:space="preserve">. </w:t>
      </w:r>
      <w:r w:rsidRPr="000100EC">
        <w:rPr>
          <w:rFonts w:ascii="David" w:hAnsi="David" w:hint="cs"/>
          <w:rtl/>
        </w:rPr>
        <w:t xml:space="preserve">בשלב זה התגורר הנאשם בבית גרושתו בתנאים מגבילים ובהמשך נקלט ביחידה לטיפול בהתמכרויות. </w:t>
      </w:r>
      <w:r>
        <w:rPr>
          <w:rFonts w:ascii="David" w:hAnsi="David" w:hint="cs"/>
          <w:rtl/>
        </w:rPr>
        <w:t xml:space="preserve">שירות המבחן ציין כי העבירות בוצעו על רקע התמכרותי וכי קיים סיכון גבוה להמשך עבירות, אך באם ימשיך בהליך הטיפולי וישמור על ניקיון מסמים, יופחת הסיכון ויגבר הסיכוי לשיקום. לאור כך דחיתי לבקשת שירות המבחן את המשך הדיון בארבעה חודשים. </w:t>
      </w:r>
    </w:p>
    <w:p w14:paraId="0C15017C" w14:textId="77777777" w:rsidR="00885E64" w:rsidRPr="0064657B" w:rsidRDefault="00885E64" w:rsidP="00885E64">
      <w:pPr>
        <w:spacing w:line="360" w:lineRule="auto"/>
        <w:ind w:left="720"/>
        <w:contextualSpacing/>
        <w:jc w:val="both"/>
        <w:rPr>
          <w:rFonts w:ascii="David" w:hAnsi="David"/>
        </w:rPr>
      </w:pPr>
    </w:p>
    <w:p w14:paraId="1CE6A513" w14:textId="77777777" w:rsidR="00885E64" w:rsidRPr="0066622B" w:rsidRDefault="00885E64" w:rsidP="00885E64">
      <w:pPr>
        <w:numPr>
          <w:ilvl w:val="0"/>
          <w:numId w:val="1"/>
        </w:numPr>
        <w:spacing w:line="360" w:lineRule="auto"/>
        <w:contextualSpacing/>
        <w:jc w:val="both"/>
        <w:rPr>
          <w:rFonts w:ascii="David" w:hAnsi="David"/>
        </w:rPr>
      </w:pPr>
      <w:r w:rsidRPr="0066622B">
        <w:rPr>
          <w:rFonts w:ascii="David" w:hAnsi="David" w:hint="cs"/>
          <w:rtl/>
        </w:rPr>
        <w:t>ב</w:t>
      </w:r>
      <w:r w:rsidRPr="0066622B">
        <w:rPr>
          <w:rFonts w:ascii="David" w:hAnsi="David"/>
          <w:rtl/>
        </w:rPr>
        <w:t xml:space="preserve">תסקיר המשלים </w:t>
      </w:r>
      <w:r w:rsidRPr="0066622B">
        <w:rPr>
          <w:rFonts w:ascii="David" w:hAnsi="David" w:hint="cs"/>
          <w:rtl/>
        </w:rPr>
        <w:t xml:space="preserve">ציין שירות המבחן כי </w:t>
      </w:r>
      <w:r w:rsidRPr="0066622B">
        <w:rPr>
          <w:rFonts w:ascii="David" w:hAnsi="David"/>
          <w:rtl/>
        </w:rPr>
        <w:t>בתקופת הדחייה שולב הנאשם במסגרת היחידה להתמכרויות בנהריה</w:t>
      </w:r>
      <w:r w:rsidRPr="0066622B">
        <w:rPr>
          <w:rFonts w:ascii="David" w:hAnsi="David" w:hint="cs"/>
          <w:rtl/>
        </w:rPr>
        <w:t>,</w:t>
      </w:r>
      <w:r w:rsidRPr="0066622B">
        <w:rPr>
          <w:rFonts w:ascii="David" w:hAnsi="David"/>
          <w:rtl/>
        </w:rPr>
        <w:t xml:space="preserve"> הן בטיפול קבוצתי והן בטיפול פרטני. </w:t>
      </w:r>
      <w:r w:rsidRPr="0066622B">
        <w:rPr>
          <w:rFonts w:ascii="David" w:hAnsi="David" w:hint="cs"/>
          <w:rtl/>
        </w:rPr>
        <w:t>צוין כי הוא מקפיד להגיע למפגשים, נוטל בהם חלק פעיל ומוסר בדיקות שתן נקיות מסמים. הנאשם הביע שביעות רצון מההליך הטיפולי וצ</w:t>
      </w:r>
      <w:r>
        <w:rPr>
          <w:rFonts w:ascii="David" w:hAnsi="David" w:hint="cs"/>
          <w:rtl/>
        </w:rPr>
        <w:t>י</w:t>
      </w:r>
      <w:r w:rsidRPr="0066622B">
        <w:rPr>
          <w:rFonts w:ascii="David" w:hAnsi="David" w:hint="cs"/>
          <w:rtl/>
        </w:rPr>
        <w:t xml:space="preserve">ין כי הוא אף מקפיד להגיע למפגשי </w:t>
      </w:r>
      <w:r w:rsidRPr="0066622B">
        <w:rPr>
          <w:rFonts w:ascii="David" w:hAnsi="David"/>
          <w:sz w:val="22"/>
          <w:szCs w:val="22"/>
        </w:rPr>
        <w:t>N.A</w:t>
      </w:r>
      <w:r>
        <w:rPr>
          <w:rFonts w:ascii="David" w:hAnsi="David" w:hint="cs"/>
          <w:rtl/>
        </w:rPr>
        <w:t xml:space="preserve">, </w:t>
      </w:r>
      <w:r w:rsidRPr="0066622B">
        <w:rPr>
          <w:rFonts w:ascii="David" w:hAnsi="David"/>
          <w:rtl/>
        </w:rPr>
        <w:t>חש נתרם מהטיפול</w:t>
      </w:r>
      <w:r>
        <w:rPr>
          <w:rFonts w:ascii="David" w:hAnsi="David" w:hint="cs"/>
          <w:rtl/>
        </w:rPr>
        <w:t xml:space="preserve">, העמיק את קשריו עם משפחתו </w:t>
      </w:r>
      <w:r w:rsidRPr="0066622B">
        <w:rPr>
          <w:rFonts w:ascii="David" w:hAnsi="David" w:hint="cs"/>
          <w:rtl/>
        </w:rPr>
        <w:t xml:space="preserve">ומרגיש </w:t>
      </w:r>
      <w:r w:rsidRPr="0066622B">
        <w:rPr>
          <w:rFonts w:ascii="David" w:hAnsi="David"/>
          <w:rtl/>
        </w:rPr>
        <w:t xml:space="preserve">בשינוי החיובי באורחות חייו. </w:t>
      </w:r>
      <w:r>
        <w:rPr>
          <w:rFonts w:ascii="David" w:hAnsi="David" w:hint="cs"/>
          <w:rtl/>
        </w:rPr>
        <w:t>הנאשם</w:t>
      </w:r>
      <w:r w:rsidRPr="0066622B">
        <w:rPr>
          <w:rFonts w:ascii="David" w:hAnsi="David"/>
          <w:rtl/>
        </w:rPr>
        <w:t xml:space="preserve"> הביע בפני קצינת המבחן רצון עז להמשיך ולהעמיק בהליך הטיפולי לצורך </w:t>
      </w:r>
      <w:r>
        <w:rPr>
          <w:rFonts w:ascii="David" w:hAnsi="David" w:hint="cs"/>
          <w:rtl/>
        </w:rPr>
        <w:t xml:space="preserve">ביסוס </w:t>
      </w:r>
      <w:r w:rsidRPr="0066622B">
        <w:rPr>
          <w:rFonts w:ascii="David" w:hAnsi="David"/>
          <w:rtl/>
        </w:rPr>
        <w:t>תהליך השינוי אותו החל.</w:t>
      </w:r>
      <w:r>
        <w:rPr>
          <w:rFonts w:ascii="David" w:hAnsi="David" w:hint="cs"/>
          <w:rtl/>
        </w:rPr>
        <w:t xml:space="preserve"> </w:t>
      </w:r>
      <w:r w:rsidRPr="0066622B">
        <w:rPr>
          <w:rFonts w:ascii="David" w:hAnsi="David"/>
          <w:rtl/>
        </w:rPr>
        <w:t xml:space="preserve">שירות המבחן </w:t>
      </w:r>
      <w:r>
        <w:rPr>
          <w:rFonts w:ascii="David" w:hAnsi="David" w:hint="cs"/>
          <w:rtl/>
        </w:rPr>
        <w:t xml:space="preserve">התרשם כי יש בהמשך ההליך הטיפולי פוטנציאל להקטין באופן משמעותי את הסיכון להישנות עבירות, ומשכך סבר שנכון במקרה זה לנקוט בהליך שיקומי, ולהעמיד את הנאשם בצו מבחן למשך 18 חודשים, במהלכם ימשיך בטיפול. שירות המבחן ציין עוד כי ראוי להטיל על הנאשם עונש מאסר שניתן לשאת בעבודות שירות. בעניין זה אעסוק בהמשך, שכן כנגד הנאשם תלוי ועומד עונש מאסר מותנה בן 12 חודשים, שלא ניתן לרצותו בדרך של עבודות שירות. </w:t>
      </w:r>
    </w:p>
    <w:p w14:paraId="57579820" w14:textId="77777777" w:rsidR="00885E64" w:rsidRPr="0064657B" w:rsidRDefault="00885E64" w:rsidP="00885E64">
      <w:pPr>
        <w:spacing w:line="360" w:lineRule="auto"/>
        <w:jc w:val="both"/>
        <w:rPr>
          <w:rFonts w:ascii="David" w:hAnsi="David"/>
          <w:rtl/>
        </w:rPr>
      </w:pPr>
    </w:p>
    <w:p w14:paraId="5673F5BD" w14:textId="77777777" w:rsidR="00885E64" w:rsidRDefault="00885E64" w:rsidP="00885E64">
      <w:pPr>
        <w:spacing w:line="360" w:lineRule="auto"/>
        <w:jc w:val="both"/>
        <w:rPr>
          <w:rFonts w:ascii="David" w:hAnsi="David"/>
          <w:b/>
          <w:bCs/>
          <w:u w:val="single"/>
          <w:rtl/>
        </w:rPr>
      </w:pPr>
      <w:r>
        <w:rPr>
          <w:rFonts w:ascii="David" w:hAnsi="David"/>
          <w:b/>
          <w:bCs/>
          <w:u w:val="single"/>
          <w:rtl/>
        </w:rPr>
        <w:t>טיעוני הצדדים והראיות לעונש</w:t>
      </w:r>
    </w:p>
    <w:p w14:paraId="39A74600" w14:textId="77777777" w:rsidR="00885E64" w:rsidRDefault="00885E64" w:rsidP="00885E64">
      <w:pPr>
        <w:spacing w:line="360" w:lineRule="auto"/>
        <w:jc w:val="both"/>
        <w:rPr>
          <w:rFonts w:ascii="David" w:hAnsi="David"/>
          <w:rtl/>
        </w:rPr>
      </w:pPr>
    </w:p>
    <w:p w14:paraId="61354EE1" w14:textId="77777777" w:rsidR="00885E64" w:rsidRDefault="00885E64" w:rsidP="00885E64">
      <w:pPr>
        <w:numPr>
          <w:ilvl w:val="0"/>
          <w:numId w:val="1"/>
        </w:numPr>
        <w:spacing w:line="360" w:lineRule="auto"/>
        <w:contextualSpacing/>
        <w:jc w:val="both"/>
        <w:rPr>
          <w:rFonts w:ascii="David" w:hAnsi="David"/>
        </w:rPr>
      </w:pPr>
      <w:r>
        <w:rPr>
          <w:rFonts w:ascii="David" w:hAnsi="David"/>
          <w:rtl/>
        </w:rPr>
        <w:t xml:space="preserve">ב"כ המאשימה הפנתה בטיעוניה לחומרת מעשיו של הנאשם, הנובעת בין היתר מכמויות הסמים שנתפסו </w:t>
      </w:r>
      <w:r>
        <w:rPr>
          <w:rFonts w:ascii="David" w:hAnsi="David" w:hint="cs"/>
          <w:rtl/>
        </w:rPr>
        <w:t>ברשותו</w:t>
      </w:r>
      <w:r>
        <w:rPr>
          <w:rFonts w:ascii="David" w:hAnsi="David"/>
          <w:rtl/>
        </w:rPr>
        <w:t xml:space="preserve">. עוד הפנתה המאשימה לערכים המוגנים שנפגעו כתוצאה ממעשיו </w:t>
      </w:r>
      <w:r>
        <w:rPr>
          <w:rFonts w:ascii="David" w:hAnsi="David" w:hint="cs"/>
          <w:rtl/>
        </w:rPr>
        <w:t>ו</w:t>
      </w:r>
      <w:r>
        <w:rPr>
          <w:rFonts w:ascii="David" w:hAnsi="David"/>
          <w:rtl/>
        </w:rPr>
        <w:t xml:space="preserve">בהם ההגנה על בריאות הציבור מפני </w:t>
      </w:r>
      <w:r>
        <w:rPr>
          <w:rFonts w:ascii="David" w:hAnsi="David" w:hint="cs"/>
          <w:rtl/>
        </w:rPr>
        <w:t>ה</w:t>
      </w:r>
      <w:r>
        <w:rPr>
          <w:rFonts w:ascii="David" w:hAnsi="David"/>
          <w:rtl/>
        </w:rPr>
        <w:t xml:space="preserve">נזקים </w:t>
      </w:r>
      <w:r>
        <w:rPr>
          <w:rFonts w:ascii="David" w:hAnsi="David" w:hint="cs"/>
          <w:rtl/>
        </w:rPr>
        <w:t>ה</w:t>
      </w:r>
      <w:r>
        <w:rPr>
          <w:rFonts w:ascii="David" w:hAnsi="David"/>
          <w:rtl/>
        </w:rPr>
        <w:t>ישירים ו</w:t>
      </w:r>
      <w:r>
        <w:rPr>
          <w:rFonts w:ascii="David" w:hAnsi="David" w:hint="cs"/>
          <w:rtl/>
        </w:rPr>
        <w:t>ה</w:t>
      </w:r>
      <w:r>
        <w:rPr>
          <w:rFonts w:ascii="David" w:hAnsi="David"/>
          <w:rtl/>
        </w:rPr>
        <w:t xml:space="preserve">עקיפים הנגרמים </w:t>
      </w:r>
      <w:r>
        <w:rPr>
          <w:rFonts w:ascii="David" w:hAnsi="David" w:hint="cs"/>
          <w:rtl/>
        </w:rPr>
        <w:t xml:space="preserve">משימוש בסמים </w:t>
      </w:r>
      <w:r>
        <w:rPr>
          <w:rFonts w:ascii="David" w:hAnsi="David"/>
          <w:rtl/>
        </w:rPr>
        <w:t xml:space="preserve">וכן </w:t>
      </w:r>
      <w:r>
        <w:rPr>
          <w:rFonts w:ascii="David" w:hAnsi="David" w:hint="cs"/>
          <w:rtl/>
        </w:rPr>
        <w:t>ה</w:t>
      </w:r>
      <w:r>
        <w:rPr>
          <w:rFonts w:ascii="David" w:hAnsi="David"/>
          <w:rtl/>
        </w:rPr>
        <w:t xml:space="preserve">הגנה על הביטחון האישי ורכוש הציבור. בהתייחסה למתחם העונש ההולם, טענה ב"כ המאשימה כי האירועים במסגרת שני כתבי האישום מהווים שני אירועים שונים, בין היתר נוכח פרק הזמן הממושך שחלף בין </w:t>
      </w:r>
      <w:r>
        <w:rPr>
          <w:rFonts w:ascii="David" w:hAnsi="David" w:hint="cs"/>
          <w:rtl/>
        </w:rPr>
        <w:t xml:space="preserve">שני המעשים, </w:t>
      </w:r>
      <w:r>
        <w:rPr>
          <w:rFonts w:ascii="David" w:hAnsi="David"/>
          <w:rtl/>
        </w:rPr>
        <w:t xml:space="preserve">ועל כן יש לקבוע מתחם עונש הולם לכל אחד מהם בנפרד. באשר לאירוע </w:t>
      </w:r>
      <w:r>
        <w:rPr>
          <w:rFonts w:ascii="David" w:hAnsi="David" w:hint="cs"/>
          <w:rtl/>
        </w:rPr>
        <w:t xml:space="preserve">מושא </w:t>
      </w:r>
      <w:r>
        <w:rPr>
          <w:rFonts w:ascii="David" w:hAnsi="David"/>
          <w:rtl/>
        </w:rPr>
        <w:t xml:space="preserve">כתב האישום העיקרי, ביקשה המאשימה לקבוע מתחם הנע בין 30 חודשי מאסר ל-48 חודשי מאסר, ובגין האירוע </w:t>
      </w:r>
      <w:r>
        <w:rPr>
          <w:rFonts w:ascii="David" w:hAnsi="David" w:hint="cs"/>
          <w:rtl/>
        </w:rPr>
        <w:t xml:space="preserve">מושא </w:t>
      </w:r>
      <w:r>
        <w:rPr>
          <w:rFonts w:ascii="David" w:hAnsi="David"/>
          <w:rtl/>
        </w:rPr>
        <w:t>כתב האישום המצורף ביקשה המאשימה לקבוע מתחם הנע בין 6 חודשי מאסר ל-12 חודשי מאסר. המאשימה טענ</w:t>
      </w:r>
      <w:r>
        <w:rPr>
          <w:rFonts w:ascii="David" w:hAnsi="David" w:hint="cs"/>
          <w:rtl/>
        </w:rPr>
        <w:t>ה ש</w:t>
      </w:r>
      <w:r>
        <w:rPr>
          <w:rFonts w:ascii="David" w:hAnsi="David"/>
          <w:rtl/>
        </w:rPr>
        <w:t xml:space="preserve">אין לאמץ את המלצת שירות המבחן ונוכח חומרת העבירות, עברו הפלילי העשיר </w:t>
      </w:r>
      <w:r>
        <w:rPr>
          <w:rFonts w:ascii="David" w:hAnsi="David" w:hint="cs"/>
          <w:rtl/>
        </w:rPr>
        <w:t xml:space="preserve">של הנאשם </w:t>
      </w:r>
      <w:r>
        <w:rPr>
          <w:rFonts w:ascii="David" w:hAnsi="David"/>
          <w:rtl/>
        </w:rPr>
        <w:t xml:space="preserve">והעובדה </w:t>
      </w:r>
      <w:r>
        <w:rPr>
          <w:rFonts w:ascii="David" w:hAnsi="David" w:hint="cs"/>
          <w:rtl/>
        </w:rPr>
        <w:t>ש</w:t>
      </w:r>
      <w:r>
        <w:rPr>
          <w:rFonts w:ascii="David" w:hAnsi="David"/>
          <w:rtl/>
        </w:rPr>
        <w:t xml:space="preserve">ריצה מאסרים מאחורי סורג ובריח, יש להעדיף את הפן ההרתעתי על פני נסיבותיו האישיות. </w:t>
      </w:r>
      <w:r>
        <w:rPr>
          <w:rFonts w:ascii="David" w:hAnsi="David" w:hint="cs"/>
          <w:rtl/>
        </w:rPr>
        <w:t>ל</w:t>
      </w:r>
      <w:r>
        <w:rPr>
          <w:rFonts w:ascii="David" w:hAnsi="David"/>
          <w:rtl/>
        </w:rPr>
        <w:t>פיכך ביקשה המאשימה לגזור את עונשו של הנאשם בחלקו האמצעי</w:t>
      </w:r>
      <w:r>
        <w:rPr>
          <w:rFonts w:ascii="David" w:hAnsi="David" w:hint="cs"/>
          <w:rtl/>
        </w:rPr>
        <w:t>-</w:t>
      </w:r>
      <w:r>
        <w:rPr>
          <w:rFonts w:ascii="David" w:hAnsi="David"/>
          <w:rtl/>
        </w:rPr>
        <w:t xml:space="preserve">עליון של כל אחד מהמתחמים וכן להפעיל עונש מאסר מותנה </w:t>
      </w:r>
      <w:r>
        <w:rPr>
          <w:rFonts w:ascii="David" w:hAnsi="David" w:hint="cs"/>
          <w:rtl/>
        </w:rPr>
        <w:t>בן 12 חודשים</w:t>
      </w:r>
      <w:r>
        <w:rPr>
          <w:rFonts w:ascii="David" w:hAnsi="David"/>
          <w:rtl/>
        </w:rPr>
        <w:t xml:space="preserve"> באופן מצטבר. כן ביקשה המאשימה להטיל על הנאשם ענישה נלווית </w:t>
      </w:r>
      <w:r>
        <w:rPr>
          <w:rFonts w:ascii="David" w:hAnsi="David" w:hint="cs"/>
          <w:rtl/>
        </w:rPr>
        <w:t xml:space="preserve">הכוללת </w:t>
      </w:r>
      <w:r>
        <w:rPr>
          <w:rFonts w:ascii="David" w:hAnsi="David"/>
          <w:rtl/>
        </w:rPr>
        <w:t xml:space="preserve">מאסר על תנאי מרתיע, קנס ופסילת רישיון נהיגה לתקופה משמעותית. </w:t>
      </w:r>
    </w:p>
    <w:p w14:paraId="5520089F" w14:textId="77777777" w:rsidR="00885E64" w:rsidRDefault="00885E64" w:rsidP="00885E64">
      <w:pPr>
        <w:spacing w:line="360" w:lineRule="auto"/>
        <w:contextualSpacing/>
        <w:jc w:val="both"/>
        <w:rPr>
          <w:rFonts w:ascii="David" w:hAnsi="David"/>
        </w:rPr>
      </w:pPr>
    </w:p>
    <w:p w14:paraId="48F79168" w14:textId="77777777" w:rsidR="00885E64" w:rsidRDefault="00885E64" w:rsidP="00885E64">
      <w:pPr>
        <w:numPr>
          <w:ilvl w:val="0"/>
          <w:numId w:val="1"/>
        </w:numPr>
        <w:spacing w:line="360" w:lineRule="auto"/>
        <w:contextualSpacing/>
        <w:jc w:val="both"/>
        <w:rPr>
          <w:rFonts w:ascii="David" w:hAnsi="David"/>
        </w:rPr>
      </w:pPr>
      <w:r>
        <w:rPr>
          <w:rFonts w:ascii="David" w:hAnsi="David" w:hint="cs"/>
          <w:rtl/>
        </w:rPr>
        <w:t xml:space="preserve">יצוין עוד כי בהסכמה הוכרז הנאשם סוחר סמים </w:t>
      </w:r>
      <w:r>
        <w:rPr>
          <w:rFonts w:ascii="David" w:hAnsi="David"/>
          <w:rtl/>
        </w:rPr>
        <w:t xml:space="preserve">בהתאם להוראות </w:t>
      </w:r>
      <w:hyperlink r:id="rId20" w:history="1">
        <w:r w:rsidR="00E31387" w:rsidRPr="00E31387">
          <w:rPr>
            <w:rStyle w:val="Hyperlink"/>
            <w:rFonts w:ascii="David" w:hAnsi="David"/>
            <w:rtl/>
          </w:rPr>
          <w:t>סעיף 36א(ב)</w:t>
        </w:r>
      </w:hyperlink>
      <w:r>
        <w:rPr>
          <w:rFonts w:ascii="David" w:hAnsi="David"/>
          <w:rtl/>
        </w:rPr>
        <w:t xml:space="preserve"> לפקודת הסמים</w:t>
      </w:r>
      <w:r>
        <w:rPr>
          <w:rFonts w:ascii="David" w:hAnsi="David" w:hint="cs"/>
          <w:rtl/>
        </w:rPr>
        <w:t xml:space="preserve"> והצדדים הסכימו על חילוט סך של 12,940 ₪ מכלל הכספים שנתפסו ברשותו, ועל השבת היתרה לבני משפחתו, והכל כמפורט בהודעה המוסכמת מיום 5.8.20.</w:t>
      </w:r>
    </w:p>
    <w:p w14:paraId="5C920DDC" w14:textId="77777777" w:rsidR="00885E64" w:rsidRPr="001C7320" w:rsidRDefault="00885E64" w:rsidP="00885E64">
      <w:pPr>
        <w:spacing w:line="360" w:lineRule="auto"/>
        <w:jc w:val="both"/>
        <w:rPr>
          <w:rFonts w:ascii="David" w:hAnsi="David"/>
        </w:rPr>
      </w:pPr>
    </w:p>
    <w:p w14:paraId="6A2A8AE9" w14:textId="77777777" w:rsidR="00885E64" w:rsidRDefault="00885E64" w:rsidP="00885E64">
      <w:pPr>
        <w:numPr>
          <w:ilvl w:val="0"/>
          <w:numId w:val="1"/>
        </w:numPr>
        <w:spacing w:line="360" w:lineRule="auto"/>
        <w:contextualSpacing/>
        <w:jc w:val="both"/>
        <w:rPr>
          <w:rFonts w:ascii="David" w:hAnsi="David"/>
        </w:rPr>
      </w:pPr>
      <w:r>
        <w:rPr>
          <w:rFonts w:ascii="David" w:hAnsi="David"/>
          <w:rtl/>
        </w:rPr>
        <w:t>ב"כ הנאשם הפנה לנסיבות חייו הקשות</w:t>
      </w:r>
      <w:r>
        <w:rPr>
          <w:rFonts w:ascii="David" w:hAnsi="David" w:hint="cs"/>
          <w:rtl/>
        </w:rPr>
        <w:t xml:space="preserve"> של הנאשם,</w:t>
      </w:r>
      <w:r>
        <w:rPr>
          <w:rFonts w:ascii="David" w:hAnsi="David"/>
          <w:rtl/>
        </w:rPr>
        <w:t xml:space="preserve"> כפי שהובאו בתסקיר</w:t>
      </w:r>
      <w:r>
        <w:rPr>
          <w:rFonts w:ascii="David" w:hAnsi="David" w:hint="cs"/>
          <w:rtl/>
        </w:rPr>
        <w:t xml:space="preserve">, וציין כי </w:t>
      </w:r>
      <w:r>
        <w:rPr>
          <w:rFonts w:ascii="David" w:hAnsi="David"/>
          <w:rtl/>
        </w:rPr>
        <w:t xml:space="preserve">הנאשם עבר הליך </w:t>
      </w:r>
      <w:r>
        <w:rPr>
          <w:rFonts w:ascii="David" w:hAnsi="David" w:hint="cs"/>
          <w:rtl/>
        </w:rPr>
        <w:t xml:space="preserve">גמילה </w:t>
      </w:r>
      <w:r>
        <w:rPr>
          <w:rFonts w:ascii="David" w:hAnsi="David"/>
          <w:rtl/>
        </w:rPr>
        <w:t>משמעותי</w:t>
      </w:r>
      <w:r>
        <w:rPr>
          <w:rFonts w:ascii="David" w:hAnsi="David" w:hint="cs"/>
          <w:rtl/>
        </w:rPr>
        <w:t xml:space="preserve"> ואינטנסיבי והוא </w:t>
      </w:r>
      <w:r>
        <w:rPr>
          <w:rFonts w:ascii="David" w:hAnsi="David"/>
          <w:rtl/>
        </w:rPr>
        <w:t xml:space="preserve">ממשיך </w:t>
      </w:r>
      <w:r>
        <w:rPr>
          <w:rFonts w:ascii="David" w:hAnsi="David" w:hint="cs"/>
          <w:rtl/>
        </w:rPr>
        <w:t>ומ</w:t>
      </w:r>
      <w:r>
        <w:rPr>
          <w:rFonts w:ascii="David" w:hAnsi="David"/>
          <w:rtl/>
        </w:rPr>
        <w:t>תמיד בטיפול ומוסר בדיקות שתן תקינות</w:t>
      </w:r>
      <w:r>
        <w:rPr>
          <w:rFonts w:ascii="David" w:hAnsi="David" w:hint="cs"/>
          <w:rtl/>
        </w:rPr>
        <w:t xml:space="preserve"> מזה תקופה ארוכה</w:t>
      </w:r>
      <w:r>
        <w:rPr>
          <w:rFonts w:ascii="David" w:hAnsi="David"/>
          <w:rtl/>
        </w:rPr>
        <w:t xml:space="preserve">. </w:t>
      </w:r>
      <w:r>
        <w:rPr>
          <w:rFonts w:ascii="David" w:hAnsi="David" w:hint="cs"/>
          <w:rtl/>
        </w:rPr>
        <w:t xml:space="preserve">צוין כי </w:t>
      </w:r>
      <w:r>
        <w:rPr>
          <w:rFonts w:ascii="David" w:hAnsi="David"/>
          <w:rtl/>
        </w:rPr>
        <w:t>הנאשם נטל אחריות למעשיו והצר עליהם</w:t>
      </w:r>
      <w:r>
        <w:rPr>
          <w:rFonts w:ascii="David" w:hAnsi="David" w:hint="cs"/>
          <w:rtl/>
        </w:rPr>
        <w:t xml:space="preserve">, ובשים לב להליך הטיפולי ראוי </w:t>
      </w:r>
      <w:r>
        <w:rPr>
          <w:rFonts w:ascii="David" w:hAnsi="David"/>
          <w:rtl/>
        </w:rPr>
        <w:t xml:space="preserve">לאמץ את המלצת שירות המבחן </w:t>
      </w:r>
      <w:r>
        <w:rPr>
          <w:rFonts w:ascii="David" w:hAnsi="David" w:hint="cs"/>
          <w:rtl/>
        </w:rPr>
        <w:t xml:space="preserve">ולהעדיף את האפיק השיקומי בעניינו. בעניין זה טען </w:t>
      </w:r>
      <w:r>
        <w:rPr>
          <w:rFonts w:ascii="David" w:hAnsi="David"/>
          <w:rtl/>
        </w:rPr>
        <w:t xml:space="preserve">הסניגור כי השמת הנאשם מאחורי סורג ובריח בנקודת זמן זו תוריד לטמיון את מאמציו והירתמותו לתהליך </w:t>
      </w:r>
      <w:r>
        <w:rPr>
          <w:rFonts w:ascii="David" w:hAnsi="David" w:hint="cs"/>
          <w:rtl/>
        </w:rPr>
        <w:t>הגמילה ותפגע בשיקומו. לגופו של עניין</w:t>
      </w:r>
      <w:r>
        <w:rPr>
          <w:rFonts w:ascii="David" w:hAnsi="David"/>
          <w:rtl/>
        </w:rPr>
        <w:t xml:space="preserve">, </w:t>
      </w:r>
      <w:r>
        <w:rPr>
          <w:rFonts w:ascii="David" w:hAnsi="David" w:hint="cs"/>
          <w:rtl/>
        </w:rPr>
        <w:t>ביקש</w:t>
      </w:r>
      <w:r>
        <w:rPr>
          <w:rFonts w:ascii="David" w:hAnsi="David"/>
          <w:rtl/>
        </w:rPr>
        <w:t xml:space="preserve"> הסניגור כי בית המשפט </w:t>
      </w:r>
      <w:r>
        <w:rPr>
          <w:rFonts w:ascii="David" w:hAnsi="David" w:hint="cs"/>
          <w:rtl/>
        </w:rPr>
        <w:t>יאריך את עונש המאסר המותנה התלוי ועומד נגד הנאשם ויטיל עליו עונש שיקומי כהמלצת שירות המבחן</w:t>
      </w:r>
      <w:r>
        <w:rPr>
          <w:rFonts w:ascii="David" w:hAnsi="David"/>
          <w:rtl/>
        </w:rPr>
        <w:t xml:space="preserve">. </w:t>
      </w:r>
    </w:p>
    <w:p w14:paraId="7D1FEC40" w14:textId="77777777" w:rsidR="00885E64" w:rsidRPr="00A637EA" w:rsidRDefault="00885E64" w:rsidP="00885E64">
      <w:pPr>
        <w:spacing w:line="360" w:lineRule="auto"/>
        <w:jc w:val="both"/>
        <w:rPr>
          <w:rFonts w:ascii="David" w:hAnsi="David"/>
        </w:rPr>
      </w:pPr>
    </w:p>
    <w:p w14:paraId="4CB74AC3" w14:textId="77777777" w:rsidR="00885E64" w:rsidRDefault="00885E64" w:rsidP="00885E64">
      <w:pPr>
        <w:numPr>
          <w:ilvl w:val="0"/>
          <w:numId w:val="1"/>
        </w:numPr>
        <w:spacing w:line="360" w:lineRule="auto"/>
        <w:contextualSpacing/>
        <w:jc w:val="both"/>
        <w:rPr>
          <w:rFonts w:ascii="David" w:hAnsi="David"/>
        </w:rPr>
      </w:pPr>
      <w:r>
        <w:rPr>
          <w:rFonts w:ascii="David" w:hAnsi="David"/>
          <w:rtl/>
        </w:rPr>
        <w:t xml:space="preserve">הנאשם בדברו האחרון הביע חרטה על מעשיו וציין כי הוא מבין </w:t>
      </w:r>
      <w:r>
        <w:rPr>
          <w:rFonts w:ascii="David" w:hAnsi="David" w:hint="cs"/>
          <w:rtl/>
        </w:rPr>
        <w:t xml:space="preserve">כיום </w:t>
      </w:r>
      <w:r>
        <w:rPr>
          <w:rFonts w:ascii="David" w:hAnsi="David"/>
          <w:rtl/>
        </w:rPr>
        <w:t>את הנזקים שגרם ל</w:t>
      </w:r>
      <w:r>
        <w:rPr>
          <w:rFonts w:ascii="David" w:hAnsi="David" w:hint="cs"/>
          <w:rtl/>
        </w:rPr>
        <w:t>עצמו</w:t>
      </w:r>
      <w:r>
        <w:rPr>
          <w:rFonts w:ascii="David" w:hAnsi="David"/>
          <w:rtl/>
        </w:rPr>
        <w:t xml:space="preserve"> ולסביבתו במהלך השנים. </w:t>
      </w:r>
      <w:r>
        <w:rPr>
          <w:rFonts w:ascii="David" w:hAnsi="David" w:hint="cs"/>
          <w:rtl/>
        </w:rPr>
        <w:t>עוד</w:t>
      </w:r>
      <w:r>
        <w:rPr>
          <w:rFonts w:ascii="David" w:hAnsi="David"/>
          <w:rtl/>
        </w:rPr>
        <w:t xml:space="preserve"> ציין כי במהלך הטיפול בקהילת מלכישוע העמיק לראשונה בתכנים שעד עתה נמנע מלעסוק בהם. </w:t>
      </w:r>
      <w:r>
        <w:rPr>
          <w:rFonts w:ascii="David" w:hAnsi="David" w:hint="cs"/>
          <w:rtl/>
        </w:rPr>
        <w:t>הנאשם</w:t>
      </w:r>
      <w:r>
        <w:rPr>
          <w:rFonts w:ascii="David" w:hAnsi="David"/>
          <w:rtl/>
        </w:rPr>
        <w:t xml:space="preserve"> ציין כי חייו עברו תפנית, הוא מצוי בקשר יום יומי עם מדריך, מוסר בדיקות שתן נקיות ומשתתף בקבוצת </w:t>
      </w:r>
      <w:r>
        <w:rPr>
          <w:rFonts w:ascii="David" w:hAnsi="David"/>
          <w:sz w:val="20"/>
          <w:szCs w:val="20"/>
        </w:rPr>
        <w:t>N.A</w:t>
      </w:r>
      <w:r>
        <w:rPr>
          <w:rFonts w:ascii="David" w:hAnsi="David"/>
          <w:rtl/>
        </w:rPr>
        <w:t xml:space="preserve">. </w:t>
      </w:r>
      <w:r>
        <w:rPr>
          <w:rFonts w:ascii="David" w:hAnsi="David" w:hint="cs"/>
          <w:rtl/>
        </w:rPr>
        <w:t xml:space="preserve">הנאשם תאר </w:t>
      </w:r>
      <w:r>
        <w:rPr>
          <w:rFonts w:ascii="David" w:hAnsi="David"/>
          <w:rtl/>
        </w:rPr>
        <w:t>כי הוא משקם כיום את יחסיו עם ילדיו</w:t>
      </w:r>
      <w:r>
        <w:rPr>
          <w:rFonts w:ascii="David" w:hAnsi="David" w:hint="cs"/>
          <w:rtl/>
        </w:rPr>
        <w:t xml:space="preserve">, משפחתו תומכת בו </w:t>
      </w:r>
      <w:r>
        <w:rPr>
          <w:rFonts w:ascii="David" w:hAnsi="David"/>
          <w:rtl/>
        </w:rPr>
        <w:t>ו</w:t>
      </w:r>
      <w:r>
        <w:rPr>
          <w:rFonts w:ascii="David" w:hAnsi="David" w:hint="cs"/>
          <w:rtl/>
        </w:rPr>
        <w:t xml:space="preserve">הוא </w:t>
      </w:r>
      <w:r>
        <w:rPr>
          <w:rFonts w:ascii="David" w:hAnsi="David"/>
          <w:rtl/>
        </w:rPr>
        <w:t xml:space="preserve">מנסה להתפרנס במגבלות המצב. על כן ביקש </w:t>
      </w:r>
      <w:r>
        <w:rPr>
          <w:rFonts w:ascii="David" w:hAnsi="David" w:hint="cs"/>
          <w:rtl/>
        </w:rPr>
        <w:t xml:space="preserve">הנאשם </w:t>
      </w:r>
      <w:r>
        <w:rPr>
          <w:rFonts w:ascii="David" w:hAnsi="David"/>
          <w:rtl/>
        </w:rPr>
        <w:t xml:space="preserve">כי בית המשפט ייתן לו הזדמנות להמשיך </w:t>
      </w:r>
      <w:r>
        <w:rPr>
          <w:rFonts w:ascii="David" w:hAnsi="David" w:hint="cs"/>
          <w:rtl/>
        </w:rPr>
        <w:t>ב</w:t>
      </w:r>
      <w:r>
        <w:rPr>
          <w:rFonts w:ascii="David" w:hAnsi="David"/>
          <w:rtl/>
        </w:rPr>
        <w:t>תהליך</w:t>
      </w:r>
      <w:r>
        <w:rPr>
          <w:rFonts w:ascii="David" w:hAnsi="David" w:hint="cs"/>
          <w:rtl/>
        </w:rPr>
        <w:t xml:space="preserve"> השיקום</w:t>
      </w:r>
      <w:r>
        <w:rPr>
          <w:rFonts w:ascii="David" w:hAnsi="David"/>
          <w:rtl/>
        </w:rPr>
        <w:t>.</w:t>
      </w:r>
    </w:p>
    <w:p w14:paraId="2EBBE9E4" w14:textId="77777777" w:rsidR="00885E64" w:rsidRPr="002A31AD" w:rsidRDefault="00885E64" w:rsidP="00885E64">
      <w:pPr>
        <w:spacing w:line="360" w:lineRule="auto"/>
        <w:jc w:val="both"/>
        <w:rPr>
          <w:rFonts w:ascii="David" w:hAnsi="David"/>
        </w:rPr>
      </w:pPr>
    </w:p>
    <w:p w14:paraId="7A089B81" w14:textId="77777777" w:rsidR="00885E64" w:rsidRDefault="00885E64" w:rsidP="00885E64">
      <w:pPr>
        <w:spacing w:line="360" w:lineRule="auto"/>
        <w:jc w:val="both"/>
        <w:rPr>
          <w:rFonts w:ascii="David" w:hAnsi="David"/>
          <w:b/>
          <w:bCs/>
          <w:u w:val="single"/>
          <w:rtl/>
        </w:rPr>
      </w:pPr>
      <w:r>
        <w:rPr>
          <w:rFonts w:ascii="David" w:hAnsi="David"/>
          <w:b/>
          <w:bCs/>
          <w:u w:val="single"/>
          <w:rtl/>
        </w:rPr>
        <w:t>דיון והכרעה</w:t>
      </w:r>
    </w:p>
    <w:p w14:paraId="37428F3D" w14:textId="77777777" w:rsidR="00885E64" w:rsidRDefault="00885E64" w:rsidP="00885E64">
      <w:pPr>
        <w:spacing w:line="360" w:lineRule="auto"/>
        <w:jc w:val="both"/>
        <w:rPr>
          <w:rFonts w:ascii="David" w:hAnsi="David"/>
          <w:rtl/>
        </w:rPr>
      </w:pPr>
    </w:p>
    <w:p w14:paraId="0F7DD5E1" w14:textId="77777777" w:rsidR="00885E64" w:rsidRPr="00917000" w:rsidRDefault="00885E64" w:rsidP="00885E64">
      <w:pPr>
        <w:numPr>
          <w:ilvl w:val="0"/>
          <w:numId w:val="1"/>
        </w:numPr>
        <w:spacing w:line="360" w:lineRule="auto"/>
        <w:contextualSpacing/>
        <w:jc w:val="both"/>
        <w:rPr>
          <w:rFonts w:ascii="David" w:hAnsi="David"/>
          <w:rtl/>
        </w:rPr>
      </w:pPr>
      <w:r>
        <w:rPr>
          <w:rFonts w:ascii="David" w:hAnsi="David"/>
          <w:rtl/>
        </w:rPr>
        <w:t>בהתאם לתיקון 113 ל</w:t>
      </w:r>
      <w:hyperlink r:id="rId21" w:history="1">
        <w:r w:rsidR="00802809" w:rsidRPr="00802809">
          <w:rPr>
            <w:rFonts w:ascii="David" w:hAnsi="David"/>
            <w:color w:val="0000FF"/>
            <w:u w:val="single"/>
            <w:rtl/>
          </w:rPr>
          <w:t>חוק העונשין</w:t>
        </w:r>
      </w:hyperlink>
      <w:r>
        <w:rPr>
          <w:rFonts w:ascii="David" w:hAnsi="David" w:hint="cs"/>
          <w:rtl/>
        </w:rPr>
        <w:t>,</w:t>
      </w:r>
      <w:r>
        <w:rPr>
          <w:rFonts w:ascii="David" w:hAnsi="David"/>
          <w:rtl/>
        </w:rPr>
        <w:t xml:space="preserve"> על בית המשפט לקבוע את מתחם הענישה ההולם את העבירה בנסיבותיה</w:t>
      </w:r>
      <w:r>
        <w:rPr>
          <w:rFonts w:ascii="David" w:hAnsi="David" w:hint="cs"/>
          <w:rtl/>
        </w:rPr>
        <w:t xml:space="preserve">. </w:t>
      </w:r>
      <w:r>
        <w:rPr>
          <w:rFonts w:ascii="David" w:hAnsi="David"/>
          <w:rtl/>
        </w:rPr>
        <w:t xml:space="preserve">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22" w:history="1">
        <w:r w:rsidR="00E31387" w:rsidRPr="00E31387">
          <w:rPr>
            <w:rStyle w:val="Hyperlink"/>
            <w:rFonts w:ascii="David" w:hAnsi="David"/>
            <w:rtl/>
          </w:rPr>
          <w:t>סעיף 40ט'</w:t>
        </w:r>
      </w:hyperlink>
      <w:r>
        <w:rPr>
          <w:rFonts w:ascii="David" w:hAnsi="David"/>
          <w:rtl/>
        </w:rPr>
        <w:t xml:space="preserve"> ל</w:t>
      </w:r>
      <w:hyperlink r:id="rId23" w:history="1">
        <w:r w:rsidR="00802809" w:rsidRPr="00802809">
          <w:rPr>
            <w:rFonts w:ascii="David" w:hAnsi="David"/>
            <w:color w:val="0000FF"/>
            <w:u w:val="single"/>
            <w:rtl/>
          </w:rPr>
          <w:t>חוק העונשין</w:t>
        </w:r>
      </w:hyperlink>
      <w:r>
        <w:rPr>
          <w:rFonts w:ascii="David" w:hAnsi="David"/>
          <w:rtl/>
        </w:rPr>
        <w:t>. לאחר קביעת המתחם יש להחליט אם ראוי לסטות ממנו, לקולה או לחומרה, שאחרת ייגזר העונש בגדרי המתחם שנקבע.</w:t>
      </w:r>
      <w:r w:rsidRPr="00917000">
        <w:rPr>
          <w:rFonts w:ascii="David" w:hAnsi="David"/>
          <w:rtl/>
        </w:rPr>
        <w:t xml:space="preserve"> טרם דיון יש לקבוע האם לפנינו אירוע אחד או שמא מספר אירועים. בנסיבות ענייננו </w:t>
      </w:r>
      <w:r w:rsidRPr="00917000">
        <w:rPr>
          <w:rFonts w:ascii="David" w:hAnsi="David" w:hint="cs"/>
          <w:rtl/>
        </w:rPr>
        <w:t>מדובר בשני כתבי אישום שונים המהווים שני אירועים נפרדים</w:t>
      </w:r>
      <w:r>
        <w:rPr>
          <w:rFonts w:ascii="David" w:hAnsi="David" w:hint="cs"/>
          <w:rtl/>
        </w:rPr>
        <w:t xml:space="preserve"> ל</w:t>
      </w:r>
      <w:r w:rsidRPr="00917000">
        <w:rPr>
          <w:rFonts w:ascii="David" w:hAnsi="David" w:hint="cs"/>
          <w:rtl/>
        </w:rPr>
        <w:t>צורך קביעת מתחמי הענישה</w:t>
      </w:r>
      <w:r>
        <w:rPr>
          <w:rFonts w:ascii="David" w:hAnsi="David" w:hint="cs"/>
          <w:rtl/>
        </w:rPr>
        <w:t>, וזאת הגם שבשני המקרים החזיק הנאשם סמים בביתו. מדובר בעבירות שבוצעו בהפרש זמנים ניכר</w:t>
      </w:r>
      <w:r w:rsidRPr="00917000">
        <w:rPr>
          <w:rFonts w:ascii="David" w:hAnsi="David" w:hint="cs"/>
          <w:rtl/>
        </w:rPr>
        <w:t xml:space="preserve"> </w:t>
      </w:r>
      <w:r>
        <w:rPr>
          <w:rFonts w:ascii="David" w:hAnsi="David" w:hint="cs"/>
          <w:rtl/>
        </w:rPr>
        <w:t xml:space="preserve">והקשר הענייני ביניהם הוא נטייתו של הנאשם לעסוק בעבירות סמים, כך שהוא אינו מקיים את מבחן הקשר ההדוק </w:t>
      </w:r>
      <w:r w:rsidRPr="00917000">
        <w:rPr>
          <w:rFonts w:ascii="David" w:hAnsi="David"/>
          <w:rtl/>
        </w:rPr>
        <w:t>(</w:t>
      </w:r>
      <w:hyperlink r:id="rId24" w:history="1">
        <w:r w:rsidR="00802809" w:rsidRPr="00802809">
          <w:rPr>
            <w:rFonts w:ascii="David" w:hAnsi="David"/>
            <w:color w:val="0000FF"/>
            <w:u w:val="single"/>
            <w:rtl/>
          </w:rPr>
          <w:t>ע"פ 4910/13</w:t>
        </w:r>
      </w:hyperlink>
      <w:r w:rsidRPr="00917000">
        <w:rPr>
          <w:rFonts w:ascii="David" w:hAnsi="David"/>
          <w:rtl/>
        </w:rPr>
        <w:t xml:space="preserve"> </w:t>
      </w:r>
      <w:r w:rsidRPr="00917000">
        <w:rPr>
          <w:rFonts w:ascii="David" w:hAnsi="David"/>
          <w:b/>
          <w:bCs/>
          <w:rtl/>
        </w:rPr>
        <w:t>ג'אבר נ' מדינת ישראל</w:t>
      </w:r>
      <w:r w:rsidRPr="00917000">
        <w:rPr>
          <w:rFonts w:ascii="David" w:hAnsi="David"/>
          <w:rtl/>
        </w:rPr>
        <w:t xml:space="preserve"> (29.10.2014))</w:t>
      </w:r>
      <w:r w:rsidRPr="00917000">
        <w:rPr>
          <w:rFonts w:ascii="David" w:hAnsi="David" w:hint="cs"/>
          <w:rtl/>
        </w:rPr>
        <w:t>.</w:t>
      </w:r>
      <w:r>
        <w:rPr>
          <w:rFonts w:ascii="David" w:hAnsi="David" w:hint="cs"/>
          <w:rtl/>
        </w:rPr>
        <w:t xml:space="preserve"> עם זאת, בכוונתי להטיל על הנאשם עונש אחד, שכן ענישתו בנפרד נראית בעיני מלאכותית במקרה זה. </w:t>
      </w:r>
    </w:p>
    <w:p w14:paraId="6982CD7C" w14:textId="77777777" w:rsidR="00885E64" w:rsidRDefault="00885E64" w:rsidP="00885E64">
      <w:pPr>
        <w:spacing w:line="360" w:lineRule="auto"/>
        <w:jc w:val="both"/>
        <w:rPr>
          <w:rFonts w:ascii="David" w:hAnsi="David"/>
        </w:rPr>
      </w:pPr>
    </w:p>
    <w:p w14:paraId="5A120974" w14:textId="77777777" w:rsidR="00885E64" w:rsidRPr="008B16A3" w:rsidRDefault="00885E64" w:rsidP="00885E64">
      <w:pPr>
        <w:numPr>
          <w:ilvl w:val="0"/>
          <w:numId w:val="1"/>
        </w:numPr>
        <w:spacing w:line="360" w:lineRule="auto"/>
        <w:contextualSpacing/>
        <w:jc w:val="both"/>
        <w:rPr>
          <w:rFonts w:ascii="David" w:hAnsi="David"/>
        </w:rPr>
      </w:pPr>
      <w:r w:rsidRPr="00885E64">
        <w:rPr>
          <w:rFonts w:ascii="Calibri" w:hAnsi="Calibri"/>
          <w:b/>
          <w:bCs/>
          <w:rtl/>
        </w:rPr>
        <w:t>הערכים המוגנים</w:t>
      </w:r>
      <w:r w:rsidRPr="00885E64">
        <w:rPr>
          <w:rFonts w:ascii="Calibri" w:hAnsi="Calibri"/>
          <w:rtl/>
        </w:rPr>
        <w:t xml:space="preserve"> </w:t>
      </w:r>
      <w:r w:rsidRPr="00885E64">
        <w:rPr>
          <w:rFonts w:ascii="Calibri" w:hAnsi="Calibri"/>
          <w:b/>
          <w:bCs/>
          <w:rtl/>
        </w:rPr>
        <w:t>בבסיס העביר</w:t>
      </w:r>
      <w:r w:rsidRPr="00885E64">
        <w:rPr>
          <w:rFonts w:ascii="Calibri" w:hAnsi="Calibri" w:hint="cs"/>
          <w:b/>
          <w:bCs/>
          <w:rtl/>
        </w:rPr>
        <w:t>ות</w:t>
      </w:r>
      <w:r w:rsidRPr="00885E64">
        <w:rPr>
          <w:rFonts w:ascii="Calibri" w:hAnsi="Calibri"/>
          <w:rtl/>
        </w:rPr>
        <w:t xml:space="preserve"> ברורים</w:t>
      </w:r>
      <w:r w:rsidRPr="00885E64">
        <w:rPr>
          <w:rFonts w:ascii="Calibri" w:hAnsi="Calibri" w:hint="cs"/>
          <w:rtl/>
        </w:rPr>
        <w:t xml:space="preserve"> ועניינם </w:t>
      </w:r>
      <w:r w:rsidRPr="00885E64">
        <w:rPr>
          <w:rFonts w:ascii="Calibri" w:hAnsi="Calibri"/>
          <w:rtl/>
        </w:rPr>
        <w:t>שמ</w:t>
      </w:r>
      <w:r w:rsidRPr="00885E64">
        <w:rPr>
          <w:rFonts w:ascii="Calibri" w:hAnsi="Calibri" w:hint="cs"/>
          <w:rtl/>
        </w:rPr>
        <w:t>י</w:t>
      </w:r>
      <w:r w:rsidRPr="00885E64">
        <w:rPr>
          <w:rFonts w:ascii="Calibri" w:hAnsi="Calibri"/>
          <w:rtl/>
        </w:rPr>
        <w:t>ר</w:t>
      </w:r>
      <w:r w:rsidRPr="00885E64">
        <w:rPr>
          <w:rFonts w:ascii="Calibri" w:hAnsi="Calibri" w:hint="cs"/>
          <w:rtl/>
        </w:rPr>
        <w:t>ה</w:t>
      </w:r>
      <w:r w:rsidRPr="00885E64">
        <w:rPr>
          <w:rFonts w:ascii="Calibri" w:hAnsi="Calibri"/>
          <w:rtl/>
        </w:rPr>
        <w:t xml:space="preserve"> על בריאות הציבור מפני נזקי השימוש בסמים והשפעתם הממכרת וההרסנית. כמו כן הוכרה בפסיקה גם ההשפעה העקיפה הנגרמת כתוצאה משימוש בסמים, ובכלל זה ביצוע עבירות פליליות לצורך השגת הסם, וכפועל יוצא מכך </w:t>
      </w:r>
      <w:r w:rsidRPr="00885E64">
        <w:rPr>
          <w:rFonts w:ascii="Calibri" w:hAnsi="Calibri" w:hint="cs"/>
          <w:rtl/>
        </w:rPr>
        <w:t>פגיעה ב</w:t>
      </w:r>
      <w:r w:rsidRPr="00885E64">
        <w:rPr>
          <w:rFonts w:ascii="Calibri" w:hAnsi="Calibri"/>
          <w:rtl/>
        </w:rPr>
        <w:t>ביטחון הציבור, שלומו ורכושו.</w:t>
      </w:r>
      <w:r w:rsidRPr="00885E64">
        <w:rPr>
          <w:rFonts w:ascii="Calibri" w:hAnsi="Calibri" w:hint="cs"/>
          <w:rtl/>
        </w:rPr>
        <w:t xml:space="preserve"> בשל היקף הסמים שהחזיק הנאשם מידת הפגיעה במקרה זה משמעותית.</w:t>
      </w:r>
    </w:p>
    <w:p w14:paraId="01018734" w14:textId="77777777" w:rsidR="00885E64" w:rsidRPr="008B16A3" w:rsidRDefault="00885E64" w:rsidP="00885E64">
      <w:pPr>
        <w:spacing w:line="360" w:lineRule="auto"/>
        <w:contextualSpacing/>
        <w:jc w:val="both"/>
        <w:rPr>
          <w:rFonts w:ascii="David" w:hAnsi="David"/>
          <w:rtl/>
        </w:rPr>
      </w:pPr>
    </w:p>
    <w:p w14:paraId="32AC841F" w14:textId="77777777" w:rsidR="00885E64" w:rsidRPr="00765E10" w:rsidRDefault="00885E64" w:rsidP="00885E64">
      <w:pPr>
        <w:numPr>
          <w:ilvl w:val="0"/>
          <w:numId w:val="1"/>
        </w:numPr>
        <w:spacing w:line="360" w:lineRule="auto"/>
        <w:contextualSpacing/>
        <w:jc w:val="both"/>
        <w:rPr>
          <w:rFonts w:ascii="David" w:hAnsi="David"/>
          <w:rtl/>
        </w:rPr>
      </w:pPr>
      <w:r w:rsidRPr="00885E64">
        <w:rPr>
          <w:rFonts w:ascii="Calibri" w:hAnsi="Calibri"/>
          <w:b/>
          <w:bCs/>
          <w:rtl/>
        </w:rPr>
        <w:t>נסיבות הקשורות בביצוע העביר</w:t>
      </w:r>
      <w:r w:rsidRPr="00885E64">
        <w:rPr>
          <w:rFonts w:ascii="Calibri" w:hAnsi="Calibri" w:hint="cs"/>
          <w:b/>
          <w:bCs/>
          <w:rtl/>
        </w:rPr>
        <w:t>ות:</w:t>
      </w:r>
      <w:r w:rsidRPr="00885E64">
        <w:rPr>
          <w:rFonts w:ascii="Calibri" w:hAnsi="Calibri" w:hint="cs"/>
          <w:rtl/>
        </w:rPr>
        <w:t xml:space="preserve"> </w:t>
      </w:r>
      <w:r w:rsidRPr="00765E10">
        <w:rPr>
          <w:rFonts w:ascii="David" w:hAnsi="David"/>
          <w:rtl/>
        </w:rPr>
        <w:t xml:space="preserve">בהערכת חומרת נסיבות ביצוע עבירות סמים ישנה חשיבות, </w:t>
      </w:r>
      <w:r>
        <w:rPr>
          <w:rFonts w:ascii="David" w:hAnsi="David" w:hint="cs"/>
          <w:rtl/>
        </w:rPr>
        <w:t>מטבע הדברים</w:t>
      </w:r>
      <w:r w:rsidRPr="00765E10">
        <w:rPr>
          <w:rFonts w:ascii="David" w:hAnsi="David"/>
          <w:rtl/>
        </w:rPr>
        <w:t>, לבחינת סוג הסם וכמותו (</w:t>
      </w:r>
      <w:hyperlink r:id="rId25" w:history="1">
        <w:r w:rsidR="00802809" w:rsidRPr="00802809">
          <w:rPr>
            <w:rFonts w:ascii="David" w:hAnsi="David"/>
            <w:color w:val="0000FF"/>
            <w:u w:val="single"/>
            <w:rtl/>
          </w:rPr>
          <w:t>ע"פ 1654/16</w:t>
        </w:r>
      </w:hyperlink>
      <w:r w:rsidRPr="00765E10">
        <w:rPr>
          <w:rFonts w:ascii="David" w:hAnsi="David"/>
          <w:rtl/>
        </w:rPr>
        <w:t xml:space="preserve"> </w:t>
      </w:r>
      <w:r w:rsidRPr="00765E10">
        <w:rPr>
          <w:rFonts w:ascii="David" w:hAnsi="David"/>
          <w:b/>
          <w:bCs/>
          <w:rtl/>
        </w:rPr>
        <w:t>שרר נ' מדינת ישראל</w:t>
      </w:r>
      <w:r w:rsidRPr="00765E10">
        <w:rPr>
          <w:rFonts w:ascii="David" w:hAnsi="David"/>
          <w:rtl/>
        </w:rPr>
        <w:t xml:space="preserve"> (27.2.2017)). </w:t>
      </w:r>
      <w:r w:rsidRPr="00885E64">
        <w:rPr>
          <w:rFonts w:ascii="Calibri" w:hAnsi="Calibri" w:hint="cs"/>
          <w:u w:val="single"/>
          <w:rtl/>
        </w:rPr>
        <w:t>בתיק העיקרי</w:t>
      </w:r>
      <w:r w:rsidRPr="00885E64">
        <w:rPr>
          <w:rFonts w:ascii="Calibri" w:hAnsi="Calibri" w:hint="cs"/>
          <w:rtl/>
        </w:rPr>
        <w:t xml:space="preserve"> </w:t>
      </w:r>
      <w:r w:rsidRPr="00885E64">
        <w:rPr>
          <w:rFonts w:ascii="Calibri" w:hAnsi="Calibri"/>
          <w:rtl/>
        </w:rPr>
        <w:t xml:space="preserve">מדובר בכמות סם גדולה </w:t>
      </w:r>
      <w:r w:rsidRPr="00885E64">
        <w:rPr>
          <w:rFonts w:ascii="Calibri" w:hAnsi="Calibri" w:hint="cs"/>
          <w:rtl/>
        </w:rPr>
        <w:t>יחסית</w:t>
      </w:r>
      <w:r w:rsidRPr="00885E64">
        <w:rPr>
          <w:rFonts w:ascii="Calibri" w:hAnsi="Calibri"/>
          <w:rtl/>
        </w:rPr>
        <w:t xml:space="preserve"> </w:t>
      </w:r>
      <w:r w:rsidRPr="00885E64">
        <w:rPr>
          <w:rFonts w:ascii="Calibri" w:hAnsi="Calibri" w:hint="cs"/>
          <w:rtl/>
        </w:rPr>
        <w:t xml:space="preserve">של קוקאין שהוא סם קשה </w:t>
      </w:r>
      <w:r w:rsidRPr="00885E64">
        <w:rPr>
          <w:rFonts w:ascii="Calibri" w:hAnsi="Calibri"/>
          <w:rtl/>
        </w:rPr>
        <w:t>אליו התייחס בית המשפט העליון כ"</w:t>
      </w:r>
      <w:r w:rsidRPr="00885E64">
        <w:rPr>
          <w:rFonts w:ascii="Calibri" w:hAnsi="Calibri" w:cs="Miriam"/>
          <w:rtl/>
        </w:rPr>
        <w:t>סם מוות סדרתי שכוחו עמו לגרום רע, בחינת "כי רבים חללים הפילה ועצֻמים כל הרוגיה" (משלי ז', כ"ו)</w:t>
      </w:r>
      <w:r w:rsidRPr="00885E64">
        <w:rPr>
          <w:rFonts w:ascii="Calibri" w:hAnsi="Calibri"/>
          <w:rtl/>
        </w:rPr>
        <w:t>" (</w:t>
      </w:r>
      <w:hyperlink r:id="rId26" w:history="1">
        <w:r w:rsidR="00802809" w:rsidRPr="00802809">
          <w:rPr>
            <w:rFonts w:ascii="Calibri" w:hAnsi="Calibri" w:hint="eastAsia"/>
            <w:color w:val="0000FF"/>
            <w:u w:val="single"/>
            <w:rtl/>
          </w:rPr>
          <w:t>ע</w:t>
        </w:r>
        <w:r w:rsidR="00802809" w:rsidRPr="00802809">
          <w:rPr>
            <w:rFonts w:ascii="Calibri" w:hAnsi="Calibri"/>
            <w:color w:val="0000FF"/>
            <w:u w:val="single"/>
            <w:rtl/>
          </w:rPr>
          <w:t>"</w:t>
        </w:r>
        <w:r w:rsidR="00802809" w:rsidRPr="00802809">
          <w:rPr>
            <w:rFonts w:ascii="Calibri" w:hAnsi="Calibri" w:hint="eastAsia"/>
            <w:color w:val="0000FF"/>
            <w:u w:val="single"/>
            <w:rtl/>
          </w:rPr>
          <w:t>פ</w:t>
        </w:r>
        <w:r w:rsidR="00802809" w:rsidRPr="00802809">
          <w:rPr>
            <w:rFonts w:ascii="Calibri" w:hAnsi="Calibri"/>
            <w:color w:val="0000FF"/>
            <w:u w:val="single"/>
            <w:rtl/>
          </w:rPr>
          <w:t xml:space="preserve"> 7952/15</w:t>
        </w:r>
      </w:hyperlink>
      <w:r w:rsidRPr="00885E64">
        <w:rPr>
          <w:rFonts w:ascii="Calibri" w:hAnsi="Calibri"/>
          <w:rtl/>
        </w:rPr>
        <w:t xml:space="preserve"> </w:t>
      </w:r>
      <w:r w:rsidRPr="00885E64">
        <w:rPr>
          <w:rFonts w:ascii="Calibri" w:hAnsi="Calibri"/>
          <w:b/>
          <w:bCs/>
          <w:rtl/>
        </w:rPr>
        <w:t>מדינת ישראל נ' שץ</w:t>
      </w:r>
      <w:r w:rsidRPr="00885E64">
        <w:rPr>
          <w:rFonts w:ascii="Calibri" w:hAnsi="Calibri"/>
          <w:rtl/>
        </w:rPr>
        <w:t xml:space="preserve"> (15.02.2016))‏‏. </w:t>
      </w:r>
      <w:r w:rsidRPr="00885E64">
        <w:rPr>
          <w:rFonts w:ascii="Calibri" w:hAnsi="Calibri" w:hint="cs"/>
          <w:rtl/>
        </w:rPr>
        <w:t xml:space="preserve">גם כמות </w:t>
      </w:r>
      <w:r w:rsidRPr="00765E10">
        <w:rPr>
          <w:rFonts w:ascii="David" w:hAnsi="David"/>
          <w:rtl/>
        </w:rPr>
        <w:t xml:space="preserve">טבליות ה- </w:t>
      </w:r>
      <w:r w:rsidRPr="00885E64">
        <w:rPr>
          <w:rFonts w:ascii="Arial" w:hAnsi="Arial" w:cs="Arial"/>
          <w:sz w:val="22"/>
          <w:szCs w:val="22"/>
        </w:rPr>
        <w:t>MDMA</w:t>
      </w:r>
      <w:r>
        <w:rPr>
          <w:rFonts w:ascii="David" w:hAnsi="David" w:hint="cs"/>
          <w:rtl/>
        </w:rPr>
        <w:t xml:space="preserve"> משמעותית</w:t>
      </w:r>
      <w:r w:rsidRPr="00765E10">
        <w:rPr>
          <w:rFonts w:ascii="David" w:hAnsi="David" w:hint="cs"/>
          <w:rtl/>
        </w:rPr>
        <w:t xml:space="preserve">. לכך יש להוסיף שמדובר </w:t>
      </w:r>
      <w:r>
        <w:rPr>
          <w:rFonts w:ascii="David" w:hAnsi="David" w:hint="cs"/>
          <w:rtl/>
        </w:rPr>
        <w:t xml:space="preserve">אף כאן </w:t>
      </w:r>
      <w:r w:rsidRPr="00765E10">
        <w:rPr>
          <w:rFonts w:ascii="David" w:hAnsi="David" w:hint="cs"/>
          <w:rtl/>
        </w:rPr>
        <w:t>בסם קשה (</w:t>
      </w:r>
      <w:r>
        <w:rPr>
          <w:rFonts w:ascii="David" w:hAnsi="David" w:hint="cs"/>
          <w:rtl/>
        </w:rPr>
        <w:t xml:space="preserve">להשפעתו הרעה של סם זה ראו </w:t>
      </w:r>
      <w:hyperlink r:id="rId27" w:history="1">
        <w:r w:rsidR="00802809" w:rsidRPr="00802809">
          <w:rPr>
            <w:rFonts w:ascii="David" w:hAnsi="David"/>
            <w:color w:val="0000FF"/>
            <w:u w:val="single"/>
            <w:rtl/>
          </w:rPr>
          <w:t>עפ"ג 29138-07-17</w:t>
        </w:r>
      </w:hyperlink>
      <w:r w:rsidRPr="00765E10">
        <w:rPr>
          <w:rFonts w:ascii="David" w:hAnsi="David" w:hint="cs"/>
          <w:rtl/>
        </w:rPr>
        <w:t xml:space="preserve"> </w:t>
      </w:r>
      <w:r w:rsidRPr="00765E10">
        <w:rPr>
          <w:rFonts w:ascii="David" w:hAnsi="David" w:hint="cs"/>
          <w:b/>
          <w:bCs/>
          <w:rtl/>
        </w:rPr>
        <w:t>מדינת ישראל נ' גית</w:t>
      </w:r>
      <w:r w:rsidRPr="00765E10">
        <w:rPr>
          <w:rFonts w:ascii="David" w:hAnsi="David" w:hint="cs"/>
          <w:rtl/>
        </w:rPr>
        <w:t xml:space="preserve"> (17.8.2017)). הנאשם אף החזיק במשקל אלקטרוני עובדה המחזקת את המסקנה בדבר מטרת החזקת הסמים. </w:t>
      </w:r>
      <w:r w:rsidRPr="00765E10">
        <w:rPr>
          <w:rFonts w:ascii="David" w:hAnsi="David" w:hint="cs"/>
          <w:u w:val="single"/>
          <w:rtl/>
        </w:rPr>
        <w:t>בתיק המצורף</w:t>
      </w:r>
      <w:r w:rsidRPr="00765E10">
        <w:rPr>
          <w:rFonts w:ascii="David" w:hAnsi="David" w:hint="cs"/>
          <w:rtl/>
        </w:rPr>
        <w:t xml:space="preserve"> מדובר במשקל לא מבוטל של קוקאין אשר הוחזק </w:t>
      </w:r>
      <w:r>
        <w:rPr>
          <w:rFonts w:ascii="David" w:hAnsi="David" w:hint="cs"/>
          <w:rtl/>
        </w:rPr>
        <w:t xml:space="preserve">כשהוא </w:t>
      </w:r>
      <w:r w:rsidRPr="00765E10">
        <w:rPr>
          <w:rFonts w:ascii="David" w:hAnsi="David" w:hint="cs"/>
          <w:rtl/>
        </w:rPr>
        <w:t xml:space="preserve">מחולק לאריזות, עובדה המלמדת על מטרת ההחזקה ומהווה נסיבה מחמירה. </w:t>
      </w:r>
    </w:p>
    <w:p w14:paraId="1F5575E0" w14:textId="77777777" w:rsidR="00885E64" w:rsidRDefault="00885E64" w:rsidP="00885E64">
      <w:pPr>
        <w:spacing w:after="160" w:line="256" w:lineRule="auto"/>
        <w:ind w:left="720"/>
        <w:contextualSpacing/>
        <w:rPr>
          <w:rFonts w:ascii="David" w:hAnsi="David"/>
          <w:rtl/>
        </w:rPr>
      </w:pPr>
    </w:p>
    <w:p w14:paraId="2C97E4D6" w14:textId="77777777" w:rsidR="00885E64" w:rsidRDefault="00885E64" w:rsidP="00885E64">
      <w:pPr>
        <w:numPr>
          <w:ilvl w:val="0"/>
          <w:numId w:val="1"/>
        </w:numPr>
        <w:spacing w:line="360" w:lineRule="auto"/>
        <w:contextualSpacing/>
        <w:jc w:val="both"/>
        <w:rPr>
          <w:rFonts w:ascii="David" w:hAnsi="David"/>
        </w:rPr>
      </w:pPr>
      <w:r w:rsidRPr="00885E64">
        <w:rPr>
          <w:rFonts w:ascii="Calibri" w:hAnsi="Calibri"/>
          <w:b/>
          <w:bCs/>
          <w:rtl/>
        </w:rPr>
        <w:t>ביחס למדיניות הענישה הנוהגת</w:t>
      </w:r>
      <w:r w:rsidRPr="00885E64">
        <w:rPr>
          <w:rFonts w:ascii="Calibri" w:hAnsi="Calibri"/>
          <w:rtl/>
        </w:rPr>
        <w:t xml:space="preserve"> בעביר</w:t>
      </w:r>
      <w:r w:rsidRPr="00885E64">
        <w:rPr>
          <w:rFonts w:ascii="Calibri" w:hAnsi="Calibri" w:hint="cs"/>
          <w:rtl/>
        </w:rPr>
        <w:t>ות</w:t>
      </w:r>
      <w:r w:rsidRPr="00885E64">
        <w:rPr>
          <w:rFonts w:ascii="Calibri" w:hAnsi="Calibri"/>
          <w:rtl/>
        </w:rPr>
        <w:t xml:space="preserve"> של החזקת סם שלא לצריכה עצמית, הרי שהיא משתנה ממקרה למקרה ותלויה בין היתר בסוג הסם וכמותו וכן במכלול הנסיבות ובהן נסיבותיו האישיות של הנאשם (עבר פלילי, מצב רפואי ומשפחתי, סיכויי שיקום וכו'). </w:t>
      </w:r>
      <w:r w:rsidRPr="00885E64">
        <w:rPr>
          <w:rFonts w:ascii="Calibri" w:hAnsi="Calibri" w:hint="cs"/>
          <w:rtl/>
        </w:rPr>
        <w:t xml:space="preserve">עם זאת, ככלל, מדיניות הענישה בעבירות הקשורות לשרשרת הפצת הסם מחמירה ונועדה להרתיע מפני ביצוען, על מנת להגן על הציבור מפני השפעותיו הקשות של הסם </w:t>
      </w:r>
      <w:r>
        <w:rPr>
          <w:rFonts w:ascii="David" w:hAnsi="David" w:hint="cs"/>
          <w:rtl/>
        </w:rPr>
        <w:t>(</w:t>
      </w:r>
      <w:hyperlink r:id="rId28" w:history="1">
        <w:r w:rsidR="00802809" w:rsidRPr="00802809">
          <w:rPr>
            <w:rFonts w:ascii="David" w:hAnsi="David"/>
            <w:color w:val="0000FF"/>
            <w:u w:val="single"/>
            <w:rtl/>
          </w:rPr>
          <w:t>רע"פ 4512/15</w:t>
        </w:r>
      </w:hyperlink>
      <w:r w:rsidRPr="0060095B">
        <w:rPr>
          <w:rFonts w:ascii="David" w:hAnsi="David"/>
          <w:rtl/>
        </w:rPr>
        <w:t xml:space="preserve"> </w:t>
      </w:r>
      <w:r w:rsidRPr="0060095B">
        <w:rPr>
          <w:rFonts w:ascii="David" w:hAnsi="David"/>
          <w:b/>
          <w:bCs/>
          <w:rtl/>
        </w:rPr>
        <w:t>הרוש נ' מדינת ישראל</w:t>
      </w:r>
      <w:r>
        <w:rPr>
          <w:rFonts w:ascii="David" w:hAnsi="David"/>
          <w:rtl/>
        </w:rPr>
        <w:t xml:space="preserve"> (</w:t>
      </w:r>
      <w:r>
        <w:rPr>
          <w:rFonts w:ascii="David" w:hAnsi="David" w:hint="cs"/>
          <w:rtl/>
        </w:rPr>
        <w:t>6</w:t>
      </w:r>
      <w:r>
        <w:rPr>
          <w:rFonts w:ascii="David" w:hAnsi="David"/>
          <w:rtl/>
        </w:rPr>
        <w:t>.</w:t>
      </w:r>
      <w:r>
        <w:rPr>
          <w:rFonts w:ascii="David" w:hAnsi="David" w:hint="cs"/>
          <w:rtl/>
        </w:rPr>
        <w:t>7</w:t>
      </w:r>
      <w:r>
        <w:rPr>
          <w:rFonts w:ascii="David" w:hAnsi="David"/>
          <w:rtl/>
        </w:rPr>
        <w:t>.2015)</w:t>
      </w:r>
      <w:r>
        <w:rPr>
          <w:rFonts w:ascii="David" w:hAnsi="David" w:hint="cs"/>
          <w:rtl/>
        </w:rPr>
        <w:t xml:space="preserve">; </w:t>
      </w:r>
      <w:hyperlink r:id="rId29" w:history="1">
        <w:r w:rsidR="00802809" w:rsidRPr="00802809">
          <w:rPr>
            <w:rFonts w:ascii="David" w:hAnsi="David"/>
            <w:color w:val="0000FF"/>
            <w:spacing w:val="10"/>
            <w:u w:val="single"/>
            <w:rtl/>
          </w:rPr>
          <w:t>ע"פ 211/09</w:t>
        </w:r>
      </w:hyperlink>
      <w:r w:rsidRPr="0060095B">
        <w:rPr>
          <w:rFonts w:ascii="David" w:hAnsi="David"/>
          <w:spacing w:val="10"/>
          <w:rtl/>
        </w:rPr>
        <w:t xml:space="preserve"> </w:t>
      </w:r>
      <w:r w:rsidRPr="0060095B">
        <w:rPr>
          <w:rFonts w:ascii="David" w:hAnsi="David"/>
          <w:b/>
          <w:bCs/>
          <w:rtl/>
        </w:rPr>
        <w:t>אזולאי נ' מדינת ישראל</w:t>
      </w:r>
      <w:r w:rsidRPr="0060095B">
        <w:rPr>
          <w:rFonts w:ascii="David" w:hAnsi="David"/>
          <w:spacing w:val="10"/>
          <w:rtl/>
        </w:rPr>
        <w:t xml:space="preserve"> (22.6.2010))</w:t>
      </w:r>
      <w:r w:rsidRPr="0060095B">
        <w:rPr>
          <w:rFonts w:ascii="David" w:hAnsi="David" w:hint="cs"/>
          <w:rtl/>
        </w:rPr>
        <w:t xml:space="preserve">. </w:t>
      </w:r>
    </w:p>
    <w:p w14:paraId="5A32A864" w14:textId="77777777" w:rsidR="00885E64" w:rsidRDefault="00885E64" w:rsidP="00885E64">
      <w:pPr>
        <w:pStyle w:val="a9"/>
        <w:rPr>
          <w:rFonts w:ascii="David" w:hAnsi="David"/>
          <w:rtl/>
        </w:rPr>
      </w:pPr>
    </w:p>
    <w:p w14:paraId="6472E0D3" w14:textId="77777777" w:rsidR="00885E64" w:rsidRDefault="00885E64" w:rsidP="00885E64">
      <w:pPr>
        <w:numPr>
          <w:ilvl w:val="0"/>
          <w:numId w:val="1"/>
        </w:numPr>
        <w:spacing w:line="360" w:lineRule="auto"/>
        <w:contextualSpacing/>
        <w:jc w:val="both"/>
        <w:rPr>
          <w:rFonts w:ascii="David" w:hAnsi="David"/>
        </w:rPr>
      </w:pPr>
      <w:r>
        <w:rPr>
          <w:rFonts w:ascii="David" w:hAnsi="David" w:hint="cs"/>
          <w:rtl/>
        </w:rPr>
        <w:t>בעניין מדיניות הענישה בעבירות של החזקת קוקאין אפנה ל</w:t>
      </w:r>
      <w:hyperlink r:id="rId30" w:history="1">
        <w:r w:rsidR="00802809" w:rsidRPr="00802809">
          <w:rPr>
            <w:rFonts w:ascii="David" w:hAnsi="David"/>
            <w:color w:val="0000FF"/>
            <w:u w:val="single"/>
            <w:rtl/>
          </w:rPr>
          <w:t>רע"פ 894/16</w:t>
        </w:r>
      </w:hyperlink>
      <w:r w:rsidRPr="006D0C73">
        <w:rPr>
          <w:rFonts w:ascii="David" w:hAnsi="David"/>
          <w:rtl/>
        </w:rPr>
        <w:t xml:space="preserve"> </w:t>
      </w:r>
      <w:r w:rsidRPr="006D0C73">
        <w:rPr>
          <w:rFonts w:ascii="David" w:hAnsi="David"/>
          <w:b/>
          <w:bCs/>
          <w:rtl/>
        </w:rPr>
        <w:t>פרץ נ' מדינת ישראל</w:t>
      </w:r>
      <w:r w:rsidRPr="006D0C73">
        <w:rPr>
          <w:rFonts w:ascii="David" w:hAnsi="David"/>
          <w:rtl/>
        </w:rPr>
        <w:t xml:space="preserve"> (10.2.2016)</w:t>
      </w:r>
      <w:r>
        <w:rPr>
          <w:rFonts w:ascii="David" w:hAnsi="David" w:hint="cs"/>
          <w:rtl/>
        </w:rPr>
        <w:t>,</w:t>
      </w:r>
      <w:r w:rsidRPr="006D0C73">
        <w:rPr>
          <w:rFonts w:ascii="David" w:hAnsi="David"/>
          <w:rtl/>
        </w:rPr>
        <w:t xml:space="preserve"> בו </w:t>
      </w:r>
      <w:r w:rsidRPr="006D0C73">
        <w:rPr>
          <w:rFonts w:ascii="David" w:hAnsi="David" w:hint="cs"/>
          <w:rtl/>
        </w:rPr>
        <w:t xml:space="preserve">הוטלו על נאשם 15 חודשי מאסר בגין החזקת </w:t>
      </w:r>
      <w:r w:rsidRPr="006D0C73">
        <w:rPr>
          <w:rFonts w:ascii="David" w:hAnsi="David"/>
          <w:rtl/>
        </w:rPr>
        <w:t xml:space="preserve">31.05 גרם נטו של סם מסוכן מסוג קוקאין שלא לצריכה עצמית. </w:t>
      </w:r>
      <w:r w:rsidRPr="006D0C73">
        <w:rPr>
          <w:rFonts w:ascii="David" w:hAnsi="David" w:hint="cs"/>
          <w:rtl/>
        </w:rPr>
        <w:t>יצוין כי בית ה</w:t>
      </w:r>
      <w:r w:rsidRPr="006D0C73">
        <w:rPr>
          <w:rFonts w:ascii="David" w:hAnsi="David"/>
          <w:rtl/>
        </w:rPr>
        <w:t xml:space="preserve">משפט המחוזי </w:t>
      </w:r>
      <w:r w:rsidRPr="006D0C73">
        <w:rPr>
          <w:rFonts w:ascii="David" w:hAnsi="David" w:hint="cs"/>
          <w:rtl/>
        </w:rPr>
        <w:t xml:space="preserve">אישר </w:t>
      </w:r>
      <w:r w:rsidRPr="006D0C73">
        <w:rPr>
          <w:rFonts w:ascii="David" w:hAnsi="David"/>
          <w:rtl/>
        </w:rPr>
        <w:t>את מתחם העונש שקבע בית משפט השלום, הנע בין 15 ל-36 חודשי מאסר בפועל</w:t>
      </w:r>
      <w:r w:rsidRPr="006D0C73">
        <w:rPr>
          <w:rFonts w:ascii="David" w:hAnsi="David" w:hint="cs"/>
          <w:rtl/>
        </w:rPr>
        <w:t xml:space="preserve">. בקשת </w:t>
      </w:r>
      <w:r>
        <w:rPr>
          <w:rFonts w:ascii="David" w:hAnsi="David" w:hint="cs"/>
          <w:rtl/>
        </w:rPr>
        <w:t xml:space="preserve">רשות ערעור נדחתה; </w:t>
      </w:r>
      <w:hyperlink r:id="rId31" w:history="1">
        <w:r w:rsidR="00802809" w:rsidRPr="00802809">
          <w:rPr>
            <w:color w:val="0000FF"/>
            <w:u w:val="single"/>
            <w:rtl/>
          </w:rPr>
          <w:t>ע"פ 6277/14</w:t>
        </w:r>
      </w:hyperlink>
      <w:r>
        <w:rPr>
          <w:rtl/>
        </w:rPr>
        <w:t xml:space="preserve"> </w:t>
      </w:r>
      <w:r w:rsidRPr="00085DDE">
        <w:rPr>
          <w:b/>
          <w:bCs/>
          <w:rtl/>
        </w:rPr>
        <w:t>משלטי נגד מדינת ישראל</w:t>
      </w:r>
      <w:r>
        <w:rPr>
          <w:rtl/>
        </w:rPr>
        <w:t xml:space="preserve"> (2.2.2015)</w:t>
      </w:r>
      <w:r>
        <w:rPr>
          <w:rFonts w:hint="cs"/>
          <w:rtl/>
        </w:rPr>
        <w:t>,</w:t>
      </w:r>
      <w:r>
        <w:rPr>
          <w:rtl/>
        </w:rPr>
        <w:t xml:space="preserve"> בו נידון עניינו של נאשם שהורשע בהחזקת סם מסוג קוקאין במשקל 51.36 גרם, שלא לצריכה עצמית והחזקת כלים. בית המשפט המחוזי קבע מתחם ענישה הנע בין 3 שנות מאסר ועד 5 שנות מאסר ולאור עבר פלילי מכביד ושיקולים נוספים נגזרו על הנאשם 4 שנות מאסר בפועל</w:t>
      </w:r>
      <w:r>
        <w:rPr>
          <w:rFonts w:hint="cs"/>
        </w:rPr>
        <w:t xml:space="preserve"> </w:t>
      </w:r>
      <w:r>
        <w:rPr>
          <w:rtl/>
        </w:rPr>
        <w:t xml:space="preserve"> וכן הופעל מאסר על תנאי, כך שסה"כ הוטלו 5 שנות מאסר. הערעור לבית המשפט העליון נדחה, תוך שנקבע </w:t>
      </w:r>
      <w:r w:rsidRPr="00085DDE">
        <w:rPr>
          <w:rFonts w:ascii="David" w:hAnsi="David"/>
          <w:rtl/>
        </w:rPr>
        <w:t>כי המתחם שנקבע והעונש אינם חמורים יתר על המידה;</w:t>
      </w:r>
      <w:r>
        <w:rPr>
          <w:rFonts w:ascii="David" w:hAnsi="David" w:hint="cs"/>
          <w:rtl/>
        </w:rPr>
        <w:t xml:space="preserve"> </w:t>
      </w:r>
      <w:hyperlink r:id="rId32" w:history="1">
        <w:r w:rsidR="00802809" w:rsidRPr="00802809">
          <w:rPr>
            <w:color w:val="0000FF"/>
            <w:u w:val="single"/>
            <w:rtl/>
          </w:rPr>
          <w:t>ע"פ 5374/12</w:t>
        </w:r>
      </w:hyperlink>
      <w:r>
        <w:rPr>
          <w:rtl/>
        </w:rPr>
        <w:t xml:space="preserve"> </w:t>
      </w:r>
      <w:r w:rsidRPr="00085DDE">
        <w:rPr>
          <w:b/>
          <w:bCs/>
          <w:rtl/>
        </w:rPr>
        <w:t>אברג'יל נגד מדינת ישראל</w:t>
      </w:r>
      <w:r>
        <w:rPr>
          <w:rtl/>
        </w:rPr>
        <w:t xml:space="preserve"> (9.1.2013)</w:t>
      </w:r>
      <w:r>
        <w:rPr>
          <w:rFonts w:hint="cs"/>
          <w:rtl/>
        </w:rPr>
        <w:t>,</w:t>
      </w:r>
      <w:r>
        <w:rPr>
          <w:rtl/>
        </w:rPr>
        <w:t xml:space="preserve"> בו נידון עניינו של נאשם שהורשע בהחזקת סם מסוג קוקאין במשקל של 43 גרם, שלא לצריכה עצמית, ונידון ל-36 חודשי מאסר בפועל. ערעורו נדחה ובית המשפט העליון קבע </w:t>
      </w:r>
      <w:r>
        <w:rPr>
          <w:rFonts w:hint="cs"/>
          <w:rtl/>
        </w:rPr>
        <w:t>ש</w:t>
      </w:r>
      <w:r>
        <w:rPr>
          <w:rtl/>
        </w:rPr>
        <w:t>העונש אינו חורג ממדיניות הענישה;</w:t>
      </w:r>
      <w:r>
        <w:rPr>
          <w:rFonts w:ascii="David" w:hAnsi="David" w:hint="cs"/>
          <w:rtl/>
        </w:rPr>
        <w:t xml:space="preserve"> </w:t>
      </w:r>
      <w:hyperlink r:id="rId33" w:history="1">
        <w:r w:rsidR="00802809" w:rsidRPr="00802809">
          <w:rPr>
            <w:color w:val="0000FF"/>
            <w:u w:val="single"/>
            <w:rtl/>
          </w:rPr>
          <w:t>רע"פ 5354/12</w:t>
        </w:r>
      </w:hyperlink>
      <w:r>
        <w:rPr>
          <w:rtl/>
        </w:rPr>
        <w:t xml:space="preserve"> </w:t>
      </w:r>
      <w:r w:rsidRPr="00085DDE">
        <w:rPr>
          <w:b/>
          <w:bCs/>
          <w:rtl/>
        </w:rPr>
        <w:t xml:space="preserve">קובר נ' מדינת ישראל </w:t>
      </w:r>
      <w:r>
        <w:rPr>
          <w:rtl/>
        </w:rPr>
        <w:t>(12.7.2012), בו נידון</w:t>
      </w:r>
      <w:r>
        <w:rPr>
          <w:rFonts w:hint="cs"/>
          <w:rtl/>
        </w:rPr>
        <w:t xml:space="preserve"> עניינו של</w:t>
      </w:r>
      <w:r>
        <w:rPr>
          <w:rtl/>
        </w:rPr>
        <w:t xml:space="preserve"> נאשם שהחזיק כ-38 גרם סם מסוג קוקאין ל-14 חודשי מאסר חרף הליך שיקומי מוצלח. בית משפט השלום קבע מתחם עונש הנע בין 18 חודשי מאסר בפועל ועד 36 חודשי מאסר</w:t>
      </w:r>
      <w:r>
        <w:rPr>
          <w:rFonts w:hint="cs"/>
          <w:rtl/>
        </w:rPr>
        <w:t>,</w:t>
      </w:r>
      <w:r>
        <w:rPr>
          <w:rtl/>
        </w:rPr>
        <w:t xml:space="preserve"> וכאמור</w:t>
      </w:r>
      <w:r>
        <w:rPr>
          <w:rFonts w:hint="cs"/>
          <w:rtl/>
        </w:rPr>
        <w:t>,</w:t>
      </w:r>
      <w:r>
        <w:rPr>
          <w:rtl/>
        </w:rPr>
        <w:t xml:space="preserve"> חרג משיקולי שיקום לכדי עונש מאסר בן 14 חודשים. בית המשפט המחוזי דחה את ערעורו וכך גם בית המשפט העליון;</w:t>
      </w:r>
      <w:r>
        <w:rPr>
          <w:rFonts w:ascii="David" w:hAnsi="David" w:hint="cs"/>
          <w:rtl/>
        </w:rPr>
        <w:t xml:space="preserve"> </w:t>
      </w:r>
      <w:hyperlink r:id="rId34" w:history="1">
        <w:r w:rsidR="00802809" w:rsidRPr="00802809">
          <w:rPr>
            <w:rFonts w:ascii="David" w:hAnsi="David"/>
            <w:color w:val="0000FF"/>
            <w:u w:val="single"/>
            <w:rtl/>
          </w:rPr>
          <w:t>ע"פ 7196/11</w:t>
        </w:r>
      </w:hyperlink>
      <w:r w:rsidRPr="00085DDE">
        <w:rPr>
          <w:rFonts w:ascii="David" w:hAnsi="David"/>
          <w:rtl/>
        </w:rPr>
        <w:t xml:space="preserve"> </w:t>
      </w:r>
      <w:r w:rsidRPr="00085DDE">
        <w:rPr>
          <w:rFonts w:ascii="David" w:hAnsi="David"/>
          <w:b/>
          <w:bCs/>
          <w:rtl/>
        </w:rPr>
        <w:t>ביזאוי נ' מ"י</w:t>
      </w:r>
      <w:r w:rsidRPr="00085DDE">
        <w:rPr>
          <w:rFonts w:ascii="David" w:hAnsi="David"/>
          <w:rtl/>
        </w:rPr>
        <w:t xml:space="preserve"> (19.6.2012)</w:t>
      </w:r>
      <w:r>
        <w:rPr>
          <w:rFonts w:ascii="David" w:hAnsi="David" w:hint="cs"/>
          <w:rtl/>
        </w:rPr>
        <w:t>,</w:t>
      </w:r>
      <w:r w:rsidRPr="00085DDE">
        <w:rPr>
          <w:rFonts w:ascii="David" w:hAnsi="David"/>
          <w:rtl/>
        </w:rPr>
        <w:t xml:space="preserve"> בו נדחה ערעור המדינה על גזר דין שבו הטיל ביהמ"ש המחוזי מאסר בעבודות ש</w:t>
      </w:r>
      <w:r>
        <w:rPr>
          <w:rFonts w:ascii="David" w:hAnsi="David" w:hint="cs"/>
          <w:rtl/>
        </w:rPr>
        <w:t>י</w:t>
      </w:r>
      <w:r w:rsidRPr="00085DDE">
        <w:rPr>
          <w:rFonts w:ascii="David" w:hAnsi="David"/>
          <w:rtl/>
        </w:rPr>
        <w:t xml:space="preserve">רות על נאשם שהורשע בהחזקת קרוב ל-120 ג' קוקאין וארבע טבליות </w:t>
      </w:r>
      <w:r w:rsidRPr="00085DDE">
        <w:rPr>
          <w:rFonts w:cs="Times New Roman"/>
          <w:sz w:val="22"/>
          <w:szCs w:val="22"/>
        </w:rPr>
        <w:t>MDMA</w:t>
      </w:r>
      <w:r w:rsidRPr="00085DDE">
        <w:rPr>
          <w:rFonts w:ascii="David" w:hAnsi="David"/>
          <w:rtl/>
        </w:rPr>
        <w:t>. צוין כי מדובר בגזר דין מקל, המצוי בטווח הענישה התחתון, וניתן משקל רב לנסיבות אישיות</w:t>
      </w:r>
      <w:r w:rsidRPr="00085DDE">
        <w:rPr>
          <w:rFonts w:ascii="David" w:hAnsi="David" w:hint="cs"/>
          <w:rtl/>
        </w:rPr>
        <w:t xml:space="preserve"> וסיכויי שיקום</w:t>
      </w:r>
      <w:r w:rsidRPr="00085DDE">
        <w:rPr>
          <w:rFonts w:ascii="David" w:hAnsi="David"/>
          <w:rtl/>
        </w:rPr>
        <w:t>;</w:t>
      </w:r>
      <w:r>
        <w:rPr>
          <w:rFonts w:ascii="David" w:hAnsi="David" w:hint="cs"/>
          <w:rtl/>
        </w:rPr>
        <w:t xml:space="preserve"> </w:t>
      </w:r>
      <w:r w:rsidRPr="00085DDE">
        <w:rPr>
          <w:rFonts w:ascii="David" w:hAnsi="David"/>
          <w:rtl/>
        </w:rPr>
        <w:t xml:space="preserve">עפ"ג 65932-02-20 </w:t>
      </w:r>
      <w:r w:rsidRPr="00085DDE">
        <w:rPr>
          <w:rFonts w:ascii="David" w:hAnsi="David"/>
          <w:b/>
          <w:bCs/>
          <w:rtl/>
        </w:rPr>
        <w:t>מדינת ישראל נ' לולו</w:t>
      </w:r>
      <w:r w:rsidRPr="00085DDE">
        <w:rPr>
          <w:rFonts w:ascii="David" w:hAnsi="David"/>
          <w:rtl/>
        </w:rPr>
        <w:t xml:space="preserve"> (16.6.2020), בו </w:t>
      </w:r>
      <w:r w:rsidRPr="00085DDE">
        <w:rPr>
          <w:rFonts w:ascii="David" w:hAnsi="David" w:hint="cs"/>
          <w:rtl/>
        </w:rPr>
        <w:t xml:space="preserve">הוחמר עונשו של נאשם והועמד על 32 חודשי מאסר בשל החזקת </w:t>
      </w:r>
      <w:r w:rsidRPr="00085DDE">
        <w:rPr>
          <w:rFonts w:ascii="David" w:hAnsi="David"/>
          <w:rtl/>
        </w:rPr>
        <w:t xml:space="preserve">15.8 גר' קוקאין </w:t>
      </w:r>
      <w:r w:rsidRPr="00085DDE">
        <w:rPr>
          <w:rFonts w:ascii="David" w:hAnsi="David" w:hint="cs"/>
          <w:rtl/>
        </w:rPr>
        <w:t xml:space="preserve">ובתיק אחר </w:t>
      </w:r>
      <w:r w:rsidRPr="00085DDE">
        <w:rPr>
          <w:rFonts w:ascii="David" w:hAnsi="David"/>
          <w:rtl/>
        </w:rPr>
        <w:t>כ-34 גר' קוקאין וכ-5 גר</w:t>
      </w:r>
      <w:r>
        <w:rPr>
          <w:rFonts w:ascii="David" w:hAnsi="David"/>
          <w:rtl/>
        </w:rPr>
        <w:t>' קנבוס</w:t>
      </w:r>
      <w:r>
        <w:rPr>
          <w:rFonts w:ascii="David" w:hAnsi="David" w:hint="cs"/>
          <w:rtl/>
        </w:rPr>
        <w:t xml:space="preserve">; </w:t>
      </w:r>
      <w:hyperlink r:id="rId35" w:history="1">
        <w:r w:rsidR="00802809" w:rsidRPr="00802809">
          <w:rPr>
            <w:rFonts w:ascii="David" w:hAnsi="David"/>
            <w:color w:val="0000FF"/>
            <w:u w:val="single"/>
            <w:rtl/>
          </w:rPr>
          <w:t>עפ"ג 7474-09-17</w:t>
        </w:r>
      </w:hyperlink>
      <w:r w:rsidRPr="00085DDE">
        <w:rPr>
          <w:rFonts w:ascii="David" w:hAnsi="David"/>
          <w:rtl/>
        </w:rPr>
        <w:t xml:space="preserve"> </w:t>
      </w:r>
      <w:r w:rsidRPr="00085DDE">
        <w:rPr>
          <w:rFonts w:ascii="David" w:hAnsi="David"/>
          <w:b/>
          <w:bCs/>
          <w:rtl/>
        </w:rPr>
        <w:t>מדינת ישראל נ' שגב</w:t>
      </w:r>
      <w:r w:rsidRPr="00085DDE">
        <w:rPr>
          <w:rFonts w:ascii="David" w:hAnsi="David"/>
          <w:rtl/>
        </w:rPr>
        <w:t xml:space="preserve"> (26.2.2017)</w:t>
      </w:r>
      <w:r>
        <w:rPr>
          <w:rFonts w:ascii="David" w:hAnsi="David" w:hint="cs"/>
          <w:rtl/>
        </w:rPr>
        <w:t>,</w:t>
      </w:r>
      <w:r w:rsidRPr="00085DDE">
        <w:rPr>
          <w:rFonts w:ascii="David" w:hAnsi="David"/>
          <w:rtl/>
        </w:rPr>
        <w:t xml:space="preserve"> בו הורשע נאשם בעבירה של החזקת סם</w:t>
      </w:r>
      <w:r>
        <w:rPr>
          <w:rFonts w:ascii="David" w:hAnsi="David"/>
          <w:rtl/>
        </w:rPr>
        <w:t xml:space="preserve"> מסוג קוקאין במשקל של 31.37 גרם</w:t>
      </w:r>
      <w:r>
        <w:rPr>
          <w:rFonts w:ascii="David" w:hAnsi="David" w:hint="cs"/>
          <w:rtl/>
        </w:rPr>
        <w:t>.</w:t>
      </w:r>
      <w:r>
        <w:rPr>
          <w:rFonts w:ascii="David" w:hAnsi="David"/>
          <w:rtl/>
        </w:rPr>
        <w:t xml:space="preserve"> </w:t>
      </w:r>
      <w:r w:rsidRPr="00085DDE">
        <w:rPr>
          <w:rFonts w:ascii="David" w:hAnsi="David"/>
          <w:rtl/>
        </w:rPr>
        <w:t>לאור הליך שיקום משמעותי</w:t>
      </w:r>
      <w:r>
        <w:rPr>
          <w:rFonts w:ascii="David" w:hAnsi="David" w:hint="cs"/>
          <w:rtl/>
        </w:rPr>
        <w:t xml:space="preserve"> שעבר הנאשם הוא</w:t>
      </w:r>
      <w:r w:rsidRPr="00085DDE">
        <w:rPr>
          <w:rFonts w:ascii="David" w:hAnsi="David"/>
          <w:rtl/>
        </w:rPr>
        <w:t xml:space="preserve"> נידון </w:t>
      </w:r>
      <w:r>
        <w:rPr>
          <w:rFonts w:ascii="David" w:hAnsi="David" w:hint="cs"/>
          <w:rtl/>
        </w:rPr>
        <w:t>ל</w:t>
      </w:r>
      <w:r w:rsidRPr="00085DDE">
        <w:rPr>
          <w:rFonts w:ascii="David" w:hAnsi="David"/>
          <w:rtl/>
        </w:rPr>
        <w:t xml:space="preserve">-6 חודשי </w:t>
      </w:r>
      <w:r>
        <w:rPr>
          <w:rFonts w:ascii="David" w:hAnsi="David" w:hint="cs"/>
          <w:rtl/>
        </w:rPr>
        <w:t xml:space="preserve">מאסר לריצוי בדרך של </w:t>
      </w:r>
      <w:r w:rsidRPr="00085DDE">
        <w:rPr>
          <w:rFonts w:ascii="David" w:hAnsi="David"/>
          <w:rtl/>
        </w:rPr>
        <w:t>עבודות שירות;</w:t>
      </w:r>
      <w:r>
        <w:rPr>
          <w:rFonts w:ascii="David" w:hAnsi="David" w:hint="cs"/>
          <w:rtl/>
        </w:rPr>
        <w:t xml:space="preserve"> </w:t>
      </w:r>
      <w:hyperlink r:id="rId36" w:history="1">
        <w:r w:rsidR="00802809" w:rsidRPr="00802809">
          <w:rPr>
            <w:rFonts w:ascii="David" w:hAnsi="David"/>
            <w:color w:val="0000FF"/>
            <w:u w:val="single"/>
            <w:rtl/>
          </w:rPr>
          <w:t>ת"פ 51354-02-17</w:t>
        </w:r>
      </w:hyperlink>
      <w:r w:rsidRPr="00085DDE">
        <w:rPr>
          <w:rFonts w:ascii="David" w:hAnsi="David"/>
          <w:rtl/>
        </w:rPr>
        <w:t xml:space="preserve"> </w:t>
      </w:r>
      <w:r w:rsidRPr="00085DDE">
        <w:rPr>
          <w:rFonts w:ascii="David" w:hAnsi="David"/>
          <w:b/>
          <w:bCs/>
          <w:rtl/>
        </w:rPr>
        <w:t>מדינת ישראל נ' אבירן בן חמו</w:t>
      </w:r>
      <w:r>
        <w:rPr>
          <w:rFonts w:ascii="David" w:hAnsi="David"/>
          <w:rtl/>
        </w:rPr>
        <w:t xml:space="preserve"> (18.07.2018)‏‏</w:t>
      </w:r>
      <w:r>
        <w:rPr>
          <w:rFonts w:ascii="David" w:hAnsi="David" w:hint="cs"/>
          <w:rtl/>
        </w:rPr>
        <w:t>,</w:t>
      </w:r>
      <w:r w:rsidRPr="00085DDE">
        <w:rPr>
          <w:rFonts w:ascii="David" w:hAnsi="David"/>
          <w:rtl/>
        </w:rPr>
        <w:t xml:space="preserve"> </w:t>
      </w:r>
      <w:r>
        <w:rPr>
          <w:rFonts w:ascii="David" w:hAnsi="David" w:hint="cs"/>
          <w:rtl/>
        </w:rPr>
        <w:t xml:space="preserve">בו הוטלו על </w:t>
      </w:r>
      <w:r w:rsidRPr="00085DDE">
        <w:rPr>
          <w:rFonts w:ascii="David" w:hAnsi="David"/>
          <w:rtl/>
        </w:rPr>
        <w:t>נאשם  18 חודשי מאסר בפועל</w:t>
      </w:r>
      <w:r>
        <w:rPr>
          <w:rFonts w:ascii="David" w:hAnsi="David" w:hint="cs"/>
          <w:rtl/>
        </w:rPr>
        <w:t xml:space="preserve"> בגין </w:t>
      </w:r>
      <w:r w:rsidRPr="00085DDE">
        <w:rPr>
          <w:rFonts w:ascii="David" w:hAnsi="David"/>
          <w:rtl/>
        </w:rPr>
        <w:t>החזקת סם מסוג קוקאין במשקל כולל של</w:t>
      </w:r>
      <w:r>
        <w:rPr>
          <w:rFonts w:ascii="David" w:hAnsi="David" w:hint="cs"/>
          <w:rtl/>
        </w:rPr>
        <w:t xml:space="preserve"> כ- 30 </w:t>
      </w:r>
      <w:r w:rsidRPr="00085DDE">
        <w:rPr>
          <w:rFonts w:ascii="David" w:hAnsi="David"/>
          <w:rtl/>
        </w:rPr>
        <w:t xml:space="preserve"> גרם נטו</w:t>
      </w:r>
      <w:r>
        <w:rPr>
          <w:rFonts w:ascii="David" w:hAnsi="David" w:hint="cs"/>
          <w:rtl/>
        </w:rPr>
        <w:t xml:space="preserve"> </w:t>
      </w:r>
      <w:r w:rsidRPr="00085DDE">
        <w:rPr>
          <w:rFonts w:ascii="David" w:hAnsi="David"/>
          <w:rtl/>
        </w:rPr>
        <w:t>כשחלק מהכמות מחולק ל-21 אריזות</w:t>
      </w:r>
      <w:r>
        <w:rPr>
          <w:rFonts w:ascii="David" w:hAnsi="David" w:hint="cs"/>
          <w:rtl/>
        </w:rPr>
        <w:t xml:space="preserve">. </w:t>
      </w:r>
    </w:p>
    <w:p w14:paraId="2627F4BE" w14:textId="77777777" w:rsidR="00885E64" w:rsidRPr="00CB1B33" w:rsidRDefault="00885E64" w:rsidP="00885E64">
      <w:pPr>
        <w:spacing w:line="360" w:lineRule="auto"/>
        <w:contextualSpacing/>
        <w:jc w:val="both"/>
        <w:rPr>
          <w:rFonts w:ascii="David" w:hAnsi="David"/>
        </w:rPr>
      </w:pPr>
    </w:p>
    <w:p w14:paraId="65E4DAB0" w14:textId="77777777" w:rsidR="00885E64" w:rsidRPr="00085DDE" w:rsidRDefault="00885E64" w:rsidP="00885E64">
      <w:pPr>
        <w:numPr>
          <w:ilvl w:val="0"/>
          <w:numId w:val="1"/>
        </w:numPr>
        <w:spacing w:line="360" w:lineRule="auto"/>
        <w:contextualSpacing/>
        <w:jc w:val="both"/>
        <w:rPr>
          <w:rFonts w:ascii="David" w:hAnsi="David"/>
          <w:rtl/>
        </w:rPr>
      </w:pPr>
      <w:r w:rsidRPr="00085DDE">
        <w:rPr>
          <w:rFonts w:ascii="David" w:hAnsi="David"/>
          <w:rtl/>
        </w:rPr>
        <w:t xml:space="preserve"> </w:t>
      </w:r>
      <w:r>
        <w:rPr>
          <w:rFonts w:ascii="David" w:hAnsi="David" w:hint="cs"/>
          <w:rtl/>
        </w:rPr>
        <w:t>בעניין מדיניות הענישה בעבירות של</w:t>
      </w:r>
      <w:r w:rsidRPr="00085DDE">
        <w:rPr>
          <w:rFonts w:ascii="David" w:hAnsi="David" w:hint="cs"/>
          <w:rtl/>
        </w:rPr>
        <w:t xml:space="preserve"> החזקת סם מסוג </w:t>
      </w:r>
      <w:r w:rsidRPr="00085DDE">
        <w:rPr>
          <w:rFonts w:ascii="David" w:hAnsi="David"/>
          <w:sz w:val="22"/>
          <w:szCs w:val="22"/>
        </w:rPr>
        <w:t>MDMA</w:t>
      </w:r>
      <w:r w:rsidRPr="00085DDE">
        <w:rPr>
          <w:rFonts w:ascii="David" w:hAnsi="David" w:hint="cs"/>
          <w:rtl/>
        </w:rPr>
        <w:t xml:space="preserve"> אפנה ל</w:t>
      </w:r>
      <w:hyperlink r:id="rId37" w:history="1">
        <w:r w:rsidR="00802809" w:rsidRPr="00802809">
          <w:rPr>
            <w:rFonts w:ascii="David" w:hAnsi="David"/>
            <w:color w:val="0000FF"/>
            <w:u w:val="single"/>
            <w:rtl/>
          </w:rPr>
          <w:t>רע"פ 5170/09</w:t>
        </w:r>
      </w:hyperlink>
      <w:r w:rsidRPr="00085DDE">
        <w:rPr>
          <w:rFonts w:ascii="David" w:hAnsi="David"/>
          <w:rtl/>
        </w:rPr>
        <w:t xml:space="preserve"> </w:t>
      </w:r>
      <w:r w:rsidRPr="00085DDE">
        <w:rPr>
          <w:rFonts w:ascii="David" w:hAnsi="David"/>
          <w:b/>
          <w:bCs/>
          <w:rtl/>
        </w:rPr>
        <w:t xml:space="preserve">אבוטבול נ' מדינת ישראל </w:t>
      </w:r>
      <w:r w:rsidRPr="00085DDE">
        <w:rPr>
          <w:rFonts w:ascii="David" w:hAnsi="David"/>
          <w:rtl/>
        </w:rPr>
        <w:t>(6.9.2009)</w:t>
      </w:r>
      <w:r>
        <w:rPr>
          <w:rFonts w:ascii="David" w:hAnsi="David" w:hint="cs"/>
          <w:rtl/>
        </w:rPr>
        <w:t>,</w:t>
      </w:r>
      <w:r w:rsidRPr="00085DDE">
        <w:rPr>
          <w:rFonts w:ascii="David" w:hAnsi="David"/>
          <w:rtl/>
        </w:rPr>
        <w:t xml:space="preserve"> בו אושר עונש של 9 חודשי מאסר </w:t>
      </w:r>
      <w:r>
        <w:rPr>
          <w:rFonts w:ascii="David" w:hAnsi="David" w:hint="cs"/>
          <w:rtl/>
        </w:rPr>
        <w:t>בפועל</w:t>
      </w:r>
      <w:r w:rsidRPr="00085DDE">
        <w:rPr>
          <w:rFonts w:ascii="David" w:hAnsi="David"/>
          <w:rtl/>
        </w:rPr>
        <w:t xml:space="preserve"> </w:t>
      </w:r>
      <w:r>
        <w:rPr>
          <w:rFonts w:ascii="David" w:hAnsi="David" w:hint="cs"/>
          <w:rtl/>
        </w:rPr>
        <w:t>לנאשם</w:t>
      </w:r>
      <w:r w:rsidRPr="00085DDE">
        <w:rPr>
          <w:rFonts w:ascii="David" w:hAnsi="David"/>
          <w:rtl/>
        </w:rPr>
        <w:t xml:space="preserve"> שהחזיק 150 כדורי </w:t>
      </w:r>
      <w:r w:rsidRPr="00085DDE">
        <w:rPr>
          <w:rFonts w:ascii="David" w:hAnsi="David"/>
          <w:sz w:val="22"/>
          <w:szCs w:val="22"/>
        </w:rPr>
        <w:t>MDMA</w:t>
      </w:r>
      <w:r w:rsidRPr="00085DDE">
        <w:rPr>
          <w:rFonts w:ascii="David" w:hAnsi="David"/>
          <w:rtl/>
        </w:rPr>
        <w:t>;</w:t>
      </w:r>
      <w:r>
        <w:rPr>
          <w:rFonts w:ascii="David" w:hAnsi="David" w:hint="cs"/>
          <w:rtl/>
        </w:rPr>
        <w:t xml:space="preserve"> </w:t>
      </w:r>
      <w:hyperlink r:id="rId38" w:history="1">
        <w:r w:rsidR="00802809" w:rsidRPr="00802809">
          <w:rPr>
            <w:rFonts w:ascii="David" w:hAnsi="David"/>
            <w:color w:val="0000FF"/>
            <w:u w:val="single"/>
            <w:rtl/>
          </w:rPr>
          <w:t>ע"פ 7318/06</w:t>
        </w:r>
      </w:hyperlink>
      <w:r w:rsidRPr="00085DDE">
        <w:rPr>
          <w:rFonts w:ascii="David" w:hAnsi="David"/>
          <w:rtl/>
        </w:rPr>
        <w:t xml:space="preserve"> </w:t>
      </w:r>
      <w:r w:rsidRPr="00085DDE">
        <w:rPr>
          <w:rFonts w:ascii="David" w:hAnsi="David"/>
          <w:b/>
          <w:bCs/>
          <w:rtl/>
        </w:rPr>
        <w:t>שריקי נ' מדינת ישראל</w:t>
      </w:r>
      <w:r w:rsidRPr="00085DDE">
        <w:rPr>
          <w:rFonts w:ascii="David" w:hAnsi="David"/>
          <w:rtl/>
        </w:rPr>
        <w:t xml:space="preserve"> (11.07.2007)</w:t>
      </w:r>
      <w:r>
        <w:rPr>
          <w:rFonts w:ascii="David" w:hAnsi="David" w:hint="cs"/>
          <w:rtl/>
        </w:rPr>
        <w:t>,</w:t>
      </w:r>
      <w:r w:rsidRPr="00085DDE">
        <w:rPr>
          <w:rFonts w:ascii="David" w:hAnsi="David"/>
          <w:rtl/>
        </w:rPr>
        <w:t xml:space="preserve">‏‏ בו אושר עונש בן 8 חודשי מאסר בגין החזקת 18 טבליות מסוג </w:t>
      </w:r>
      <w:r w:rsidRPr="00885E64">
        <w:rPr>
          <w:rFonts w:ascii="Arial" w:hAnsi="Arial" w:cs="Arial"/>
          <w:sz w:val="22"/>
          <w:szCs w:val="22"/>
        </w:rPr>
        <w:t>MDMA</w:t>
      </w:r>
      <w:r w:rsidRPr="00085DDE">
        <w:rPr>
          <w:rFonts w:ascii="David" w:hAnsi="David"/>
          <w:rtl/>
        </w:rPr>
        <w:t>, שלא לצריכה עצמית</w:t>
      </w:r>
      <w:r>
        <w:rPr>
          <w:rFonts w:ascii="David" w:hAnsi="David" w:hint="cs"/>
          <w:rtl/>
        </w:rPr>
        <w:t>,</w:t>
      </w:r>
      <w:r w:rsidRPr="00085DDE">
        <w:rPr>
          <w:rFonts w:ascii="David" w:hAnsi="David"/>
          <w:rtl/>
        </w:rPr>
        <w:t xml:space="preserve"> וכן במועד אחר </w:t>
      </w:r>
      <w:r>
        <w:rPr>
          <w:rFonts w:ascii="David" w:hAnsi="David" w:hint="cs"/>
          <w:rtl/>
        </w:rPr>
        <w:t xml:space="preserve">החזיק הנאשם </w:t>
      </w:r>
      <w:r w:rsidRPr="00085DDE">
        <w:rPr>
          <w:rFonts w:ascii="David" w:hAnsi="David"/>
          <w:rtl/>
        </w:rPr>
        <w:t xml:space="preserve">סם מסוג קנבוס במשקל נטו של 504.6 גרם, שלא לצריכה עצמית; </w:t>
      </w:r>
      <w:hyperlink r:id="rId39" w:history="1">
        <w:r w:rsidR="00802809" w:rsidRPr="00802809">
          <w:rPr>
            <w:color w:val="0000FF"/>
            <w:u w:val="single"/>
            <w:rtl/>
          </w:rPr>
          <w:t>ע"פ 9979/08</w:t>
        </w:r>
      </w:hyperlink>
      <w:r w:rsidRPr="00085DDE">
        <w:rPr>
          <w:rFonts w:ascii="David" w:hAnsi="David"/>
          <w:rtl/>
        </w:rPr>
        <w:t xml:space="preserve"> </w:t>
      </w:r>
      <w:r w:rsidRPr="00085DDE">
        <w:rPr>
          <w:rFonts w:ascii="David" w:hAnsi="David" w:hint="cs"/>
          <w:b/>
          <w:bCs/>
          <w:rtl/>
        </w:rPr>
        <w:t>בודרם נגד מדינת ישראל</w:t>
      </w:r>
      <w:r w:rsidRPr="00085DDE">
        <w:rPr>
          <w:rFonts w:ascii="David" w:hAnsi="David" w:hint="cs"/>
          <w:rtl/>
        </w:rPr>
        <w:t xml:space="preserve"> (21.04.2009)</w:t>
      </w:r>
      <w:r>
        <w:rPr>
          <w:rFonts w:ascii="David" w:hAnsi="David" w:hint="cs"/>
          <w:rtl/>
        </w:rPr>
        <w:t>,</w:t>
      </w:r>
      <w:r w:rsidRPr="00085DDE">
        <w:rPr>
          <w:rFonts w:ascii="David" w:hAnsi="David" w:hint="cs"/>
          <w:rtl/>
        </w:rPr>
        <w:t xml:space="preserve"> בו אושר עונש בן 24 חודשי מאסר בפועל בגין אחזקת 242 טבליות סם מסוג </w:t>
      </w:r>
      <w:r w:rsidRPr="00885E64">
        <w:rPr>
          <w:rFonts w:ascii="Arial" w:hAnsi="Arial" w:cs="Arial"/>
          <w:sz w:val="22"/>
          <w:szCs w:val="22"/>
        </w:rPr>
        <w:t>MDMA</w:t>
      </w:r>
      <w:r w:rsidRPr="00085DDE">
        <w:rPr>
          <w:rFonts w:ascii="David" w:hAnsi="David"/>
          <w:rtl/>
        </w:rPr>
        <w:t xml:space="preserve"> </w:t>
      </w:r>
      <w:r w:rsidRPr="00085DDE">
        <w:rPr>
          <w:rFonts w:ascii="David" w:hAnsi="David" w:hint="cs"/>
          <w:rtl/>
        </w:rPr>
        <w:t xml:space="preserve">וכ-1.98 גרם חשיש, שלא לצריכה עצמית; </w:t>
      </w:r>
      <w:hyperlink r:id="rId40" w:history="1">
        <w:r w:rsidR="00802809" w:rsidRPr="00802809">
          <w:rPr>
            <w:color w:val="0000FF"/>
            <w:u w:val="single"/>
            <w:rtl/>
          </w:rPr>
          <w:t>עפ"ג 29138-07-17</w:t>
        </w:r>
      </w:hyperlink>
      <w:r w:rsidRPr="00085DDE">
        <w:rPr>
          <w:rFonts w:ascii="David" w:hAnsi="David"/>
          <w:rtl/>
        </w:rPr>
        <w:t xml:space="preserve"> </w:t>
      </w:r>
      <w:r w:rsidRPr="00085DDE">
        <w:rPr>
          <w:rFonts w:ascii="David" w:hAnsi="David" w:hint="cs"/>
          <w:b/>
          <w:bCs/>
          <w:rtl/>
        </w:rPr>
        <w:t>מדינת ישראל נגד ג'ית</w:t>
      </w:r>
      <w:r w:rsidRPr="00085DDE">
        <w:rPr>
          <w:rFonts w:ascii="David" w:hAnsi="David" w:hint="cs"/>
          <w:rtl/>
        </w:rPr>
        <w:t xml:space="preserve">  (17.08.2017)</w:t>
      </w:r>
      <w:r>
        <w:rPr>
          <w:rFonts w:ascii="David" w:hAnsi="David" w:hint="cs"/>
          <w:rtl/>
        </w:rPr>
        <w:t>,</w:t>
      </w:r>
      <w:r w:rsidRPr="00085DDE">
        <w:rPr>
          <w:rFonts w:ascii="David" w:hAnsi="David" w:hint="cs"/>
          <w:rtl/>
        </w:rPr>
        <w:t xml:space="preserve"> בו הוחמר עונשו של נאשם והועמד על 14 חודשי מאסר בפועל בגין החזקת 12 פלטות חשיש במשקל 1.199 ק"ג וכן 408 טבליות סם מסוג </w:t>
      </w:r>
      <w:r w:rsidRPr="00885E64">
        <w:rPr>
          <w:rFonts w:ascii="Arial" w:hAnsi="Arial" w:cs="Arial"/>
          <w:sz w:val="22"/>
          <w:szCs w:val="22"/>
        </w:rPr>
        <w:t>MDMA</w:t>
      </w:r>
      <w:r w:rsidRPr="00085DDE">
        <w:rPr>
          <w:rFonts w:ascii="David" w:hAnsi="David"/>
          <w:rtl/>
        </w:rPr>
        <w:t>, שלא לצריכה עצמית. בערעור נקבע שמתחם העונש ההולם נע בין 32-10 חודשי מאסר</w:t>
      </w:r>
      <w:r w:rsidRPr="00085DDE">
        <w:rPr>
          <w:rFonts w:ascii="David" w:hAnsi="David" w:hint="cs"/>
          <w:rtl/>
        </w:rPr>
        <w:t xml:space="preserve">; </w:t>
      </w:r>
      <w:hyperlink r:id="rId41" w:history="1">
        <w:r w:rsidR="00802809" w:rsidRPr="00802809">
          <w:rPr>
            <w:rFonts w:ascii="David" w:hAnsi="David"/>
            <w:color w:val="0000FF"/>
            <w:u w:val="single"/>
            <w:rtl/>
          </w:rPr>
          <w:t>ת"פ 15744-01-19</w:t>
        </w:r>
      </w:hyperlink>
      <w:r w:rsidRPr="00085DDE">
        <w:rPr>
          <w:rFonts w:ascii="David" w:hAnsi="David"/>
          <w:rtl/>
        </w:rPr>
        <w:t xml:space="preserve"> </w:t>
      </w:r>
      <w:r w:rsidRPr="00085DDE">
        <w:rPr>
          <w:rFonts w:ascii="David" w:hAnsi="David"/>
          <w:b/>
          <w:bCs/>
          <w:rtl/>
        </w:rPr>
        <w:t>מדינת ישראל נ' עואודה</w:t>
      </w:r>
      <w:r w:rsidRPr="00085DDE">
        <w:rPr>
          <w:rFonts w:ascii="David" w:hAnsi="David"/>
          <w:rtl/>
        </w:rPr>
        <w:t xml:space="preserve"> (18.11.2019)</w:t>
      </w:r>
      <w:r>
        <w:rPr>
          <w:rFonts w:ascii="David" w:hAnsi="David" w:hint="cs"/>
          <w:rtl/>
        </w:rPr>
        <w:t>,</w:t>
      </w:r>
      <w:r w:rsidRPr="00085DDE">
        <w:rPr>
          <w:rFonts w:ascii="David" w:hAnsi="David"/>
          <w:rtl/>
        </w:rPr>
        <w:t xml:space="preserve">‏ בו נגזר עונש של 300 שעות של"צ, לצד עונשים </w:t>
      </w:r>
      <w:r>
        <w:rPr>
          <w:rFonts w:ascii="David" w:hAnsi="David"/>
          <w:rtl/>
        </w:rPr>
        <w:t>נלווים, על נאשם שהורשע בהחזק</w:t>
      </w:r>
      <w:r>
        <w:rPr>
          <w:rFonts w:ascii="David" w:hAnsi="David" w:hint="cs"/>
          <w:rtl/>
        </w:rPr>
        <w:t>ת</w:t>
      </w:r>
      <w:r w:rsidRPr="00085DDE">
        <w:rPr>
          <w:rFonts w:ascii="David" w:hAnsi="David"/>
          <w:rtl/>
        </w:rPr>
        <w:t xml:space="preserve"> 20 יחידות סם מסוג </w:t>
      </w:r>
      <w:r w:rsidRPr="00885E64">
        <w:rPr>
          <w:rFonts w:ascii="Arial" w:hAnsi="Arial" w:cs="Arial"/>
          <w:sz w:val="22"/>
          <w:szCs w:val="22"/>
        </w:rPr>
        <w:t>MDMA</w:t>
      </w:r>
      <w:r w:rsidRPr="00085DDE">
        <w:rPr>
          <w:rFonts w:ascii="David" w:hAnsi="David"/>
          <w:rtl/>
        </w:rPr>
        <w:t xml:space="preserve"> </w:t>
      </w:r>
      <w:r w:rsidRPr="00085DDE">
        <w:rPr>
          <w:rFonts w:ascii="David" w:hAnsi="David" w:hint="cs"/>
          <w:rtl/>
        </w:rPr>
        <w:t xml:space="preserve">בביתו; </w:t>
      </w:r>
      <w:hyperlink r:id="rId42" w:history="1">
        <w:r w:rsidR="00802809" w:rsidRPr="00802809">
          <w:rPr>
            <w:rFonts w:ascii="David" w:hAnsi="David"/>
            <w:color w:val="0000FF"/>
            <w:u w:val="single"/>
            <w:rtl/>
          </w:rPr>
          <w:t>עפ"א 369/08</w:t>
        </w:r>
      </w:hyperlink>
      <w:r w:rsidRPr="00085DDE">
        <w:rPr>
          <w:rFonts w:ascii="David" w:hAnsi="David" w:hint="cs"/>
          <w:color w:val="000000"/>
          <w:rtl/>
        </w:rPr>
        <w:t xml:space="preserve"> </w:t>
      </w:r>
      <w:r w:rsidRPr="00085DDE">
        <w:rPr>
          <w:rFonts w:ascii="David" w:hAnsi="David" w:hint="cs"/>
          <w:b/>
          <w:bCs/>
          <w:color w:val="000000"/>
          <w:rtl/>
        </w:rPr>
        <w:t>עותייה נ' מדינת ישראל</w:t>
      </w:r>
      <w:r w:rsidRPr="00085DDE">
        <w:rPr>
          <w:rFonts w:ascii="David" w:hAnsi="David" w:hint="cs"/>
          <w:rtl/>
        </w:rPr>
        <w:t xml:space="preserve"> (31.3.2009)</w:t>
      </w:r>
      <w:r>
        <w:rPr>
          <w:rFonts w:ascii="David" w:hAnsi="David" w:hint="cs"/>
          <w:rtl/>
        </w:rPr>
        <w:t>,</w:t>
      </w:r>
      <w:r w:rsidRPr="00085DDE">
        <w:rPr>
          <w:rFonts w:ascii="David" w:hAnsi="David" w:hint="cs"/>
          <w:rtl/>
        </w:rPr>
        <w:t xml:space="preserve"> בו הוטלו על נאשם 10 חודשי מאסר בפועל בגין החזקת סם מסוג חשיש במשקל 0.3984 גר' נטו וכן 12 טבליות סם מסוג </w:t>
      </w:r>
      <w:r w:rsidRPr="00885E64">
        <w:rPr>
          <w:rFonts w:ascii="Arial" w:hAnsi="Arial" w:cs="Arial"/>
          <w:sz w:val="22"/>
          <w:szCs w:val="22"/>
        </w:rPr>
        <w:t>MDMA</w:t>
      </w:r>
      <w:r w:rsidRPr="00085DDE">
        <w:rPr>
          <w:rFonts w:ascii="David" w:hAnsi="David"/>
          <w:rtl/>
        </w:rPr>
        <w:t xml:space="preserve">. </w:t>
      </w:r>
    </w:p>
    <w:p w14:paraId="17A67E96" w14:textId="77777777" w:rsidR="00885E64" w:rsidRDefault="00885E64" w:rsidP="00885E64">
      <w:pPr>
        <w:spacing w:line="360" w:lineRule="auto"/>
        <w:contextualSpacing/>
        <w:jc w:val="both"/>
        <w:rPr>
          <w:rFonts w:ascii="David" w:hAnsi="David"/>
          <w:rtl/>
        </w:rPr>
      </w:pPr>
    </w:p>
    <w:p w14:paraId="69530280" w14:textId="77777777" w:rsidR="00885E64" w:rsidRPr="00E20041" w:rsidRDefault="00885E64" w:rsidP="00885E64">
      <w:pPr>
        <w:numPr>
          <w:ilvl w:val="0"/>
          <w:numId w:val="1"/>
        </w:numPr>
        <w:spacing w:line="360" w:lineRule="auto"/>
        <w:contextualSpacing/>
        <w:jc w:val="both"/>
        <w:rPr>
          <w:rFonts w:ascii="David" w:hAnsi="David"/>
        </w:rPr>
      </w:pPr>
      <w:r>
        <w:rPr>
          <w:rFonts w:ascii="David" w:hAnsi="David" w:hint="cs"/>
          <w:rtl/>
        </w:rPr>
        <w:t>לאור כך, אני בדעה כי מתחם הענישה ההולם את העבירה בתיק העיקרי נע בין  24 חודשי מאסר ועד 40 חודשי מאסר. מתחם הענישה בתיק המצורף</w:t>
      </w:r>
      <w:r>
        <w:rPr>
          <w:rtl/>
        </w:rPr>
        <w:t xml:space="preserve"> נע בין מספר חודשי מאסר, שניתן לשאת בהם בעבודות שירות, ועד </w:t>
      </w:r>
      <w:r>
        <w:rPr>
          <w:rFonts w:hint="cs"/>
          <w:rtl/>
        </w:rPr>
        <w:t>15</w:t>
      </w:r>
      <w:r>
        <w:rPr>
          <w:rtl/>
        </w:rPr>
        <w:t xml:space="preserve"> חודשי מאסר בפועל.</w:t>
      </w:r>
    </w:p>
    <w:p w14:paraId="3093E9AD" w14:textId="77777777" w:rsidR="00885E64" w:rsidRPr="00527806" w:rsidRDefault="00885E64" w:rsidP="00885E64">
      <w:pPr>
        <w:pStyle w:val="a9"/>
        <w:rPr>
          <w:rFonts w:ascii="David" w:hAnsi="David"/>
          <w:rtl/>
        </w:rPr>
      </w:pPr>
    </w:p>
    <w:p w14:paraId="35787162" w14:textId="77777777" w:rsidR="00885E64" w:rsidRDefault="00885E64" w:rsidP="00885E64">
      <w:pPr>
        <w:spacing w:line="360" w:lineRule="auto"/>
        <w:jc w:val="both"/>
        <w:rPr>
          <w:rFonts w:ascii="David" w:hAnsi="David"/>
          <w:b/>
          <w:bCs/>
          <w:u w:val="single"/>
        </w:rPr>
      </w:pPr>
      <w:r>
        <w:rPr>
          <w:rFonts w:ascii="David" w:hAnsi="David"/>
          <w:b/>
          <w:bCs/>
          <w:u w:val="single"/>
          <w:rtl/>
        </w:rPr>
        <w:t>קביעת עונשו של הנאשם</w:t>
      </w:r>
    </w:p>
    <w:p w14:paraId="68A286C7" w14:textId="77777777" w:rsidR="00885E64" w:rsidRDefault="00885E64" w:rsidP="00885E64">
      <w:pPr>
        <w:pStyle w:val="a9"/>
        <w:rPr>
          <w:rFonts w:ascii="David" w:hAnsi="David"/>
          <w:rtl/>
        </w:rPr>
      </w:pPr>
    </w:p>
    <w:p w14:paraId="3E1979C1" w14:textId="77777777" w:rsidR="00885E64" w:rsidRDefault="00885E64" w:rsidP="00885E64">
      <w:pPr>
        <w:numPr>
          <w:ilvl w:val="0"/>
          <w:numId w:val="1"/>
        </w:numPr>
        <w:spacing w:line="360" w:lineRule="auto"/>
        <w:contextualSpacing/>
        <w:jc w:val="both"/>
        <w:rPr>
          <w:rFonts w:ascii="David" w:hAnsi="David"/>
        </w:rPr>
      </w:pPr>
      <w:r>
        <w:rPr>
          <w:rtl/>
        </w:rPr>
        <w:t xml:space="preserve">קביעת עונשו של הנאשם מעמתת בין שני השיקולים המנחים בענישה – הלימה ושיקום. המעשים שביצע הנאשם חמורים וככלל ראויים לתגובה עונשית הולמת. עברו של הנאשם </w:t>
      </w:r>
      <w:r>
        <w:rPr>
          <w:rFonts w:hint="cs"/>
          <w:rtl/>
        </w:rPr>
        <w:t>מכביד</w:t>
      </w:r>
      <w:r>
        <w:rPr>
          <w:rtl/>
        </w:rPr>
        <w:t xml:space="preserve"> וכולל עבירות </w:t>
      </w:r>
      <w:r>
        <w:rPr>
          <w:rFonts w:hint="cs"/>
          <w:rtl/>
        </w:rPr>
        <w:t xml:space="preserve">סמים, אלימות ורכוש. בהקשר זה אציין כי עיקר העבירות הן מתחום הסמים, ובעשרים השנים האחרונות מדובר אך ורק בעבירות אלו. נגד הנאשם תלוי ועומד אף </w:t>
      </w:r>
      <w:r>
        <w:rPr>
          <w:rtl/>
        </w:rPr>
        <w:t>מאסר מותנ</w:t>
      </w:r>
      <w:r>
        <w:rPr>
          <w:rFonts w:hint="cs"/>
          <w:rtl/>
        </w:rPr>
        <w:t>ה</w:t>
      </w:r>
      <w:r>
        <w:rPr>
          <w:rtl/>
        </w:rPr>
        <w:t xml:space="preserve"> </w:t>
      </w:r>
      <w:r>
        <w:rPr>
          <w:rFonts w:hint="cs"/>
          <w:rtl/>
        </w:rPr>
        <w:t xml:space="preserve">ארוך. </w:t>
      </w:r>
      <w:r>
        <w:rPr>
          <w:rtl/>
        </w:rPr>
        <w:t xml:space="preserve">נתונים </w:t>
      </w:r>
      <w:r>
        <w:rPr>
          <w:rFonts w:hint="cs"/>
          <w:rtl/>
        </w:rPr>
        <w:t xml:space="preserve">אלו אמורים להוביל, </w:t>
      </w:r>
      <w:r>
        <w:rPr>
          <w:rtl/>
        </w:rPr>
        <w:t xml:space="preserve">בהיעדר נסיבות חריגות, </w:t>
      </w:r>
      <w:r>
        <w:rPr>
          <w:rFonts w:hint="cs"/>
          <w:rtl/>
        </w:rPr>
        <w:t>ל</w:t>
      </w:r>
      <w:r>
        <w:rPr>
          <w:rtl/>
        </w:rPr>
        <w:t>הטלת עונש מאסר</w:t>
      </w:r>
      <w:r>
        <w:rPr>
          <w:rFonts w:hint="cs"/>
          <w:rtl/>
        </w:rPr>
        <w:t xml:space="preserve"> ארוך</w:t>
      </w:r>
      <w:r>
        <w:rPr>
          <w:rtl/>
        </w:rPr>
        <w:t xml:space="preserve"> תוך העדפת שיקולי ההלימה. </w:t>
      </w:r>
      <w:r>
        <w:rPr>
          <w:rFonts w:hint="cs"/>
          <w:rtl/>
        </w:rPr>
        <w:t xml:space="preserve"> </w:t>
      </w:r>
    </w:p>
    <w:p w14:paraId="7260A572" w14:textId="77777777" w:rsidR="00885E64" w:rsidRPr="009A64F6" w:rsidRDefault="00885E64" w:rsidP="00885E64">
      <w:pPr>
        <w:spacing w:line="360" w:lineRule="auto"/>
        <w:contextualSpacing/>
        <w:jc w:val="both"/>
        <w:rPr>
          <w:rFonts w:ascii="David" w:hAnsi="David"/>
        </w:rPr>
      </w:pPr>
    </w:p>
    <w:p w14:paraId="00B7F96F" w14:textId="77777777" w:rsidR="00885E64" w:rsidRPr="00D95336" w:rsidRDefault="00885E64" w:rsidP="00885E64">
      <w:pPr>
        <w:spacing w:line="360" w:lineRule="auto"/>
        <w:contextualSpacing/>
        <w:jc w:val="both"/>
        <w:rPr>
          <w:rFonts w:ascii="David" w:hAnsi="David"/>
        </w:rPr>
      </w:pPr>
    </w:p>
    <w:p w14:paraId="2CE8C3E8" w14:textId="77777777" w:rsidR="00885E64" w:rsidRDefault="00885E64" w:rsidP="00885E64">
      <w:pPr>
        <w:numPr>
          <w:ilvl w:val="0"/>
          <w:numId w:val="1"/>
        </w:numPr>
        <w:spacing w:line="360" w:lineRule="auto"/>
        <w:contextualSpacing/>
        <w:jc w:val="both"/>
        <w:rPr>
          <w:rFonts w:ascii="David" w:hAnsi="David"/>
        </w:rPr>
      </w:pPr>
      <w:r>
        <w:rPr>
          <w:rtl/>
        </w:rPr>
        <w:t>עם זאת, לא ניתן להתעלם מהשינוי המשמעותי שעבר ועודנו עובר הנאשם; מההליך הטיפולי בו הוא נתון;  מגמילתו מסמי</w:t>
      </w:r>
      <w:r>
        <w:rPr>
          <w:rFonts w:hint="cs"/>
          <w:rtl/>
        </w:rPr>
        <w:t>ם</w:t>
      </w:r>
      <w:r>
        <w:rPr>
          <w:rtl/>
        </w:rPr>
        <w:t xml:space="preserve">; וכן מכך שלא נפתחו נגדו תיקים חדשים מאז ביצוע העבירות שבנדון, תקופה של </w:t>
      </w:r>
      <w:r>
        <w:rPr>
          <w:rFonts w:hint="cs"/>
          <w:rtl/>
        </w:rPr>
        <w:t>כשנה וחצי</w:t>
      </w:r>
      <w:r>
        <w:rPr>
          <w:rtl/>
        </w:rPr>
        <w:t xml:space="preserve">. </w:t>
      </w:r>
      <w:r>
        <w:rPr>
          <w:rFonts w:ascii="David" w:hAnsi="David" w:hint="cs"/>
          <w:rtl/>
        </w:rPr>
        <w:t xml:space="preserve">השאלה היא אפוא האם די בכך על מנת להעדיף את שיקולי השיקום, או שמא חרף סיכויי שיקומו, העונש ההולם כולל מאסר בכליאה. אקדים מסקנה לדיון ואציין כי לדידי ראוי במקרה זה להעדיף את סיכויי שיקומו של הנאשם על פני שיקולי ההלימה ולהימנע מכליאת הנאשם, וזאת כהמלצת שירות המבחן. אנמק להלן עמדתי. </w:t>
      </w:r>
    </w:p>
    <w:p w14:paraId="78B0780A" w14:textId="77777777" w:rsidR="00885E64" w:rsidRDefault="00885E64" w:rsidP="00885E64">
      <w:pPr>
        <w:spacing w:line="360" w:lineRule="auto"/>
        <w:contextualSpacing/>
        <w:jc w:val="both"/>
        <w:rPr>
          <w:rFonts w:ascii="David" w:hAnsi="David"/>
        </w:rPr>
      </w:pPr>
    </w:p>
    <w:p w14:paraId="24FA1E65" w14:textId="77777777" w:rsidR="00885E64" w:rsidRPr="00C20CE7" w:rsidRDefault="00885E64" w:rsidP="00885E64">
      <w:pPr>
        <w:numPr>
          <w:ilvl w:val="0"/>
          <w:numId w:val="1"/>
        </w:numPr>
        <w:spacing w:line="360" w:lineRule="auto"/>
        <w:contextualSpacing/>
        <w:jc w:val="both"/>
        <w:rPr>
          <w:rFonts w:ascii="David" w:hAnsi="David"/>
        </w:rPr>
      </w:pPr>
      <w:r>
        <w:rPr>
          <w:rFonts w:hint="cs"/>
          <w:rtl/>
        </w:rPr>
        <w:t>כ</w:t>
      </w:r>
      <w:r w:rsidRPr="0090545C">
        <w:rPr>
          <w:rtl/>
        </w:rPr>
        <w:t xml:space="preserve">ידוע, בהתאם </w:t>
      </w:r>
      <w:hyperlink r:id="rId43" w:history="1">
        <w:r w:rsidR="00E31387" w:rsidRPr="00E31387">
          <w:rPr>
            <w:rStyle w:val="Hyperlink"/>
            <w:rtl/>
          </w:rPr>
          <w:t>לסעיף 40ד'</w:t>
        </w:r>
      </w:hyperlink>
      <w:r w:rsidRPr="0090545C">
        <w:rPr>
          <w:rtl/>
        </w:rPr>
        <w:t xml:space="preserve"> ל</w:t>
      </w:r>
      <w:hyperlink r:id="rId44" w:history="1">
        <w:r w:rsidR="00802809" w:rsidRPr="00802809">
          <w:rPr>
            <w:color w:val="0000FF"/>
            <w:u w:val="single"/>
            <w:rtl/>
          </w:rPr>
          <w:t>חוק העונשין</w:t>
        </w:r>
      </w:hyperlink>
      <w:r w:rsidRPr="0090545C">
        <w:rPr>
          <w:rtl/>
        </w:rPr>
        <w:t>, רשאי בית המשפט לחרוג לקולה ממתחם הענישה שקבע, אם מצא כי "</w:t>
      </w:r>
      <w:r w:rsidRPr="00C20CE7">
        <w:rPr>
          <w:rFonts w:cs="Miriam"/>
          <w:rtl/>
        </w:rPr>
        <w:t>הנאשם השתקם או כי יש סיכוי של ממש שישתקם</w:t>
      </w:r>
      <w:r w:rsidRPr="0090545C">
        <w:rPr>
          <w:rtl/>
        </w:rPr>
        <w:t xml:space="preserve">". בעניין זה נקבע כי </w:t>
      </w:r>
      <w:r w:rsidRPr="00C20CE7">
        <w:rPr>
          <w:rFonts w:cs="Miriam"/>
          <w:rtl/>
        </w:rPr>
        <w:t>"במקרים קודמים שבהם נדרש בית המשפט להעריך את סיכויי השיקום במסגרת סעיף 40ד ל</w:t>
      </w:r>
      <w:hyperlink r:id="rId45" w:history="1">
        <w:r w:rsidR="00802809" w:rsidRPr="00802809">
          <w:rPr>
            <w:rFonts w:cs="Miriam"/>
            <w:color w:val="0000FF"/>
            <w:u w:val="single"/>
            <w:rtl/>
          </w:rPr>
          <w:t>חוק העונשין</w:t>
        </w:r>
      </w:hyperlink>
      <w:r w:rsidRPr="00C20CE7">
        <w:rPr>
          <w:rFonts w:cs="Miriam"/>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w:t>
      </w:r>
      <w:r w:rsidRPr="00727F0F">
        <w:rPr>
          <w:rFonts w:cs="Miriam"/>
          <w:rtl/>
        </w:rPr>
        <w:t xml:space="preserve">מוצלח וחזרה לדרך הישר, עשוי להצביע על "סיכוי של ממש לשיקום" כלשונו של </w:t>
      </w:r>
      <w:r w:rsidRPr="00802809">
        <w:rPr>
          <w:rFonts w:cs="Miriam"/>
          <w:color w:val="000000"/>
          <w:rtl/>
        </w:rPr>
        <w:t>סעיף 40ד(א)</w:t>
      </w:r>
      <w:r w:rsidRPr="00727F0F">
        <w:rPr>
          <w:rFonts w:cs="Miriam"/>
          <w:rtl/>
        </w:rPr>
        <w:t xml:space="preserve">" </w:t>
      </w:r>
      <w:r w:rsidRPr="0090545C">
        <w:rPr>
          <w:rtl/>
        </w:rPr>
        <w:t>(</w:t>
      </w:r>
      <w:hyperlink r:id="rId46" w:history="1">
        <w:r w:rsidR="00802809" w:rsidRPr="00802809">
          <w:rPr>
            <w:color w:val="0000FF"/>
            <w:u w:val="single"/>
            <w:rtl/>
          </w:rPr>
          <w:t>ע"פ 6637/17</w:t>
        </w:r>
      </w:hyperlink>
      <w:r w:rsidRPr="0090545C">
        <w:rPr>
          <w:rtl/>
        </w:rPr>
        <w:t xml:space="preserve"> </w:t>
      </w:r>
      <w:r w:rsidRPr="00C20CE7">
        <w:rPr>
          <w:b/>
          <w:bCs/>
          <w:rtl/>
        </w:rPr>
        <w:t>אליזבת קרנדל נ' מדינת ישראל</w:t>
      </w:r>
      <w:r w:rsidRPr="0090545C">
        <w:rPr>
          <w:rtl/>
        </w:rPr>
        <w:t xml:space="preserve"> (18.4.18), פסקאות 23-25 לפסק דינה של כבוד השופטת ברק-ארז).</w:t>
      </w:r>
    </w:p>
    <w:p w14:paraId="2A6CC336" w14:textId="77777777" w:rsidR="00885E64" w:rsidRDefault="00885E64" w:rsidP="00885E64">
      <w:pPr>
        <w:pStyle w:val="a9"/>
        <w:rPr>
          <w:rFonts w:ascii="David" w:hAnsi="David"/>
          <w:rtl/>
        </w:rPr>
      </w:pPr>
    </w:p>
    <w:p w14:paraId="2989C323" w14:textId="77777777" w:rsidR="00885E64" w:rsidRDefault="00885E64" w:rsidP="00885E64">
      <w:pPr>
        <w:numPr>
          <w:ilvl w:val="0"/>
          <w:numId w:val="1"/>
        </w:numPr>
        <w:spacing w:line="360" w:lineRule="auto"/>
        <w:contextualSpacing/>
        <w:jc w:val="both"/>
        <w:rPr>
          <w:rFonts w:ascii="David" w:hAnsi="David"/>
        </w:rPr>
      </w:pPr>
      <w:r>
        <w:rPr>
          <w:rFonts w:ascii="David" w:hAnsi="David" w:hint="cs"/>
          <w:rtl/>
        </w:rPr>
        <w:t>נסיבות ענייננו מלמדות בבירור על קיומם של סיכויים ממשיים לשיקום הנאשם. מדובר באדם לא צעיר, אשר שנים רבות מצוי בעולם הסמים. אכן, עברו מלמד על עיסוק בהפצת סמים ואולם לא ניתן להתעלם מהעובדה שהנאשם היה מכור לסמים שנים רבות ופעל באופן הישרדותי הנובע מאורח חיים התמכרותי. הנאשם עשה ניסיון להיגמל מסמים טרם ביצוע העבירות מושא תיק זה אך כשל. במסגרת הליכי המעצר שוחרר הנאשם להליך גמילה בקהילה סגורה, בה שהה תקופה ארוכה, וסיים את ההליך בהצלחה. לאחר מכן המשיך בטיפול ביחידה לטיפול בהתמכרויות, וגורמי הטיפול סבורים כי הוא עבר שינוי משמעותי, הוא מצליח להבין את מקור בעיותיו, הוא שואף לקיים חיים נורמטיביים, והוא אף נקי מסמים תקופה ארוכה של כ-15 חודשים ומפגין מוטיבציה רבה לשינוי ושיקום. הנאשם אף חידש את קשריו עם בני משפחתו והפך לאחרונה לסב.</w:t>
      </w:r>
    </w:p>
    <w:p w14:paraId="250FEB5C" w14:textId="77777777" w:rsidR="00885E64" w:rsidRDefault="00885E64" w:rsidP="00885E64">
      <w:pPr>
        <w:pStyle w:val="a9"/>
        <w:rPr>
          <w:rFonts w:ascii="David" w:hAnsi="David"/>
          <w:rtl/>
        </w:rPr>
      </w:pPr>
    </w:p>
    <w:p w14:paraId="6EC4F37F" w14:textId="77777777" w:rsidR="00885E64" w:rsidRPr="006F097B" w:rsidRDefault="00885E64" w:rsidP="00885E64">
      <w:pPr>
        <w:numPr>
          <w:ilvl w:val="0"/>
          <w:numId w:val="1"/>
        </w:numPr>
        <w:spacing w:line="360" w:lineRule="auto"/>
        <w:contextualSpacing/>
        <w:jc w:val="both"/>
        <w:rPr>
          <w:rFonts w:ascii="David" w:hAnsi="David"/>
        </w:rPr>
      </w:pPr>
      <w:r w:rsidRPr="006114F2">
        <w:rPr>
          <w:rFonts w:ascii="David" w:hAnsi="David" w:hint="cs"/>
          <w:rtl/>
        </w:rPr>
        <w:t xml:space="preserve">בעיני, אין להקל ראש בהליך שעבר הנאשם. הנאשם שהה </w:t>
      </w:r>
      <w:r>
        <w:rPr>
          <w:rFonts w:ascii="David" w:hAnsi="David" w:hint="cs"/>
          <w:rtl/>
        </w:rPr>
        <w:t>כ</w:t>
      </w:r>
      <w:r w:rsidRPr="006114F2">
        <w:rPr>
          <w:rFonts w:ascii="David" w:hAnsi="David" w:hint="cs"/>
          <w:rtl/>
        </w:rPr>
        <w:t>עשרה חודשים בקהילה טיפולית סגורה. לאחר מכן החל טיפול ביחידה</w:t>
      </w:r>
      <w:r>
        <w:rPr>
          <w:rFonts w:ascii="David" w:hAnsi="David" w:hint="cs"/>
          <w:rtl/>
        </w:rPr>
        <w:t xml:space="preserve"> להתמכרויות</w:t>
      </w:r>
      <w:r w:rsidRPr="006114F2">
        <w:rPr>
          <w:rFonts w:ascii="David" w:hAnsi="David" w:hint="cs"/>
          <w:rtl/>
        </w:rPr>
        <w:t xml:space="preserve">. </w:t>
      </w:r>
      <w:r>
        <w:rPr>
          <w:rFonts w:ascii="David" w:hAnsi="David" w:hint="cs"/>
          <w:rtl/>
        </w:rPr>
        <w:t>כאמור, הנאשם</w:t>
      </w:r>
      <w:r w:rsidRPr="006114F2">
        <w:rPr>
          <w:rFonts w:ascii="David" w:hAnsi="David" w:hint="cs"/>
          <w:rtl/>
        </w:rPr>
        <w:t xml:space="preserve"> נקי מסמים תקופה משמעותית. מדובר </w:t>
      </w:r>
      <w:r w:rsidRPr="006114F2">
        <w:rPr>
          <w:rtl/>
        </w:rPr>
        <w:t>הליך טיפולי קשה ותובעני. אין מדובר בעניין של מה בכך וכל העוסקים במלאכה יודעים עד כמה קשה היא גמילה מסמים. אכן, לעיתים חומרת העבירה תביא למסקנה לפיה יש להעדיף את עקרון ההלימה על פני שיקומו של נאשם, שכן שיקומו של נאשם אינו חזות הכל ויש שנכון להעדיף שיקולים אחרים (</w:t>
      </w:r>
      <w:hyperlink r:id="rId47" w:history="1">
        <w:r w:rsidR="00802809" w:rsidRPr="00802809">
          <w:rPr>
            <w:color w:val="0000FF"/>
            <w:u w:val="single"/>
            <w:rtl/>
          </w:rPr>
          <w:t>ע"פ 5376/15</w:t>
        </w:r>
      </w:hyperlink>
      <w:r w:rsidRPr="006114F2">
        <w:rPr>
          <w:rtl/>
        </w:rPr>
        <w:t xml:space="preserve"> </w:t>
      </w:r>
      <w:r w:rsidRPr="006114F2">
        <w:rPr>
          <w:rFonts w:hint="cs"/>
          <w:b/>
          <w:bCs/>
          <w:rtl/>
        </w:rPr>
        <w:t>ניסים ביטון נ' מדינת ישראל</w:t>
      </w:r>
      <w:r w:rsidRPr="006114F2">
        <w:rPr>
          <w:rFonts w:hint="cs"/>
          <w:rtl/>
        </w:rPr>
        <w:t xml:space="preserve"> (11.2.2016)). עם זאת, במקרה זה נראה כי מדובר בנאשם המצוי כיום "במקום אחר". מזה תקופה ארוכה הוא מתמיד בהליך טיפולי קשה, אשר הביא לשינוי חשיבה והתנהגות. גורמי הטיפול התרשמו </w:t>
      </w:r>
      <w:r>
        <w:rPr>
          <w:rFonts w:hint="cs"/>
          <w:rtl/>
        </w:rPr>
        <w:t xml:space="preserve">שהוא מפגין </w:t>
      </w:r>
      <w:r w:rsidRPr="006114F2">
        <w:rPr>
          <w:rFonts w:hint="cs"/>
          <w:rtl/>
        </w:rPr>
        <w:t xml:space="preserve">מוטיבציה </w:t>
      </w:r>
      <w:r>
        <w:rPr>
          <w:rFonts w:hint="cs"/>
          <w:rtl/>
        </w:rPr>
        <w:t xml:space="preserve">עזה </w:t>
      </w:r>
      <w:r w:rsidRPr="006114F2">
        <w:rPr>
          <w:rFonts w:hint="cs"/>
          <w:rtl/>
        </w:rPr>
        <w:t>לשינוי ולבניית אורח חיים נורמטיבי ויציב. נתונים אלו תומכים בבירור במסקנה לפיה קיימים בעניינו סיכויי שיקום משמעותיים, אשר מצדיקים חריגה ממתחם הענישה.</w:t>
      </w:r>
      <w:r w:rsidRPr="006114F2">
        <w:rPr>
          <w:rtl/>
        </w:rPr>
        <w:t xml:space="preserve"> </w:t>
      </w:r>
      <w:r>
        <w:rPr>
          <w:rFonts w:ascii="David" w:hAnsi="David" w:hint="cs"/>
          <w:rtl/>
        </w:rPr>
        <w:t xml:space="preserve">ודוק: </w:t>
      </w:r>
      <w:r>
        <w:rPr>
          <w:rFonts w:hint="cs"/>
          <w:rtl/>
        </w:rPr>
        <w:t xml:space="preserve">כידוע, </w:t>
      </w:r>
      <w:r>
        <w:rPr>
          <w:rtl/>
        </w:rPr>
        <w:t>תמיכה בהליך שיקומו של הנאשם תניב תוצאה חיובית לא רק עבורו אלא גם עבור החברה.</w:t>
      </w:r>
      <w:r w:rsidRPr="006F097B">
        <w:rPr>
          <w:rFonts w:ascii="David" w:hAnsi="David" w:hint="cs"/>
          <w:rtl/>
        </w:rPr>
        <w:t xml:space="preserve"> ראו:  </w:t>
      </w:r>
    </w:p>
    <w:p w14:paraId="14BE4F7E" w14:textId="77777777" w:rsidR="00885E64" w:rsidRPr="006F097B" w:rsidRDefault="00885E64" w:rsidP="00885E64">
      <w:pPr>
        <w:spacing w:line="360" w:lineRule="auto"/>
        <w:ind w:left="720"/>
        <w:contextualSpacing/>
        <w:jc w:val="both"/>
        <w:rPr>
          <w:rFonts w:ascii="David" w:hAnsi="David"/>
        </w:rPr>
      </w:pPr>
    </w:p>
    <w:p w14:paraId="63FC4E17" w14:textId="77777777" w:rsidR="00885E64" w:rsidRDefault="00885E64" w:rsidP="00885E64">
      <w:pPr>
        <w:overflowPunct w:val="0"/>
        <w:autoSpaceDE w:val="0"/>
        <w:autoSpaceDN w:val="0"/>
        <w:ind w:left="1440" w:right="567"/>
        <w:jc w:val="both"/>
        <w:rPr>
          <w:rFonts w:ascii="David" w:hAnsi="David"/>
        </w:rPr>
      </w:pPr>
      <w:r>
        <w:rPr>
          <w:rFonts w:ascii="Arial TUR" w:hAnsi="Arial TUR" w:cs="Miriam"/>
          <w:spacing w:val="10"/>
          <w:rtl/>
        </w:rPr>
        <w:t xml:space="preserve">"הישג שיקומי זה הוא נדיר במקומנו, במיוחד מקום שמדובר בגמילה מסמים. על שום נדירותו וייחודו, בולט הצורך לתת לו משקל נכבד במסגרת שיקולי הענישה, וזאת מכמה בחינות: </w:t>
      </w:r>
      <w:r>
        <w:rPr>
          <w:rFonts w:ascii="Arial TUR" w:hAnsi="Arial TUR" w:cs="Miriam"/>
          <w:rtl/>
        </w:rPr>
        <w:t xml:space="preserve">ראשית, </w:t>
      </w:r>
      <w:r>
        <w:rPr>
          <w:rFonts w:ascii="Arial TUR" w:hAnsi="Arial TUR" w:cs="Miriam"/>
          <w:spacing w:val="10"/>
          <w:rtl/>
        </w:rPr>
        <w:t xml:space="preserve">מבחינת האינטרס הציבורי בהגנה על שלום הציבור ובטחונו, שיקומו של עבריין מועד תורם לקיומה של ציפייה כי לא יחזור לעולם הפשע. ציפייה זו מקדמת את טובת הציבור ומתיישבת עם אינטרס חברתי רחב. </w:t>
      </w:r>
      <w:r>
        <w:rPr>
          <w:rFonts w:ascii="Arial TUR" w:hAnsi="Arial TUR" w:cs="Miriam"/>
          <w:rtl/>
        </w:rPr>
        <w:t>שנית</w:t>
      </w:r>
      <w:r>
        <w:rPr>
          <w:rFonts w:ascii="Arial TUR" w:hAnsi="Arial TUR" w:cs="Miriam"/>
          <w:spacing w:val="10"/>
          <w:rtl/>
        </w:rPr>
        <w:t xml:space="preserve">, מבחינת העבריין, השיקום המוצלח פותח בפניו אופקי-חיים חדשים... </w:t>
      </w:r>
      <w:r>
        <w:rPr>
          <w:rFonts w:ascii="Arial TUR" w:hAnsi="Arial TUR" w:cs="Miriam"/>
          <w:rtl/>
        </w:rPr>
        <w:t>ושלישית</w:t>
      </w:r>
      <w:r>
        <w:rPr>
          <w:rFonts w:ascii="Arial TUR" w:hAnsi="Arial TUR" w:cs="Miriam"/>
          <w:spacing w:val="10"/>
          <w:rtl/>
        </w:rPr>
        <w:t>, מבחינת שירותי השיקום והרווחה, חשוב לטעת את התודעה כי יש טעם ותוחלת בהשקעת משאבים חומריים ואנושיים בפעולות שיקום עבריינים, וכי מקום שפעולות אלה מניבות פרי, ישנה התחשבות בכך בתהליך הענישה ... בנסיבות האמורות, הצורך לשמר את תוצאות שיקומו של המערער בשל מיגוון ההיבטים האמורים עשוי להכריע אף את שיקולי הענישה המסורתיים – הגמול וההרתעה; עם זאת, בכל מקרה, יש לשלב את השיקולים הנוגדים בענישה לנוסחה מאוזנת ומידתית שתייחס את המשקל היחסי הראוי למיגוון השיקולים וההיבטים מבחינת אינטרס הציבור ואינטרס הפרט כאחד</w:t>
      </w:r>
      <w:r>
        <w:rPr>
          <w:rFonts w:ascii="David" w:hAnsi="David" w:cs="Miriam"/>
          <w:rtl/>
        </w:rPr>
        <w:t>"</w:t>
      </w:r>
      <w:r>
        <w:rPr>
          <w:rFonts w:ascii="David" w:hAnsi="David"/>
          <w:rtl/>
        </w:rPr>
        <w:t>. (</w:t>
      </w:r>
      <w:hyperlink r:id="rId48" w:history="1">
        <w:r w:rsidR="00802809" w:rsidRPr="00802809">
          <w:rPr>
            <w:rFonts w:ascii="David" w:hAnsi="David"/>
            <w:color w:val="0000FF"/>
            <w:u w:val="single"/>
            <w:rtl/>
          </w:rPr>
          <w:t>ע"פ 8092/04</w:t>
        </w:r>
      </w:hyperlink>
      <w:r>
        <w:rPr>
          <w:rFonts w:ascii="David" w:hAnsi="David"/>
          <w:rtl/>
        </w:rPr>
        <w:t xml:space="preserve"> </w:t>
      </w:r>
      <w:r>
        <w:rPr>
          <w:rFonts w:ascii="David" w:hAnsi="David"/>
          <w:b/>
          <w:bCs/>
          <w:rtl/>
        </w:rPr>
        <w:t>ישראל חביב נ' מדינת ישראל</w:t>
      </w:r>
      <w:r>
        <w:rPr>
          <w:rFonts w:ascii="David" w:hAnsi="David"/>
          <w:rtl/>
        </w:rPr>
        <w:t xml:space="preserve"> (10.9.</w:t>
      </w:r>
      <w:r>
        <w:rPr>
          <w:rFonts w:ascii="David" w:hAnsi="David" w:hint="cs"/>
          <w:rtl/>
        </w:rPr>
        <w:t>20</w:t>
      </w:r>
      <w:r>
        <w:rPr>
          <w:rFonts w:ascii="David" w:hAnsi="David"/>
          <w:rtl/>
        </w:rPr>
        <w:t>06)</w:t>
      </w:r>
      <w:r>
        <w:rPr>
          <w:rFonts w:ascii="Arial TUR" w:hAnsi="Arial TUR" w:cs="Miriam"/>
          <w:spacing w:val="10"/>
          <w:rtl/>
        </w:rPr>
        <w:t>).</w:t>
      </w:r>
    </w:p>
    <w:p w14:paraId="614CC6D5" w14:textId="77777777" w:rsidR="00885E64" w:rsidRDefault="00885E64" w:rsidP="00885E64">
      <w:pPr>
        <w:spacing w:line="360" w:lineRule="auto"/>
        <w:jc w:val="both"/>
        <w:rPr>
          <w:rtl/>
        </w:rPr>
      </w:pPr>
    </w:p>
    <w:p w14:paraId="5974CA98" w14:textId="77777777" w:rsidR="00885E64" w:rsidRPr="009531FD" w:rsidRDefault="00885E64" w:rsidP="00885E64">
      <w:pPr>
        <w:numPr>
          <w:ilvl w:val="0"/>
          <w:numId w:val="1"/>
        </w:numPr>
        <w:spacing w:line="360" w:lineRule="auto"/>
        <w:contextualSpacing/>
        <w:jc w:val="both"/>
        <w:rPr>
          <w:rFonts w:ascii="David" w:hAnsi="David"/>
        </w:rPr>
      </w:pPr>
      <w:r>
        <w:rPr>
          <w:rFonts w:ascii="David" w:hAnsi="David" w:hint="cs"/>
          <w:rtl/>
        </w:rPr>
        <w:t xml:space="preserve">אינני סבור כי עמדת המאשימה לעונש מאסר (ואף ממושך) ראויה במקרה זה, לאור הליך השיקום שעבר הנאשם. אכן, הנאשם נשא בעברו עונשי מאסר, ואולם, דעתי היא שבנקודת זמן זו בחייו, תהא לעונש מאסר השפעה הרסנית על סיכויי שיקומו והיא תוריד לטמיון את הישגיו עד כה, תוצאה ממנה ראיתי להימנע. עונש מאסר עלול להחזיר את הנאשם לעולם הסמים ולחיי עבריינות. הוא ימנע אפשרות לחייב את הנאשם להמשיך בהליך הגמילה ובקשר עם שירות המבחן. תוצאה זו אינה ראויה לדעתי ונסיבות המקרה תומכות במתן הזדמנות לנאשם להמשיך בהליך הגמילה, להפוך לאדם יצרני התורם לחברה וזאת תחת פגיעה בה </w:t>
      </w:r>
      <w:r>
        <w:rPr>
          <w:rtl/>
        </w:rPr>
        <w:t xml:space="preserve"> (</w:t>
      </w:r>
      <w:hyperlink r:id="rId49" w:history="1">
        <w:r w:rsidR="00802809" w:rsidRPr="00802809">
          <w:rPr>
            <w:color w:val="0000FF"/>
            <w:u w:val="single"/>
            <w:rtl/>
          </w:rPr>
          <w:t>ע"פ 4944/15</w:t>
        </w:r>
      </w:hyperlink>
      <w:r>
        <w:rPr>
          <w:rtl/>
        </w:rPr>
        <w:t xml:space="preserve"> </w:t>
      </w:r>
      <w:r w:rsidRPr="009531FD">
        <w:rPr>
          <w:rFonts w:hint="cs"/>
          <w:b/>
          <w:bCs/>
          <w:rtl/>
        </w:rPr>
        <w:t>חסדי חן שרעבי ואח' נ' מדינת ישראל</w:t>
      </w:r>
      <w:r>
        <w:rPr>
          <w:rFonts w:hint="cs"/>
          <w:rtl/>
        </w:rPr>
        <w:t xml:space="preserve"> (4.2.2016)); </w:t>
      </w:r>
      <w:hyperlink r:id="rId50" w:history="1">
        <w:r w:rsidR="00802809" w:rsidRPr="00802809">
          <w:rPr>
            <w:color w:val="0000FF"/>
            <w:u w:val="single"/>
            <w:rtl/>
          </w:rPr>
          <w:t>ע"פ 779/15</w:t>
        </w:r>
      </w:hyperlink>
      <w:r>
        <w:rPr>
          <w:rtl/>
        </w:rPr>
        <w:t xml:space="preserve"> </w:t>
      </w:r>
      <w:r w:rsidRPr="009531FD">
        <w:rPr>
          <w:rFonts w:hint="cs"/>
          <w:b/>
          <w:bCs/>
          <w:rtl/>
        </w:rPr>
        <w:t>פלוני נ' מדינת ישראל</w:t>
      </w:r>
      <w:r>
        <w:rPr>
          <w:rFonts w:hint="cs"/>
          <w:rtl/>
        </w:rPr>
        <w:t xml:space="preserve"> (12.4.2015)). </w:t>
      </w:r>
    </w:p>
    <w:p w14:paraId="708D14AA" w14:textId="77777777" w:rsidR="00885E64" w:rsidRDefault="00885E64" w:rsidP="00885E64">
      <w:pPr>
        <w:spacing w:line="360" w:lineRule="auto"/>
        <w:contextualSpacing/>
        <w:jc w:val="both"/>
        <w:rPr>
          <w:rFonts w:ascii="David" w:hAnsi="David"/>
          <w:rtl/>
        </w:rPr>
      </w:pPr>
    </w:p>
    <w:p w14:paraId="6F5EA9BA" w14:textId="77777777" w:rsidR="00885E64" w:rsidRPr="004306A9" w:rsidRDefault="00885E64" w:rsidP="00885E64">
      <w:pPr>
        <w:numPr>
          <w:ilvl w:val="0"/>
          <w:numId w:val="1"/>
        </w:numPr>
        <w:spacing w:line="360" w:lineRule="auto"/>
        <w:contextualSpacing/>
        <w:jc w:val="both"/>
        <w:rPr>
          <w:rFonts w:ascii="David" w:hAnsi="David"/>
        </w:rPr>
      </w:pPr>
      <w:r>
        <w:rPr>
          <w:rFonts w:hint="cs"/>
          <w:rtl/>
        </w:rPr>
        <w:t xml:space="preserve">המלצת שירות המבחן לנקוט באפיק שיקומי מקובלת עלי אפוא. </w:t>
      </w:r>
      <w:r>
        <w:rPr>
          <w:rtl/>
        </w:rPr>
        <w:t>כידוע, שירות המבחן הוא הגוף המקצועי האמון על שיקום נאשמים ועל הערכת הסיכויים לכך</w:t>
      </w:r>
      <w:r>
        <w:rPr>
          <w:rFonts w:hint="cs"/>
          <w:rtl/>
        </w:rPr>
        <w:t>,</w:t>
      </w:r>
      <w:r>
        <w:rPr>
          <w:rtl/>
        </w:rPr>
        <w:t xml:space="preserve"> וקצין המבחן משמש כזרועו הארוכה של בית המשפט לעניין זה. אכן, בית המשפט אינו חייב לאמץ את המלצת שירות המבחן, אך  ברי כי להמלצתו משקל של ממש בבואו של בית המשפט לגזור את דינו של נאשם (</w:t>
      </w:r>
      <w:hyperlink r:id="rId51" w:history="1">
        <w:r w:rsidR="00802809" w:rsidRPr="00802809">
          <w:rPr>
            <w:color w:val="0000FF"/>
            <w:u w:val="single"/>
            <w:rtl/>
          </w:rPr>
          <w:t>ע"פ 3472/11</w:t>
        </w:r>
      </w:hyperlink>
      <w:r>
        <w:rPr>
          <w:rtl/>
        </w:rPr>
        <w:t xml:space="preserve"> </w:t>
      </w:r>
      <w:r w:rsidRPr="004306A9">
        <w:rPr>
          <w:b/>
          <w:bCs/>
          <w:rtl/>
        </w:rPr>
        <w:t>פלוני נ' מדינת ישראל</w:t>
      </w:r>
      <w:r>
        <w:rPr>
          <w:rtl/>
        </w:rPr>
        <w:t xml:space="preserve"> (3.9.12)).</w:t>
      </w:r>
      <w:r>
        <w:rPr>
          <w:rFonts w:ascii="David" w:hAnsi="David" w:hint="cs"/>
          <w:rtl/>
        </w:rPr>
        <w:t xml:space="preserve"> כאמור לעיל, במקרה זה קיימים שיקולים בעלי משקל רב לקבלת ההמלצה. </w:t>
      </w:r>
      <w:r w:rsidRPr="004306A9">
        <w:rPr>
          <w:rFonts w:ascii="David" w:hAnsi="David" w:hint="cs"/>
          <w:rtl/>
        </w:rPr>
        <w:t>אציין עוד כי באם אאמץ את המלצת שירות המבחן, הנאשם אינו מסיים את ההליך, אלא יוצא לדרך קשה (או שמא</w:t>
      </w:r>
      <w:r>
        <w:rPr>
          <w:rFonts w:ascii="David" w:hAnsi="David" w:hint="cs"/>
          <w:rtl/>
        </w:rPr>
        <w:t>,</w:t>
      </w:r>
      <w:r w:rsidRPr="004306A9">
        <w:rPr>
          <w:rFonts w:ascii="David" w:hAnsi="David" w:hint="cs"/>
          <w:rtl/>
        </w:rPr>
        <w:t xml:space="preserve"> ממשיך בה) ואם ימעד חלילה, הוא ישוב לבית המשפט וייענש במלוא חומרת הדין. </w:t>
      </w:r>
    </w:p>
    <w:p w14:paraId="1DA23B09" w14:textId="77777777" w:rsidR="00885E64" w:rsidRDefault="00885E64" w:rsidP="00885E64">
      <w:pPr>
        <w:spacing w:line="360" w:lineRule="auto"/>
        <w:contextualSpacing/>
        <w:jc w:val="both"/>
        <w:rPr>
          <w:rFonts w:ascii="David" w:hAnsi="David"/>
        </w:rPr>
      </w:pPr>
    </w:p>
    <w:p w14:paraId="73BF827C" w14:textId="77777777" w:rsidR="00885E64" w:rsidRDefault="00885E64" w:rsidP="00885E64">
      <w:pPr>
        <w:numPr>
          <w:ilvl w:val="0"/>
          <w:numId w:val="1"/>
        </w:numPr>
        <w:spacing w:line="360" w:lineRule="auto"/>
        <w:contextualSpacing/>
        <w:jc w:val="both"/>
        <w:rPr>
          <w:rFonts w:ascii="David" w:hAnsi="David"/>
        </w:rPr>
      </w:pPr>
      <w:r>
        <w:rPr>
          <w:rFonts w:ascii="David" w:hAnsi="David" w:hint="cs"/>
          <w:rtl/>
        </w:rPr>
        <w:t xml:space="preserve">כאן המקום להדגיש כי שירות המבחן המליץ להטיל על הנאשם עונש מאסר שניתן לשאת בו בעבודות שירות, ואולם הדבר בלתי אפשרי בשל קיומו של מאסר מותנה בן 12 חודשים. דומה כי המלצה זו באה בשל היעדר מודעות למשמעות המשפטית של מאסר מותנה זה ומובן שאין להבין את המלצת שרות המבחן כי אם אין אפשרות להטיל על הנאשם עבודות שירות, מתחייבת שליחתו למאסר ממש. לדעתי, שירות המבחן סבר כי נוכח חומרת האישומים ראוי לחייב את הנאשם בנוסף לצו המבחן גם בענישה ממשית, אך הוא בוודאי לא סבר שבהיעדר אפשרות לעשות כן יש להטיל עונש בכליאה, העומד בניגוד גמור לתכלית ההמלצה. מסקנה זו ברורה בעיני ומשכך לא ביקשתי את עמדת שירות המבחן בנושא חרף בקשת הסנגור. עם זאת, אציין כי בהיעדר אפשרות להטיל על הנאשם עונש מוחשי  בעבודות שירות, ראוי לעשות כן לדעתי על דרך צו של"צ בהיקף משמעותי. </w:t>
      </w:r>
    </w:p>
    <w:p w14:paraId="14FDD46C" w14:textId="77777777" w:rsidR="00885E64" w:rsidRPr="00221ABF" w:rsidRDefault="00885E64" w:rsidP="00885E64">
      <w:pPr>
        <w:pStyle w:val="a9"/>
        <w:rPr>
          <w:rFonts w:ascii="David" w:hAnsi="David"/>
          <w:rtl/>
        </w:rPr>
      </w:pPr>
    </w:p>
    <w:p w14:paraId="68CAF2FF" w14:textId="77777777" w:rsidR="00885E64" w:rsidRPr="00DC5877" w:rsidRDefault="00885E64" w:rsidP="00885E64">
      <w:pPr>
        <w:numPr>
          <w:ilvl w:val="0"/>
          <w:numId w:val="1"/>
        </w:numPr>
        <w:spacing w:line="360" w:lineRule="auto"/>
        <w:contextualSpacing/>
        <w:jc w:val="both"/>
        <w:rPr>
          <w:rFonts w:ascii="David" w:hAnsi="David"/>
        </w:rPr>
      </w:pPr>
      <w:r>
        <w:rPr>
          <w:rFonts w:hint="cs"/>
          <w:rtl/>
        </w:rPr>
        <w:t xml:space="preserve">בעניין המאסר המותנה אציין עוד כי המאשימה טענה שמדובר במאסר מותנה בר הפעלה ולא התייחסה לכך שהנאשם הורשע בשני כתבי אישום שונים, אשר כל אחד מהם מפעיל את המאסר המותנה. לדידי, מדובר במאסר מותנה </w:t>
      </w:r>
      <w:r w:rsidRPr="00DC5877">
        <w:rPr>
          <w:rFonts w:hint="cs"/>
          <w:u w:val="single"/>
          <w:rtl/>
        </w:rPr>
        <w:t>חב</w:t>
      </w:r>
      <w:r>
        <w:rPr>
          <w:rFonts w:hint="cs"/>
          <w:rtl/>
        </w:rPr>
        <w:t xml:space="preserve"> הפעלה שכן העבירות שבשני כתבי האישום הן עבירות שונות לצורך </w:t>
      </w:r>
      <w:hyperlink r:id="rId52" w:history="1">
        <w:r w:rsidR="00E31387" w:rsidRPr="00E31387">
          <w:rPr>
            <w:rStyle w:val="Hyperlink"/>
            <w:rFonts w:hint="eastAsia"/>
            <w:rtl/>
          </w:rPr>
          <w:t>סעיף</w:t>
        </w:r>
        <w:r w:rsidR="00E31387" w:rsidRPr="00E31387">
          <w:rPr>
            <w:rStyle w:val="Hyperlink"/>
            <w:rtl/>
          </w:rPr>
          <w:t xml:space="preserve"> 56(ב)</w:t>
        </w:r>
      </w:hyperlink>
      <w:r>
        <w:rPr>
          <w:rFonts w:hint="cs"/>
          <w:rtl/>
        </w:rPr>
        <w:t xml:space="preserve"> ל</w:t>
      </w:r>
      <w:hyperlink r:id="rId53" w:history="1">
        <w:r w:rsidR="00802809" w:rsidRPr="00802809">
          <w:rPr>
            <w:color w:val="0000FF"/>
            <w:u w:val="single"/>
            <w:rtl/>
          </w:rPr>
          <w:t>חוק העונשין</w:t>
        </w:r>
      </w:hyperlink>
      <w:r>
        <w:rPr>
          <w:rFonts w:hint="cs"/>
          <w:rtl/>
        </w:rPr>
        <w:t xml:space="preserve"> ואין להשקיף עליהן כפרשה אחת בשל ריחוק הזמן שבין ביצוען (ב</w:t>
      </w:r>
      <w:hyperlink r:id="rId54" w:history="1">
        <w:r w:rsidR="00802809" w:rsidRPr="00802809">
          <w:rPr>
            <w:color w:val="0000FF"/>
            <w:u w:val="single"/>
            <w:rtl/>
          </w:rPr>
          <w:t>ר"ע 717/85 קונפורטי נ' מדינת ישראל, פ"ד לט</w:t>
        </w:r>
      </w:hyperlink>
      <w:r>
        <w:rPr>
          <w:rFonts w:hint="cs"/>
          <w:rtl/>
        </w:rPr>
        <w:t xml:space="preserve">(4), 806; </w:t>
      </w:r>
      <w:hyperlink r:id="rId55" w:history="1">
        <w:r w:rsidR="00802809" w:rsidRPr="00802809">
          <w:rPr>
            <w:color w:val="0000FF"/>
            <w:u w:val="single"/>
            <w:rtl/>
          </w:rPr>
          <w:t>רע"פ 6857/07</w:t>
        </w:r>
      </w:hyperlink>
      <w:r>
        <w:rPr>
          <w:rFonts w:hint="cs"/>
          <w:rtl/>
        </w:rPr>
        <w:t xml:space="preserve"> </w:t>
      </w:r>
      <w:r w:rsidRPr="00DC5877">
        <w:rPr>
          <w:rFonts w:hint="cs"/>
          <w:b/>
          <w:bCs/>
          <w:rtl/>
        </w:rPr>
        <w:t>שע"מ מהנדסים ואדריכלים חברה בע"מ נ' מדינת ישראל</w:t>
      </w:r>
      <w:r>
        <w:rPr>
          <w:rFonts w:hint="cs"/>
          <w:rtl/>
        </w:rPr>
        <w:t xml:space="preserve"> (21.8.2017); </w:t>
      </w:r>
      <w:hyperlink r:id="rId56" w:history="1">
        <w:r w:rsidR="00802809" w:rsidRPr="00802809">
          <w:rPr>
            <w:color w:val="0000FF"/>
            <w:u w:val="single"/>
            <w:rtl/>
          </w:rPr>
          <w:t>רע"פ 5953/08</w:t>
        </w:r>
      </w:hyperlink>
      <w:r>
        <w:rPr>
          <w:rFonts w:hint="cs"/>
          <w:rtl/>
        </w:rPr>
        <w:t xml:space="preserve"> </w:t>
      </w:r>
      <w:r w:rsidRPr="00DC5877">
        <w:rPr>
          <w:rFonts w:hint="cs"/>
          <w:b/>
          <w:bCs/>
          <w:rtl/>
        </w:rPr>
        <w:t>עתאמלה נ' מדינת ישראל</w:t>
      </w:r>
      <w:r>
        <w:rPr>
          <w:rFonts w:hint="cs"/>
          <w:rtl/>
        </w:rPr>
        <w:t xml:space="preserve"> (22.10.2008)). עם זאת, לנושא זה </w:t>
      </w:r>
      <w:r w:rsidRPr="00DC5877">
        <w:rPr>
          <w:rFonts w:ascii="David" w:hAnsi="David" w:hint="cs"/>
          <w:rtl/>
        </w:rPr>
        <w:t>אין חשיבות מעשית כפי שיפורט להלן</w:t>
      </w:r>
      <w:r>
        <w:rPr>
          <w:rFonts w:ascii="David" w:hAnsi="David" w:hint="cs"/>
          <w:rtl/>
        </w:rPr>
        <w:t>.</w:t>
      </w:r>
    </w:p>
    <w:p w14:paraId="4CD91094" w14:textId="77777777" w:rsidR="00885E64" w:rsidRPr="00DC5877" w:rsidRDefault="00885E64" w:rsidP="00885E64">
      <w:pPr>
        <w:pStyle w:val="a9"/>
        <w:rPr>
          <w:rFonts w:ascii="David" w:hAnsi="David"/>
          <w:rtl/>
        </w:rPr>
      </w:pPr>
    </w:p>
    <w:p w14:paraId="3E5DE5D7" w14:textId="77777777" w:rsidR="00885E64" w:rsidRPr="00DC5877" w:rsidRDefault="00885E64" w:rsidP="00885E64">
      <w:pPr>
        <w:numPr>
          <w:ilvl w:val="0"/>
          <w:numId w:val="1"/>
        </w:numPr>
        <w:spacing w:line="360" w:lineRule="auto"/>
        <w:contextualSpacing/>
        <w:jc w:val="both"/>
        <w:rPr>
          <w:rFonts w:ascii="David" w:hAnsi="David"/>
        </w:rPr>
      </w:pPr>
      <w:r w:rsidRPr="009531FD">
        <w:rPr>
          <w:rFonts w:ascii="David" w:hAnsi="David"/>
          <w:rtl/>
        </w:rPr>
        <w:t>שוכנעתי, כאמור, כי לא יהא זה צודק (ונכון) להורות על כליאת</w:t>
      </w:r>
      <w:r>
        <w:rPr>
          <w:rFonts w:ascii="David" w:hAnsi="David" w:hint="cs"/>
          <w:rtl/>
        </w:rPr>
        <w:t xml:space="preserve"> הנאשם</w:t>
      </w:r>
      <w:r w:rsidRPr="009531FD">
        <w:rPr>
          <w:rFonts w:ascii="David" w:hAnsi="David"/>
          <w:rtl/>
        </w:rPr>
        <w:t xml:space="preserve">. </w:t>
      </w:r>
      <w:r>
        <w:rPr>
          <w:rFonts w:ascii="David" w:hAnsi="David" w:hint="cs"/>
          <w:rtl/>
        </w:rPr>
        <w:t xml:space="preserve">מסקנה זו מצדיקה את הארכת המאסר המותנה. </w:t>
      </w:r>
      <w:r w:rsidRPr="009531FD">
        <w:rPr>
          <w:rFonts w:ascii="David" w:hAnsi="David"/>
          <w:rtl/>
        </w:rPr>
        <w:t xml:space="preserve">ראו: </w:t>
      </w:r>
      <w:r w:rsidRPr="009531FD">
        <w:rPr>
          <w:rFonts w:ascii="David" w:hAnsi="David" w:cs="Miriam"/>
          <w:rtl/>
        </w:rPr>
        <w:t>"על-פי מצוות החוק, הארכת תקופת תנאי אפשרית 'מטעמים שיירשמו... אם שוכנע בית המשפט שבנסיבות הענין לא יהיה זה צודק להפעיל את המאסר על תנאי' [...] שיקול הדעת הניתן לבית המשפט בהארכת עונש מאסר מותנה מתמקד במצבים שבהם מוצדק לתת לנאשם הזדמנות נוספת לחזור לדרך הישר, כאשר הוא מראה סימנים המניחים יסוד לציפייה כי כך יהיה"</w:t>
      </w:r>
      <w:r w:rsidRPr="009531FD">
        <w:rPr>
          <w:rFonts w:ascii="David" w:hAnsi="David"/>
          <w:rtl/>
        </w:rPr>
        <w:t xml:space="preserve"> (</w:t>
      </w:r>
      <w:hyperlink r:id="rId57" w:history="1">
        <w:r w:rsidR="00802809" w:rsidRPr="00802809">
          <w:rPr>
            <w:rFonts w:ascii="David" w:hAnsi="David"/>
            <w:color w:val="0000FF"/>
            <w:u w:val="single"/>
            <w:rtl/>
          </w:rPr>
          <w:t>רע"פ 7391/08</w:t>
        </w:r>
      </w:hyperlink>
      <w:r w:rsidRPr="009531FD">
        <w:rPr>
          <w:rFonts w:ascii="David" w:hAnsi="David"/>
          <w:rtl/>
        </w:rPr>
        <w:t xml:space="preserve"> </w:t>
      </w:r>
      <w:r w:rsidRPr="009531FD">
        <w:rPr>
          <w:rFonts w:ascii="David" w:hAnsi="David"/>
          <w:b/>
          <w:bCs/>
          <w:rtl/>
        </w:rPr>
        <w:t>מחאג'נה נ' מדינת ישראל</w:t>
      </w:r>
      <w:r w:rsidRPr="009531FD">
        <w:rPr>
          <w:rFonts w:ascii="David" w:hAnsi="David"/>
          <w:rtl/>
        </w:rPr>
        <w:t xml:space="preserve"> (14.9.2009)).</w:t>
      </w:r>
      <w:r>
        <w:rPr>
          <w:rFonts w:ascii="David" w:hAnsi="David" w:hint="cs"/>
          <w:rtl/>
        </w:rPr>
        <w:t xml:space="preserve"> כמו כן, בשל העובדה שהמאסר המותנה הוא חב הפעלה, </w:t>
      </w:r>
      <w:r w:rsidRPr="00DC5877">
        <w:rPr>
          <w:rFonts w:ascii="David" w:hAnsi="David" w:hint="cs"/>
          <w:rtl/>
        </w:rPr>
        <w:t xml:space="preserve">ראוי </w:t>
      </w:r>
      <w:r>
        <w:rPr>
          <w:rFonts w:ascii="David" w:hAnsi="David" w:hint="cs"/>
          <w:rtl/>
        </w:rPr>
        <w:t xml:space="preserve">אף </w:t>
      </w:r>
      <w:r w:rsidRPr="00DC5877">
        <w:rPr>
          <w:rFonts w:ascii="David" w:hAnsi="David" w:hint="cs"/>
          <w:rtl/>
        </w:rPr>
        <w:t xml:space="preserve">לעשות שימוש </w:t>
      </w:r>
      <w:hyperlink r:id="rId58" w:history="1">
        <w:r w:rsidR="00E31387" w:rsidRPr="00E31387">
          <w:rPr>
            <w:rStyle w:val="Hyperlink"/>
            <w:rFonts w:ascii="David" w:hAnsi="David" w:hint="eastAsia"/>
            <w:rtl/>
          </w:rPr>
          <w:t>בסעיף</w:t>
        </w:r>
        <w:r w:rsidR="00E31387" w:rsidRPr="00E31387">
          <w:rPr>
            <w:rStyle w:val="Hyperlink"/>
            <w:rFonts w:ascii="David" w:hAnsi="David"/>
            <w:rtl/>
          </w:rPr>
          <w:t xml:space="preserve"> 85</w:t>
        </w:r>
      </w:hyperlink>
      <w:r w:rsidRPr="00DC5877">
        <w:rPr>
          <w:rFonts w:ascii="David" w:hAnsi="David" w:hint="cs"/>
          <w:rtl/>
        </w:rPr>
        <w:t xml:space="preserve"> ל</w:t>
      </w:r>
      <w:hyperlink r:id="rId59" w:history="1">
        <w:r w:rsidR="00802809" w:rsidRPr="00802809">
          <w:rPr>
            <w:rFonts w:ascii="David" w:hAnsi="David"/>
            <w:color w:val="0000FF"/>
            <w:u w:val="single"/>
            <w:rtl/>
          </w:rPr>
          <w:t>חוק העונשין</w:t>
        </w:r>
      </w:hyperlink>
      <w:r w:rsidRPr="00DC5877">
        <w:rPr>
          <w:rFonts w:ascii="David" w:hAnsi="David" w:hint="cs"/>
          <w:rtl/>
        </w:rPr>
        <w:t xml:space="preserve"> ולהורות על הארכת</w:t>
      </w:r>
      <w:r>
        <w:rPr>
          <w:rFonts w:ascii="David" w:hAnsi="David" w:hint="cs"/>
          <w:rtl/>
        </w:rPr>
        <w:t xml:space="preserve">ו </w:t>
      </w:r>
      <w:r w:rsidRPr="00DC5877">
        <w:rPr>
          <w:rFonts w:ascii="David" w:hAnsi="David" w:hint="cs"/>
          <w:rtl/>
        </w:rPr>
        <w:t>פעם נוספת וזאת בשל סיכויי שיקומו של הנאשם</w:t>
      </w:r>
      <w:r>
        <w:rPr>
          <w:rFonts w:ascii="David" w:hAnsi="David" w:hint="cs"/>
          <w:rtl/>
        </w:rPr>
        <w:t>,</w:t>
      </w:r>
      <w:r w:rsidRPr="00DC5877">
        <w:rPr>
          <w:rFonts w:ascii="David" w:hAnsi="David" w:hint="cs"/>
          <w:rtl/>
        </w:rPr>
        <w:t xml:space="preserve"> והעובדה שהפעלת המאסר המותנה תסב לו נזק חמור</w:t>
      </w:r>
      <w:r>
        <w:rPr>
          <w:rFonts w:ascii="David" w:hAnsi="David" w:hint="cs"/>
          <w:rtl/>
        </w:rPr>
        <w:t>,</w:t>
      </w:r>
      <w:r w:rsidRPr="00DC5877">
        <w:rPr>
          <w:rFonts w:ascii="David" w:hAnsi="David" w:hint="cs"/>
          <w:rtl/>
        </w:rPr>
        <w:t xml:space="preserve"> וכן בהתקיימות יתר תנאי הסעיף. </w:t>
      </w:r>
    </w:p>
    <w:p w14:paraId="33474E69" w14:textId="77777777" w:rsidR="00885E64" w:rsidRDefault="00885E64" w:rsidP="00885E64">
      <w:pPr>
        <w:pStyle w:val="a9"/>
        <w:rPr>
          <w:rFonts w:ascii="David" w:hAnsi="David"/>
          <w:rtl/>
        </w:rPr>
      </w:pPr>
    </w:p>
    <w:p w14:paraId="5197DBCC" w14:textId="77777777" w:rsidR="00885E64" w:rsidRDefault="00885E64" w:rsidP="00885E64">
      <w:pPr>
        <w:spacing w:line="360" w:lineRule="auto"/>
        <w:jc w:val="both"/>
        <w:rPr>
          <w:rFonts w:ascii="David" w:hAnsi="David"/>
          <w:rtl/>
        </w:rPr>
      </w:pPr>
      <w:r>
        <w:rPr>
          <w:rFonts w:ascii="David" w:hAnsi="David"/>
          <w:rtl/>
        </w:rPr>
        <w:t xml:space="preserve">19. </w:t>
      </w:r>
      <w:r>
        <w:rPr>
          <w:rFonts w:ascii="David" w:hAnsi="David"/>
          <w:rtl/>
        </w:rPr>
        <w:tab/>
        <w:t>אשר על כן, לאחר שבחנתי את מכלול השיקולים, הן לקולה והן לחומרה,  אני מחליט לחרוג ממתחם הענישה מטעמי שיקום ומטיל על הנאשם את העונשים הבאים:</w:t>
      </w:r>
    </w:p>
    <w:p w14:paraId="49D81027" w14:textId="77777777" w:rsidR="00885E64" w:rsidRPr="000A7D9A" w:rsidRDefault="00885E64" w:rsidP="00885E64">
      <w:pPr>
        <w:spacing w:line="360" w:lineRule="auto"/>
        <w:jc w:val="both"/>
        <w:rPr>
          <w:rFonts w:ascii="David" w:hAnsi="David"/>
          <w:rtl/>
        </w:rPr>
      </w:pPr>
    </w:p>
    <w:p w14:paraId="00F0895B" w14:textId="77777777" w:rsidR="00885E64" w:rsidRPr="000A7D9A" w:rsidRDefault="00885E64" w:rsidP="00885E64">
      <w:pPr>
        <w:pStyle w:val="a9"/>
        <w:numPr>
          <w:ilvl w:val="0"/>
          <w:numId w:val="2"/>
        </w:numPr>
        <w:spacing w:line="360" w:lineRule="auto"/>
        <w:jc w:val="both"/>
        <w:rPr>
          <w:rFonts w:ascii="David" w:hAnsi="David" w:cs="David"/>
          <w:sz w:val="24"/>
          <w:szCs w:val="24"/>
        </w:rPr>
      </w:pPr>
      <w:r w:rsidRPr="000A7D9A">
        <w:rPr>
          <w:rFonts w:ascii="David" w:hAnsi="David" w:cs="David"/>
          <w:sz w:val="24"/>
          <w:szCs w:val="24"/>
          <w:rtl/>
        </w:rPr>
        <w:t>אני מורה על הארכת המאסר המותנה בן 12 חודשים מ</w:t>
      </w:r>
      <w:hyperlink r:id="rId60" w:history="1">
        <w:r w:rsidR="00802809" w:rsidRPr="00802809">
          <w:rPr>
            <w:rFonts w:ascii="David" w:hAnsi="David" w:cs="David"/>
            <w:color w:val="0000FF"/>
            <w:sz w:val="24"/>
            <w:szCs w:val="24"/>
            <w:u w:val="single"/>
            <w:rtl/>
          </w:rPr>
          <w:t>ת"פ 17781-08-14</w:t>
        </w:r>
      </w:hyperlink>
      <w:r w:rsidRPr="000A7D9A">
        <w:rPr>
          <w:rFonts w:ascii="David" w:hAnsi="David" w:cs="David"/>
          <w:sz w:val="24"/>
          <w:szCs w:val="24"/>
          <w:rtl/>
        </w:rPr>
        <w:t xml:space="preserve"> וזאת למשך שנתיים. </w:t>
      </w:r>
    </w:p>
    <w:p w14:paraId="26D20BBA" w14:textId="77777777" w:rsidR="00885E64" w:rsidRPr="000A7D9A" w:rsidRDefault="00885E64" w:rsidP="00885E64">
      <w:pPr>
        <w:pStyle w:val="a9"/>
        <w:numPr>
          <w:ilvl w:val="0"/>
          <w:numId w:val="2"/>
        </w:numPr>
        <w:spacing w:line="360" w:lineRule="auto"/>
        <w:jc w:val="both"/>
        <w:rPr>
          <w:rFonts w:ascii="David" w:hAnsi="David" w:cs="David"/>
          <w:sz w:val="24"/>
          <w:szCs w:val="24"/>
        </w:rPr>
      </w:pPr>
      <w:r w:rsidRPr="000A7D9A">
        <w:rPr>
          <w:rFonts w:ascii="David" w:hAnsi="David" w:cs="David"/>
          <w:b/>
          <w:bCs/>
          <w:sz w:val="24"/>
          <w:szCs w:val="24"/>
          <w:rtl/>
        </w:rPr>
        <w:t>אני מעמיד את הנאשם בפיקוח שירות המבחן למשך 18 חודשים</w:t>
      </w:r>
      <w:r w:rsidRPr="000A7D9A">
        <w:rPr>
          <w:rFonts w:ascii="David" w:hAnsi="David" w:cs="David"/>
          <w:sz w:val="24"/>
          <w:szCs w:val="24"/>
          <w:rtl/>
        </w:rPr>
        <w:t>. הובהר לנאשם, בלשון פשוטה, כי עליו למלא אחר הוראות שירות המבחן וכי אם לא יעשה כן ניתן יהיה להפקיע את הצו ולהטיל עליו ענישה נוספת.</w:t>
      </w:r>
    </w:p>
    <w:p w14:paraId="6318A3BA" w14:textId="77777777" w:rsidR="00885E64" w:rsidRPr="000A7D9A" w:rsidRDefault="00885E64" w:rsidP="00885E64">
      <w:pPr>
        <w:pStyle w:val="a9"/>
        <w:numPr>
          <w:ilvl w:val="0"/>
          <w:numId w:val="2"/>
        </w:numPr>
        <w:spacing w:line="360" w:lineRule="auto"/>
        <w:jc w:val="both"/>
        <w:rPr>
          <w:rFonts w:ascii="David" w:hAnsi="David" w:cs="David"/>
          <w:sz w:val="24"/>
          <w:szCs w:val="24"/>
        </w:rPr>
      </w:pPr>
      <w:r w:rsidRPr="000A7D9A">
        <w:rPr>
          <w:rFonts w:ascii="David" w:hAnsi="David" w:cs="David"/>
          <w:b/>
          <w:bCs/>
          <w:sz w:val="24"/>
          <w:szCs w:val="24"/>
          <w:rtl/>
        </w:rPr>
        <w:t xml:space="preserve">אני מחייב את הנאשם לבצע 240 שעות של"צ על פי תכנית שיגיש שירות המבחן בתוך 45 ימים. </w:t>
      </w:r>
      <w:r w:rsidRPr="000A7D9A">
        <w:rPr>
          <w:rFonts w:ascii="David" w:hAnsi="David" w:cs="David"/>
          <w:sz w:val="24"/>
          <w:szCs w:val="24"/>
          <w:rtl/>
        </w:rPr>
        <w:t>הובהר לנאשם, בלשון פשוטה, כי עליו למלא אחר הוראות שירות המבחן בנושא זה וכי אם לא יעשה כן ניתן יהיה להפקיע את הצו ולהטיל עליו ענישה נוספת.</w:t>
      </w:r>
      <w:r>
        <w:rPr>
          <w:rFonts w:ascii="David" w:hAnsi="David" w:cs="David" w:hint="cs"/>
          <w:sz w:val="24"/>
          <w:szCs w:val="24"/>
          <w:rtl/>
        </w:rPr>
        <w:t xml:space="preserve"> שירות המבחן יגיש תכנית של"צ בתוך 45 ימים.</w:t>
      </w:r>
    </w:p>
    <w:p w14:paraId="434E1503" w14:textId="77777777" w:rsidR="00885E64" w:rsidRPr="000A7D9A" w:rsidRDefault="00885E64" w:rsidP="00885E64">
      <w:pPr>
        <w:pStyle w:val="a9"/>
        <w:numPr>
          <w:ilvl w:val="0"/>
          <w:numId w:val="2"/>
        </w:numPr>
        <w:spacing w:line="360" w:lineRule="auto"/>
        <w:jc w:val="both"/>
        <w:rPr>
          <w:rFonts w:ascii="David" w:hAnsi="David" w:cs="David"/>
          <w:sz w:val="24"/>
          <w:szCs w:val="24"/>
          <w:rtl/>
        </w:rPr>
      </w:pPr>
      <w:r w:rsidRPr="000A7D9A">
        <w:rPr>
          <w:rFonts w:ascii="David" w:hAnsi="David" w:cs="David"/>
          <w:sz w:val="24"/>
          <w:szCs w:val="24"/>
          <w:rtl/>
        </w:rPr>
        <w:t>אני פוסל את הנאשם מלקבל או להחזיק רישיון נהיגה לתקופה של 12 חודשים.  מובהר לנאשם שעליו להפקיד את רישיון הנהיגה שברשותו, או תחליף.</w:t>
      </w:r>
    </w:p>
    <w:p w14:paraId="2588EE9B" w14:textId="77777777" w:rsidR="00885E64" w:rsidRPr="000A7D9A" w:rsidRDefault="00885E64" w:rsidP="00885E64">
      <w:pPr>
        <w:pStyle w:val="a9"/>
        <w:numPr>
          <w:ilvl w:val="0"/>
          <w:numId w:val="2"/>
        </w:numPr>
        <w:spacing w:line="360" w:lineRule="auto"/>
        <w:jc w:val="both"/>
        <w:rPr>
          <w:rFonts w:ascii="David" w:hAnsi="David" w:cs="David"/>
          <w:sz w:val="24"/>
          <w:szCs w:val="24"/>
        </w:rPr>
      </w:pPr>
      <w:r w:rsidRPr="000A7D9A">
        <w:rPr>
          <w:rFonts w:ascii="David" w:hAnsi="David" w:cs="David"/>
          <w:sz w:val="24"/>
          <w:szCs w:val="24"/>
          <w:rtl/>
        </w:rPr>
        <w:t xml:space="preserve">אני מורה על חילוט סך של 12,940 ₪ מתוך הכספים שנתפסו ברשות הנאשם ועל השבת היתרה </w:t>
      </w:r>
      <w:r>
        <w:rPr>
          <w:rFonts w:ascii="David" w:hAnsi="David" w:cs="David" w:hint="cs"/>
          <w:sz w:val="24"/>
          <w:szCs w:val="24"/>
          <w:rtl/>
        </w:rPr>
        <w:t>במתווה ה</w:t>
      </w:r>
      <w:r w:rsidRPr="000A7D9A">
        <w:rPr>
          <w:rFonts w:ascii="David" w:hAnsi="David" w:cs="David"/>
          <w:sz w:val="24"/>
          <w:szCs w:val="24"/>
          <w:rtl/>
        </w:rPr>
        <w:t>מפורט בהודעה המוסכמת מיום 5.8.20</w:t>
      </w:r>
      <w:r>
        <w:rPr>
          <w:rFonts w:ascii="David" w:hAnsi="David" w:cs="David" w:hint="cs"/>
          <w:sz w:val="24"/>
          <w:szCs w:val="24"/>
          <w:rtl/>
        </w:rPr>
        <w:t>.</w:t>
      </w:r>
    </w:p>
    <w:p w14:paraId="113673F9" w14:textId="77777777" w:rsidR="00885E64" w:rsidRDefault="00885E64" w:rsidP="00885E64">
      <w:pPr>
        <w:spacing w:line="360" w:lineRule="auto"/>
        <w:ind w:left="720"/>
        <w:jc w:val="both"/>
        <w:rPr>
          <w:b/>
          <w:bCs/>
          <w:u w:val="single"/>
          <w:rtl/>
        </w:rPr>
      </w:pPr>
      <w:r>
        <w:rPr>
          <w:b/>
          <w:bCs/>
          <w:u w:val="single"/>
          <w:rtl/>
        </w:rPr>
        <w:t xml:space="preserve">הודעה זכות ערעור בתוך 45 ימים. </w:t>
      </w:r>
    </w:p>
    <w:p w14:paraId="710BCBC1" w14:textId="77777777" w:rsidR="00885E64" w:rsidRDefault="00885E64" w:rsidP="00885E64">
      <w:pPr>
        <w:spacing w:line="360" w:lineRule="auto"/>
        <w:ind w:left="720"/>
        <w:jc w:val="both"/>
        <w:rPr>
          <w:b/>
          <w:bCs/>
          <w:u w:val="single"/>
          <w:rtl/>
        </w:rPr>
      </w:pPr>
      <w:r>
        <w:rPr>
          <w:b/>
          <w:bCs/>
          <w:u w:val="single"/>
          <w:rtl/>
        </w:rPr>
        <w:t>בחלוף תקופת הערעור, אני מורה על השמדת המוצג – סמים.</w:t>
      </w:r>
    </w:p>
    <w:p w14:paraId="6C94A312" w14:textId="77777777" w:rsidR="00885E64" w:rsidRDefault="00885E64" w:rsidP="00885E64">
      <w:pPr>
        <w:spacing w:line="360" w:lineRule="auto"/>
        <w:ind w:left="720"/>
        <w:jc w:val="both"/>
        <w:rPr>
          <w:b/>
          <w:bCs/>
          <w:u w:val="single"/>
          <w:rtl/>
        </w:rPr>
      </w:pPr>
      <w:r>
        <w:rPr>
          <w:b/>
          <w:bCs/>
          <w:u w:val="single"/>
          <w:rtl/>
        </w:rPr>
        <w:t>יש להמציא את גזר הדין לשירות המבחן.</w:t>
      </w:r>
    </w:p>
    <w:p w14:paraId="1D40E267" w14:textId="77777777" w:rsidR="00885E64" w:rsidRPr="00B05847" w:rsidRDefault="00885E64" w:rsidP="00885E64">
      <w:pPr>
        <w:rPr>
          <w:rtl/>
        </w:rPr>
      </w:pPr>
    </w:p>
    <w:p w14:paraId="5D3A3C71" w14:textId="77777777" w:rsidR="00885E64" w:rsidRPr="00802809" w:rsidRDefault="00802809" w:rsidP="00885E64">
      <w:pPr>
        <w:rPr>
          <w:color w:val="FFFFFF"/>
          <w:sz w:val="2"/>
          <w:szCs w:val="2"/>
          <w:rtl/>
        </w:rPr>
      </w:pPr>
      <w:r w:rsidRPr="00802809">
        <w:rPr>
          <w:color w:val="FFFFFF"/>
          <w:sz w:val="2"/>
          <w:szCs w:val="2"/>
          <w:rtl/>
        </w:rPr>
        <w:t>5129371</w:t>
      </w:r>
    </w:p>
    <w:p w14:paraId="1E2DAFA4" w14:textId="77777777" w:rsidR="00885E64" w:rsidRDefault="00802809" w:rsidP="00885E64">
      <w:pPr>
        <w:rPr>
          <w:rFonts w:cs="FrankRuehl"/>
          <w:sz w:val="28"/>
          <w:szCs w:val="28"/>
          <w:rtl/>
        </w:rPr>
      </w:pPr>
      <w:bookmarkStart w:id="7" w:name="Nitan"/>
      <w:r w:rsidRPr="00802809">
        <w:rPr>
          <w:rFonts w:ascii="Arial" w:hAnsi="Arial"/>
          <w:color w:val="FFFFFF"/>
          <w:sz w:val="2"/>
          <w:szCs w:val="2"/>
          <w:rtl/>
        </w:rPr>
        <w:t>54678313</w:t>
      </w:r>
      <w:r>
        <w:rPr>
          <w:rFonts w:ascii="Arial" w:hAnsi="Arial"/>
          <w:rtl/>
        </w:rPr>
        <w:t xml:space="preserve">ניתן היום,  י"ח אלול תש"פ, 07 ספטמבר 2020, במעמד הצדדים. </w:t>
      </w:r>
      <w:bookmarkEnd w:id="7"/>
    </w:p>
    <w:p w14:paraId="59B7F254" w14:textId="77777777" w:rsidR="00885E64" w:rsidRDefault="00885E64" w:rsidP="0080280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0D872DC" w14:textId="77777777" w:rsidR="00885E64" w:rsidRDefault="00885E64" w:rsidP="00885E64">
      <w:pPr>
        <w:jc w:val="center"/>
        <w:rPr>
          <w:rFonts w:ascii="Arial" w:hAnsi="Arial" w:cs="FrankRuehl"/>
          <w:sz w:val="28"/>
          <w:szCs w:val="28"/>
          <w:rtl/>
        </w:rPr>
      </w:pPr>
    </w:p>
    <w:p w14:paraId="0ABB1C72" w14:textId="77777777" w:rsidR="00802809" w:rsidRDefault="00802809" w:rsidP="00802809">
      <w:pPr>
        <w:rPr>
          <w:rtl/>
        </w:rPr>
      </w:pPr>
    </w:p>
    <w:p w14:paraId="473EEF92" w14:textId="77777777" w:rsidR="00802809" w:rsidRDefault="00802809" w:rsidP="00802809">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5479952F" w14:textId="77777777" w:rsidR="00E31387" w:rsidRPr="00E31387" w:rsidRDefault="00E31387" w:rsidP="00E31387">
      <w:pPr>
        <w:keepNext/>
        <w:rPr>
          <w:rFonts w:ascii="David" w:hAnsi="David"/>
          <w:color w:val="000000"/>
          <w:sz w:val="22"/>
          <w:szCs w:val="22"/>
          <w:rtl/>
        </w:rPr>
      </w:pPr>
    </w:p>
    <w:p w14:paraId="575D05D6" w14:textId="77777777" w:rsidR="00E31387" w:rsidRPr="00E31387" w:rsidRDefault="00E31387" w:rsidP="00E31387">
      <w:pPr>
        <w:keepNext/>
        <w:rPr>
          <w:rFonts w:ascii="David" w:hAnsi="David"/>
          <w:color w:val="000000"/>
          <w:sz w:val="22"/>
          <w:szCs w:val="22"/>
          <w:rtl/>
        </w:rPr>
      </w:pPr>
      <w:r w:rsidRPr="00E31387">
        <w:rPr>
          <w:rFonts w:ascii="David" w:hAnsi="David"/>
          <w:color w:val="000000"/>
          <w:sz w:val="22"/>
          <w:szCs w:val="22"/>
          <w:rtl/>
        </w:rPr>
        <w:t>יוסי טורס 54678313-/</w:t>
      </w:r>
    </w:p>
    <w:p w14:paraId="26B5D3D0" w14:textId="77777777" w:rsidR="00802809" w:rsidRPr="00802809" w:rsidRDefault="00E31387" w:rsidP="00E31387">
      <w:pPr>
        <w:rPr>
          <w:rFonts w:hint="cs"/>
          <w:color w:val="0000FF"/>
          <w:u w:val="single"/>
        </w:rPr>
      </w:pPr>
      <w:r w:rsidRPr="00E31387">
        <w:rPr>
          <w:color w:val="000000"/>
          <w:u w:val="single"/>
          <w:rtl/>
        </w:rPr>
        <w:t>נוסח מסמך זה כפוף לשינויי ניסוח ועריכה</w:t>
      </w:r>
      <w:r w:rsidR="00BA2C70">
        <w:rPr>
          <w:rFonts w:hint="cs"/>
          <w:color w:val="0000FF"/>
          <w:u w:val="single"/>
          <w:rtl/>
        </w:rPr>
        <w:t xml:space="preserve"> </w:t>
      </w:r>
    </w:p>
    <w:sectPr w:rsidR="00802809" w:rsidRPr="00802809" w:rsidSect="00E31387">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8128C" w14:textId="77777777" w:rsidR="00C83A1A" w:rsidRDefault="00C83A1A" w:rsidP="0074061E">
      <w:r>
        <w:separator/>
      </w:r>
    </w:p>
  </w:endnote>
  <w:endnote w:type="continuationSeparator" w:id="0">
    <w:p w14:paraId="3C0BABA9" w14:textId="77777777" w:rsidR="00C83A1A" w:rsidRDefault="00C83A1A" w:rsidP="0074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5B687" w14:textId="77777777" w:rsidR="00E31387" w:rsidRDefault="00E31387" w:rsidP="00E313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181AAF" w14:textId="77777777" w:rsidR="008F16CB" w:rsidRPr="00E31387" w:rsidRDefault="00E31387" w:rsidP="00E31387">
    <w:pPr>
      <w:pStyle w:val="a5"/>
      <w:pBdr>
        <w:top w:val="single" w:sz="4" w:space="1" w:color="auto"/>
        <w:between w:val="single" w:sz="4" w:space="0" w:color="auto"/>
      </w:pBdr>
      <w:spacing w:after="60"/>
      <w:jc w:val="center"/>
      <w:rPr>
        <w:rFonts w:ascii="FrankRuehl" w:hAnsi="FrankRuehl" w:cs="FrankRuehl"/>
        <w:color w:val="000000"/>
      </w:rPr>
    </w:pPr>
    <w:r w:rsidRPr="00E313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BBFA2" w14:textId="77777777" w:rsidR="00E31387" w:rsidRDefault="00E31387" w:rsidP="00E313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339A">
      <w:rPr>
        <w:rFonts w:ascii="FrankRuehl" w:hAnsi="FrankRuehl" w:cs="FrankRuehl"/>
        <w:noProof/>
        <w:rtl/>
      </w:rPr>
      <w:t>1</w:t>
    </w:r>
    <w:r>
      <w:rPr>
        <w:rFonts w:ascii="FrankRuehl" w:hAnsi="FrankRuehl" w:cs="FrankRuehl"/>
        <w:rtl/>
      </w:rPr>
      <w:fldChar w:fldCharType="end"/>
    </w:r>
  </w:p>
  <w:p w14:paraId="65639885" w14:textId="77777777" w:rsidR="008F16CB" w:rsidRPr="00E31387" w:rsidRDefault="00E31387" w:rsidP="00E31387">
    <w:pPr>
      <w:pStyle w:val="a5"/>
      <w:pBdr>
        <w:top w:val="single" w:sz="4" w:space="1" w:color="auto"/>
        <w:between w:val="single" w:sz="4" w:space="0" w:color="auto"/>
      </w:pBdr>
      <w:spacing w:after="60"/>
      <w:jc w:val="center"/>
      <w:rPr>
        <w:rFonts w:ascii="FrankRuehl" w:hAnsi="FrankRuehl" w:cs="FrankRuehl"/>
        <w:color w:val="000000"/>
      </w:rPr>
    </w:pPr>
    <w:r w:rsidRPr="00E31387">
      <w:rPr>
        <w:rFonts w:ascii="FrankRuehl" w:hAnsi="FrankRuehl" w:cs="FrankRuehl"/>
        <w:color w:val="000000"/>
      </w:rPr>
      <w:pict w14:anchorId="6A099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ED8F9" w14:textId="77777777" w:rsidR="00C83A1A" w:rsidRDefault="00C83A1A" w:rsidP="0074061E">
      <w:r>
        <w:separator/>
      </w:r>
    </w:p>
  </w:footnote>
  <w:footnote w:type="continuationSeparator" w:id="0">
    <w:p w14:paraId="357803BB" w14:textId="77777777" w:rsidR="00C83A1A" w:rsidRDefault="00C83A1A" w:rsidP="00740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B1DC2" w14:textId="77777777" w:rsidR="00802809" w:rsidRPr="00E31387" w:rsidRDefault="00E31387" w:rsidP="00E313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63997-02-19</w:t>
    </w:r>
    <w:r>
      <w:rPr>
        <w:rFonts w:ascii="David" w:hAnsi="David"/>
        <w:color w:val="000000"/>
        <w:sz w:val="22"/>
        <w:szCs w:val="22"/>
        <w:rtl/>
      </w:rPr>
      <w:tab/>
      <w:t xml:space="preserve"> מדינת ישראל נ' נסים אלביליה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3CE57" w14:textId="77777777" w:rsidR="00802809" w:rsidRPr="00E31387" w:rsidRDefault="00E31387" w:rsidP="00E313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63997-02-19</w:t>
    </w:r>
    <w:r>
      <w:rPr>
        <w:rFonts w:ascii="David" w:hAnsi="David"/>
        <w:color w:val="000000"/>
        <w:sz w:val="22"/>
        <w:szCs w:val="22"/>
        <w:rtl/>
      </w:rPr>
      <w:tab/>
      <w:t xml:space="preserve"> מדינת ישראל נ' נסים אלביליה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5071F"/>
    <w:multiLevelType w:val="hybridMultilevel"/>
    <w:tmpl w:val="B9D80C4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380335A"/>
    <w:multiLevelType w:val="hybridMultilevel"/>
    <w:tmpl w:val="05280744"/>
    <w:lvl w:ilvl="0" w:tplc="FE603CB8">
      <w:start w:val="1"/>
      <w:numFmt w:val="decimal"/>
      <w:lvlText w:val="%1."/>
      <w:lvlJc w:val="left"/>
      <w:pPr>
        <w:tabs>
          <w:tab w:val="num" w:pos="567"/>
        </w:tabs>
        <w:ind w:left="0" w:firstLine="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91172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922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5E64"/>
    <w:rsid w:val="00210E16"/>
    <w:rsid w:val="002E1744"/>
    <w:rsid w:val="004A5AFA"/>
    <w:rsid w:val="0071339A"/>
    <w:rsid w:val="0074061E"/>
    <w:rsid w:val="00802809"/>
    <w:rsid w:val="00885E64"/>
    <w:rsid w:val="008F16CB"/>
    <w:rsid w:val="008F2915"/>
    <w:rsid w:val="00961E5D"/>
    <w:rsid w:val="00BA2C70"/>
    <w:rsid w:val="00C501AB"/>
    <w:rsid w:val="00C83A1A"/>
    <w:rsid w:val="00DA57E7"/>
    <w:rsid w:val="00DA7EF7"/>
    <w:rsid w:val="00E31387"/>
    <w:rsid w:val="00F71E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2E5B3A"/>
  <w15:chartTrackingRefBased/>
  <w15:docId w15:val="{E72489A6-29C7-4F67-9CA9-26088D2D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5E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5E64"/>
    <w:pPr>
      <w:tabs>
        <w:tab w:val="center" w:pos="4153"/>
        <w:tab w:val="right" w:pos="8306"/>
      </w:tabs>
    </w:pPr>
  </w:style>
  <w:style w:type="character" w:customStyle="1" w:styleId="a4">
    <w:name w:val="כותרת עליונה תו"/>
    <w:link w:val="a3"/>
    <w:rsid w:val="00885E64"/>
    <w:rPr>
      <w:rFonts w:ascii="Times New Roman" w:eastAsia="Times New Roman" w:hAnsi="Times New Roman" w:cs="David"/>
      <w:sz w:val="24"/>
      <w:szCs w:val="24"/>
    </w:rPr>
  </w:style>
  <w:style w:type="paragraph" w:styleId="a5">
    <w:name w:val="footer"/>
    <w:basedOn w:val="a"/>
    <w:link w:val="a6"/>
    <w:rsid w:val="00885E64"/>
    <w:pPr>
      <w:tabs>
        <w:tab w:val="center" w:pos="4153"/>
        <w:tab w:val="right" w:pos="8306"/>
      </w:tabs>
    </w:pPr>
  </w:style>
  <w:style w:type="character" w:customStyle="1" w:styleId="a6">
    <w:name w:val="כותרת תחתונה תו"/>
    <w:link w:val="a5"/>
    <w:rsid w:val="00885E64"/>
    <w:rPr>
      <w:rFonts w:ascii="Times New Roman" w:eastAsia="Times New Roman" w:hAnsi="Times New Roman" w:cs="David"/>
      <w:sz w:val="24"/>
      <w:szCs w:val="24"/>
    </w:rPr>
  </w:style>
  <w:style w:type="table" w:styleId="a7">
    <w:name w:val="Table Grid"/>
    <w:basedOn w:val="a1"/>
    <w:rsid w:val="00885E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5E64"/>
  </w:style>
  <w:style w:type="paragraph" w:styleId="a9">
    <w:name w:val="List Paragraph"/>
    <w:basedOn w:val="a"/>
    <w:qFormat/>
    <w:rsid w:val="00885E64"/>
    <w:pPr>
      <w:spacing w:after="160" w:line="256" w:lineRule="auto"/>
      <w:ind w:left="720"/>
      <w:contextualSpacing/>
    </w:pPr>
    <w:rPr>
      <w:rFonts w:ascii="Calibri" w:hAnsi="Calibri" w:cs="Arial"/>
      <w:sz w:val="22"/>
      <w:szCs w:val="22"/>
    </w:rPr>
  </w:style>
  <w:style w:type="character" w:styleId="Hyperlink">
    <w:name w:val="Hyperlink"/>
    <w:rsid w:val="00885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68359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599403" TargetMode="External"/><Relationship Id="rId42" Type="http://schemas.openxmlformats.org/officeDocument/2006/relationships/hyperlink" Target="http://www.nevo.co.il/case/6245125" TargetMode="External"/><Relationship Id="rId47" Type="http://schemas.openxmlformats.org/officeDocument/2006/relationships/hyperlink" Target="http://www.nevo.co.il/case/20490021" TargetMode="External"/><Relationship Id="rId50" Type="http://schemas.openxmlformats.org/officeDocument/2006/relationships/hyperlink" Target="http://www.nevo.co.il/case/20009419" TargetMode="External"/><Relationship Id="rId55" Type="http://schemas.openxmlformats.org/officeDocument/2006/relationships/hyperlink" Target="http://www.nevo.co.il/case/6087216"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5698919"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5590128" TargetMode="External"/><Relationship Id="rId37" Type="http://schemas.openxmlformats.org/officeDocument/2006/relationships/hyperlink" Target="http://www.nevo.co.il/case/5997727" TargetMode="External"/><Relationship Id="rId40" Type="http://schemas.openxmlformats.org/officeDocument/2006/relationships/hyperlink" Target="http://www.nevo.co.il/case/22828581"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85"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4216/7.a.;7.c" TargetMode="External"/><Relationship Id="rId14" Type="http://schemas.openxmlformats.org/officeDocument/2006/relationships/hyperlink" Target="http://www.nevo.co.il/law/70301/56.b"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2828581" TargetMode="External"/><Relationship Id="rId30" Type="http://schemas.openxmlformats.org/officeDocument/2006/relationships/hyperlink" Target="http://www.nevo.co.il/case/20956295" TargetMode="External"/><Relationship Id="rId35" Type="http://schemas.openxmlformats.org/officeDocument/2006/relationships/hyperlink" Target="http://www.nevo.co.il/case/22956321" TargetMode="External"/><Relationship Id="rId43" Type="http://schemas.openxmlformats.org/officeDocument/2006/relationships/hyperlink" Target="http://www.nevo.co.il/law/70301/40d" TargetMode="External"/><Relationship Id="rId48" Type="http://schemas.openxmlformats.org/officeDocument/2006/relationships/hyperlink" Target="http://www.nevo.co.il/case/6120591" TargetMode="External"/><Relationship Id="rId56" Type="http://schemas.openxmlformats.org/officeDocument/2006/relationships/hyperlink" Target="http://www.nevo.co.il/case/6041465" TargetMode="External"/><Relationship Id="rId64"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6244964"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015131" TargetMode="External"/><Relationship Id="rId33" Type="http://schemas.openxmlformats.org/officeDocument/2006/relationships/hyperlink" Target="http://www.nevo.co.il/case/5590169" TargetMode="External"/><Relationship Id="rId38" Type="http://schemas.openxmlformats.org/officeDocument/2006/relationships/hyperlink" Target="http://www.nevo.co.il/case/513519" TargetMode="External"/><Relationship Id="rId46" Type="http://schemas.openxmlformats.org/officeDocument/2006/relationships/hyperlink" Target="http://www.nevo.co.il/case/22938500" TargetMode="External"/><Relationship Id="rId59" Type="http://schemas.openxmlformats.org/officeDocument/2006/relationships/hyperlink" Target="http://www.nevo.co.il/law/70301" TargetMode="External"/><Relationship Id="rId67" Type="http://schemas.openxmlformats.org/officeDocument/2006/relationships/theme" Target="theme/theme1.xml"/><Relationship Id="rId20" Type="http://schemas.openxmlformats.org/officeDocument/2006/relationships/hyperlink" Target="http://www.nevo.co.il/law/4216/36a.b" TargetMode="External"/><Relationship Id="rId41" Type="http://schemas.openxmlformats.org/officeDocument/2006/relationships/hyperlink" Target="http://www.nevo.co.il/case/25297221" TargetMode="External"/><Relationship Id="rId54" Type="http://schemas.openxmlformats.org/officeDocument/2006/relationships/hyperlink" Target="http://www.nevo.co.il/case/17937646"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85"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402486" TargetMode="External"/><Relationship Id="rId36" Type="http://schemas.openxmlformats.org/officeDocument/2006/relationships/hyperlink" Target="http://www.nevo.co.il/case/22269371" TargetMode="External"/><Relationship Id="rId49" Type="http://schemas.openxmlformats.org/officeDocument/2006/relationships/hyperlink" Target="http://www.nevo.co.il/case/20450193" TargetMode="External"/><Relationship Id="rId57" Type="http://schemas.openxmlformats.org/officeDocument/2006/relationships/hyperlink" Target="http://www.nevo.co.il/case/6102737" TargetMode="External"/><Relationship Id="rId10" Type="http://schemas.openxmlformats.org/officeDocument/2006/relationships/hyperlink" Target="http://www.nevo.co.il/law/4216/36a.b" TargetMode="External"/><Relationship Id="rId31" Type="http://schemas.openxmlformats.org/officeDocument/2006/relationships/hyperlink" Target="http://www.nevo.co.il/case/1794758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56.b" TargetMode="External"/><Relationship Id="rId60" Type="http://schemas.openxmlformats.org/officeDocument/2006/relationships/hyperlink" Target="http://www.nevo.co.il/case/17965189"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i" TargetMode="External"/><Relationship Id="rId18" Type="http://schemas.openxmlformats.org/officeDocument/2006/relationships/hyperlink" Target="http://www.nevo.co.il/case/26294456" TargetMode="External"/><Relationship Id="rId39" Type="http://schemas.openxmlformats.org/officeDocument/2006/relationships/hyperlink" Target="http://www.nevo.co.il/case/616297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4020</Words>
  <Characters>20100</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24072</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3473524</vt:i4>
      </vt:variant>
      <vt:variant>
        <vt:i4>159</vt:i4>
      </vt:variant>
      <vt:variant>
        <vt:i4>0</vt:i4>
      </vt:variant>
      <vt:variant>
        <vt:i4>5</vt:i4>
      </vt:variant>
      <vt:variant>
        <vt:lpwstr>http://www.nevo.co.il/case/17965189</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6291565</vt:i4>
      </vt:variant>
      <vt:variant>
        <vt:i4>153</vt:i4>
      </vt:variant>
      <vt:variant>
        <vt:i4>0</vt:i4>
      </vt:variant>
      <vt:variant>
        <vt:i4>5</vt:i4>
      </vt:variant>
      <vt:variant>
        <vt:lpwstr>http://www.nevo.co.il/law/70301/85</vt:lpwstr>
      </vt:variant>
      <vt:variant>
        <vt:lpwstr/>
      </vt:variant>
      <vt:variant>
        <vt:i4>3539060</vt:i4>
      </vt:variant>
      <vt:variant>
        <vt:i4>150</vt:i4>
      </vt:variant>
      <vt:variant>
        <vt:i4>0</vt:i4>
      </vt:variant>
      <vt:variant>
        <vt:i4>5</vt:i4>
      </vt:variant>
      <vt:variant>
        <vt:lpwstr>http://www.nevo.co.il/case/6102737</vt:lpwstr>
      </vt:variant>
      <vt:variant>
        <vt:lpwstr/>
      </vt:variant>
      <vt:variant>
        <vt:i4>3342451</vt:i4>
      </vt:variant>
      <vt:variant>
        <vt:i4>147</vt:i4>
      </vt:variant>
      <vt:variant>
        <vt:i4>0</vt:i4>
      </vt:variant>
      <vt:variant>
        <vt:i4>5</vt:i4>
      </vt:variant>
      <vt:variant>
        <vt:lpwstr>http://www.nevo.co.il/case/6041465</vt:lpwstr>
      </vt:variant>
      <vt:variant>
        <vt:lpwstr/>
      </vt:variant>
      <vt:variant>
        <vt:i4>3801202</vt:i4>
      </vt:variant>
      <vt:variant>
        <vt:i4>144</vt:i4>
      </vt:variant>
      <vt:variant>
        <vt:i4>0</vt:i4>
      </vt:variant>
      <vt:variant>
        <vt:i4>5</vt:i4>
      </vt:variant>
      <vt:variant>
        <vt:lpwstr>http://www.nevo.co.il/case/6087216</vt:lpwstr>
      </vt:variant>
      <vt:variant>
        <vt:lpwstr/>
      </vt:variant>
      <vt:variant>
        <vt:i4>3866742</vt:i4>
      </vt:variant>
      <vt:variant>
        <vt:i4>141</vt:i4>
      </vt:variant>
      <vt:variant>
        <vt:i4>0</vt:i4>
      </vt:variant>
      <vt:variant>
        <vt:i4>5</vt:i4>
      </vt:variant>
      <vt:variant>
        <vt:lpwstr>http://www.nevo.co.il/case/17937646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65614</vt:i4>
      </vt:variant>
      <vt:variant>
        <vt:i4>135</vt:i4>
      </vt:variant>
      <vt:variant>
        <vt:i4>0</vt:i4>
      </vt:variant>
      <vt:variant>
        <vt:i4>5</vt:i4>
      </vt:variant>
      <vt:variant>
        <vt:lpwstr>http://www.nevo.co.il/law/70301/56.b</vt:lpwstr>
      </vt:variant>
      <vt:variant>
        <vt:lpwstr/>
      </vt:variant>
      <vt:variant>
        <vt:i4>4128884</vt:i4>
      </vt:variant>
      <vt:variant>
        <vt:i4>132</vt:i4>
      </vt:variant>
      <vt:variant>
        <vt:i4>0</vt:i4>
      </vt:variant>
      <vt:variant>
        <vt:i4>5</vt:i4>
      </vt:variant>
      <vt:variant>
        <vt:lpwstr>http://www.nevo.co.il/case/6244964</vt:lpwstr>
      </vt:variant>
      <vt:variant>
        <vt:lpwstr/>
      </vt:variant>
      <vt:variant>
        <vt:i4>3801200</vt:i4>
      </vt:variant>
      <vt:variant>
        <vt:i4>129</vt:i4>
      </vt:variant>
      <vt:variant>
        <vt:i4>0</vt:i4>
      </vt:variant>
      <vt:variant>
        <vt:i4>5</vt:i4>
      </vt:variant>
      <vt:variant>
        <vt:lpwstr>http://www.nevo.co.il/case/20009419</vt:lpwstr>
      </vt:variant>
      <vt:variant>
        <vt:lpwstr/>
      </vt:variant>
      <vt:variant>
        <vt:i4>4128880</vt:i4>
      </vt:variant>
      <vt:variant>
        <vt:i4>126</vt:i4>
      </vt:variant>
      <vt:variant>
        <vt:i4>0</vt:i4>
      </vt:variant>
      <vt:variant>
        <vt:i4>5</vt:i4>
      </vt:variant>
      <vt:variant>
        <vt:lpwstr>http://www.nevo.co.il/case/20450193</vt:lpwstr>
      </vt:variant>
      <vt:variant>
        <vt:lpwstr/>
      </vt:variant>
      <vt:variant>
        <vt:i4>3145852</vt:i4>
      </vt:variant>
      <vt:variant>
        <vt:i4>123</vt:i4>
      </vt:variant>
      <vt:variant>
        <vt:i4>0</vt:i4>
      </vt:variant>
      <vt:variant>
        <vt:i4>5</vt:i4>
      </vt:variant>
      <vt:variant>
        <vt:lpwstr>http://www.nevo.co.il/case/6120591</vt:lpwstr>
      </vt:variant>
      <vt:variant>
        <vt:lpwstr/>
      </vt:variant>
      <vt:variant>
        <vt:i4>3407997</vt:i4>
      </vt:variant>
      <vt:variant>
        <vt:i4>120</vt:i4>
      </vt:variant>
      <vt:variant>
        <vt:i4>0</vt:i4>
      </vt:variant>
      <vt:variant>
        <vt:i4>5</vt:i4>
      </vt:variant>
      <vt:variant>
        <vt:lpwstr>http://www.nevo.co.il/case/20490021</vt:lpwstr>
      </vt:variant>
      <vt:variant>
        <vt:lpwstr/>
      </vt:variant>
      <vt:variant>
        <vt:i4>3342448</vt:i4>
      </vt:variant>
      <vt:variant>
        <vt:i4>117</vt:i4>
      </vt:variant>
      <vt:variant>
        <vt:i4>0</vt:i4>
      </vt:variant>
      <vt:variant>
        <vt:i4>5</vt:i4>
      </vt:variant>
      <vt:variant>
        <vt:lpwstr>http://www.nevo.co.il/case/22938500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http://www.nevo.co.il/law/70301/40d</vt:lpwstr>
      </vt:variant>
      <vt:variant>
        <vt:lpwstr/>
      </vt:variant>
      <vt:variant>
        <vt:i4>3539057</vt:i4>
      </vt:variant>
      <vt:variant>
        <vt:i4>105</vt:i4>
      </vt:variant>
      <vt:variant>
        <vt:i4>0</vt:i4>
      </vt:variant>
      <vt:variant>
        <vt:i4>5</vt:i4>
      </vt:variant>
      <vt:variant>
        <vt:lpwstr>http://www.nevo.co.il/case/6245125</vt:lpwstr>
      </vt:variant>
      <vt:variant>
        <vt:lpwstr/>
      </vt:variant>
      <vt:variant>
        <vt:i4>3473530</vt:i4>
      </vt:variant>
      <vt:variant>
        <vt:i4>102</vt:i4>
      </vt:variant>
      <vt:variant>
        <vt:i4>0</vt:i4>
      </vt:variant>
      <vt:variant>
        <vt:i4>5</vt:i4>
      </vt:variant>
      <vt:variant>
        <vt:lpwstr>http://www.nevo.co.il/case/25297221</vt:lpwstr>
      </vt:variant>
      <vt:variant>
        <vt:lpwstr/>
      </vt:variant>
      <vt:variant>
        <vt:i4>3801201</vt:i4>
      </vt:variant>
      <vt:variant>
        <vt:i4>99</vt:i4>
      </vt:variant>
      <vt:variant>
        <vt:i4>0</vt:i4>
      </vt:variant>
      <vt:variant>
        <vt:i4>5</vt:i4>
      </vt:variant>
      <vt:variant>
        <vt:lpwstr>http://www.nevo.co.il/case/22828581</vt:lpwstr>
      </vt:variant>
      <vt:variant>
        <vt:lpwstr/>
      </vt:variant>
      <vt:variant>
        <vt:i4>3735664</vt:i4>
      </vt:variant>
      <vt:variant>
        <vt:i4>96</vt:i4>
      </vt:variant>
      <vt:variant>
        <vt:i4>0</vt:i4>
      </vt:variant>
      <vt:variant>
        <vt:i4>5</vt:i4>
      </vt:variant>
      <vt:variant>
        <vt:lpwstr>http://www.nevo.co.il/case/6162970</vt:lpwstr>
      </vt:variant>
      <vt:variant>
        <vt:lpwstr/>
      </vt:variant>
      <vt:variant>
        <vt:i4>458816</vt:i4>
      </vt:variant>
      <vt:variant>
        <vt:i4>93</vt:i4>
      </vt:variant>
      <vt:variant>
        <vt:i4>0</vt:i4>
      </vt:variant>
      <vt:variant>
        <vt:i4>5</vt:i4>
      </vt:variant>
      <vt:variant>
        <vt:lpwstr>http://www.nevo.co.il/case/513519</vt:lpwstr>
      </vt:variant>
      <vt:variant>
        <vt:lpwstr/>
      </vt:variant>
      <vt:variant>
        <vt:i4>3932280</vt:i4>
      </vt:variant>
      <vt:variant>
        <vt:i4>90</vt:i4>
      </vt:variant>
      <vt:variant>
        <vt:i4>0</vt:i4>
      </vt:variant>
      <vt:variant>
        <vt:i4>5</vt:i4>
      </vt:variant>
      <vt:variant>
        <vt:lpwstr>http://www.nevo.co.il/case/5997727</vt:lpwstr>
      </vt:variant>
      <vt:variant>
        <vt:lpwstr/>
      </vt:variant>
      <vt:variant>
        <vt:i4>4063347</vt:i4>
      </vt:variant>
      <vt:variant>
        <vt:i4>87</vt:i4>
      </vt:variant>
      <vt:variant>
        <vt:i4>0</vt:i4>
      </vt:variant>
      <vt:variant>
        <vt:i4>5</vt:i4>
      </vt:variant>
      <vt:variant>
        <vt:lpwstr>http://www.nevo.co.il/case/22269371</vt:lpwstr>
      </vt:variant>
      <vt:variant>
        <vt:lpwstr/>
      </vt:variant>
      <vt:variant>
        <vt:i4>4128880</vt:i4>
      </vt:variant>
      <vt:variant>
        <vt:i4>84</vt:i4>
      </vt:variant>
      <vt:variant>
        <vt:i4>0</vt:i4>
      </vt:variant>
      <vt:variant>
        <vt:i4>5</vt:i4>
      </vt:variant>
      <vt:variant>
        <vt:lpwstr>http://www.nevo.co.il/case/22956321</vt:lpwstr>
      </vt:variant>
      <vt:variant>
        <vt:lpwstr/>
      </vt:variant>
      <vt:variant>
        <vt:i4>3866744</vt:i4>
      </vt:variant>
      <vt:variant>
        <vt:i4>81</vt:i4>
      </vt:variant>
      <vt:variant>
        <vt:i4>0</vt:i4>
      </vt:variant>
      <vt:variant>
        <vt:i4>5</vt:i4>
      </vt:variant>
      <vt:variant>
        <vt:lpwstr>http://www.nevo.co.il/case/5599403</vt:lpwstr>
      </vt:variant>
      <vt:variant>
        <vt:lpwstr/>
      </vt:variant>
      <vt:variant>
        <vt:i4>3407991</vt:i4>
      </vt:variant>
      <vt:variant>
        <vt:i4>78</vt:i4>
      </vt:variant>
      <vt:variant>
        <vt:i4>0</vt:i4>
      </vt:variant>
      <vt:variant>
        <vt:i4>5</vt:i4>
      </vt:variant>
      <vt:variant>
        <vt:lpwstr>http://www.nevo.co.il/case/5590169</vt:lpwstr>
      </vt:variant>
      <vt:variant>
        <vt:lpwstr/>
      </vt:variant>
      <vt:variant>
        <vt:i4>3473523</vt:i4>
      </vt:variant>
      <vt:variant>
        <vt:i4>75</vt:i4>
      </vt:variant>
      <vt:variant>
        <vt:i4>0</vt:i4>
      </vt:variant>
      <vt:variant>
        <vt:i4>5</vt:i4>
      </vt:variant>
      <vt:variant>
        <vt:lpwstr>http://www.nevo.co.il/case/5590128</vt:lpwstr>
      </vt:variant>
      <vt:variant>
        <vt:lpwstr/>
      </vt:variant>
      <vt:variant>
        <vt:i4>3604594</vt:i4>
      </vt:variant>
      <vt:variant>
        <vt:i4>72</vt:i4>
      </vt:variant>
      <vt:variant>
        <vt:i4>0</vt:i4>
      </vt:variant>
      <vt:variant>
        <vt:i4>5</vt:i4>
      </vt:variant>
      <vt:variant>
        <vt:lpwstr>http://www.nevo.co.il/case/17947582</vt:lpwstr>
      </vt:variant>
      <vt:variant>
        <vt:lpwstr/>
      </vt:variant>
      <vt:variant>
        <vt:i4>3407987</vt:i4>
      </vt:variant>
      <vt:variant>
        <vt:i4>69</vt:i4>
      </vt:variant>
      <vt:variant>
        <vt:i4>0</vt:i4>
      </vt:variant>
      <vt:variant>
        <vt:i4>5</vt:i4>
      </vt:variant>
      <vt:variant>
        <vt:lpwstr>http://www.nevo.co.il/case/20956295</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3932272</vt:i4>
      </vt:variant>
      <vt:variant>
        <vt:i4>63</vt:i4>
      </vt:variant>
      <vt:variant>
        <vt:i4>0</vt:i4>
      </vt:variant>
      <vt:variant>
        <vt:i4>5</vt:i4>
      </vt:variant>
      <vt:variant>
        <vt:lpwstr>http://www.nevo.co.il/case/20402486</vt:lpwstr>
      </vt:variant>
      <vt:variant>
        <vt:lpwstr/>
      </vt:variant>
      <vt:variant>
        <vt:i4>3801201</vt:i4>
      </vt:variant>
      <vt:variant>
        <vt:i4>60</vt:i4>
      </vt:variant>
      <vt:variant>
        <vt:i4>0</vt:i4>
      </vt:variant>
      <vt:variant>
        <vt:i4>5</vt:i4>
      </vt:variant>
      <vt:variant>
        <vt:lpwstr>http://www.nevo.co.il/case/22828581</vt:lpwstr>
      </vt:variant>
      <vt:variant>
        <vt:lpwstr/>
      </vt:variant>
      <vt:variant>
        <vt:i4>4063353</vt:i4>
      </vt:variant>
      <vt:variant>
        <vt:i4>57</vt:i4>
      </vt:variant>
      <vt:variant>
        <vt:i4>0</vt:i4>
      </vt:variant>
      <vt:variant>
        <vt:i4>5</vt:i4>
      </vt:variant>
      <vt:variant>
        <vt:lpwstr>http://www.nevo.co.il/case/20683594</vt:lpwstr>
      </vt:variant>
      <vt:variant>
        <vt:lpwstr/>
      </vt:variant>
      <vt:variant>
        <vt:i4>3407989</vt:i4>
      </vt:variant>
      <vt:variant>
        <vt:i4>54</vt:i4>
      </vt:variant>
      <vt:variant>
        <vt:i4>0</vt:i4>
      </vt:variant>
      <vt:variant>
        <vt:i4>5</vt:i4>
      </vt:variant>
      <vt:variant>
        <vt:lpwstr>http://www.nevo.co.il/case/21015131</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5111890</vt:i4>
      </vt:variant>
      <vt:variant>
        <vt:i4>39</vt:i4>
      </vt:variant>
      <vt:variant>
        <vt:i4>0</vt:i4>
      </vt:variant>
      <vt:variant>
        <vt:i4>5</vt:i4>
      </vt:variant>
      <vt:variant>
        <vt:lpwstr>http://www.nevo.co.il/law/4216/36a.b</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3211391</vt:i4>
      </vt:variant>
      <vt:variant>
        <vt:i4>33</vt:i4>
      </vt:variant>
      <vt:variant>
        <vt:i4>0</vt:i4>
      </vt:variant>
      <vt:variant>
        <vt:i4>5</vt:i4>
      </vt:variant>
      <vt:variant>
        <vt:lpwstr>http://www.nevo.co.il/case/26294456</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6291565</vt:i4>
      </vt:variant>
      <vt:variant>
        <vt:i4>24</vt:i4>
      </vt:variant>
      <vt:variant>
        <vt:i4>0</vt:i4>
      </vt:variant>
      <vt:variant>
        <vt:i4>5</vt:i4>
      </vt:variant>
      <vt:variant>
        <vt:lpwstr>http://www.nevo.co.il/law/70301/85</vt:lpwstr>
      </vt:variant>
      <vt:variant>
        <vt:lpwstr/>
      </vt:variant>
      <vt:variant>
        <vt:i4>65614</vt:i4>
      </vt:variant>
      <vt:variant>
        <vt:i4>21</vt:i4>
      </vt:variant>
      <vt:variant>
        <vt:i4>0</vt:i4>
      </vt:variant>
      <vt:variant>
        <vt:i4>5</vt:i4>
      </vt:variant>
      <vt:variant>
        <vt:lpwstr>http://www.nevo.co.il/law/70301/56.b</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63997</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נסים אלביליה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20200907</vt:lpwstr>
  </property>
  <property fmtid="{D5CDD505-2E9C-101B-9397-08002B2CF9AE}" pid="13" name="TYPE_N_DATE">
    <vt:lpwstr>38020200907</vt:lpwstr>
  </property>
  <property fmtid="{D5CDD505-2E9C-101B-9397-08002B2CF9AE}" pid="14" name="WORDNUMPAGES">
    <vt:lpwstr>10</vt:lpwstr>
  </property>
  <property fmtid="{D5CDD505-2E9C-101B-9397-08002B2CF9AE}" pid="15" name="TYPE_ABS_DATE">
    <vt:lpwstr>380020200907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26294456;13093721;21015131;20683594;22828581:2;20402486;5698919;20956295;17947582;5590128;5590169;5599403;22956321;22269371;5997727;513519;6162970;25297221;6245125;22938500;20490021;6120591;20450193;20009419;6244964;17937646;6087216;6041465;6102737</vt:lpwstr>
  </property>
  <property fmtid="{D5CDD505-2E9C-101B-9397-08002B2CF9AE}" pid="36" name="CASESLISTTMP2">
    <vt:lpwstr>17965189</vt:lpwstr>
  </property>
  <property fmtid="{D5CDD505-2E9C-101B-9397-08002B2CF9AE}" pid="37" name="LAWLISTTMP1">
    <vt:lpwstr>4216/007.a:2;007.c:2;036a.b</vt:lpwstr>
  </property>
  <property fmtid="{D5CDD505-2E9C-101B-9397-08002B2CF9AE}" pid="38" name="LAWLISTTMP2">
    <vt:lpwstr>70301/040i;040d;056.b;085</vt:lpwstr>
  </property>
</Properties>
</file>