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526AC" w:rsidRPr="00511753" w14:paraId="6846D8C2" w14:textId="77777777" w:rsidTr="005326CA">
        <w:trPr>
          <w:trHeight w:hRule="exact" w:val="418"/>
          <w:jc w:val="center"/>
        </w:trPr>
        <w:tc>
          <w:tcPr>
            <w:tcW w:w="8721" w:type="dxa"/>
            <w:gridSpan w:val="2"/>
          </w:tcPr>
          <w:p w14:paraId="5F6CB41E" w14:textId="77777777" w:rsidR="00B526AC" w:rsidRPr="00511753" w:rsidRDefault="00B526AC" w:rsidP="00A20C28">
            <w:pPr>
              <w:pStyle w:val="a3"/>
              <w:jc w:val="center"/>
              <w:rPr>
                <w:rFonts w:ascii="Tahoma" w:hAnsi="Tahoma" w:cs="FrankRuehl"/>
                <w:b/>
                <w:bCs/>
                <w:color w:val="000080"/>
                <w:sz w:val="28"/>
                <w:szCs w:val="28"/>
                <w:rtl/>
              </w:rPr>
            </w:pPr>
            <w:bookmarkStart w:id="0" w:name="LastJudge"/>
            <w:r w:rsidRPr="00511753">
              <w:rPr>
                <w:rFonts w:ascii="Tahoma" w:hAnsi="Tahoma" w:cs="FrankRuehl"/>
                <w:b/>
                <w:bCs/>
                <w:color w:val="000080"/>
                <w:sz w:val="28"/>
                <w:szCs w:val="28"/>
                <w:rtl/>
              </w:rPr>
              <w:t>בית משפט השלום בירושלים</w:t>
            </w:r>
          </w:p>
        </w:tc>
      </w:tr>
      <w:tr w:rsidR="00B526AC" w:rsidRPr="00511753" w14:paraId="151F1F82" w14:textId="77777777" w:rsidTr="005326CA">
        <w:trPr>
          <w:trHeight w:val="337"/>
          <w:jc w:val="center"/>
        </w:trPr>
        <w:tc>
          <w:tcPr>
            <w:tcW w:w="5054" w:type="dxa"/>
          </w:tcPr>
          <w:p w14:paraId="00F67FF8" w14:textId="77777777" w:rsidR="00B526AC" w:rsidRPr="00511753" w:rsidRDefault="00B526AC" w:rsidP="00A20C28">
            <w:pPr>
              <w:rPr>
                <w:rFonts w:cs="FrankRuehl"/>
                <w:b/>
                <w:bCs/>
                <w:sz w:val="28"/>
                <w:szCs w:val="28"/>
                <w:rtl/>
              </w:rPr>
            </w:pPr>
            <w:r w:rsidRPr="00511753">
              <w:rPr>
                <w:rFonts w:cs="FrankRuehl"/>
                <w:b/>
                <w:bCs/>
                <w:sz w:val="28"/>
                <w:szCs w:val="28"/>
                <w:rtl/>
              </w:rPr>
              <w:t>ת"פ</w:t>
            </w:r>
            <w:r w:rsidRPr="00511753">
              <w:rPr>
                <w:rFonts w:cs="FrankRuehl" w:hint="cs"/>
                <w:b/>
                <w:bCs/>
                <w:sz w:val="28"/>
                <w:szCs w:val="28"/>
                <w:rtl/>
              </w:rPr>
              <w:t xml:space="preserve"> </w:t>
            </w:r>
            <w:r w:rsidRPr="00511753">
              <w:rPr>
                <w:rFonts w:cs="FrankRuehl"/>
                <w:b/>
                <w:bCs/>
                <w:sz w:val="28"/>
                <w:szCs w:val="28"/>
                <w:rtl/>
              </w:rPr>
              <w:t>68908-02-19</w:t>
            </w:r>
            <w:r w:rsidRPr="00511753">
              <w:rPr>
                <w:rFonts w:cs="FrankRuehl" w:hint="cs"/>
                <w:b/>
                <w:bCs/>
                <w:sz w:val="28"/>
                <w:szCs w:val="28"/>
                <w:rtl/>
              </w:rPr>
              <w:t xml:space="preserve"> </w:t>
            </w:r>
            <w:r w:rsidRPr="00511753">
              <w:rPr>
                <w:rFonts w:cs="FrankRuehl"/>
                <w:b/>
                <w:bCs/>
                <w:sz w:val="28"/>
                <w:szCs w:val="28"/>
                <w:rtl/>
              </w:rPr>
              <w:t>מדינת ישראל נ' אזולאי</w:t>
            </w:r>
          </w:p>
          <w:p w14:paraId="0B97F961" w14:textId="77777777" w:rsidR="00B526AC" w:rsidRPr="00511753" w:rsidRDefault="00B526AC" w:rsidP="00A20C28">
            <w:pPr>
              <w:pStyle w:val="a3"/>
              <w:rPr>
                <w:rFonts w:cs="FrankRuehl"/>
                <w:b/>
                <w:bCs/>
                <w:sz w:val="28"/>
                <w:szCs w:val="28"/>
                <w:rtl/>
              </w:rPr>
            </w:pPr>
          </w:p>
        </w:tc>
        <w:tc>
          <w:tcPr>
            <w:tcW w:w="3667" w:type="dxa"/>
          </w:tcPr>
          <w:p w14:paraId="6046BF20" w14:textId="77777777" w:rsidR="00B526AC" w:rsidRPr="00511753" w:rsidRDefault="00B526AC" w:rsidP="00A20C28">
            <w:pPr>
              <w:pStyle w:val="a3"/>
              <w:jc w:val="right"/>
              <w:rPr>
                <w:rFonts w:cs="FrankRuehl"/>
                <w:sz w:val="28"/>
                <w:szCs w:val="28"/>
                <w:rtl/>
              </w:rPr>
            </w:pPr>
          </w:p>
        </w:tc>
      </w:tr>
    </w:tbl>
    <w:p w14:paraId="6608772C" w14:textId="77777777" w:rsidR="00B526AC" w:rsidRPr="00511753" w:rsidRDefault="00B526AC" w:rsidP="00B526AC">
      <w:pPr>
        <w:pStyle w:val="a3"/>
        <w:rPr>
          <w:rtl/>
        </w:rPr>
      </w:pPr>
      <w:r w:rsidRPr="00511753">
        <w:rPr>
          <w:rFonts w:hint="cs"/>
          <w:rtl/>
        </w:rPr>
        <w:t xml:space="preserve"> </w:t>
      </w:r>
    </w:p>
    <w:p w14:paraId="6DD0AE9F" w14:textId="77777777" w:rsidR="00B526AC" w:rsidRPr="00511753" w:rsidRDefault="00B526AC" w:rsidP="00B526AC">
      <w:pPr>
        <w:rPr>
          <w:rFonts w:cs="FrankRuehl"/>
          <w:b/>
          <w:bCs/>
          <w:sz w:val="28"/>
          <w:szCs w:val="28"/>
          <w:rtl/>
        </w:rPr>
      </w:pPr>
    </w:p>
    <w:p w14:paraId="79C7E938" w14:textId="77777777" w:rsidR="00B526AC" w:rsidRPr="00511753" w:rsidRDefault="00B526AC" w:rsidP="00B526AC">
      <w:pPr>
        <w:rPr>
          <w:rFonts w:cs="FrankRuehl"/>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526AC" w:rsidRPr="00511753" w14:paraId="79BE5B7F" w14:textId="77777777" w:rsidTr="00B526AC">
        <w:trPr>
          <w:trHeight w:val="295"/>
          <w:jc w:val="center"/>
        </w:trPr>
        <w:tc>
          <w:tcPr>
            <w:tcW w:w="923" w:type="dxa"/>
            <w:tcBorders>
              <w:top w:val="nil"/>
              <w:left w:val="nil"/>
              <w:bottom w:val="nil"/>
              <w:right w:val="nil"/>
            </w:tcBorders>
            <w:shd w:val="clear" w:color="auto" w:fill="auto"/>
          </w:tcPr>
          <w:p w14:paraId="054AF312" w14:textId="77777777" w:rsidR="00B526AC" w:rsidRPr="00511753" w:rsidRDefault="00B526AC" w:rsidP="00B526AC">
            <w:pPr>
              <w:jc w:val="both"/>
              <w:rPr>
                <w:rFonts w:ascii="Arial" w:hAnsi="Arial" w:cs="FrankRuehl"/>
                <w:b/>
                <w:bCs/>
                <w:sz w:val="28"/>
                <w:szCs w:val="28"/>
              </w:rPr>
            </w:pPr>
            <w:r w:rsidRPr="00511753">
              <w:rPr>
                <w:rFonts w:ascii="Arial" w:hAnsi="Arial" w:cs="FrankRuehl" w:hint="cs"/>
                <w:b/>
                <w:bCs/>
                <w:sz w:val="28"/>
                <w:szCs w:val="28"/>
                <w:rtl/>
              </w:rPr>
              <w:t>ב</w:t>
            </w:r>
            <w:r w:rsidRPr="00511753">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275BB868" w14:textId="77777777" w:rsidR="00B526AC" w:rsidRPr="00511753" w:rsidRDefault="00B526AC" w:rsidP="00A20C28">
            <w:pPr>
              <w:rPr>
                <w:rFonts w:ascii="Arial" w:hAnsi="Arial" w:cs="FrankRuehl"/>
                <w:b/>
                <w:bCs/>
                <w:sz w:val="28"/>
                <w:szCs w:val="28"/>
                <w:rtl/>
              </w:rPr>
            </w:pPr>
            <w:r w:rsidRPr="00511753">
              <w:rPr>
                <w:rFonts w:ascii="Arial" w:hAnsi="Arial" w:cs="FrankRuehl" w:hint="cs"/>
                <w:b/>
                <w:bCs/>
                <w:sz w:val="28"/>
                <w:szCs w:val="28"/>
                <w:rtl/>
              </w:rPr>
              <w:t>כבוד ה</w:t>
            </w:r>
            <w:r w:rsidRPr="00511753">
              <w:rPr>
                <w:rFonts w:ascii="Arial" w:hAnsi="Arial" w:cs="FrankRuehl"/>
                <w:b/>
                <w:bCs/>
                <w:sz w:val="28"/>
                <w:szCs w:val="28"/>
                <w:rtl/>
              </w:rPr>
              <w:t>שופט</w:t>
            </w:r>
            <w:r w:rsidRPr="00511753">
              <w:rPr>
                <w:rFonts w:ascii="Arial" w:hAnsi="Arial" w:cs="FrankRuehl" w:hint="cs"/>
                <w:b/>
                <w:bCs/>
                <w:sz w:val="28"/>
                <w:szCs w:val="28"/>
                <w:rtl/>
              </w:rPr>
              <w:t xml:space="preserve">  </w:t>
            </w:r>
            <w:r w:rsidRPr="00511753">
              <w:rPr>
                <w:rFonts w:ascii="Arial" w:hAnsi="Arial" w:cs="FrankRuehl"/>
                <w:b/>
                <w:bCs/>
                <w:sz w:val="28"/>
                <w:szCs w:val="28"/>
                <w:rtl/>
              </w:rPr>
              <w:t>דוד שאול גבאי ריכטר</w:t>
            </w:r>
          </w:p>
          <w:p w14:paraId="04BE3079" w14:textId="77777777" w:rsidR="00B526AC" w:rsidRPr="00511753" w:rsidRDefault="00B526AC" w:rsidP="00A20C28">
            <w:pPr>
              <w:rPr>
                <w:rFonts w:cs="FrankRuehl"/>
                <w:b/>
                <w:bCs/>
                <w:sz w:val="28"/>
                <w:szCs w:val="28"/>
                <w:rtl/>
              </w:rPr>
            </w:pPr>
          </w:p>
          <w:p w14:paraId="0F563866" w14:textId="77777777" w:rsidR="00B526AC" w:rsidRPr="00511753" w:rsidRDefault="00B526AC" w:rsidP="00B526AC">
            <w:pPr>
              <w:jc w:val="both"/>
              <w:rPr>
                <w:rFonts w:ascii="Arial" w:hAnsi="Arial" w:cs="FrankRuehl"/>
                <w:b/>
                <w:bCs/>
                <w:sz w:val="28"/>
                <w:szCs w:val="28"/>
              </w:rPr>
            </w:pPr>
          </w:p>
        </w:tc>
      </w:tr>
      <w:tr w:rsidR="00B526AC" w:rsidRPr="00511753" w14:paraId="046EB0F1" w14:textId="77777777" w:rsidTr="00B526AC">
        <w:trPr>
          <w:trHeight w:val="355"/>
          <w:jc w:val="center"/>
        </w:trPr>
        <w:tc>
          <w:tcPr>
            <w:tcW w:w="923" w:type="dxa"/>
            <w:tcBorders>
              <w:top w:val="nil"/>
              <w:left w:val="nil"/>
              <w:bottom w:val="nil"/>
              <w:right w:val="nil"/>
            </w:tcBorders>
            <w:shd w:val="clear" w:color="auto" w:fill="auto"/>
          </w:tcPr>
          <w:p w14:paraId="16C90B0E" w14:textId="77777777" w:rsidR="00B526AC" w:rsidRPr="00511753" w:rsidRDefault="00B526AC" w:rsidP="00B526AC">
            <w:pPr>
              <w:jc w:val="both"/>
              <w:rPr>
                <w:rFonts w:ascii="Arial" w:hAnsi="Arial" w:cs="FrankRuehl"/>
                <w:b/>
                <w:bCs/>
                <w:sz w:val="28"/>
                <w:szCs w:val="28"/>
              </w:rPr>
            </w:pPr>
            <w:bookmarkStart w:id="1" w:name="FirstAppellant"/>
            <w:r w:rsidRPr="00511753">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39B9CB90" w14:textId="77777777" w:rsidR="00B526AC" w:rsidRPr="00511753" w:rsidRDefault="00B526AC" w:rsidP="00A20C28">
            <w:pPr>
              <w:rPr>
                <w:rFonts w:cs="FrankRuehl"/>
                <w:b/>
                <w:bCs/>
                <w:sz w:val="28"/>
                <w:szCs w:val="28"/>
              </w:rPr>
            </w:pPr>
            <w:r w:rsidRPr="00511753">
              <w:rPr>
                <w:rFonts w:ascii="Arial" w:hAnsi="Arial" w:cs="FrankRuehl"/>
                <w:b/>
                <w:bCs/>
                <w:sz w:val="28"/>
                <w:szCs w:val="28"/>
                <w:rtl/>
              </w:rPr>
              <w:t>מדינת ישראל</w:t>
            </w:r>
          </w:p>
        </w:tc>
        <w:tc>
          <w:tcPr>
            <w:tcW w:w="3771" w:type="dxa"/>
            <w:tcBorders>
              <w:top w:val="nil"/>
              <w:left w:val="nil"/>
              <w:bottom w:val="nil"/>
              <w:right w:val="nil"/>
            </w:tcBorders>
            <w:shd w:val="clear" w:color="auto" w:fill="auto"/>
          </w:tcPr>
          <w:p w14:paraId="27C324FC" w14:textId="77777777" w:rsidR="00B526AC" w:rsidRPr="00511753" w:rsidRDefault="00B526AC" w:rsidP="00B526AC">
            <w:pPr>
              <w:jc w:val="both"/>
              <w:rPr>
                <w:rFonts w:ascii="Arial" w:hAnsi="Arial" w:cs="FrankRuehl"/>
                <w:b/>
                <w:bCs/>
                <w:sz w:val="28"/>
                <w:szCs w:val="28"/>
              </w:rPr>
            </w:pPr>
          </w:p>
        </w:tc>
      </w:tr>
      <w:bookmarkEnd w:id="1"/>
      <w:tr w:rsidR="00B526AC" w:rsidRPr="00511753" w14:paraId="462CE94F" w14:textId="77777777" w:rsidTr="00B526AC">
        <w:trPr>
          <w:trHeight w:val="355"/>
          <w:jc w:val="center"/>
        </w:trPr>
        <w:tc>
          <w:tcPr>
            <w:tcW w:w="923" w:type="dxa"/>
            <w:tcBorders>
              <w:top w:val="nil"/>
              <w:left w:val="nil"/>
              <w:bottom w:val="nil"/>
              <w:right w:val="nil"/>
            </w:tcBorders>
            <w:shd w:val="clear" w:color="auto" w:fill="auto"/>
          </w:tcPr>
          <w:p w14:paraId="2586B56A" w14:textId="77777777" w:rsidR="00B526AC" w:rsidRPr="00511753" w:rsidRDefault="00B526AC" w:rsidP="00B526AC">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3BEA6F43" w14:textId="77777777" w:rsidR="00B526AC" w:rsidRPr="00511753" w:rsidRDefault="00B526AC" w:rsidP="00B526AC">
            <w:pPr>
              <w:jc w:val="both"/>
              <w:rPr>
                <w:rFonts w:cs="FrankRuehl"/>
                <w:b/>
                <w:bCs/>
                <w:sz w:val="28"/>
                <w:szCs w:val="28"/>
                <w:rtl/>
              </w:rPr>
            </w:pPr>
            <w:r w:rsidRPr="00511753">
              <w:rPr>
                <w:rFonts w:cs="FrankRuehl" w:hint="cs"/>
                <w:b/>
                <w:bCs/>
                <w:sz w:val="28"/>
                <w:szCs w:val="28"/>
                <w:rtl/>
              </w:rPr>
              <w:t>ע"י תביעות  ירושלים</w:t>
            </w:r>
          </w:p>
        </w:tc>
        <w:tc>
          <w:tcPr>
            <w:tcW w:w="3771" w:type="dxa"/>
            <w:tcBorders>
              <w:top w:val="nil"/>
              <w:left w:val="nil"/>
              <w:bottom w:val="nil"/>
              <w:right w:val="nil"/>
            </w:tcBorders>
            <w:shd w:val="clear" w:color="auto" w:fill="auto"/>
          </w:tcPr>
          <w:p w14:paraId="2BBB2952" w14:textId="77777777" w:rsidR="00B526AC" w:rsidRPr="00511753" w:rsidRDefault="00B526AC" w:rsidP="00B526AC">
            <w:pPr>
              <w:jc w:val="right"/>
              <w:rPr>
                <w:rFonts w:ascii="Arial" w:hAnsi="Arial" w:cs="FrankRuehl"/>
                <w:b/>
                <w:bCs/>
                <w:sz w:val="28"/>
                <w:szCs w:val="28"/>
                <w:rtl/>
              </w:rPr>
            </w:pPr>
            <w:r w:rsidRPr="00511753">
              <w:rPr>
                <w:rFonts w:ascii="Arial" w:hAnsi="Arial" w:cs="FrankRuehl" w:hint="cs"/>
                <w:b/>
                <w:bCs/>
                <w:sz w:val="28"/>
                <w:szCs w:val="28"/>
                <w:rtl/>
              </w:rPr>
              <w:t>ה</w:t>
            </w:r>
            <w:r w:rsidRPr="00511753">
              <w:rPr>
                <w:rFonts w:ascii="Arial" w:hAnsi="Arial" w:cs="FrankRuehl"/>
                <w:b/>
                <w:bCs/>
                <w:sz w:val="28"/>
                <w:szCs w:val="28"/>
                <w:rtl/>
              </w:rPr>
              <w:t>מאשימה</w:t>
            </w:r>
          </w:p>
        </w:tc>
      </w:tr>
      <w:tr w:rsidR="00B526AC" w:rsidRPr="00511753" w14:paraId="6ED7EF29" w14:textId="77777777" w:rsidTr="00B526AC">
        <w:trPr>
          <w:trHeight w:val="355"/>
          <w:jc w:val="center"/>
        </w:trPr>
        <w:tc>
          <w:tcPr>
            <w:tcW w:w="923" w:type="dxa"/>
            <w:tcBorders>
              <w:top w:val="nil"/>
              <w:left w:val="nil"/>
              <w:bottom w:val="nil"/>
              <w:right w:val="nil"/>
            </w:tcBorders>
            <w:shd w:val="clear" w:color="auto" w:fill="auto"/>
          </w:tcPr>
          <w:p w14:paraId="43FF5038" w14:textId="77777777" w:rsidR="00B526AC" w:rsidRPr="00511753" w:rsidRDefault="00B526AC" w:rsidP="00B526AC">
            <w:pPr>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34B549FD" w14:textId="77777777" w:rsidR="00B526AC" w:rsidRPr="00511753" w:rsidRDefault="00B526AC" w:rsidP="00B526AC">
            <w:pPr>
              <w:jc w:val="center"/>
              <w:rPr>
                <w:rFonts w:ascii="Arial" w:hAnsi="Arial" w:cs="FrankRuehl"/>
                <w:b/>
                <w:bCs/>
                <w:sz w:val="28"/>
                <w:szCs w:val="28"/>
                <w:rtl/>
              </w:rPr>
            </w:pPr>
          </w:p>
          <w:p w14:paraId="29E439FD" w14:textId="77777777" w:rsidR="00B526AC" w:rsidRPr="00511753" w:rsidRDefault="00B526AC" w:rsidP="00B526AC">
            <w:pPr>
              <w:jc w:val="center"/>
              <w:rPr>
                <w:rFonts w:ascii="Arial" w:hAnsi="Arial" w:cs="FrankRuehl"/>
                <w:b/>
                <w:bCs/>
                <w:sz w:val="28"/>
                <w:szCs w:val="28"/>
                <w:rtl/>
              </w:rPr>
            </w:pPr>
            <w:r w:rsidRPr="00511753">
              <w:rPr>
                <w:rFonts w:ascii="Arial" w:hAnsi="Arial" w:cs="FrankRuehl"/>
                <w:b/>
                <w:bCs/>
                <w:sz w:val="28"/>
                <w:szCs w:val="28"/>
                <w:rtl/>
              </w:rPr>
              <w:t>נגד</w:t>
            </w:r>
          </w:p>
          <w:p w14:paraId="339178E6" w14:textId="77777777" w:rsidR="00B526AC" w:rsidRPr="00511753" w:rsidRDefault="00B526AC" w:rsidP="00B526AC">
            <w:pPr>
              <w:jc w:val="both"/>
              <w:rPr>
                <w:rFonts w:ascii="Arial" w:hAnsi="Arial" w:cs="FrankRuehl"/>
                <w:b/>
                <w:bCs/>
                <w:sz w:val="28"/>
                <w:szCs w:val="28"/>
              </w:rPr>
            </w:pPr>
          </w:p>
        </w:tc>
      </w:tr>
      <w:tr w:rsidR="00B526AC" w:rsidRPr="00511753" w14:paraId="414B8E54" w14:textId="77777777" w:rsidTr="00B526AC">
        <w:trPr>
          <w:trHeight w:val="355"/>
          <w:jc w:val="center"/>
        </w:trPr>
        <w:tc>
          <w:tcPr>
            <w:tcW w:w="923" w:type="dxa"/>
            <w:tcBorders>
              <w:top w:val="nil"/>
              <w:left w:val="nil"/>
              <w:bottom w:val="nil"/>
              <w:right w:val="nil"/>
            </w:tcBorders>
            <w:shd w:val="clear" w:color="auto" w:fill="auto"/>
          </w:tcPr>
          <w:p w14:paraId="6CFEEF67" w14:textId="77777777" w:rsidR="00B526AC" w:rsidRPr="00511753" w:rsidRDefault="00B526AC" w:rsidP="00A20C28">
            <w:pPr>
              <w:rPr>
                <w:rFonts w:ascii="Arial" w:hAnsi="Arial" w:cs="FrankRuehl"/>
                <w:b/>
                <w:bCs/>
                <w:sz w:val="28"/>
                <w:szCs w:val="28"/>
                <w:rtl/>
              </w:rPr>
            </w:pPr>
          </w:p>
        </w:tc>
        <w:tc>
          <w:tcPr>
            <w:tcW w:w="4126" w:type="dxa"/>
            <w:tcBorders>
              <w:top w:val="nil"/>
              <w:left w:val="nil"/>
              <w:bottom w:val="nil"/>
              <w:right w:val="nil"/>
            </w:tcBorders>
            <w:shd w:val="clear" w:color="auto" w:fill="auto"/>
          </w:tcPr>
          <w:p w14:paraId="0B3337D6" w14:textId="77777777" w:rsidR="00B526AC" w:rsidRPr="00511753" w:rsidRDefault="00B526AC" w:rsidP="00A20C28">
            <w:pPr>
              <w:rPr>
                <w:rFonts w:cs="FrankRuehl"/>
                <w:b/>
                <w:bCs/>
                <w:sz w:val="28"/>
                <w:szCs w:val="28"/>
                <w:rtl/>
              </w:rPr>
            </w:pPr>
            <w:r w:rsidRPr="00511753">
              <w:rPr>
                <w:rFonts w:ascii="Arial" w:hAnsi="Arial" w:cs="FrankRuehl"/>
                <w:b/>
                <w:bCs/>
                <w:sz w:val="28"/>
                <w:szCs w:val="28"/>
                <w:rtl/>
              </w:rPr>
              <w:t>איתמר אזולאי</w:t>
            </w:r>
          </w:p>
        </w:tc>
        <w:tc>
          <w:tcPr>
            <w:tcW w:w="3771" w:type="dxa"/>
            <w:tcBorders>
              <w:top w:val="nil"/>
              <w:left w:val="nil"/>
              <w:bottom w:val="nil"/>
              <w:right w:val="nil"/>
            </w:tcBorders>
            <w:shd w:val="clear" w:color="auto" w:fill="auto"/>
          </w:tcPr>
          <w:p w14:paraId="46F1B222" w14:textId="77777777" w:rsidR="00B526AC" w:rsidRPr="00511753" w:rsidRDefault="00B526AC" w:rsidP="00B526AC">
            <w:pPr>
              <w:jc w:val="right"/>
              <w:rPr>
                <w:rFonts w:ascii="Arial" w:hAnsi="Arial" w:cs="FrankRuehl"/>
                <w:b/>
                <w:bCs/>
                <w:sz w:val="28"/>
                <w:szCs w:val="28"/>
              </w:rPr>
            </w:pPr>
          </w:p>
        </w:tc>
      </w:tr>
      <w:tr w:rsidR="00B526AC" w:rsidRPr="00511753" w14:paraId="474AE670" w14:textId="77777777" w:rsidTr="00B526AC">
        <w:trPr>
          <w:trHeight w:val="355"/>
          <w:jc w:val="center"/>
        </w:trPr>
        <w:tc>
          <w:tcPr>
            <w:tcW w:w="923" w:type="dxa"/>
            <w:tcBorders>
              <w:top w:val="nil"/>
              <w:left w:val="nil"/>
              <w:bottom w:val="nil"/>
              <w:right w:val="nil"/>
            </w:tcBorders>
            <w:shd w:val="clear" w:color="auto" w:fill="auto"/>
          </w:tcPr>
          <w:p w14:paraId="0AA00D67" w14:textId="77777777" w:rsidR="00B526AC" w:rsidRPr="00511753" w:rsidRDefault="00B526AC" w:rsidP="00B526AC">
            <w:pPr>
              <w:jc w:val="both"/>
              <w:rPr>
                <w:rFonts w:ascii="Arial" w:hAnsi="Arial" w:cs="FrankRuehl"/>
                <w:b/>
                <w:bCs/>
                <w:sz w:val="28"/>
                <w:szCs w:val="28"/>
                <w:rtl/>
              </w:rPr>
            </w:pPr>
            <w:bookmarkStart w:id="2" w:name="FirstLawyer"/>
          </w:p>
        </w:tc>
        <w:tc>
          <w:tcPr>
            <w:tcW w:w="4126" w:type="dxa"/>
            <w:tcBorders>
              <w:top w:val="nil"/>
              <w:left w:val="nil"/>
              <w:bottom w:val="nil"/>
              <w:right w:val="nil"/>
            </w:tcBorders>
            <w:shd w:val="clear" w:color="auto" w:fill="auto"/>
          </w:tcPr>
          <w:p w14:paraId="392ED693" w14:textId="77777777" w:rsidR="00B526AC" w:rsidRPr="00511753" w:rsidRDefault="00B526AC" w:rsidP="00B526AC">
            <w:pPr>
              <w:jc w:val="both"/>
              <w:rPr>
                <w:rFonts w:cs="FrankRuehl"/>
                <w:b/>
                <w:bCs/>
                <w:sz w:val="28"/>
                <w:szCs w:val="28"/>
                <w:rtl/>
              </w:rPr>
            </w:pPr>
            <w:r w:rsidRPr="00511753">
              <w:rPr>
                <w:rFonts w:cs="FrankRuehl" w:hint="cs"/>
                <w:b/>
                <w:bCs/>
                <w:sz w:val="28"/>
                <w:szCs w:val="28"/>
                <w:rtl/>
              </w:rPr>
              <w:t>ע"י ב"כ עו"ד עומייר מריד</w:t>
            </w:r>
          </w:p>
        </w:tc>
        <w:tc>
          <w:tcPr>
            <w:tcW w:w="3771" w:type="dxa"/>
            <w:tcBorders>
              <w:top w:val="nil"/>
              <w:left w:val="nil"/>
              <w:bottom w:val="nil"/>
              <w:right w:val="nil"/>
            </w:tcBorders>
            <w:shd w:val="clear" w:color="auto" w:fill="auto"/>
          </w:tcPr>
          <w:p w14:paraId="54EA9B0B" w14:textId="77777777" w:rsidR="00B526AC" w:rsidRPr="00511753" w:rsidRDefault="00B526AC" w:rsidP="00B526AC">
            <w:pPr>
              <w:jc w:val="right"/>
              <w:rPr>
                <w:rFonts w:ascii="Arial" w:hAnsi="Arial" w:cs="FrankRuehl"/>
                <w:b/>
                <w:bCs/>
                <w:sz w:val="28"/>
                <w:szCs w:val="28"/>
              </w:rPr>
            </w:pPr>
            <w:r w:rsidRPr="00511753">
              <w:rPr>
                <w:rFonts w:ascii="Arial" w:hAnsi="Arial" w:cs="FrankRuehl" w:hint="cs"/>
                <w:b/>
                <w:bCs/>
                <w:sz w:val="28"/>
                <w:szCs w:val="28"/>
                <w:rtl/>
              </w:rPr>
              <w:t>ה</w:t>
            </w:r>
            <w:r w:rsidRPr="00511753">
              <w:rPr>
                <w:rFonts w:ascii="Arial" w:hAnsi="Arial" w:cs="FrankRuehl"/>
                <w:b/>
                <w:bCs/>
                <w:sz w:val="28"/>
                <w:szCs w:val="28"/>
                <w:rtl/>
              </w:rPr>
              <w:t>נאשם</w:t>
            </w:r>
          </w:p>
        </w:tc>
      </w:tr>
    </w:tbl>
    <w:p w14:paraId="1F7730AE" w14:textId="77777777" w:rsidR="005326CA" w:rsidRDefault="005326CA" w:rsidP="00B526AC">
      <w:pPr>
        <w:rPr>
          <w:rtl/>
        </w:rPr>
      </w:pPr>
      <w:bookmarkStart w:id="3" w:name="LawTable"/>
      <w:bookmarkEnd w:id="2"/>
      <w:bookmarkEnd w:id="3"/>
    </w:p>
    <w:p w14:paraId="3A933C75" w14:textId="77777777" w:rsidR="005326CA" w:rsidRPr="005326CA" w:rsidRDefault="005326CA" w:rsidP="005326CA">
      <w:pPr>
        <w:spacing w:after="120" w:line="240" w:lineRule="exact"/>
        <w:ind w:left="283" w:hanging="283"/>
        <w:jc w:val="both"/>
        <w:rPr>
          <w:rFonts w:ascii="FrankRuehl" w:hAnsi="FrankRuehl" w:cs="FrankRuehl"/>
          <w:rtl/>
        </w:rPr>
      </w:pPr>
    </w:p>
    <w:p w14:paraId="3D8325A7" w14:textId="77777777" w:rsidR="005326CA" w:rsidRPr="005326CA" w:rsidRDefault="005326CA" w:rsidP="005326CA">
      <w:pPr>
        <w:spacing w:after="120" w:line="240" w:lineRule="exact"/>
        <w:ind w:left="283" w:hanging="283"/>
        <w:jc w:val="both"/>
        <w:rPr>
          <w:rFonts w:ascii="FrankRuehl" w:hAnsi="FrankRuehl" w:cs="FrankRuehl"/>
          <w:rtl/>
        </w:rPr>
      </w:pPr>
      <w:r w:rsidRPr="005326CA">
        <w:rPr>
          <w:rFonts w:ascii="FrankRuehl" w:hAnsi="FrankRuehl" w:cs="FrankRuehl"/>
          <w:rtl/>
        </w:rPr>
        <w:t xml:space="preserve">חקיקה שאוזכרה: </w:t>
      </w:r>
    </w:p>
    <w:p w14:paraId="6B4846A4" w14:textId="77777777" w:rsidR="005326CA" w:rsidRPr="005326CA" w:rsidRDefault="005326CA" w:rsidP="005326CA">
      <w:pPr>
        <w:spacing w:after="120" w:line="240" w:lineRule="exact"/>
        <w:ind w:left="283" w:hanging="283"/>
        <w:jc w:val="both"/>
        <w:rPr>
          <w:rFonts w:ascii="FrankRuehl" w:hAnsi="FrankRuehl" w:cs="FrankRuehl"/>
          <w:rtl/>
        </w:rPr>
      </w:pPr>
      <w:hyperlink r:id="rId7" w:history="1">
        <w:r w:rsidRPr="005326CA">
          <w:rPr>
            <w:rFonts w:ascii="FrankRuehl" w:hAnsi="FrankRuehl" w:cs="FrankRuehl"/>
            <w:color w:val="0000FF"/>
            <w:u w:val="single"/>
            <w:rtl/>
          </w:rPr>
          <w:t>חוק העונשין, תשל"ז-1977</w:t>
        </w:r>
      </w:hyperlink>
      <w:r w:rsidRPr="005326CA">
        <w:rPr>
          <w:rFonts w:ascii="FrankRuehl" w:hAnsi="FrankRuehl" w:cs="FrankRuehl"/>
          <w:rtl/>
        </w:rPr>
        <w:t xml:space="preserve">: סע'  </w:t>
      </w:r>
      <w:hyperlink r:id="rId8" w:history="1">
        <w:r w:rsidRPr="005326CA">
          <w:rPr>
            <w:rFonts w:ascii="FrankRuehl" w:hAnsi="FrankRuehl" w:cs="FrankRuehl"/>
            <w:color w:val="0000FF"/>
            <w:u w:val="single"/>
            <w:rtl/>
          </w:rPr>
          <w:t>7.א.</w:t>
        </w:r>
      </w:hyperlink>
      <w:r w:rsidRPr="005326CA">
        <w:rPr>
          <w:rFonts w:ascii="FrankRuehl" w:hAnsi="FrankRuehl" w:cs="FrankRuehl"/>
          <w:rtl/>
        </w:rPr>
        <w:t xml:space="preserve">, </w:t>
      </w:r>
      <w:hyperlink r:id="rId9" w:history="1">
        <w:r w:rsidRPr="005326CA">
          <w:rPr>
            <w:rFonts w:ascii="FrankRuehl" w:hAnsi="FrankRuehl" w:cs="FrankRuehl"/>
            <w:color w:val="0000FF"/>
            <w:u w:val="single"/>
            <w:rtl/>
          </w:rPr>
          <w:t>7.ג</w:t>
        </w:r>
      </w:hyperlink>
      <w:r w:rsidRPr="005326CA">
        <w:rPr>
          <w:rFonts w:ascii="FrankRuehl" w:hAnsi="FrankRuehl" w:cs="FrankRuehl"/>
          <w:rtl/>
        </w:rPr>
        <w:t xml:space="preserve">, </w:t>
      </w:r>
      <w:hyperlink r:id="rId10" w:history="1">
        <w:r w:rsidRPr="005326CA">
          <w:rPr>
            <w:rFonts w:ascii="FrankRuehl" w:hAnsi="FrankRuehl" w:cs="FrankRuehl"/>
            <w:color w:val="0000FF"/>
            <w:u w:val="single"/>
            <w:rtl/>
          </w:rPr>
          <w:t>40ט'</w:t>
        </w:r>
      </w:hyperlink>
      <w:r w:rsidRPr="005326CA">
        <w:rPr>
          <w:rFonts w:ascii="FrankRuehl" w:hAnsi="FrankRuehl" w:cs="FrankRuehl"/>
          <w:rtl/>
        </w:rPr>
        <w:t xml:space="preserve">, </w:t>
      </w:r>
      <w:hyperlink r:id="rId11" w:history="1">
        <w:r w:rsidRPr="005326CA">
          <w:rPr>
            <w:rFonts w:ascii="FrankRuehl" w:hAnsi="FrankRuehl" w:cs="FrankRuehl"/>
            <w:color w:val="0000FF"/>
            <w:u w:val="single"/>
            <w:rtl/>
          </w:rPr>
          <w:t>40יא</w:t>
        </w:r>
      </w:hyperlink>
    </w:p>
    <w:p w14:paraId="4ECAECA6" w14:textId="77777777" w:rsidR="005326CA" w:rsidRPr="005326CA" w:rsidRDefault="005326CA" w:rsidP="005326CA">
      <w:pPr>
        <w:spacing w:after="120" w:line="240" w:lineRule="exact"/>
        <w:ind w:left="283" w:hanging="283"/>
        <w:jc w:val="both"/>
        <w:rPr>
          <w:rFonts w:ascii="FrankRuehl" w:hAnsi="FrankRuehl" w:cs="FrankRuehl"/>
          <w:rtl/>
        </w:rPr>
      </w:pPr>
    </w:p>
    <w:p w14:paraId="59E58BDF" w14:textId="77777777" w:rsidR="00511753" w:rsidRPr="00511753" w:rsidRDefault="00511753" w:rsidP="00B526AC">
      <w:pPr>
        <w:rPr>
          <w:rtl/>
        </w:rPr>
      </w:pPr>
      <w:bookmarkStart w:id="4" w:name="LawTable_End"/>
      <w:bookmarkEnd w:id="4"/>
    </w:p>
    <w:p w14:paraId="5633D59C" w14:textId="77777777" w:rsidR="00511753" w:rsidRPr="00511753" w:rsidRDefault="00511753" w:rsidP="00B526AC">
      <w:pPr>
        <w:rPr>
          <w:rtl/>
        </w:rPr>
      </w:pPr>
    </w:p>
    <w:p w14:paraId="1D969538" w14:textId="77777777" w:rsidR="00B526AC" w:rsidRPr="00511753" w:rsidRDefault="00B526AC" w:rsidP="00B526AC"/>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526AC" w14:paraId="4F8B4C20" w14:textId="77777777" w:rsidTr="00B526AC">
        <w:trPr>
          <w:trHeight w:val="355"/>
          <w:jc w:val="center"/>
        </w:trPr>
        <w:tc>
          <w:tcPr>
            <w:tcW w:w="8820" w:type="dxa"/>
            <w:tcBorders>
              <w:top w:val="nil"/>
              <w:left w:val="nil"/>
              <w:bottom w:val="nil"/>
              <w:right w:val="nil"/>
            </w:tcBorders>
            <w:shd w:val="clear" w:color="auto" w:fill="auto"/>
          </w:tcPr>
          <w:p w14:paraId="34E74D20" w14:textId="77777777" w:rsidR="00511753" w:rsidRPr="00511753" w:rsidRDefault="00511753" w:rsidP="00511753">
            <w:pPr>
              <w:jc w:val="center"/>
              <w:rPr>
                <w:rFonts w:ascii="Arial" w:hAnsi="Arial" w:cs="FrankRuehl"/>
                <w:b/>
                <w:bCs/>
                <w:sz w:val="32"/>
                <w:szCs w:val="32"/>
                <w:u w:val="single"/>
                <w:rtl/>
              </w:rPr>
            </w:pPr>
            <w:bookmarkStart w:id="5" w:name="PsakDin" w:colFirst="0" w:colLast="0"/>
            <w:bookmarkEnd w:id="0"/>
            <w:r w:rsidRPr="00511753">
              <w:rPr>
                <w:rFonts w:ascii="Arial" w:hAnsi="Arial" w:cs="FrankRuehl"/>
                <w:b/>
                <w:bCs/>
                <w:sz w:val="32"/>
                <w:szCs w:val="32"/>
                <w:u w:val="single"/>
                <w:rtl/>
              </w:rPr>
              <w:t>גזר דין</w:t>
            </w:r>
          </w:p>
          <w:p w14:paraId="28869EEA" w14:textId="77777777" w:rsidR="00B526AC" w:rsidRPr="00511753" w:rsidRDefault="00B526AC" w:rsidP="00511753">
            <w:pPr>
              <w:jc w:val="center"/>
              <w:rPr>
                <w:rFonts w:ascii="Arial" w:hAnsi="Arial" w:cs="FrankRuehl"/>
                <w:bCs/>
                <w:sz w:val="32"/>
                <w:szCs w:val="32"/>
                <w:u w:val="single"/>
                <w:rtl/>
              </w:rPr>
            </w:pPr>
          </w:p>
        </w:tc>
      </w:tr>
      <w:bookmarkEnd w:id="5"/>
    </w:tbl>
    <w:p w14:paraId="2DF44EA7" w14:textId="77777777" w:rsidR="00B526AC" w:rsidRPr="00B05847" w:rsidRDefault="00B526AC" w:rsidP="00B526AC">
      <w:pPr>
        <w:rPr>
          <w:rFonts w:ascii="Arial" w:hAnsi="Arial"/>
          <w:rtl/>
        </w:rPr>
      </w:pPr>
    </w:p>
    <w:p w14:paraId="107A2D25" w14:textId="77777777" w:rsidR="00B526AC" w:rsidRPr="00B05847" w:rsidRDefault="00B526AC" w:rsidP="00B526AC">
      <w:pPr>
        <w:rPr>
          <w:rtl/>
        </w:rPr>
      </w:pPr>
    </w:p>
    <w:p w14:paraId="3A229B11" w14:textId="77777777" w:rsidR="00B526AC" w:rsidRDefault="00B526AC" w:rsidP="00B526AC">
      <w:pPr>
        <w:spacing w:line="360" w:lineRule="auto"/>
        <w:rPr>
          <w:rFonts w:cs="FrankRuehl"/>
          <w:b/>
          <w:bCs/>
          <w:sz w:val="28"/>
          <w:szCs w:val="28"/>
          <w:u w:val="single"/>
        </w:rPr>
      </w:pPr>
      <w:r>
        <w:rPr>
          <w:rFonts w:cs="FrankRuehl" w:hint="cs"/>
          <w:b/>
          <w:bCs/>
          <w:sz w:val="28"/>
          <w:szCs w:val="28"/>
          <w:u w:val="single"/>
          <w:rtl/>
        </w:rPr>
        <w:t>כתב האישום</w:t>
      </w:r>
    </w:p>
    <w:p w14:paraId="5CA39E9C" w14:textId="77777777" w:rsidR="00B526AC" w:rsidRDefault="00B526AC" w:rsidP="00B526AC">
      <w:pPr>
        <w:spacing w:line="360" w:lineRule="auto"/>
        <w:jc w:val="both"/>
        <w:rPr>
          <w:rFonts w:cs="FrankRuehl"/>
          <w:sz w:val="28"/>
          <w:szCs w:val="28"/>
        </w:rPr>
      </w:pPr>
      <w:bookmarkStart w:id="6" w:name="ABSTRACT_START"/>
      <w:bookmarkEnd w:id="6"/>
      <w:r>
        <w:rPr>
          <w:rFonts w:cs="FrankRuehl" w:hint="cs"/>
          <w:sz w:val="28"/>
          <w:szCs w:val="28"/>
          <w:rtl/>
        </w:rPr>
        <w:t xml:space="preserve">הנאשם הורשע על פי הודאתו בעבירות ובעובדות המנויות בכתב האישום המתוקן, בכך שביום 24.1.2018 נתפס הנאשם ברכבו, כשברכב באיזורים שונים בו, וליד רגליו של הנאשם, נמצא סם מסוג קנבוס במשקל 60 גרם המחולק ל-12 שקיות גדולות  ו-6 שקיות קטנות. בגין כך הורשע הנאשם בביצוע עבירה של החזקה סם שלא לצריכה עצמית לפי סעיף </w:t>
      </w:r>
      <w:hyperlink r:id="rId12" w:history="1">
        <w:r w:rsidR="005326CA" w:rsidRPr="005326CA">
          <w:rPr>
            <w:rFonts w:cs="FrankRuehl"/>
            <w:color w:val="0000FF"/>
            <w:sz w:val="28"/>
            <w:szCs w:val="28"/>
            <w:u w:val="single"/>
            <w:rtl/>
          </w:rPr>
          <w:t>7(א) + (ג)</w:t>
        </w:r>
      </w:hyperlink>
      <w:r>
        <w:rPr>
          <w:rFonts w:cs="FrankRuehl" w:hint="cs"/>
          <w:sz w:val="28"/>
          <w:szCs w:val="28"/>
          <w:rtl/>
        </w:rPr>
        <w:t xml:space="preserve"> רישא לפקודת </w:t>
      </w:r>
      <w:bookmarkStart w:id="7" w:name="ABSTRACT_END"/>
      <w:bookmarkEnd w:id="7"/>
      <w:r>
        <w:rPr>
          <w:rFonts w:cs="FrankRuehl" w:hint="cs"/>
          <w:sz w:val="28"/>
          <w:szCs w:val="28"/>
          <w:rtl/>
        </w:rPr>
        <w:t>הסמים.</w:t>
      </w:r>
    </w:p>
    <w:p w14:paraId="0C08B2CC" w14:textId="77777777" w:rsidR="00B526AC" w:rsidRDefault="00B526AC" w:rsidP="00B526AC">
      <w:pPr>
        <w:spacing w:line="360" w:lineRule="auto"/>
        <w:jc w:val="both"/>
        <w:rPr>
          <w:rFonts w:cs="FrankRuehl"/>
          <w:b/>
          <w:bCs/>
          <w:sz w:val="28"/>
          <w:szCs w:val="28"/>
          <w:u w:val="single"/>
        </w:rPr>
      </w:pPr>
    </w:p>
    <w:p w14:paraId="44BFF3B5" w14:textId="77777777" w:rsidR="00B526AC" w:rsidRDefault="00B526AC" w:rsidP="00B526AC">
      <w:pPr>
        <w:spacing w:line="360" w:lineRule="auto"/>
        <w:jc w:val="both"/>
        <w:rPr>
          <w:rFonts w:cs="FrankRuehl"/>
          <w:b/>
          <w:bCs/>
          <w:sz w:val="28"/>
          <w:szCs w:val="28"/>
          <w:u w:val="single"/>
        </w:rPr>
      </w:pPr>
      <w:r>
        <w:rPr>
          <w:rFonts w:cs="FrankRuehl" w:hint="cs"/>
          <w:b/>
          <w:bCs/>
          <w:sz w:val="28"/>
          <w:szCs w:val="28"/>
          <w:u w:val="single"/>
          <w:rtl/>
        </w:rPr>
        <w:t>מהלך הדיון</w:t>
      </w:r>
    </w:p>
    <w:p w14:paraId="12F5380E" w14:textId="77777777" w:rsidR="00B526AC" w:rsidRDefault="00B526AC" w:rsidP="00B526AC">
      <w:pPr>
        <w:spacing w:line="360" w:lineRule="auto"/>
        <w:jc w:val="both"/>
        <w:rPr>
          <w:rFonts w:cs="FrankRuehl"/>
          <w:sz w:val="28"/>
          <w:szCs w:val="28"/>
        </w:rPr>
      </w:pPr>
      <w:r>
        <w:rPr>
          <w:rFonts w:cs="FrankRuehl" w:hint="cs"/>
          <w:sz w:val="28"/>
          <w:szCs w:val="28"/>
          <w:rtl/>
        </w:rPr>
        <w:t xml:space="preserve">בתיק זה התקיים דיון אחד, במסגרתו הצדדים טענו לעונש ללא הזדקקות לשירות המבחן. </w:t>
      </w:r>
    </w:p>
    <w:p w14:paraId="647427A2" w14:textId="77777777" w:rsidR="00B526AC" w:rsidRDefault="00B526AC" w:rsidP="00B526AC">
      <w:pPr>
        <w:spacing w:line="360" w:lineRule="auto"/>
        <w:jc w:val="both"/>
        <w:rPr>
          <w:rFonts w:cs="FrankRuehl"/>
          <w:sz w:val="28"/>
          <w:szCs w:val="28"/>
          <w:rtl/>
        </w:rPr>
      </w:pPr>
    </w:p>
    <w:p w14:paraId="572154AE" w14:textId="77777777" w:rsidR="00B526AC" w:rsidRDefault="00B526AC" w:rsidP="00B526AC">
      <w:pPr>
        <w:spacing w:line="360" w:lineRule="auto"/>
        <w:jc w:val="both"/>
        <w:rPr>
          <w:rFonts w:cs="FrankRuehl"/>
          <w:b/>
          <w:bCs/>
          <w:sz w:val="28"/>
          <w:szCs w:val="28"/>
          <w:u w:val="single"/>
          <w:rtl/>
        </w:rPr>
      </w:pPr>
      <w:r>
        <w:rPr>
          <w:rFonts w:cs="FrankRuehl" w:hint="cs"/>
          <w:b/>
          <w:bCs/>
          <w:sz w:val="28"/>
          <w:szCs w:val="28"/>
          <w:u w:val="single"/>
          <w:rtl/>
        </w:rPr>
        <w:t>טיעונים לעונש</w:t>
      </w:r>
    </w:p>
    <w:p w14:paraId="34BA8774" w14:textId="77777777" w:rsidR="00B526AC" w:rsidRDefault="00B526AC" w:rsidP="00B526AC">
      <w:pPr>
        <w:spacing w:line="360" w:lineRule="auto"/>
        <w:jc w:val="both"/>
        <w:rPr>
          <w:rFonts w:cs="FrankRuehl"/>
          <w:sz w:val="28"/>
          <w:szCs w:val="28"/>
          <w:rtl/>
        </w:rPr>
      </w:pPr>
      <w:r>
        <w:rPr>
          <w:rFonts w:cs="FrankRuehl" w:hint="cs"/>
          <w:sz w:val="28"/>
          <w:szCs w:val="28"/>
          <w:rtl/>
        </w:rPr>
        <w:t xml:space="preserve">הצדדים לא הגיעו להסכמה עונשית. </w:t>
      </w:r>
    </w:p>
    <w:p w14:paraId="72EB4AB9" w14:textId="77777777" w:rsidR="00B526AC" w:rsidRDefault="00B526AC" w:rsidP="00B526AC">
      <w:pPr>
        <w:spacing w:line="360" w:lineRule="auto"/>
        <w:jc w:val="both"/>
        <w:rPr>
          <w:rFonts w:cs="FrankRuehl"/>
          <w:sz w:val="28"/>
          <w:szCs w:val="28"/>
          <w:rtl/>
        </w:rPr>
      </w:pPr>
      <w:r>
        <w:rPr>
          <w:rFonts w:cs="FrankRuehl" w:hint="cs"/>
          <w:sz w:val="28"/>
          <w:szCs w:val="28"/>
          <w:rtl/>
        </w:rPr>
        <w:t xml:space="preserve">מחד, המאשימה טוענת למתחם ענישה שבין 6 ל-12 חודשי מאסר בפועל, תוך הטלת עונש מאסר בפועל בתחתית המתחם. </w:t>
      </w:r>
    </w:p>
    <w:p w14:paraId="479E9664" w14:textId="77777777" w:rsidR="00B526AC" w:rsidRDefault="00B526AC" w:rsidP="00B526AC">
      <w:pPr>
        <w:spacing w:line="360" w:lineRule="auto"/>
        <w:jc w:val="both"/>
        <w:rPr>
          <w:rFonts w:cs="FrankRuehl"/>
          <w:sz w:val="28"/>
          <w:szCs w:val="28"/>
          <w:rtl/>
        </w:rPr>
      </w:pPr>
      <w:r>
        <w:rPr>
          <w:rFonts w:cs="FrankRuehl" w:hint="cs"/>
          <w:sz w:val="28"/>
          <w:szCs w:val="28"/>
          <w:rtl/>
        </w:rPr>
        <w:t xml:space="preserve">מאידך, הסניגור טוען כי ניתן להסתפק במאסר על-תנאי ובענישה נלווית לנוכח נסיבותיו של הנאשם. בסיום הטיעונים שמעתי גם את הנאשם שסיפר על אודות קורותיו. </w:t>
      </w:r>
    </w:p>
    <w:p w14:paraId="29FC457C" w14:textId="77777777" w:rsidR="00B526AC" w:rsidRDefault="00B526AC" w:rsidP="00B526AC">
      <w:pPr>
        <w:spacing w:line="360" w:lineRule="auto"/>
        <w:jc w:val="both"/>
        <w:rPr>
          <w:rFonts w:cs="FrankRuehl"/>
          <w:sz w:val="28"/>
          <w:szCs w:val="28"/>
        </w:rPr>
      </w:pPr>
    </w:p>
    <w:p w14:paraId="4E0260A4" w14:textId="77777777" w:rsidR="00B526AC" w:rsidRDefault="00B526AC" w:rsidP="00B526AC">
      <w:pPr>
        <w:spacing w:line="360" w:lineRule="auto"/>
        <w:jc w:val="both"/>
        <w:rPr>
          <w:rFonts w:cs="FrankRuehl"/>
          <w:b/>
          <w:bCs/>
          <w:sz w:val="28"/>
          <w:szCs w:val="28"/>
          <w:u w:val="single"/>
          <w:rtl/>
        </w:rPr>
      </w:pPr>
    </w:p>
    <w:p w14:paraId="4C424F11" w14:textId="77777777" w:rsidR="00B526AC" w:rsidRDefault="00B526AC" w:rsidP="00B526AC">
      <w:pPr>
        <w:spacing w:line="360" w:lineRule="auto"/>
        <w:jc w:val="both"/>
        <w:rPr>
          <w:rFonts w:cs="FrankRuehl"/>
          <w:b/>
          <w:bCs/>
          <w:sz w:val="28"/>
          <w:szCs w:val="28"/>
          <w:u w:val="single"/>
          <w:rtl/>
        </w:rPr>
      </w:pPr>
      <w:r>
        <w:rPr>
          <w:rFonts w:cs="FrankRuehl" w:hint="cs"/>
          <w:b/>
          <w:bCs/>
          <w:sz w:val="28"/>
          <w:szCs w:val="28"/>
          <w:u w:val="single"/>
          <w:rtl/>
        </w:rPr>
        <w:t xml:space="preserve">קביעת מתחם הענישה </w:t>
      </w:r>
      <w:r>
        <w:rPr>
          <w:rFonts w:cs="FrankRuehl" w:hint="cs"/>
          <w:sz w:val="28"/>
          <w:szCs w:val="28"/>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26E010B3" w14:textId="77777777" w:rsidR="00B526AC" w:rsidRDefault="00B526AC" w:rsidP="00B526AC">
      <w:pPr>
        <w:spacing w:line="360" w:lineRule="auto"/>
        <w:jc w:val="both"/>
        <w:rPr>
          <w:rFonts w:cs="FrankRuehl"/>
          <w:b/>
          <w:bCs/>
          <w:sz w:val="28"/>
          <w:szCs w:val="28"/>
          <w:u w:val="single"/>
          <w:rtl/>
        </w:rPr>
      </w:pPr>
    </w:p>
    <w:p w14:paraId="7CED6E7A" w14:textId="77777777" w:rsidR="00B526AC" w:rsidRDefault="00B526AC" w:rsidP="00B526AC">
      <w:pPr>
        <w:spacing w:line="360" w:lineRule="auto"/>
        <w:jc w:val="both"/>
        <w:rPr>
          <w:rFonts w:cs="FrankRuehl"/>
          <w:sz w:val="28"/>
          <w:szCs w:val="28"/>
          <w:rtl/>
        </w:rPr>
      </w:pPr>
      <w:r>
        <w:rPr>
          <w:rFonts w:cs="FrankRuehl" w:hint="cs"/>
          <w:b/>
          <w:bCs/>
          <w:sz w:val="28"/>
          <w:szCs w:val="28"/>
          <w:u w:val="single"/>
          <w:rtl/>
        </w:rPr>
        <w:t xml:space="preserve">אשר לערך המוגן </w:t>
      </w:r>
      <w:r>
        <w:rPr>
          <w:rFonts w:cs="FrankRuehl" w:hint="cs"/>
          <w:sz w:val="28"/>
          <w:szCs w:val="28"/>
          <w:rtl/>
        </w:rPr>
        <w:t>–  עבירות סמים פוגעות בערך המוגן של שמירה על שלום הציבור ובריאותו מפני נגע הסמים, שאינו מבחין בין "סמים קלים" ל"סמים קשים", שתוצאות השימוש בהם וההתמכרות אליהם קשות, ארוכות טווח ורחבות היקף וחורגות מעניינו של אדם אחד, ונוגעות לכלל החברה. בעניינו, בנסיבות של החזקת סם שלא לצריכה עצמית מחולק במנות, מידת הפגיעה בערך המוגן היא ברמה בינונית.</w:t>
      </w:r>
    </w:p>
    <w:p w14:paraId="3BB43B27" w14:textId="77777777" w:rsidR="00B526AC" w:rsidRDefault="00B526AC" w:rsidP="00B526AC">
      <w:pPr>
        <w:spacing w:line="360" w:lineRule="auto"/>
        <w:jc w:val="both"/>
        <w:rPr>
          <w:rFonts w:cs="FrankRuehl"/>
          <w:b/>
          <w:bCs/>
          <w:sz w:val="28"/>
          <w:szCs w:val="28"/>
          <w:u w:val="single"/>
          <w:rtl/>
        </w:rPr>
      </w:pPr>
    </w:p>
    <w:p w14:paraId="0C4E1253" w14:textId="77777777" w:rsidR="00B526AC" w:rsidRDefault="00B526AC" w:rsidP="00B526AC">
      <w:pPr>
        <w:spacing w:line="360" w:lineRule="auto"/>
        <w:jc w:val="both"/>
        <w:rPr>
          <w:rFonts w:cs="FrankRuehl"/>
          <w:sz w:val="28"/>
          <w:szCs w:val="28"/>
        </w:rPr>
      </w:pPr>
      <w:r>
        <w:rPr>
          <w:rFonts w:cs="FrankRuehl" w:hint="cs"/>
          <w:b/>
          <w:bCs/>
          <w:sz w:val="28"/>
          <w:szCs w:val="28"/>
          <w:u w:val="single"/>
          <w:rtl/>
        </w:rPr>
        <w:t xml:space="preserve">נסיבות הקשורות בביצוע העבירה, לפי </w:t>
      </w:r>
      <w:hyperlink r:id="rId13" w:history="1">
        <w:r w:rsidR="005326CA" w:rsidRPr="005326CA">
          <w:rPr>
            <w:rFonts w:cs="FrankRuehl"/>
            <w:b/>
            <w:bCs/>
            <w:color w:val="0000FF"/>
            <w:sz w:val="28"/>
            <w:szCs w:val="28"/>
            <w:u w:val="single"/>
            <w:rtl/>
          </w:rPr>
          <w:t>סעיף 40ט'</w:t>
        </w:r>
      </w:hyperlink>
      <w:r>
        <w:rPr>
          <w:rFonts w:cs="FrankRuehl" w:hint="cs"/>
          <w:b/>
          <w:bCs/>
          <w:sz w:val="28"/>
          <w:szCs w:val="28"/>
          <w:u w:val="single"/>
          <w:rtl/>
        </w:rPr>
        <w:t xml:space="preserve"> ל</w:t>
      </w:r>
      <w:hyperlink r:id="rId14" w:history="1">
        <w:r w:rsidR="00511753" w:rsidRPr="00511753">
          <w:rPr>
            <w:rFonts w:cs="FrankRuehl"/>
            <w:b/>
            <w:bCs/>
            <w:color w:val="0000FF"/>
            <w:sz w:val="28"/>
            <w:szCs w:val="28"/>
            <w:u w:val="single"/>
            <w:rtl/>
          </w:rPr>
          <w:t>חוק העונשין</w:t>
        </w:r>
      </w:hyperlink>
      <w:r>
        <w:rPr>
          <w:rFonts w:cs="FrankRuehl" w:hint="cs"/>
          <w:b/>
          <w:bCs/>
          <w:sz w:val="28"/>
          <w:szCs w:val="28"/>
          <w:rtl/>
        </w:rPr>
        <w:t xml:space="preserve"> – </w:t>
      </w:r>
      <w:r>
        <w:rPr>
          <w:rFonts w:cs="FrankRuehl" w:hint="cs"/>
          <w:sz w:val="28"/>
          <w:szCs w:val="28"/>
          <w:rtl/>
        </w:rPr>
        <w:t xml:space="preserve">בין הנסיבות הקשורות בביצוע העבירה יש לשקול את אלה, לעניין קביעת המתחם: מדובר בעבירה מתוכננת, בוודאי לנוכח החזקת הסם במקומות שונים ובחלוקה למנות, דבר המצביע על הכנה לסחר; הנזק שצפוי היה להיגרם מביצוע העבירה הוא ניכר; בפועל, המעשה נקטע באיבו ולא בשל חרטת הנאשם; ככל הנראה, העבירות בוצעו על רקע רצון ברווח כלכלי;  מדובר בנאשם בתחילת שנות העשרים לחייו, אדם בוגר שידע את הפסול שבמעשים וצריך היה להימנע מהם. </w:t>
      </w:r>
    </w:p>
    <w:p w14:paraId="2A21B4BF" w14:textId="77777777" w:rsidR="00B526AC" w:rsidRDefault="00B526AC" w:rsidP="00B526AC">
      <w:pPr>
        <w:spacing w:line="360" w:lineRule="auto"/>
        <w:jc w:val="both"/>
        <w:rPr>
          <w:rFonts w:cs="FrankRuehl"/>
          <w:b/>
          <w:bCs/>
          <w:sz w:val="28"/>
          <w:szCs w:val="28"/>
          <w:u w:val="single"/>
          <w:rtl/>
        </w:rPr>
      </w:pPr>
    </w:p>
    <w:p w14:paraId="6A1FDEDF" w14:textId="77777777" w:rsidR="00B526AC" w:rsidRDefault="00B526AC" w:rsidP="00B526AC">
      <w:pPr>
        <w:spacing w:line="360" w:lineRule="auto"/>
        <w:jc w:val="both"/>
        <w:rPr>
          <w:rFonts w:cs="FrankRuehl"/>
          <w:sz w:val="28"/>
          <w:szCs w:val="28"/>
          <w:rtl/>
        </w:rPr>
      </w:pPr>
      <w:r>
        <w:rPr>
          <w:rFonts w:cs="FrankRuehl" w:hint="cs"/>
          <w:b/>
          <w:bCs/>
          <w:sz w:val="28"/>
          <w:szCs w:val="28"/>
          <w:u w:val="single"/>
          <w:rtl/>
        </w:rPr>
        <w:t>מדיניות הענישה הנוהגת</w:t>
      </w:r>
      <w:r>
        <w:rPr>
          <w:rFonts w:cs="FrankRuehl" w:hint="cs"/>
          <w:b/>
          <w:bCs/>
          <w:sz w:val="28"/>
          <w:szCs w:val="28"/>
          <w:rtl/>
        </w:rPr>
        <w:t xml:space="preserve"> – </w:t>
      </w:r>
      <w:r w:rsidRPr="004E4B5E">
        <w:rPr>
          <w:rFonts w:cs="FrankRuehl" w:hint="cs"/>
          <w:sz w:val="28"/>
          <w:szCs w:val="28"/>
          <w:rtl/>
        </w:rPr>
        <w:t xml:space="preserve">הפסיקה מגוונת בהקשר לעבירות מסוג זה. </w:t>
      </w:r>
      <w:hyperlink r:id="rId15" w:history="1">
        <w:r w:rsidR="00511753" w:rsidRPr="00511753">
          <w:rPr>
            <w:rFonts w:cs="FrankRuehl"/>
            <w:color w:val="0000FF"/>
            <w:sz w:val="28"/>
            <w:szCs w:val="28"/>
            <w:u w:val="single"/>
            <w:rtl/>
          </w:rPr>
          <w:t>ת"פ (קרית שמונה)</w:t>
        </w:r>
        <w:r w:rsidR="00511753" w:rsidRPr="00511753">
          <w:rPr>
            <w:rFonts w:cs="FrankRuehl"/>
            <w:color w:val="0000FF"/>
            <w:sz w:val="28"/>
            <w:szCs w:val="28"/>
            <w:u w:val="single"/>
            <w:rtl/>
          </w:rPr>
          <w:br/>
          <w:t>14998-08-16</w:t>
        </w:r>
      </w:hyperlink>
      <w:r>
        <w:rPr>
          <w:rFonts w:cs="FrankRuehl" w:hint="cs"/>
          <w:b/>
          <w:bCs/>
          <w:sz w:val="28"/>
          <w:szCs w:val="28"/>
          <w:rtl/>
        </w:rPr>
        <w:t xml:space="preserve"> </w:t>
      </w:r>
      <w:r w:rsidRPr="004E4B5E">
        <w:rPr>
          <w:rFonts w:cs="FrankRuehl" w:hint="cs"/>
          <w:b/>
          <w:bCs/>
          <w:sz w:val="28"/>
          <w:szCs w:val="28"/>
          <w:u w:val="single"/>
          <w:rtl/>
        </w:rPr>
        <w:t>מ"י</w:t>
      </w:r>
      <w:r>
        <w:rPr>
          <w:rFonts w:cs="FrankRuehl" w:hint="cs"/>
          <w:b/>
          <w:bCs/>
          <w:sz w:val="28"/>
          <w:szCs w:val="28"/>
          <w:rtl/>
        </w:rPr>
        <w:t xml:space="preserve"> נ' </w:t>
      </w:r>
      <w:r w:rsidRPr="004E4B5E">
        <w:rPr>
          <w:rFonts w:cs="FrankRuehl" w:hint="cs"/>
          <w:b/>
          <w:bCs/>
          <w:sz w:val="28"/>
          <w:szCs w:val="28"/>
          <w:u w:val="single"/>
          <w:rtl/>
        </w:rPr>
        <w:t>כהן</w:t>
      </w:r>
      <w:r>
        <w:rPr>
          <w:rFonts w:cs="FrankRuehl" w:hint="cs"/>
          <w:b/>
          <w:bCs/>
          <w:sz w:val="28"/>
          <w:szCs w:val="28"/>
          <w:rtl/>
        </w:rPr>
        <w:t xml:space="preserve"> </w:t>
      </w:r>
      <w:r>
        <w:rPr>
          <w:rFonts w:cs="FrankRuehl" w:hint="cs"/>
          <w:sz w:val="28"/>
          <w:szCs w:val="28"/>
          <w:rtl/>
        </w:rPr>
        <w:t>(מיום 16.3.2017) מתייחס לנסיבות חמורות ממקרנו הכוללות סחר, ושם הפניה לפסיקה נוהגת, שם נקבע כי מתחם הענישה יכול התחיל בשל"ץ. ב</w:t>
      </w:r>
      <w:hyperlink r:id="rId16" w:history="1">
        <w:r w:rsidR="00511753" w:rsidRPr="00511753">
          <w:rPr>
            <w:rFonts w:cs="FrankRuehl"/>
            <w:color w:val="0000FF"/>
            <w:sz w:val="28"/>
            <w:szCs w:val="28"/>
            <w:u w:val="single"/>
            <w:rtl/>
          </w:rPr>
          <w:t>רע"פ 5478/19</w:t>
        </w:r>
      </w:hyperlink>
      <w:r>
        <w:rPr>
          <w:rFonts w:cs="FrankRuehl" w:hint="cs"/>
          <w:sz w:val="28"/>
          <w:szCs w:val="28"/>
          <w:rtl/>
        </w:rPr>
        <w:t xml:space="preserve"> </w:t>
      </w:r>
      <w:r w:rsidRPr="00430229">
        <w:rPr>
          <w:rFonts w:cs="FrankRuehl" w:hint="cs"/>
          <w:b/>
          <w:bCs/>
          <w:sz w:val="28"/>
          <w:szCs w:val="28"/>
          <w:u w:val="single"/>
          <w:rtl/>
        </w:rPr>
        <w:t>לוין</w:t>
      </w:r>
      <w:r>
        <w:rPr>
          <w:rFonts w:cs="FrankRuehl" w:hint="cs"/>
          <w:sz w:val="28"/>
          <w:szCs w:val="28"/>
          <w:rtl/>
        </w:rPr>
        <w:t xml:space="preserve"> נ' </w:t>
      </w:r>
      <w:r w:rsidRPr="00430229">
        <w:rPr>
          <w:rFonts w:cs="FrankRuehl" w:hint="cs"/>
          <w:b/>
          <w:bCs/>
          <w:sz w:val="28"/>
          <w:szCs w:val="28"/>
          <w:u w:val="single"/>
          <w:rtl/>
        </w:rPr>
        <w:t>מ"י</w:t>
      </w:r>
      <w:r>
        <w:rPr>
          <w:rFonts w:cs="FrankRuehl" w:hint="cs"/>
          <w:sz w:val="28"/>
          <w:szCs w:val="28"/>
          <w:rtl/>
        </w:rPr>
        <w:t xml:space="preserve"> (מיום 25.8.2019) הסתפק בית המשפט העליון בשל"ץ בנסיבות חמורות יותר שכללו סחר בסמים ליותר מאדם אחד.</w:t>
      </w:r>
    </w:p>
    <w:p w14:paraId="63B608E5" w14:textId="77777777" w:rsidR="00B526AC" w:rsidRDefault="00B526AC" w:rsidP="00B526AC">
      <w:pPr>
        <w:spacing w:line="360" w:lineRule="auto"/>
        <w:jc w:val="both"/>
        <w:rPr>
          <w:rFonts w:cs="FrankRuehl"/>
          <w:b/>
          <w:bCs/>
          <w:sz w:val="28"/>
          <w:szCs w:val="28"/>
          <w:u w:val="single"/>
          <w:rtl/>
        </w:rPr>
      </w:pPr>
    </w:p>
    <w:p w14:paraId="59802B02" w14:textId="77777777" w:rsidR="00B526AC" w:rsidRDefault="00B526AC" w:rsidP="00B526AC">
      <w:pPr>
        <w:spacing w:line="360" w:lineRule="auto"/>
        <w:jc w:val="both"/>
        <w:rPr>
          <w:rFonts w:cs="FrankRuehl"/>
          <w:sz w:val="28"/>
          <w:szCs w:val="28"/>
          <w:rtl/>
        </w:rPr>
      </w:pPr>
      <w:r>
        <w:rPr>
          <w:rFonts w:cs="FrankRuehl" w:hint="cs"/>
          <w:b/>
          <w:bCs/>
          <w:sz w:val="28"/>
          <w:szCs w:val="28"/>
          <w:u w:val="single"/>
          <w:rtl/>
        </w:rPr>
        <w:t>מתחם הענישה</w:t>
      </w:r>
      <w:r>
        <w:rPr>
          <w:rFonts w:cs="FrankRuehl" w:hint="cs"/>
          <w:sz w:val="28"/>
          <w:szCs w:val="28"/>
          <w:rtl/>
        </w:rPr>
        <w:t xml:space="preserve"> – במכלול הנסיבות, מתחם הענישה צריך להתחיל בשל"ץ נרחב ומאסר מותנה עד  6 חודשי מאסר לרבות בעבודות שירות. </w:t>
      </w:r>
    </w:p>
    <w:p w14:paraId="24FEC232" w14:textId="77777777" w:rsidR="00B526AC" w:rsidRDefault="00B526AC" w:rsidP="00B526AC">
      <w:pPr>
        <w:spacing w:line="360" w:lineRule="auto"/>
        <w:jc w:val="both"/>
        <w:rPr>
          <w:rFonts w:cs="FrankRuehl"/>
          <w:b/>
          <w:bCs/>
          <w:sz w:val="28"/>
          <w:szCs w:val="28"/>
          <w:rtl/>
        </w:rPr>
      </w:pPr>
    </w:p>
    <w:p w14:paraId="5C6CC32A" w14:textId="77777777" w:rsidR="00B526AC" w:rsidRDefault="00B526AC" w:rsidP="00B526AC">
      <w:pPr>
        <w:spacing w:line="360" w:lineRule="auto"/>
        <w:jc w:val="both"/>
        <w:rPr>
          <w:rFonts w:cs="FrankRuehl"/>
          <w:sz w:val="28"/>
          <w:szCs w:val="28"/>
          <w:rtl/>
        </w:rPr>
      </w:pPr>
      <w:r>
        <w:rPr>
          <w:rFonts w:cs="FrankRuehl" w:hint="cs"/>
          <w:b/>
          <w:bCs/>
          <w:sz w:val="28"/>
          <w:szCs w:val="28"/>
          <w:u w:val="single"/>
          <w:rtl/>
        </w:rPr>
        <w:t xml:space="preserve">נסיבות שאינן קשורות בביצוע העבירה לפי </w:t>
      </w:r>
      <w:hyperlink r:id="rId17" w:history="1">
        <w:r w:rsidR="005326CA" w:rsidRPr="005326CA">
          <w:rPr>
            <w:rFonts w:cs="FrankRuehl"/>
            <w:b/>
            <w:bCs/>
            <w:color w:val="0000FF"/>
            <w:sz w:val="28"/>
            <w:szCs w:val="28"/>
            <w:u w:val="single"/>
            <w:rtl/>
          </w:rPr>
          <w:t>סעיף 40י"א</w:t>
        </w:r>
      </w:hyperlink>
      <w:r>
        <w:rPr>
          <w:rFonts w:cs="FrankRuehl" w:hint="cs"/>
          <w:b/>
          <w:bCs/>
          <w:sz w:val="28"/>
          <w:szCs w:val="28"/>
          <w:u w:val="single"/>
          <w:rtl/>
        </w:rPr>
        <w:t xml:space="preserve"> ל</w:t>
      </w:r>
      <w:hyperlink r:id="rId18" w:history="1">
        <w:r w:rsidR="00511753" w:rsidRPr="00511753">
          <w:rPr>
            <w:rFonts w:cs="FrankRuehl"/>
            <w:b/>
            <w:bCs/>
            <w:color w:val="0000FF"/>
            <w:sz w:val="28"/>
            <w:szCs w:val="28"/>
            <w:u w:val="single"/>
            <w:rtl/>
          </w:rPr>
          <w:t>חוק העונשין</w:t>
        </w:r>
      </w:hyperlink>
      <w:r>
        <w:rPr>
          <w:rFonts w:cs="FrankRuehl" w:hint="cs"/>
          <w:b/>
          <w:bCs/>
          <w:sz w:val="28"/>
          <w:szCs w:val="28"/>
          <w:rtl/>
        </w:rPr>
        <w:t xml:space="preserve"> – </w:t>
      </w:r>
      <w:r>
        <w:rPr>
          <w:rFonts w:cs="FrankRuehl" w:hint="cs"/>
          <w:sz w:val="28"/>
          <w:szCs w:val="28"/>
          <w:rtl/>
        </w:rPr>
        <w:t xml:space="preserve">ניתן  לתת משקל לנסיבות הבאות שאינן קשורות בביצוע העבירה, במסגרת גזירת העונש בתוך המתחם: מדובר בנאשם צעיר ללא עבר פלילי שנסיבותיו חייו אינן פשוטות; שליחתו למאסר בפועל תהיה בלתי מדתית בנסיבות העניין; הנאשם שירת בצבא ואמו  נפטרה לפני מספר שנים, כשהוא בן למשפחה מרובת ילדים ויש לו בה תפקיד משמעותי; הנאשם הודה בהזדמנות הראשונה ונטל אחריות למעשיו. </w:t>
      </w:r>
    </w:p>
    <w:p w14:paraId="53881BA4" w14:textId="77777777" w:rsidR="00B526AC" w:rsidRDefault="00B526AC" w:rsidP="00B526AC">
      <w:pPr>
        <w:spacing w:line="360" w:lineRule="auto"/>
        <w:jc w:val="both"/>
        <w:rPr>
          <w:rFonts w:cs="FrankRuehl"/>
          <w:sz w:val="28"/>
          <w:szCs w:val="28"/>
          <w:rtl/>
        </w:rPr>
      </w:pPr>
    </w:p>
    <w:p w14:paraId="2799464F" w14:textId="77777777" w:rsidR="00B526AC" w:rsidRDefault="00B526AC" w:rsidP="00B526AC">
      <w:pPr>
        <w:spacing w:line="360" w:lineRule="auto"/>
        <w:jc w:val="both"/>
        <w:rPr>
          <w:rFonts w:cs="FrankRuehl"/>
          <w:sz w:val="28"/>
          <w:szCs w:val="28"/>
          <w:rtl/>
        </w:rPr>
      </w:pPr>
      <w:r>
        <w:rPr>
          <w:rFonts w:cs="FrankRuehl" w:hint="cs"/>
          <w:b/>
          <w:bCs/>
          <w:sz w:val="28"/>
          <w:szCs w:val="28"/>
          <w:u w:val="single"/>
          <w:rtl/>
        </w:rPr>
        <w:t>המיקום במתחם</w:t>
      </w:r>
      <w:r>
        <w:rPr>
          <w:rFonts w:cs="FrankRuehl" w:hint="cs"/>
          <w:sz w:val="28"/>
          <w:szCs w:val="28"/>
          <w:rtl/>
        </w:rPr>
        <w:t xml:space="preserve"> -  במכלול הנסיבות, יש למקם את הנאשם בתחתית המתחם. </w:t>
      </w:r>
    </w:p>
    <w:p w14:paraId="3E2B1579" w14:textId="77777777" w:rsidR="00B526AC" w:rsidRDefault="00B526AC" w:rsidP="00B526AC">
      <w:pPr>
        <w:spacing w:line="360" w:lineRule="auto"/>
        <w:jc w:val="both"/>
        <w:rPr>
          <w:rFonts w:cs="FrankRuehl"/>
          <w:b/>
          <w:bCs/>
          <w:sz w:val="28"/>
          <w:szCs w:val="28"/>
          <w:u w:val="single"/>
          <w:rtl/>
        </w:rPr>
      </w:pPr>
    </w:p>
    <w:p w14:paraId="15E39575" w14:textId="77777777" w:rsidR="00B526AC" w:rsidRDefault="00B526AC" w:rsidP="00B526AC">
      <w:pPr>
        <w:spacing w:line="360" w:lineRule="auto"/>
        <w:jc w:val="both"/>
        <w:rPr>
          <w:rFonts w:cs="FrankRuehl"/>
          <w:b/>
          <w:bCs/>
          <w:sz w:val="28"/>
          <w:szCs w:val="28"/>
          <w:u w:val="single"/>
          <w:rtl/>
        </w:rPr>
      </w:pPr>
      <w:r>
        <w:rPr>
          <w:rFonts w:cs="FrankRuehl" w:hint="cs"/>
          <w:b/>
          <w:bCs/>
          <w:sz w:val="28"/>
          <w:szCs w:val="28"/>
          <w:u w:val="single"/>
          <w:rtl/>
        </w:rPr>
        <w:t>גזירת הדין</w:t>
      </w:r>
    </w:p>
    <w:p w14:paraId="56E95C74" w14:textId="77777777" w:rsidR="00B526AC" w:rsidRDefault="00B526AC" w:rsidP="00B526AC">
      <w:pPr>
        <w:spacing w:line="360" w:lineRule="auto"/>
        <w:jc w:val="both"/>
        <w:rPr>
          <w:rFonts w:cs="FrankRuehl"/>
          <w:sz w:val="28"/>
          <w:szCs w:val="28"/>
          <w:rtl/>
        </w:rPr>
      </w:pPr>
      <w:r>
        <w:rPr>
          <w:rFonts w:cs="FrankRuehl" w:hint="cs"/>
          <w:sz w:val="28"/>
          <w:szCs w:val="28"/>
          <w:rtl/>
        </w:rPr>
        <w:t>לפיכך, אני מחליט לגזור על הנאשם את העונשים הבאים:</w:t>
      </w:r>
    </w:p>
    <w:p w14:paraId="518CBBC3" w14:textId="77777777" w:rsidR="00B526AC" w:rsidRDefault="00B526AC" w:rsidP="00B526AC">
      <w:pPr>
        <w:numPr>
          <w:ilvl w:val="0"/>
          <w:numId w:val="1"/>
        </w:numPr>
        <w:spacing w:after="160" w:line="360" w:lineRule="auto"/>
        <w:contextualSpacing/>
        <w:jc w:val="both"/>
        <w:rPr>
          <w:rFonts w:cs="FrankRuehl"/>
          <w:sz w:val="28"/>
          <w:szCs w:val="28"/>
          <w:rtl/>
        </w:rPr>
      </w:pPr>
      <w:r>
        <w:rPr>
          <w:rFonts w:cs="FrankRuehl" w:hint="cs"/>
          <w:sz w:val="28"/>
          <w:szCs w:val="28"/>
          <w:rtl/>
        </w:rPr>
        <w:t xml:space="preserve">5 ימי מאסר </w:t>
      </w:r>
      <w:r>
        <w:rPr>
          <w:rFonts w:cs="FrankRuehl"/>
          <w:sz w:val="28"/>
          <w:szCs w:val="28"/>
          <w:rtl/>
        </w:rPr>
        <w:t>–</w:t>
      </w:r>
      <w:r>
        <w:rPr>
          <w:rFonts w:cs="FrankRuehl" w:hint="cs"/>
          <w:sz w:val="28"/>
          <w:szCs w:val="28"/>
          <w:rtl/>
        </w:rPr>
        <w:t xml:space="preserve"> כימי מעצרו </w:t>
      </w:r>
      <w:r>
        <w:rPr>
          <w:rFonts w:cs="FrankRuehl"/>
          <w:sz w:val="28"/>
          <w:szCs w:val="28"/>
          <w:rtl/>
        </w:rPr>
        <w:t>–</w:t>
      </w:r>
      <w:r>
        <w:rPr>
          <w:rFonts w:cs="FrankRuehl" w:hint="cs"/>
          <w:sz w:val="28"/>
          <w:szCs w:val="28"/>
          <w:rtl/>
        </w:rPr>
        <w:t xml:space="preserve"> 24.1.2018 </w:t>
      </w:r>
      <w:r>
        <w:rPr>
          <w:rFonts w:cs="FrankRuehl"/>
          <w:sz w:val="28"/>
          <w:szCs w:val="28"/>
          <w:rtl/>
        </w:rPr>
        <w:t>–</w:t>
      </w:r>
      <w:r>
        <w:rPr>
          <w:rFonts w:cs="FrankRuehl" w:hint="cs"/>
          <w:sz w:val="28"/>
          <w:szCs w:val="28"/>
          <w:rtl/>
        </w:rPr>
        <w:t xml:space="preserve"> 28.1.2018 </w:t>
      </w:r>
      <w:r>
        <w:rPr>
          <w:rFonts w:cs="FrankRuehl"/>
          <w:sz w:val="28"/>
          <w:szCs w:val="28"/>
          <w:rtl/>
        </w:rPr>
        <w:t>–</w:t>
      </w:r>
      <w:r>
        <w:rPr>
          <w:rFonts w:cs="FrankRuehl" w:hint="cs"/>
          <w:sz w:val="28"/>
          <w:szCs w:val="28"/>
          <w:rtl/>
        </w:rPr>
        <w:t xml:space="preserve"> משמעות הדבר שסיים לרצות את עונשו;</w:t>
      </w:r>
    </w:p>
    <w:p w14:paraId="1F0BF7B7" w14:textId="77777777" w:rsidR="00B526AC" w:rsidRDefault="00B526AC" w:rsidP="00B526AC">
      <w:pPr>
        <w:numPr>
          <w:ilvl w:val="0"/>
          <w:numId w:val="1"/>
        </w:numPr>
        <w:spacing w:after="160" w:line="360" w:lineRule="auto"/>
        <w:contextualSpacing/>
        <w:jc w:val="both"/>
        <w:rPr>
          <w:rFonts w:cs="FrankRuehl"/>
          <w:sz w:val="28"/>
          <w:szCs w:val="28"/>
        </w:rPr>
      </w:pPr>
      <w:r>
        <w:rPr>
          <w:rFonts w:cs="FrankRuehl" w:hint="cs"/>
          <w:sz w:val="28"/>
          <w:szCs w:val="28"/>
          <w:rtl/>
        </w:rPr>
        <w:t>5 חודשי מאסר, שלא ירוצו אלא אם יעבור הנאשם כל עבירה לפי פקודת הסמים למעט שימוש עצמי והחזקת כלים לצריכה עצמית, למשך שלוש שנים מהיום;</w:t>
      </w:r>
    </w:p>
    <w:p w14:paraId="292AF316" w14:textId="77777777" w:rsidR="00B526AC" w:rsidRDefault="00B526AC" w:rsidP="00B526AC">
      <w:pPr>
        <w:numPr>
          <w:ilvl w:val="0"/>
          <w:numId w:val="1"/>
        </w:numPr>
        <w:spacing w:after="160" w:line="360" w:lineRule="auto"/>
        <w:contextualSpacing/>
        <w:jc w:val="both"/>
        <w:rPr>
          <w:rFonts w:cs="FrankRuehl"/>
          <w:sz w:val="28"/>
          <w:szCs w:val="28"/>
        </w:rPr>
      </w:pPr>
      <w:r>
        <w:rPr>
          <w:rFonts w:cs="FrankRuehl" w:hint="cs"/>
          <w:sz w:val="28"/>
          <w:szCs w:val="28"/>
          <w:rtl/>
        </w:rPr>
        <w:t>חודש מאסר שלא ירוצה אלא אם יעבור הנאשם בתוך שלוש שנים מהיום כל עבירת שימוש עצמי והחזקת כלים לשימוש עצמי בתוך שלוש שנים מהיום;</w:t>
      </w:r>
    </w:p>
    <w:p w14:paraId="6FBC5108" w14:textId="77777777" w:rsidR="00B526AC" w:rsidRDefault="00B526AC" w:rsidP="00B526AC">
      <w:pPr>
        <w:numPr>
          <w:ilvl w:val="0"/>
          <w:numId w:val="1"/>
        </w:numPr>
        <w:spacing w:after="160" w:line="360" w:lineRule="auto"/>
        <w:contextualSpacing/>
        <w:jc w:val="both"/>
        <w:rPr>
          <w:rFonts w:cs="FrankRuehl"/>
          <w:sz w:val="28"/>
          <w:szCs w:val="28"/>
        </w:rPr>
      </w:pPr>
      <w:r>
        <w:rPr>
          <w:rFonts w:cs="FrankRuehl" w:hint="cs"/>
          <w:sz w:val="28"/>
          <w:szCs w:val="28"/>
          <w:rtl/>
        </w:rPr>
        <w:t>קנס בסך 5,000 ₪, אשר ישולם החל מיום 1.1.2012 , או  חודש מאסר תמורתו. הקנס ישולם ב-20 תשלומים שווים ורצופים ב-1 בכל  חודש. לא ישולם תשלום במועד או לא ישולם כלל, יעמוד הקנס לפירעון מיידי;</w:t>
      </w:r>
    </w:p>
    <w:p w14:paraId="267D8908" w14:textId="77777777" w:rsidR="00B526AC" w:rsidRDefault="00B526AC" w:rsidP="00B526AC">
      <w:pPr>
        <w:numPr>
          <w:ilvl w:val="0"/>
          <w:numId w:val="1"/>
        </w:numPr>
        <w:spacing w:after="160" w:line="360" w:lineRule="auto"/>
        <w:contextualSpacing/>
        <w:jc w:val="both"/>
        <w:rPr>
          <w:rFonts w:cs="FrankRuehl"/>
          <w:sz w:val="28"/>
          <w:szCs w:val="28"/>
          <w:rtl/>
        </w:rPr>
      </w:pPr>
      <w:r>
        <w:rPr>
          <w:rFonts w:cs="FrankRuehl" w:hint="cs"/>
          <w:sz w:val="28"/>
          <w:szCs w:val="28"/>
          <w:rtl/>
        </w:rPr>
        <w:t>התחייבות בסך 5,000 ₪ שלא לעבור כל עבירה לפי פקודת הסמים לרבות שימוש עצמי והחזקת כלים לשימוש עצמי, בתוך שנתיים מהיום, או שבועיים מאסר תמורתה אם לא תיחתם. הובהר לנאשם שמשמעות ההתחייבות היא, כי אם יעבור את העבירה בתוך התקופה שצוינה, בית המשפט שיגזור את הדין יהא חייב לחלט את ההתחייבות כקנס.</w:t>
      </w:r>
    </w:p>
    <w:p w14:paraId="38FECBC0" w14:textId="77777777" w:rsidR="00B526AC" w:rsidRDefault="00B526AC" w:rsidP="00B526AC">
      <w:pPr>
        <w:spacing w:line="360" w:lineRule="auto"/>
        <w:rPr>
          <w:rFonts w:ascii="FrankRuehl" w:hAnsi="FrankRuehl" w:cs="FrankRuehl"/>
          <w:sz w:val="28"/>
          <w:szCs w:val="28"/>
          <w:rtl/>
        </w:rPr>
      </w:pPr>
      <w:r>
        <w:rPr>
          <w:rFonts w:ascii="FrankRuehl" w:hAnsi="FrankRuehl" w:cs="FrankRuehl" w:hint="cs"/>
          <w:sz w:val="28"/>
          <w:szCs w:val="28"/>
          <w:rtl/>
        </w:rPr>
        <w:t>הסמים יושמדו.</w:t>
      </w:r>
    </w:p>
    <w:p w14:paraId="21DB6868" w14:textId="77777777" w:rsidR="00B526AC" w:rsidRDefault="00B526AC" w:rsidP="00B526AC">
      <w:pPr>
        <w:spacing w:line="360" w:lineRule="auto"/>
        <w:rPr>
          <w:rFonts w:ascii="FrankRuehl" w:hAnsi="FrankRuehl" w:cs="FrankRuehl"/>
          <w:sz w:val="28"/>
          <w:szCs w:val="28"/>
          <w:rtl/>
        </w:rPr>
      </w:pPr>
      <w:r>
        <w:rPr>
          <w:rFonts w:ascii="FrankRuehl" w:hAnsi="FrankRuehl" w:cs="FrankRuehl" w:hint="cs"/>
          <w:sz w:val="28"/>
          <w:szCs w:val="28"/>
          <w:rtl/>
        </w:rPr>
        <w:t>הכספים שנתפסו יחולטו.</w:t>
      </w:r>
    </w:p>
    <w:p w14:paraId="79412795" w14:textId="77777777" w:rsidR="00B526AC" w:rsidRDefault="00B526AC" w:rsidP="00B526AC">
      <w:pPr>
        <w:spacing w:line="360" w:lineRule="auto"/>
        <w:rPr>
          <w:rFonts w:ascii="FrankRuehl" w:hAnsi="FrankRuehl" w:cs="FrankRuehl"/>
          <w:sz w:val="28"/>
          <w:szCs w:val="28"/>
          <w:rtl/>
        </w:rPr>
      </w:pPr>
      <w:r>
        <w:rPr>
          <w:rFonts w:ascii="FrankRuehl" w:hAnsi="FrankRuehl" w:cs="FrankRuehl" w:hint="cs"/>
          <w:sz w:val="28"/>
          <w:szCs w:val="28"/>
          <w:rtl/>
        </w:rPr>
        <w:t>מורה למשטרה להחזיר לנאשם את ההפקדה שהפקיד במסגרת תנאי השחרור.</w:t>
      </w:r>
    </w:p>
    <w:p w14:paraId="53987C1C" w14:textId="77777777" w:rsidR="00B526AC" w:rsidRDefault="00B526AC" w:rsidP="00B526AC">
      <w:pPr>
        <w:spacing w:line="360" w:lineRule="auto"/>
        <w:rPr>
          <w:rFonts w:ascii="FrankRuehl" w:hAnsi="FrankRuehl" w:cs="FrankRuehl"/>
          <w:sz w:val="28"/>
          <w:szCs w:val="28"/>
          <w:rtl/>
        </w:rPr>
      </w:pPr>
      <w:r>
        <w:rPr>
          <w:rFonts w:ascii="FrankRuehl" w:hAnsi="FrankRuehl" w:cs="FrankRuehl" w:hint="cs"/>
          <w:sz w:val="28"/>
          <w:szCs w:val="28"/>
          <w:rtl/>
        </w:rPr>
        <w:t>הטלפונים יוחזרו לנאשם בהסכמת המאשימה.</w:t>
      </w:r>
    </w:p>
    <w:p w14:paraId="1BDE171D" w14:textId="77777777" w:rsidR="00B526AC" w:rsidRDefault="00511753" w:rsidP="00B526AC">
      <w:pPr>
        <w:rPr>
          <w:rFonts w:ascii="FrankRuehl" w:hAnsi="FrankRuehl" w:cs="FrankRuehl"/>
          <w:sz w:val="28"/>
          <w:szCs w:val="28"/>
          <w:rtl/>
        </w:rPr>
      </w:pPr>
      <w:r w:rsidRPr="00511753">
        <w:rPr>
          <w:rFonts w:ascii="FrankRuehl" w:hAnsi="FrankRuehl" w:cs="FrankRuehl"/>
          <w:color w:val="FFFFFF"/>
          <w:sz w:val="2"/>
          <w:szCs w:val="2"/>
          <w:rtl/>
        </w:rPr>
        <w:t>5129371</w:t>
      </w:r>
      <w:r w:rsidR="00B526AC">
        <w:rPr>
          <w:rFonts w:ascii="FrankRuehl" w:hAnsi="FrankRuehl" w:cs="FrankRuehl" w:hint="cs"/>
          <w:sz w:val="28"/>
          <w:szCs w:val="28"/>
          <w:rtl/>
        </w:rPr>
        <w:t>זכות ערעור כחוק לבית המשפט המחוזי בירושלים בתוך 45 יום מהיום.</w:t>
      </w:r>
    </w:p>
    <w:p w14:paraId="32297E51" w14:textId="77777777" w:rsidR="00B526AC" w:rsidRPr="00511753" w:rsidRDefault="00511753" w:rsidP="00B526AC">
      <w:pPr>
        <w:rPr>
          <w:color w:val="FFFFFF"/>
          <w:sz w:val="2"/>
          <w:szCs w:val="2"/>
          <w:rtl/>
        </w:rPr>
      </w:pPr>
      <w:r w:rsidRPr="00511753">
        <w:rPr>
          <w:color w:val="FFFFFF"/>
          <w:sz w:val="2"/>
          <w:szCs w:val="2"/>
          <w:rtl/>
        </w:rPr>
        <w:t>54678313</w:t>
      </w:r>
    </w:p>
    <w:p w14:paraId="7CDFA78A" w14:textId="77777777" w:rsidR="00B526AC" w:rsidRDefault="00511753" w:rsidP="00511753">
      <w:pPr>
        <w:jc w:val="center"/>
      </w:pPr>
      <w:bookmarkStart w:id="8" w:name="Nitan"/>
      <w:r>
        <w:rPr>
          <w:rFonts w:ascii="Arial" w:hAnsi="Arial"/>
          <w:rtl/>
        </w:rPr>
        <w:t xml:space="preserve">ניתן היום,  ט"ז אלול תשע"ט, 16 ספטמבר 2019, במעמד הצדדים. </w:t>
      </w:r>
      <w:bookmarkEnd w:id="8"/>
      <w:r w:rsidR="00B526AC">
        <w:rPr>
          <w:rFonts w:hint="cs"/>
          <w:rtl/>
        </w:rPr>
        <w:t xml:space="preserve">   </w:t>
      </w:r>
      <w:r w:rsidR="00B526AC">
        <w:rPr>
          <w:rFonts w:hint="cs"/>
          <w:rtl/>
        </w:rPr>
        <w:tab/>
      </w:r>
      <w:r w:rsidR="00B526AC">
        <w:rPr>
          <w:rFonts w:hint="cs"/>
          <w:rtl/>
        </w:rPr>
        <w:tab/>
      </w:r>
      <w:r w:rsidR="00B526AC">
        <w:rPr>
          <w:rFonts w:hint="cs"/>
          <w:rtl/>
        </w:rPr>
        <w:tab/>
      </w:r>
      <w:r w:rsidR="00B526AC">
        <w:rPr>
          <w:rFonts w:hint="cs"/>
          <w:rtl/>
        </w:rPr>
        <w:tab/>
      </w:r>
      <w:r w:rsidR="00B526AC">
        <w:rPr>
          <w:rFonts w:hint="cs"/>
          <w:rtl/>
        </w:rPr>
        <w:tab/>
      </w:r>
    </w:p>
    <w:p w14:paraId="2B2B493A" w14:textId="77777777" w:rsidR="00B526AC" w:rsidRDefault="00B526AC" w:rsidP="00B526AC">
      <w:pPr>
        <w:jc w:val="center"/>
        <w:rPr>
          <w:rFonts w:ascii="Arial" w:hAnsi="Arial" w:cs="FrankRuehl"/>
          <w:sz w:val="28"/>
          <w:szCs w:val="28"/>
          <w:rtl/>
        </w:rPr>
      </w:pPr>
    </w:p>
    <w:p w14:paraId="36A505B8" w14:textId="77777777" w:rsidR="00B526AC" w:rsidRDefault="00B526AC" w:rsidP="00B526AC">
      <w:pPr>
        <w:rPr>
          <w:rFonts w:cs="FrankRuehl"/>
          <w:sz w:val="28"/>
          <w:szCs w:val="28"/>
          <w:rtl/>
        </w:rPr>
      </w:pPr>
    </w:p>
    <w:p w14:paraId="73D940E7" w14:textId="77777777" w:rsidR="00B526AC" w:rsidRDefault="00B526AC" w:rsidP="00B526AC">
      <w:pPr>
        <w:pStyle w:val="a3"/>
        <w:jc w:val="center"/>
        <w:rPr>
          <w:rtl/>
        </w:rPr>
      </w:pPr>
    </w:p>
    <w:p w14:paraId="709BCEAF" w14:textId="77777777" w:rsidR="00191829" w:rsidRPr="00511753" w:rsidRDefault="00191829" w:rsidP="00511753">
      <w:pPr>
        <w:keepNext/>
        <w:rPr>
          <w:rFonts w:ascii="David" w:hAnsi="David"/>
          <w:color w:val="000000"/>
          <w:sz w:val="22"/>
          <w:szCs w:val="22"/>
          <w:rtl/>
        </w:rPr>
      </w:pPr>
    </w:p>
    <w:p w14:paraId="2454F7A7" w14:textId="77777777" w:rsidR="00511753" w:rsidRPr="00511753" w:rsidRDefault="00511753" w:rsidP="00511753">
      <w:pPr>
        <w:keepNext/>
        <w:rPr>
          <w:rFonts w:ascii="David" w:hAnsi="David"/>
          <w:color w:val="000000"/>
          <w:sz w:val="22"/>
          <w:szCs w:val="22"/>
          <w:rtl/>
        </w:rPr>
      </w:pPr>
      <w:r w:rsidRPr="00511753">
        <w:rPr>
          <w:rFonts w:ascii="David" w:hAnsi="David"/>
          <w:color w:val="000000"/>
          <w:sz w:val="22"/>
          <w:szCs w:val="22"/>
          <w:rtl/>
        </w:rPr>
        <w:t>דוד שאול גבאי ריכטר 54678313</w:t>
      </w:r>
    </w:p>
    <w:p w14:paraId="6AAD80AE" w14:textId="77777777" w:rsidR="00511753" w:rsidRDefault="00511753" w:rsidP="00511753">
      <w:r w:rsidRPr="00511753">
        <w:rPr>
          <w:color w:val="000000"/>
          <w:rtl/>
        </w:rPr>
        <w:t>נוסח מסמך זה כפוף לשינויי ניסוח ועריכה</w:t>
      </w:r>
    </w:p>
    <w:p w14:paraId="1D2E8A33" w14:textId="77777777" w:rsidR="00511753" w:rsidRDefault="00511753" w:rsidP="00511753">
      <w:pPr>
        <w:rPr>
          <w:rtl/>
        </w:rPr>
      </w:pPr>
    </w:p>
    <w:p w14:paraId="1D788B17" w14:textId="77777777" w:rsidR="00511753" w:rsidRDefault="00511753" w:rsidP="00511753">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347CAC8D" w14:textId="77777777" w:rsidR="00511753" w:rsidRPr="00511753" w:rsidRDefault="00511753" w:rsidP="00511753">
      <w:pPr>
        <w:jc w:val="center"/>
        <w:rPr>
          <w:color w:val="0000FF"/>
          <w:u w:val="single"/>
        </w:rPr>
      </w:pPr>
    </w:p>
    <w:sectPr w:rsidR="00511753" w:rsidRPr="00511753" w:rsidSect="00511753">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EE80F4" w14:textId="77777777" w:rsidR="00E36419" w:rsidRDefault="00E36419" w:rsidP="00F1781A">
      <w:r>
        <w:separator/>
      </w:r>
    </w:p>
  </w:endnote>
  <w:endnote w:type="continuationSeparator" w:id="0">
    <w:p w14:paraId="01EF9BA3" w14:textId="77777777" w:rsidR="00E36419" w:rsidRDefault="00E36419" w:rsidP="00F17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FF1D5" w14:textId="77777777" w:rsidR="00511753" w:rsidRDefault="00511753" w:rsidP="0051175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FFD4256" w14:textId="77777777" w:rsidR="00A20C28" w:rsidRPr="00511753" w:rsidRDefault="00511753" w:rsidP="0051175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5C206" w14:textId="77777777" w:rsidR="00511753" w:rsidRDefault="00511753" w:rsidP="0051175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01E7F">
      <w:rPr>
        <w:rFonts w:ascii="FrankRuehl" w:hAnsi="FrankRuehl" w:cs="FrankRuehl"/>
        <w:noProof/>
        <w:rtl/>
      </w:rPr>
      <w:t>1</w:t>
    </w:r>
    <w:r>
      <w:rPr>
        <w:rFonts w:ascii="FrankRuehl" w:hAnsi="FrankRuehl" w:cs="FrankRuehl"/>
        <w:rtl/>
      </w:rPr>
      <w:fldChar w:fldCharType="end"/>
    </w:r>
  </w:p>
  <w:p w14:paraId="07512BB6" w14:textId="77777777" w:rsidR="00A20C28" w:rsidRPr="00511753" w:rsidRDefault="00511753" w:rsidP="0051175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8466E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A2D3DA" w14:textId="77777777" w:rsidR="00E36419" w:rsidRDefault="00E36419" w:rsidP="00F1781A">
      <w:r>
        <w:separator/>
      </w:r>
    </w:p>
  </w:footnote>
  <w:footnote w:type="continuationSeparator" w:id="0">
    <w:p w14:paraId="483F3A99" w14:textId="77777777" w:rsidR="00E36419" w:rsidRDefault="00E36419" w:rsidP="00F178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04EBB" w14:textId="77777777" w:rsidR="00511753" w:rsidRPr="00511753" w:rsidRDefault="00511753" w:rsidP="0051175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68908-02-19</w:t>
    </w:r>
    <w:r>
      <w:rPr>
        <w:rFonts w:ascii="David" w:hAnsi="David"/>
        <w:color w:val="000000"/>
        <w:sz w:val="22"/>
        <w:szCs w:val="22"/>
        <w:rtl/>
      </w:rPr>
      <w:tab/>
      <w:t xml:space="preserve"> מדינת ישראל נ' איתמר אזולאי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C147A" w14:textId="77777777" w:rsidR="00511753" w:rsidRPr="00511753" w:rsidRDefault="00511753" w:rsidP="0051175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68908-02-19</w:t>
    </w:r>
    <w:r>
      <w:rPr>
        <w:rFonts w:ascii="David" w:hAnsi="David"/>
        <w:color w:val="000000"/>
        <w:sz w:val="22"/>
        <w:szCs w:val="22"/>
        <w:rtl/>
      </w:rPr>
      <w:tab/>
      <w:t xml:space="preserve"> מדינת ישראל נ' איתמר אזולאי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7569760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526AC"/>
    <w:rsid w:val="00191829"/>
    <w:rsid w:val="00381020"/>
    <w:rsid w:val="0047196C"/>
    <w:rsid w:val="00511753"/>
    <w:rsid w:val="005326CA"/>
    <w:rsid w:val="005F611A"/>
    <w:rsid w:val="00A20C28"/>
    <w:rsid w:val="00B526AC"/>
    <w:rsid w:val="00D01E7F"/>
    <w:rsid w:val="00E36419"/>
    <w:rsid w:val="00F178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A446C80"/>
  <w15:chartTrackingRefBased/>
  <w15:docId w15:val="{719176DF-9CB9-4267-A10B-97830F1FD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526A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526AC"/>
    <w:pPr>
      <w:tabs>
        <w:tab w:val="center" w:pos="4153"/>
        <w:tab w:val="right" w:pos="8306"/>
      </w:tabs>
    </w:pPr>
  </w:style>
  <w:style w:type="character" w:customStyle="1" w:styleId="a4">
    <w:name w:val="כותרת עליונה תו"/>
    <w:link w:val="a3"/>
    <w:rsid w:val="00B526AC"/>
    <w:rPr>
      <w:rFonts w:ascii="Times New Roman" w:eastAsia="Times New Roman" w:hAnsi="Times New Roman" w:cs="David"/>
      <w:sz w:val="24"/>
      <w:szCs w:val="24"/>
    </w:rPr>
  </w:style>
  <w:style w:type="paragraph" w:styleId="a5">
    <w:name w:val="footer"/>
    <w:basedOn w:val="a"/>
    <w:link w:val="a6"/>
    <w:rsid w:val="00B526AC"/>
    <w:pPr>
      <w:tabs>
        <w:tab w:val="center" w:pos="4153"/>
        <w:tab w:val="right" w:pos="8306"/>
      </w:tabs>
    </w:pPr>
  </w:style>
  <w:style w:type="character" w:customStyle="1" w:styleId="a6">
    <w:name w:val="כותרת תחתונה תו"/>
    <w:link w:val="a5"/>
    <w:rsid w:val="00B526AC"/>
    <w:rPr>
      <w:rFonts w:ascii="Times New Roman" w:eastAsia="Times New Roman" w:hAnsi="Times New Roman" w:cs="David"/>
      <w:sz w:val="24"/>
      <w:szCs w:val="24"/>
    </w:rPr>
  </w:style>
  <w:style w:type="table" w:styleId="a7">
    <w:name w:val="Table Grid"/>
    <w:basedOn w:val="a1"/>
    <w:rsid w:val="00B526A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526AC"/>
  </w:style>
  <w:style w:type="character" w:styleId="Hyperlink">
    <w:name w:val="Hyperlink"/>
    <w:rsid w:val="0051175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7.a." TargetMode="External"/><Relationship Id="rId13" Type="http://schemas.openxmlformats.org/officeDocument/2006/relationships/hyperlink" Target="http://www.nevo.co.il/law/70301/40i" TargetMode="External"/><Relationship Id="rId18"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law/70301/7.a.;7.c" TargetMode="External"/><Relationship Id="rId17" Type="http://schemas.openxmlformats.org/officeDocument/2006/relationships/hyperlink" Target="http://www.nevo.co.il/law/70301/40j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25975844"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1914524" TargetMode="External"/><Relationship Id="rId23" Type="http://schemas.openxmlformats.org/officeDocument/2006/relationships/footer" Target="footer2.xml"/><Relationship Id="rId10" Type="http://schemas.openxmlformats.org/officeDocument/2006/relationships/hyperlink" Target="http://www.nevo.co.il/law/70301/40i"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7.c" TargetMode="External"/><Relationship Id="rId14" Type="http://schemas.openxmlformats.org/officeDocument/2006/relationships/hyperlink" Target="http://www.nevo.co.il/law/70301"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823</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4932</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7995492</vt:i4>
      </vt:variant>
      <vt:variant>
        <vt:i4>33</vt:i4>
      </vt:variant>
      <vt:variant>
        <vt:i4>0</vt:i4>
      </vt:variant>
      <vt:variant>
        <vt:i4>5</vt:i4>
      </vt:variant>
      <vt:variant>
        <vt:lpwstr>http://www.nevo.co.il/law/70301</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3801214</vt:i4>
      </vt:variant>
      <vt:variant>
        <vt:i4>27</vt:i4>
      </vt:variant>
      <vt:variant>
        <vt:i4>0</vt:i4>
      </vt:variant>
      <vt:variant>
        <vt:i4>5</vt:i4>
      </vt:variant>
      <vt:variant>
        <vt:lpwstr>http://www.nevo.co.il/case/25975844</vt:lpwstr>
      </vt:variant>
      <vt:variant>
        <vt:lpwstr/>
      </vt:variant>
      <vt:variant>
        <vt:i4>3997809</vt:i4>
      </vt:variant>
      <vt:variant>
        <vt:i4>24</vt:i4>
      </vt:variant>
      <vt:variant>
        <vt:i4>0</vt:i4>
      </vt:variant>
      <vt:variant>
        <vt:i4>5</vt:i4>
      </vt:variant>
      <vt:variant>
        <vt:lpwstr>http://www.nevo.co.il/case/21914524</vt:lpwstr>
      </vt:variant>
      <vt:variant>
        <vt:lpwstr/>
      </vt:variant>
      <vt:variant>
        <vt:i4>7995492</vt:i4>
      </vt:variant>
      <vt:variant>
        <vt:i4>21</vt:i4>
      </vt:variant>
      <vt:variant>
        <vt:i4>0</vt:i4>
      </vt:variant>
      <vt:variant>
        <vt:i4>5</vt:i4>
      </vt:variant>
      <vt:variant>
        <vt:lpwstr>http://www.nevo.co.il/law/70301</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65558</vt:i4>
      </vt:variant>
      <vt:variant>
        <vt:i4>15</vt:i4>
      </vt:variant>
      <vt:variant>
        <vt:i4>0</vt:i4>
      </vt:variant>
      <vt:variant>
        <vt:i4>5</vt:i4>
      </vt:variant>
      <vt:variant>
        <vt:lpwstr>http://www.nevo.co.il/law/70301/7.a.;7.c</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8061026</vt:i4>
      </vt:variant>
      <vt:variant>
        <vt:i4>6</vt:i4>
      </vt:variant>
      <vt:variant>
        <vt:i4>0</vt:i4>
      </vt:variant>
      <vt:variant>
        <vt:i4>5</vt:i4>
      </vt:variant>
      <vt:variant>
        <vt:lpwstr>http://www.nevo.co.il/law/70301/7.c</vt:lpwstr>
      </vt:variant>
      <vt:variant>
        <vt:lpwstr/>
      </vt:variant>
      <vt:variant>
        <vt:i4>5570563</vt:i4>
      </vt:variant>
      <vt:variant>
        <vt:i4>3</vt:i4>
      </vt:variant>
      <vt:variant>
        <vt:i4>0</vt:i4>
      </vt:variant>
      <vt:variant>
        <vt:i4>5</vt:i4>
      </vt:variant>
      <vt:variant>
        <vt:lpwstr>http://www.nevo.co.il/law/70301/7.a.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2025-04-23T00:05:00Z</dcterms:created>
  <dcterms:modified xsi:type="dcterms:W3CDTF">2025-04-23T00:05:00Z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68908</vt:lpwstr>
  </property>
  <property fmtid="{D5CDD505-2E9C-101B-9397-08002B2CF9AE}" pid="6" name="NEWPARTB">
    <vt:lpwstr>02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איתמר אזולאי</vt:lpwstr>
  </property>
  <property fmtid="{D5CDD505-2E9C-101B-9397-08002B2CF9AE}" pid="10" name="LAWYER">
    <vt:lpwstr>עומייר מריד;תביעות ירושלים</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20190916</vt:lpwstr>
  </property>
  <property fmtid="{D5CDD505-2E9C-101B-9397-08002B2CF9AE}" pid="14" name="TYPE_N_DATE">
    <vt:lpwstr>38020190916</vt:lpwstr>
  </property>
  <property fmtid="{D5CDD505-2E9C-101B-9397-08002B2CF9AE}" pid="15" name="CASESLISTTMP1">
    <vt:lpwstr>21914524;25975844</vt:lpwstr>
  </property>
  <property fmtid="{D5CDD505-2E9C-101B-9397-08002B2CF9AE}" pid="16" name="WORDNUMPAGES">
    <vt:lpwstr>4</vt:lpwstr>
  </property>
  <property fmtid="{D5CDD505-2E9C-101B-9397-08002B2CF9AE}" pid="17" name="TYPE_ABS_DATE">
    <vt:lpwstr>380020190916</vt:lpwstr>
  </property>
  <property fmtid="{D5CDD505-2E9C-101B-9397-08002B2CF9AE}" pid="18" name="ISABSTRACT">
    <vt:lpwstr>Y</vt:lpwstr>
  </property>
  <property fmtid="{D5CDD505-2E9C-101B-9397-08002B2CF9AE}" pid="19" name="LAWLISTTMP1">
    <vt:lpwstr>70301/007.a;007.c;040i;40ja</vt:lpwstr>
  </property>
</Properties>
</file>