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35896" w:rsidRPr="00CF2D92" w14:paraId="52AA5A7E" w14:textId="77777777" w:rsidTr="00D902B4">
        <w:trPr>
          <w:trHeight w:hRule="exact" w:val="418"/>
          <w:jc w:val="center"/>
        </w:trPr>
        <w:tc>
          <w:tcPr>
            <w:tcW w:w="8721" w:type="dxa"/>
            <w:gridSpan w:val="2"/>
          </w:tcPr>
          <w:p w14:paraId="40713927" w14:textId="77777777" w:rsidR="00835896" w:rsidRPr="00CF2D92" w:rsidRDefault="00835896" w:rsidP="00D206AD">
            <w:pPr>
              <w:pStyle w:val="a3"/>
              <w:jc w:val="center"/>
              <w:rPr>
                <w:rFonts w:ascii="Tahoma" w:hAnsi="Tahoma" w:cs="Tahoma"/>
                <w:color w:val="000080"/>
                <w:rtl/>
              </w:rPr>
            </w:pPr>
            <w:bookmarkStart w:id="0" w:name="LastJudge"/>
            <w:r w:rsidRPr="00CF2D92">
              <w:rPr>
                <w:rFonts w:ascii="Tahoma" w:hAnsi="Tahoma" w:cs="Tahoma"/>
                <w:b/>
                <w:bCs/>
                <w:color w:val="000080"/>
                <w:rtl/>
              </w:rPr>
              <w:t>בית משפט השלום בראשון לציון</w:t>
            </w:r>
          </w:p>
        </w:tc>
      </w:tr>
      <w:tr w:rsidR="00835896" w:rsidRPr="00CF2D92" w14:paraId="6B3D7673" w14:textId="77777777" w:rsidTr="00D902B4">
        <w:trPr>
          <w:trHeight w:val="337"/>
          <w:jc w:val="center"/>
        </w:trPr>
        <w:tc>
          <w:tcPr>
            <w:tcW w:w="5058" w:type="dxa"/>
          </w:tcPr>
          <w:p w14:paraId="6C5E7EFE" w14:textId="77777777" w:rsidR="00835896" w:rsidRPr="00CF2D92" w:rsidRDefault="00835896" w:rsidP="00D206AD">
            <w:pPr>
              <w:rPr>
                <w:rFonts w:cs="FrankRuehl"/>
                <w:sz w:val="28"/>
                <w:szCs w:val="28"/>
                <w:rtl/>
              </w:rPr>
            </w:pPr>
            <w:r w:rsidRPr="00CF2D92">
              <w:rPr>
                <w:rFonts w:cs="FrankRuehl"/>
                <w:sz w:val="28"/>
                <w:szCs w:val="28"/>
                <w:rtl/>
              </w:rPr>
              <w:t>ת"פ</w:t>
            </w:r>
            <w:r w:rsidRPr="00CF2D92">
              <w:rPr>
                <w:rFonts w:cs="FrankRuehl" w:hint="cs"/>
                <w:sz w:val="28"/>
                <w:szCs w:val="28"/>
                <w:rtl/>
              </w:rPr>
              <w:t xml:space="preserve"> </w:t>
            </w:r>
            <w:r w:rsidRPr="00CF2D92">
              <w:rPr>
                <w:rFonts w:cs="FrankRuehl"/>
                <w:sz w:val="28"/>
                <w:szCs w:val="28"/>
                <w:rtl/>
              </w:rPr>
              <w:t>71968-02-19</w:t>
            </w:r>
            <w:r w:rsidRPr="00CF2D92">
              <w:rPr>
                <w:rFonts w:cs="FrankRuehl" w:hint="cs"/>
                <w:sz w:val="28"/>
                <w:szCs w:val="28"/>
                <w:rtl/>
              </w:rPr>
              <w:t xml:space="preserve"> </w:t>
            </w:r>
            <w:r w:rsidRPr="00CF2D92">
              <w:rPr>
                <w:rFonts w:cs="FrankRuehl"/>
                <w:sz w:val="28"/>
                <w:szCs w:val="28"/>
                <w:rtl/>
              </w:rPr>
              <w:t>מדינת ישראל נ' סעדה(עציר)</w:t>
            </w:r>
          </w:p>
          <w:p w14:paraId="003AD3B5" w14:textId="77777777" w:rsidR="00835896" w:rsidRPr="00CF2D92" w:rsidRDefault="00835896" w:rsidP="00D206AD">
            <w:pPr>
              <w:pStyle w:val="a3"/>
              <w:rPr>
                <w:rFonts w:cs="FrankRuehl"/>
                <w:sz w:val="28"/>
                <w:szCs w:val="28"/>
                <w:rtl/>
              </w:rPr>
            </w:pPr>
          </w:p>
        </w:tc>
        <w:tc>
          <w:tcPr>
            <w:tcW w:w="3663" w:type="dxa"/>
          </w:tcPr>
          <w:p w14:paraId="6BD87CED" w14:textId="77777777" w:rsidR="00835896" w:rsidRPr="00CF2D92" w:rsidRDefault="00835896" w:rsidP="00D206AD">
            <w:pPr>
              <w:pStyle w:val="a3"/>
              <w:jc w:val="right"/>
              <w:rPr>
                <w:rFonts w:cs="FrankRuehl"/>
                <w:sz w:val="28"/>
                <w:szCs w:val="28"/>
                <w:rtl/>
              </w:rPr>
            </w:pPr>
          </w:p>
        </w:tc>
      </w:tr>
    </w:tbl>
    <w:p w14:paraId="2FF606A6" w14:textId="77777777" w:rsidR="00835896" w:rsidRPr="00CF2D92" w:rsidRDefault="00835896" w:rsidP="00835896">
      <w:pPr>
        <w:pStyle w:val="a3"/>
        <w:rPr>
          <w:rtl/>
        </w:rPr>
      </w:pPr>
      <w:r w:rsidRPr="00CF2D92">
        <w:rPr>
          <w:rFonts w:hint="cs"/>
          <w:rtl/>
        </w:rPr>
        <w:t xml:space="preserve"> </w:t>
      </w:r>
    </w:p>
    <w:p w14:paraId="0C69E54D" w14:textId="77777777" w:rsidR="00835896" w:rsidRPr="00CF2D92" w:rsidRDefault="00835896" w:rsidP="00835896">
      <w:pPr>
        <w:rPr>
          <w:rFonts w:ascii="David" w:hAnsi="David"/>
          <w:bCs/>
          <w:sz w:val="28"/>
          <w:szCs w:val="28"/>
          <w:rtl/>
        </w:rPr>
      </w:pPr>
    </w:p>
    <w:p w14:paraId="558E6A07" w14:textId="77777777" w:rsidR="00835896" w:rsidRPr="00CF2D92" w:rsidRDefault="00835896" w:rsidP="00835896">
      <w:pPr>
        <w:rPr>
          <w:rFonts w:ascii="David" w:hAnsi="David"/>
          <w:bCs/>
          <w:sz w:val="28"/>
          <w:szCs w:val="28"/>
        </w:rPr>
      </w:pPr>
      <w:r w:rsidRPr="00CF2D92">
        <w:rPr>
          <w:rFonts w:ascii="David" w:hAnsi="David"/>
          <w:bCs/>
          <w:sz w:val="28"/>
          <w:szCs w:val="28"/>
          <w:rtl/>
        </w:rPr>
        <w:t>לפני:</w:t>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t>כבוד השופט גיא אבנון</w:t>
      </w:r>
    </w:p>
    <w:p w14:paraId="53866B14" w14:textId="77777777" w:rsidR="00835896" w:rsidRPr="00CF2D92" w:rsidRDefault="00835896" w:rsidP="00835896">
      <w:pPr>
        <w:rPr>
          <w:rFonts w:ascii="David" w:hAnsi="David"/>
          <w:bCs/>
          <w:sz w:val="28"/>
          <w:szCs w:val="28"/>
          <w:rtl/>
        </w:rPr>
      </w:pPr>
    </w:p>
    <w:p w14:paraId="66C6C49E" w14:textId="77777777" w:rsidR="00835896" w:rsidRPr="00CF2D92" w:rsidRDefault="00835896" w:rsidP="00835896">
      <w:pPr>
        <w:rPr>
          <w:rFonts w:ascii="David" w:hAnsi="David"/>
          <w:bCs/>
          <w:sz w:val="28"/>
          <w:szCs w:val="28"/>
          <w:rtl/>
        </w:rPr>
      </w:pPr>
    </w:p>
    <w:p w14:paraId="7271BFE1" w14:textId="77777777" w:rsidR="00835896" w:rsidRPr="00CF2D92" w:rsidRDefault="00835896" w:rsidP="00835896">
      <w:pPr>
        <w:rPr>
          <w:rFonts w:ascii="David" w:hAnsi="David"/>
          <w:bCs/>
          <w:sz w:val="28"/>
          <w:szCs w:val="28"/>
          <w:rtl/>
        </w:rPr>
      </w:pPr>
      <w:r w:rsidRPr="00CF2D92">
        <w:rPr>
          <w:rFonts w:ascii="David" w:hAnsi="David"/>
          <w:bCs/>
          <w:sz w:val="28"/>
          <w:szCs w:val="28"/>
          <w:rtl/>
        </w:rPr>
        <w:t>ה</w:t>
      </w:r>
      <w:bookmarkStart w:id="1" w:name="FirstAppellant"/>
      <w:r w:rsidRPr="00CF2D92">
        <w:rPr>
          <w:rFonts w:ascii="David" w:hAnsi="David"/>
          <w:bCs/>
          <w:sz w:val="28"/>
          <w:szCs w:val="28"/>
          <w:rtl/>
        </w:rPr>
        <w:t>מאשימ</w:t>
      </w:r>
      <w:bookmarkEnd w:id="1"/>
      <w:r w:rsidRPr="00CF2D92">
        <w:rPr>
          <w:rFonts w:ascii="David" w:hAnsi="David"/>
          <w:bCs/>
          <w:sz w:val="28"/>
          <w:szCs w:val="28"/>
          <w:rtl/>
        </w:rPr>
        <w:t>ה:</w:t>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t>מדינת ישראל</w:t>
      </w:r>
    </w:p>
    <w:p w14:paraId="10DB1CD1" w14:textId="77777777" w:rsidR="00835896" w:rsidRPr="00CF2D92" w:rsidRDefault="00835896" w:rsidP="00835896">
      <w:pPr>
        <w:rPr>
          <w:rFonts w:ascii="David" w:hAnsi="David"/>
          <w:bCs/>
          <w:sz w:val="28"/>
          <w:szCs w:val="28"/>
          <w:rtl/>
        </w:rPr>
      </w:pPr>
    </w:p>
    <w:p w14:paraId="40ED3DFD" w14:textId="77777777" w:rsidR="00835896" w:rsidRPr="00CF2D92" w:rsidRDefault="00835896" w:rsidP="00835896">
      <w:pPr>
        <w:rPr>
          <w:rFonts w:ascii="David" w:hAnsi="David"/>
          <w:bCs/>
          <w:sz w:val="28"/>
          <w:szCs w:val="28"/>
          <w:rtl/>
        </w:rPr>
      </w:pP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t>נ ג ד</w:t>
      </w:r>
    </w:p>
    <w:p w14:paraId="686FF85C" w14:textId="77777777" w:rsidR="00835896" w:rsidRPr="00CF2D92" w:rsidRDefault="00835896" w:rsidP="00835896">
      <w:pPr>
        <w:rPr>
          <w:rFonts w:ascii="David" w:hAnsi="David"/>
          <w:bCs/>
          <w:sz w:val="28"/>
          <w:szCs w:val="28"/>
          <w:rtl/>
        </w:rPr>
      </w:pPr>
    </w:p>
    <w:p w14:paraId="2A97DF61" w14:textId="77777777" w:rsidR="00835896" w:rsidRPr="00CF2D92" w:rsidRDefault="00835896" w:rsidP="00835896">
      <w:pPr>
        <w:rPr>
          <w:rFonts w:ascii="David" w:hAnsi="David"/>
          <w:bCs/>
          <w:sz w:val="28"/>
          <w:szCs w:val="28"/>
          <w:rtl/>
        </w:rPr>
      </w:pPr>
      <w:r w:rsidRPr="00CF2D92">
        <w:rPr>
          <w:rFonts w:ascii="David" w:hAnsi="David"/>
          <w:bCs/>
          <w:sz w:val="28"/>
          <w:szCs w:val="28"/>
          <w:rtl/>
        </w:rPr>
        <w:t>הנאשם:</w:t>
      </w:r>
      <w:r w:rsidRPr="00CF2D92">
        <w:rPr>
          <w:rFonts w:ascii="David" w:hAnsi="David"/>
          <w:bCs/>
          <w:sz w:val="28"/>
          <w:szCs w:val="28"/>
          <w:rtl/>
        </w:rPr>
        <w:tab/>
      </w:r>
      <w:r w:rsidRPr="00CF2D92">
        <w:rPr>
          <w:rFonts w:ascii="David" w:hAnsi="David"/>
          <w:bCs/>
          <w:sz w:val="28"/>
          <w:szCs w:val="28"/>
          <w:rtl/>
        </w:rPr>
        <w:tab/>
      </w:r>
      <w:r w:rsidRPr="00CF2D92">
        <w:rPr>
          <w:rFonts w:ascii="David" w:hAnsi="David"/>
          <w:bCs/>
          <w:sz w:val="28"/>
          <w:szCs w:val="28"/>
          <w:rtl/>
        </w:rPr>
        <w:tab/>
        <w:t xml:space="preserve">ברוך סעדה – ת"ז </w:t>
      </w:r>
      <w:r w:rsidR="00CF2D92">
        <w:rPr>
          <w:rFonts w:ascii="David" w:hAnsi="David"/>
          <w:bCs/>
          <w:sz w:val="28"/>
          <w:szCs w:val="28"/>
        </w:rPr>
        <w:t>xxxxxxxxx</w:t>
      </w:r>
    </w:p>
    <w:p w14:paraId="1F614CAE" w14:textId="77777777" w:rsidR="00835896" w:rsidRPr="00CF2D92" w:rsidRDefault="00835896" w:rsidP="00835896">
      <w:pPr>
        <w:rPr>
          <w:rFonts w:ascii="Arial (W1)" w:hAnsi="Arial (W1)" w:cs="Miriam"/>
          <w:b/>
          <w:sz w:val="28"/>
          <w:rtl/>
        </w:rPr>
      </w:pPr>
    </w:p>
    <w:p w14:paraId="72C76AC7" w14:textId="77777777" w:rsidR="00835896" w:rsidRPr="00CF2D92" w:rsidRDefault="00835896" w:rsidP="00835896">
      <w:pPr>
        <w:rPr>
          <w:rFonts w:ascii="Arial (W1)" w:hAnsi="Arial (W1)" w:cs="Miriam"/>
          <w:b/>
          <w:sz w:val="28"/>
          <w:rtl/>
        </w:rPr>
      </w:pPr>
    </w:p>
    <w:p w14:paraId="67583DA4" w14:textId="77777777" w:rsidR="00835896" w:rsidRPr="00CF2D92" w:rsidRDefault="00835896" w:rsidP="00835896">
      <w:pPr>
        <w:rPr>
          <w:rFonts w:ascii="Arial (W1)" w:hAnsi="Arial (W1)"/>
          <w:sz w:val="28"/>
          <w:szCs w:val="28"/>
          <w:rtl/>
        </w:rPr>
      </w:pPr>
      <w:bookmarkStart w:id="2" w:name="FirstLawyer"/>
      <w:r w:rsidRPr="00CF2D92">
        <w:rPr>
          <w:rFonts w:ascii="Arial (W1)" w:hAnsi="Arial (W1)"/>
          <w:sz w:val="28"/>
          <w:szCs w:val="28"/>
          <w:rtl/>
        </w:rPr>
        <w:t>בשם</w:t>
      </w:r>
      <w:bookmarkEnd w:id="2"/>
      <w:r w:rsidRPr="00CF2D92">
        <w:rPr>
          <w:rFonts w:ascii="Arial (W1)" w:hAnsi="Arial (W1)"/>
          <w:sz w:val="28"/>
          <w:szCs w:val="28"/>
          <w:rtl/>
        </w:rPr>
        <w:t xml:space="preserve"> המאשימה:</w:t>
      </w:r>
      <w:r w:rsidRPr="00CF2D92">
        <w:rPr>
          <w:rFonts w:ascii="Arial (W1)" w:hAnsi="Arial (W1)"/>
          <w:sz w:val="28"/>
          <w:szCs w:val="28"/>
          <w:rtl/>
        </w:rPr>
        <w:tab/>
      </w:r>
      <w:r w:rsidRPr="00CF2D92">
        <w:rPr>
          <w:rFonts w:ascii="Arial (W1)" w:hAnsi="Arial (W1)"/>
          <w:sz w:val="28"/>
          <w:szCs w:val="28"/>
          <w:rtl/>
        </w:rPr>
        <w:tab/>
        <w:t>עו"ד מיקי ברגר</w:t>
      </w:r>
    </w:p>
    <w:p w14:paraId="3F41A567" w14:textId="77777777" w:rsidR="00835896" w:rsidRPr="00CF2D92" w:rsidRDefault="00835896" w:rsidP="00835896">
      <w:pPr>
        <w:rPr>
          <w:rFonts w:ascii="Arial (W1)" w:hAnsi="Arial (W1)"/>
          <w:sz w:val="28"/>
          <w:szCs w:val="28"/>
          <w:rtl/>
        </w:rPr>
      </w:pPr>
    </w:p>
    <w:p w14:paraId="54733EAD" w14:textId="77777777" w:rsidR="00835896" w:rsidRPr="00CF2D92" w:rsidRDefault="00835896" w:rsidP="00835896">
      <w:pPr>
        <w:rPr>
          <w:rFonts w:ascii="Arial (W1)" w:hAnsi="Arial (W1)"/>
          <w:sz w:val="28"/>
          <w:szCs w:val="28"/>
          <w:rtl/>
        </w:rPr>
      </w:pPr>
      <w:r w:rsidRPr="00CF2D92">
        <w:rPr>
          <w:rFonts w:ascii="Arial (W1)" w:hAnsi="Arial (W1)"/>
          <w:sz w:val="28"/>
          <w:szCs w:val="28"/>
          <w:rtl/>
        </w:rPr>
        <w:t>בשם הנאשם:</w:t>
      </w:r>
      <w:r w:rsidRPr="00CF2D92">
        <w:rPr>
          <w:rFonts w:ascii="Arial (W1)" w:hAnsi="Arial (W1)"/>
          <w:sz w:val="28"/>
          <w:szCs w:val="28"/>
          <w:rtl/>
        </w:rPr>
        <w:tab/>
      </w:r>
      <w:r w:rsidRPr="00CF2D92">
        <w:rPr>
          <w:rFonts w:ascii="Arial (W1)" w:hAnsi="Arial (W1)"/>
          <w:sz w:val="28"/>
          <w:szCs w:val="28"/>
          <w:rtl/>
        </w:rPr>
        <w:tab/>
      </w:r>
      <w:r w:rsidRPr="00CF2D92">
        <w:rPr>
          <w:rFonts w:ascii="Arial (W1)" w:hAnsi="Arial (W1)"/>
          <w:sz w:val="28"/>
          <w:szCs w:val="28"/>
          <w:rtl/>
        </w:rPr>
        <w:tab/>
        <w:t>עו"ד דורון שטרן</w:t>
      </w:r>
    </w:p>
    <w:p w14:paraId="64386004" w14:textId="77777777" w:rsidR="00D902B4" w:rsidRDefault="00D902B4" w:rsidP="00835896">
      <w:pPr>
        <w:rPr>
          <w:rtl/>
        </w:rPr>
      </w:pPr>
      <w:bookmarkStart w:id="3" w:name="LawTable"/>
      <w:bookmarkEnd w:id="3"/>
    </w:p>
    <w:p w14:paraId="61C86C3E" w14:textId="77777777" w:rsidR="00D902B4" w:rsidRPr="00D902B4" w:rsidRDefault="00D902B4" w:rsidP="00D902B4">
      <w:pPr>
        <w:spacing w:after="120" w:line="240" w:lineRule="exact"/>
        <w:ind w:left="283" w:hanging="283"/>
        <w:jc w:val="both"/>
        <w:rPr>
          <w:rFonts w:ascii="FrankRuehl" w:hAnsi="FrankRuehl" w:cs="FrankRuehl"/>
          <w:rtl/>
        </w:rPr>
      </w:pPr>
    </w:p>
    <w:p w14:paraId="60ED6ADA" w14:textId="77777777" w:rsidR="00D902B4" w:rsidRPr="00D902B4" w:rsidRDefault="00D902B4" w:rsidP="00D902B4">
      <w:pPr>
        <w:spacing w:after="120" w:line="240" w:lineRule="exact"/>
        <w:ind w:left="283" w:hanging="283"/>
        <w:jc w:val="both"/>
        <w:rPr>
          <w:rFonts w:ascii="FrankRuehl" w:hAnsi="FrankRuehl" w:cs="FrankRuehl"/>
          <w:rtl/>
        </w:rPr>
      </w:pPr>
      <w:r w:rsidRPr="00D902B4">
        <w:rPr>
          <w:rFonts w:ascii="FrankRuehl" w:hAnsi="FrankRuehl" w:cs="FrankRuehl"/>
          <w:rtl/>
        </w:rPr>
        <w:t xml:space="preserve">חקיקה שאוזכרה: </w:t>
      </w:r>
    </w:p>
    <w:p w14:paraId="0F290F5B" w14:textId="77777777" w:rsidR="00D902B4" w:rsidRPr="00D902B4" w:rsidRDefault="00D902B4" w:rsidP="00D902B4">
      <w:pPr>
        <w:spacing w:after="120" w:line="240" w:lineRule="exact"/>
        <w:ind w:left="283" w:hanging="283"/>
        <w:jc w:val="both"/>
        <w:rPr>
          <w:rFonts w:ascii="FrankRuehl" w:hAnsi="FrankRuehl" w:cs="FrankRuehl"/>
          <w:rtl/>
        </w:rPr>
      </w:pPr>
      <w:hyperlink r:id="rId6" w:history="1">
        <w:r w:rsidRPr="00D902B4">
          <w:rPr>
            <w:rFonts w:ascii="FrankRuehl" w:hAnsi="FrankRuehl" w:cs="FrankRuehl"/>
            <w:color w:val="0000FF"/>
            <w:u w:val="single"/>
            <w:rtl/>
          </w:rPr>
          <w:t>פקודת הסמים המסוכנים [נוסח חדש], תשל"ג-1973</w:t>
        </w:r>
      </w:hyperlink>
      <w:r w:rsidRPr="00D902B4">
        <w:rPr>
          <w:rFonts w:ascii="FrankRuehl" w:hAnsi="FrankRuehl" w:cs="FrankRuehl"/>
          <w:rtl/>
        </w:rPr>
        <w:t xml:space="preserve">: סע'  </w:t>
      </w:r>
      <w:hyperlink r:id="rId7" w:history="1">
        <w:r w:rsidRPr="00D902B4">
          <w:rPr>
            <w:rFonts w:ascii="FrankRuehl" w:hAnsi="FrankRuehl" w:cs="FrankRuehl"/>
            <w:color w:val="0000FF"/>
            <w:u w:val="single"/>
            <w:rtl/>
          </w:rPr>
          <w:t>7(א)</w:t>
        </w:r>
      </w:hyperlink>
      <w:r w:rsidRPr="00D902B4">
        <w:rPr>
          <w:rFonts w:ascii="FrankRuehl" w:hAnsi="FrankRuehl" w:cs="FrankRuehl"/>
          <w:rtl/>
        </w:rPr>
        <w:t xml:space="preserve">, </w:t>
      </w:r>
      <w:hyperlink r:id="rId8" w:history="1">
        <w:r w:rsidRPr="00D902B4">
          <w:rPr>
            <w:rFonts w:ascii="FrankRuehl" w:hAnsi="FrankRuehl" w:cs="FrankRuehl"/>
            <w:color w:val="0000FF"/>
            <w:u w:val="single"/>
            <w:rtl/>
          </w:rPr>
          <w:t>7(ג)</w:t>
        </w:r>
      </w:hyperlink>
    </w:p>
    <w:p w14:paraId="353EC796" w14:textId="77777777" w:rsidR="00D902B4" w:rsidRPr="00D902B4" w:rsidRDefault="00D902B4" w:rsidP="00D902B4">
      <w:pPr>
        <w:spacing w:after="120" w:line="240" w:lineRule="exact"/>
        <w:ind w:left="283" w:hanging="283"/>
        <w:jc w:val="both"/>
        <w:rPr>
          <w:rFonts w:ascii="FrankRuehl" w:hAnsi="FrankRuehl" w:cs="FrankRuehl"/>
          <w:rtl/>
        </w:rPr>
      </w:pPr>
      <w:hyperlink r:id="rId9" w:history="1">
        <w:r w:rsidRPr="00D902B4">
          <w:rPr>
            <w:rFonts w:ascii="FrankRuehl" w:hAnsi="FrankRuehl" w:cs="FrankRuehl"/>
            <w:color w:val="0000FF"/>
            <w:u w:val="single"/>
            <w:rtl/>
          </w:rPr>
          <w:t>חוק העונשין, תשל"ז-1977</w:t>
        </w:r>
      </w:hyperlink>
      <w:r w:rsidRPr="00D902B4">
        <w:rPr>
          <w:rFonts w:ascii="FrankRuehl" w:hAnsi="FrankRuehl" w:cs="FrankRuehl"/>
          <w:rtl/>
        </w:rPr>
        <w:t xml:space="preserve">: סע'  </w:t>
      </w:r>
      <w:hyperlink r:id="rId10" w:history="1">
        <w:r w:rsidRPr="00D902B4">
          <w:rPr>
            <w:rFonts w:ascii="FrankRuehl" w:hAnsi="FrankRuehl" w:cs="FrankRuehl"/>
            <w:color w:val="0000FF"/>
            <w:u w:val="single"/>
            <w:rtl/>
          </w:rPr>
          <w:t>384</w:t>
        </w:r>
      </w:hyperlink>
      <w:r w:rsidRPr="00D902B4">
        <w:rPr>
          <w:rFonts w:ascii="FrankRuehl" w:hAnsi="FrankRuehl" w:cs="FrankRuehl"/>
          <w:rtl/>
        </w:rPr>
        <w:t xml:space="preserve">, </w:t>
      </w:r>
      <w:hyperlink r:id="rId11" w:history="1">
        <w:r w:rsidRPr="00D902B4">
          <w:rPr>
            <w:rFonts w:ascii="FrankRuehl" w:hAnsi="FrankRuehl" w:cs="FrankRuehl"/>
            <w:color w:val="0000FF"/>
            <w:u w:val="single"/>
            <w:rtl/>
          </w:rPr>
          <w:t>406(ב)</w:t>
        </w:r>
      </w:hyperlink>
      <w:r w:rsidRPr="00D902B4">
        <w:rPr>
          <w:rFonts w:ascii="FrankRuehl" w:hAnsi="FrankRuehl" w:cs="FrankRuehl"/>
          <w:rtl/>
        </w:rPr>
        <w:t xml:space="preserve">, </w:t>
      </w:r>
      <w:hyperlink r:id="rId12" w:history="1">
        <w:r w:rsidRPr="00D902B4">
          <w:rPr>
            <w:rFonts w:ascii="FrankRuehl" w:hAnsi="FrankRuehl" w:cs="FrankRuehl"/>
            <w:color w:val="0000FF"/>
            <w:u w:val="single"/>
            <w:rtl/>
          </w:rPr>
          <w:t>413</w:t>
        </w:r>
      </w:hyperlink>
    </w:p>
    <w:p w14:paraId="447BA1CE" w14:textId="77777777" w:rsidR="00835896" w:rsidRPr="00CF2D92" w:rsidRDefault="00835896" w:rsidP="0083589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5896" w14:paraId="7CF716F3" w14:textId="77777777" w:rsidTr="00835896">
        <w:trPr>
          <w:trHeight w:val="355"/>
          <w:jc w:val="center"/>
        </w:trPr>
        <w:tc>
          <w:tcPr>
            <w:tcW w:w="8820" w:type="dxa"/>
            <w:tcBorders>
              <w:top w:val="nil"/>
              <w:left w:val="nil"/>
              <w:bottom w:val="nil"/>
              <w:right w:val="nil"/>
            </w:tcBorders>
            <w:shd w:val="clear" w:color="auto" w:fill="auto"/>
          </w:tcPr>
          <w:p w14:paraId="55FB2D48" w14:textId="77777777" w:rsidR="00CF2D92" w:rsidRPr="00CF2D92" w:rsidRDefault="00CF2D92" w:rsidP="00CF2D92">
            <w:pPr>
              <w:jc w:val="center"/>
              <w:rPr>
                <w:rFonts w:ascii="David" w:hAnsi="David"/>
                <w:b/>
                <w:bCs/>
                <w:sz w:val="28"/>
                <w:szCs w:val="28"/>
                <w:u w:val="single"/>
                <w:rtl/>
              </w:rPr>
            </w:pPr>
            <w:bookmarkStart w:id="4" w:name="PsakDin" w:colFirst="0" w:colLast="0"/>
            <w:bookmarkEnd w:id="0"/>
            <w:r w:rsidRPr="00CF2D92">
              <w:rPr>
                <w:rFonts w:ascii="David" w:hAnsi="David"/>
                <w:b/>
                <w:bCs/>
                <w:sz w:val="28"/>
                <w:szCs w:val="28"/>
                <w:u w:val="single"/>
                <w:rtl/>
              </w:rPr>
              <w:t>גזר דין</w:t>
            </w:r>
          </w:p>
          <w:p w14:paraId="20050E02" w14:textId="77777777" w:rsidR="00835896" w:rsidRPr="00CF2D92" w:rsidRDefault="00835896" w:rsidP="00CF2D92">
            <w:pPr>
              <w:jc w:val="center"/>
              <w:rPr>
                <w:rFonts w:ascii="David" w:hAnsi="David"/>
                <w:bCs/>
                <w:sz w:val="28"/>
                <w:szCs w:val="28"/>
                <w:u w:val="single"/>
                <w:rtl/>
              </w:rPr>
            </w:pPr>
          </w:p>
        </w:tc>
      </w:tr>
      <w:bookmarkEnd w:id="4"/>
    </w:tbl>
    <w:p w14:paraId="2E385945" w14:textId="77777777" w:rsidR="00835896" w:rsidRPr="007E571F" w:rsidRDefault="00835896" w:rsidP="00835896">
      <w:pPr>
        <w:spacing w:line="360" w:lineRule="auto"/>
        <w:rPr>
          <w:rFonts w:ascii="FrankRuehl" w:hAnsi="FrankRuehl" w:cs="Miriam"/>
          <w:b/>
          <w:sz w:val="28"/>
        </w:rPr>
      </w:pPr>
    </w:p>
    <w:p w14:paraId="42C5829C" w14:textId="77777777" w:rsidR="00835896" w:rsidRPr="007E571F" w:rsidRDefault="00835896" w:rsidP="00835896">
      <w:pPr>
        <w:spacing w:line="360" w:lineRule="auto"/>
        <w:ind w:firstLine="720"/>
        <w:jc w:val="both"/>
        <w:rPr>
          <w:rFonts w:ascii="FrankRuehl" w:hAnsi="FrankRuehl" w:cs="FrankRuehl"/>
          <w:sz w:val="28"/>
          <w:szCs w:val="28"/>
          <w:rtl/>
        </w:rPr>
      </w:pPr>
      <w:bookmarkStart w:id="5" w:name="ABSTRACT_START"/>
      <w:bookmarkEnd w:id="5"/>
      <w:r w:rsidRPr="007E571F">
        <w:rPr>
          <w:rFonts w:ascii="FrankRuehl" w:hAnsi="FrankRuehl" w:cs="FrankRuehl"/>
          <w:sz w:val="28"/>
          <w:szCs w:val="28"/>
          <w:rtl/>
        </w:rPr>
        <w:t xml:space="preserve">נגד הנאשם הוגש כתב אישום שייחס לו עבירות החזקת סם שלא לצריכה עצמית, לפי </w:t>
      </w:r>
      <w:hyperlink r:id="rId13" w:history="1">
        <w:r w:rsidR="00D902B4" w:rsidRPr="00D902B4">
          <w:rPr>
            <w:rFonts w:ascii="FrankRuehl" w:hAnsi="FrankRuehl" w:cs="FrankRuehl"/>
            <w:color w:val="0000FF"/>
            <w:sz w:val="28"/>
            <w:szCs w:val="28"/>
            <w:u w:val="single"/>
            <w:rtl/>
          </w:rPr>
          <w:t>סעיפים 7(א)</w:t>
        </w:r>
      </w:hyperlink>
      <w:r w:rsidRPr="007E571F">
        <w:rPr>
          <w:rFonts w:ascii="FrankRuehl" w:hAnsi="FrankRuehl" w:cs="FrankRuehl"/>
          <w:sz w:val="28"/>
          <w:szCs w:val="28"/>
          <w:rtl/>
        </w:rPr>
        <w:t xml:space="preserve"> + </w:t>
      </w:r>
      <w:hyperlink r:id="rId14" w:history="1">
        <w:r w:rsidR="00D902B4" w:rsidRPr="00D902B4">
          <w:rPr>
            <w:rFonts w:ascii="FrankRuehl" w:hAnsi="FrankRuehl" w:cs="FrankRuehl"/>
            <w:color w:val="0000FF"/>
            <w:sz w:val="28"/>
            <w:szCs w:val="28"/>
            <w:u w:val="single"/>
            <w:rtl/>
          </w:rPr>
          <w:t>7(ג)</w:t>
        </w:r>
      </w:hyperlink>
      <w:r w:rsidRPr="007E571F">
        <w:rPr>
          <w:rFonts w:ascii="FrankRuehl" w:hAnsi="FrankRuehl" w:cs="FrankRuehl"/>
          <w:sz w:val="28"/>
          <w:szCs w:val="28"/>
          <w:rtl/>
        </w:rPr>
        <w:t xml:space="preserve"> רישא ל</w:t>
      </w:r>
      <w:hyperlink r:id="rId15" w:history="1">
        <w:r w:rsidR="00CF2D92" w:rsidRPr="00CF2D92">
          <w:rPr>
            <w:rFonts w:ascii="FrankRuehl" w:hAnsi="FrankRuehl" w:cs="FrankRuehl"/>
            <w:color w:val="0000FF"/>
            <w:sz w:val="28"/>
            <w:szCs w:val="28"/>
            <w:u w:val="single"/>
            <w:rtl/>
          </w:rPr>
          <w:t>פקודת הסמים המסוכנים</w:t>
        </w:r>
      </w:hyperlink>
      <w:r w:rsidRPr="007E571F">
        <w:rPr>
          <w:rFonts w:ascii="FrankRuehl" w:hAnsi="FrankRuehl" w:cs="FrankRuehl"/>
          <w:sz w:val="28"/>
          <w:szCs w:val="28"/>
          <w:rtl/>
        </w:rPr>
        <w:t xml:space="preserve"> [נוסח חדש], התשל"ג-1973, התפרצות למקום מגורים, לפי </w:t>
      </w:r>
      <w:hyperlink r:id="rId16" w:history="1">
        <w:r w:rsidR="00D902B4" w:rsidRPr="00D902B4">
          <w:rPr>
            <w:rFonts w:ascii="FrankRuehl" w:hAnsi="FrankRuehl" w:cs="FrankRuehl"/>
            <w:color w:val="0000FF"/>
            <w:sz w:val="28"/>
            <w:szCs w:val="28"/>
            <w:u w:val="single"/>
            <w:rtl/>
          </w:rPr>
          <w:t>סעיף 406(ב)</w:t>
        </w:r>
      </w:hyperlink>
      <w:r w:rsidRPr="007E571F">
        <w:rPr>
          <w:rFonts w:ascii="FrankRuehl" w:hAnsi="FrankRuehl" w:cs="FrankRuehl"/>
          <w:sz w:val="28"/>
          <w:szCs w:val="28"/>
          <w:rtl/>
        </w:rPr>
        <w:t xml:space="preserve"> ל</w:t>
      </w:r>
      <w:hyperlink r:id="rId17" w:history="1">
        <w:r w:rsidR="00CF2D92" w:rsidRPr="00CF2D92">
          <w:rPr>
            <w:rFonts w:ascii="FrankRuehl" w:hAnsi="FrankRuehl" w:cs="FrankRuehl"/>
            <w:color w:val="0000FF"/>
            <w:sz w:val="28"/>
            <w:szCs w:val="28"/>
            <w:u w:val="single"/>
            <w:rtl/>
          </w:rPr>
          <w:t>חוק העונשין</w:t>
        </w:r>
      </w:hyperlink>
      <w:r w:rsidRPr="007E571F">
        <w:rPr>
          <w:rFonts w:ascii="FrankRuehl" w:hAnsi="FrankRuehl" w:cs="FrankRuehl"/>
          <w:sz w:val="28"/>
          <w:szCs w:val="28"/>
          <w:rtl/>
        </w:rPr>
        <w:t xml:space="preserve">, התשל"ז-1977 (להלן: </w:t>
      </w:r>
      <w:r w:rsidRPr="007E571F">
        <w:rPr>
          <w:rFonts w:ascii="FrankRuehl" w:hAnsi="FrankRuehl" w:cs="Miriam"/>
          <w:b/>
          <w:sz w:val="28"/>
          <w:rtl/>
        </w:rPr>
        <w:t>חוק העונשין</w:t>
      </w:r>
      <w:r w:rsidRPr="007E571F">
        <w:rPr>
          <w:rFonts w:ascii="FrankRuehl" w:hAnsi="FrankRuehl" w:cs="FrankRuehl"/>
          <w:sz w:val="28"/>
          <w:szCs w:val="28"/>
          <w:rtl/>
        </w:rPr>
        <w:t xml:space="preserve">) וגניבה לפי </w:t>
      </w:r>
      <w:hyperlink r:id="rId18" w:history="1">
        <w:r w:rsidR="00D902B4" w:rsidRPr="00D902B4">
          <w:rPr>
            <w:rFonts w:ascii="FrankRuehl" w:hAnsi="FrankRuehl" w:cs="FrankRuehl"/>
            <w:color w:val="0000FF"/>
            <w:sz w:val="28"/>
            <w:szCs w:val="28"/>
            <w:u w:val="single"/>
            <w:rtl/>
          </w:rPr>
          <w:t>סעיף 384</w:t>
        </w:r>
      </w:hyperlink>
      <w:r w:rsidRPr="007E571F">
        <w:rPr>
          <w:rFonts w:ascii="FrankRuehl" w:hAnsi="FrankRuehl" w:cs="FrankRuehl"/>
          <w:sz w:val="28"/>
          <w:szCs w:val="28"/>
          <w:rtl/>
        </w:rPr>
        <w:t xml:space="preserve"> לחוק העונשין. ביום 9.7.19 לאחר תום פרשת ההוכחות וסיכומי הצדדים ולאחר שנשמעו הערות בית המשפט, הגיעו הצדדים להסכמה במסגרתה חזר בו הנאשם מכפירתו בכתב האישום והורשע על פי הודאתו בעבירות החזקת סם שלא לצריכה עצמית והחזקת נכס חשוד גנוב, לפי </w:t>
      </w:r>
      <w:hyperlink r:id="rId19" w:history="1">
        <w:r w:rsidR="00D902B4" w:rsidRPr="00D902B4">
          <w:rPr>
            <w:rFonts w:ascii="FrankRuehl" w:hAnsi="FrankRuehl" w:cs="FrankRuehl"/>
            <w:color w:val="0000FF"/>
            <w:sz w:val="28"/>
            <w:szCs w:val="28"/>
            <w:u w:val="single"/>
            <w:rtl/>
          </w:rPr>
          <w:t>סעיף 413</w:t>
        </w:r>
      </w:hyperlink>
      <w:r w:rsidRPr="007E571F">
        <w:rPr>
          <w:rFonts w:ascii="FrankRuehl" w:hAnsi="FrankRuehl" w:cs="FrankRuehl"/>
          <w:sz w:val="28"/>
          <w:szCs w:val="28"/>
          <w:rtl/>
        </w:rPr>
        <w:t xml:space="preserve"> ל</w:t>
      </w:r>
      <w:hyperlink r:id="rId20" w:history="1">
        <w:r w:rsidR="00CF2D92" w:rsidRPr="00CF2D92">
          <w:rPr>
            <w:rFonts w:ascii="FrankRuehl" w:hAnsi="FrankRuehl" w:cs="FrankRuehl"/>
            <w:color w:val="0000FF"/>
            <w:sz w:val="28"/>
            <w:szCs w:val="28"/>
            <w:u w:val="single"/>
            <w:rtl/>
          </w:rPr>
          <w:t>חוק העונשין</w:t>
        </w:r>
      </w:hyperlink>
      <w:r w:rsidRPr="007E571F">
        <w:rPr>
          <w:rFonts w:ascii="FrankRuehl" w:hAnsi="FrankRuehl" w:cs="FrankRuehl"/>
          <w:sz w:val="28"/>
          <w:szCs w:val="28"/>
          <w:rtl/>
        </w:rPr>
        <w:t>. בהתאמה זוכה הנאשם (בהכרעת דין משלימה מיום 18.7.19) מעבירות של התפרצות למקום מגורים וגניבה. הצדדים ביקשו לדחות את ישיבת הטיעונים לעונש אשר התקיימה ביום 18.7.19.</w:t>
      </w:r>
    </w:p>
    <w:p w14:paraId="2E306CA5" w14:textId="77777777" w:rsidR="00835896" w:rsidRPr="007E571F" w:rsidRDefault="00835896" w:rsidP="00835896">
      <w:pPr>
        <w:spacing w:line="360" w:lineRule="auto"/>
        <w:rPr>
          <w:rFonts w:ascii="FrankRuehl" w:hAnsi="FrankRuehl" w:cs="FrankRuehl"/>
          <w:b/>
          <w:sz w:val="28"/>
          <w:szCs w:val="28"/>
          <w:rtl/>
        </w:rPr>
      </w:pPr>
    </w:p>
    <w:p w14:paraId="12C4C4D8" w14:textId="77777777" w:rsidR="00835896" w:rsidRPr="007E571F" w:rsidRDefault="00835896" w:rsidP="00835896">
      <w:pPr>
        <w:spacing w:line="360" w:lineRule="auto"/>
        <w:rPr>
          <w:rFonts w:ascii="Miriam" w:hAnsi="Miriam" w:cs="Miriam"/>
          <w:b/>
          <w:rtl/>
        </w:rPr>
      </w:pPr>
      <w:r w:rsidRPr="007E571F">
        <w:rPr>
          <w:rFonts w:ascii="Miriam" w:hAnsi="Miriam" w:cs="Miriam"/>
          <w:b/>
          <w:rtl/>
        </w:rPr>
        <w:t>כתב האישום</w:t>
      </w:r>
    </w:p>
    <w:p w14:paraId="21C05036" w14:textId="77777777" w:rsidR="00835896" w:rsidRPr="007E571F" w:rsidRDefault="00835896" w:rsidP="00835896">
      <w:pPr>
        <w:spacing w:line="360" w:lineRule="auto"/>
        <w:rPr>
          <w:rFonts w:ascii="FrankRuehl" w:hAnsi="FrankRuehl" w:cs="Miriam"/>
          <w:b/>
          <w:sz w:val="28"/>
          <w:rtl/>
        </w:rPr>
      </w:pPr>
    </w:p>
    <w:p w14:paraId="69D1F4DE"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1.</w:t>
      </w:r>
      <w:r w:rsidRPr="007E571F">
        <w:rPr>
          <w:rFonts w:ascii="FrankRuehl" w:hAnsi="FrankRuehl" w:cs="FrankRuehl"/>
          <w:sz w:val="28"/>
          <w:szCs w:val="28"/>
          <w:rtl/>
        </w:rPr>
        <w:tab/>
        <w:t xml:space="preserve">במועד הרלוונטי לכתב האישום התגורר הנאשם בבית נטוש ברחוב נהריים 5 בעיר ראשון לציון (להלן: </w:t>
      </w:r>
      <w:r w:rsidRPr="007E571F">
        <w:rPr>
          <w:rFonts w:ascii="FrankRuehl" w:hAnsi="FrankRuehl" w:cs="Miriam"/>
          <w:b/>
          <w:sz w:val="28"/>
          <w:rtl/>
        </w:rPr>
        <w:t>הבית</w:t>
      </w:r>
      <w:r w:rsidRPr="007E571F">
        <w:rPr>
          <w:rFonts w:ascii="FrankRuehl" w:hAnsi="FrankRuehl" w:cs="FrankRuehl"/>
          <w:sz w:val="28"/>
          <w:szCs w:val="28"/>
          <w:rtl/>
        </w:rPr>
        <w:t xml:space="preserve">). ביום 7.2.19 בין השעות 10:00-11:00 התפרץ הנאשם לביתה של ורד ימין (להלן: </w:t>
      </w:r>
      <w:r w:rsidRPr="007E571F">
        <w:rPr>
          <w:rFonts w:ascii="FrankRuehl" w:hAnsi="FrankRuehl" w:cs="Miriam"/>
          <w:b/>
          <w:sz w:val="28"/>
          <w:rtl/>
        </w:rPr>
        <w:t>המתלוננת</w:t>
      </w:r>
      <w:r w:rsidRPr="007E571F">
        <w:rPr>
          <w:rFonts w:ascii="FrankRuehl" w:hAnsi="FrankRuehl" w:cs="FrankRuehl"/>
          <w:sz w:val="28"/>
          <w:szCs w:val="28"/>
          <w:rtl/>
        </w:rPr>
        <w:t xml:space="preserve">) בכך שפתח את דלת הדירה בדרך שאינה ידועה למאשימה ונכנס לתוכה. הנאשם נטל כסף ותכשיטים, לרבות תליון עליו חרוט השם "ורד" ונמלט מהמקום. </w:t>
      </w:r>
    </w:p>
    <w:p w14:paraId="36ABCCE7" w14:textId="77777777" w:rsidR="00835896" w:rsidRPr="007E571F" w:rsidRDefault="00835896" w:rsidP="00835896">
      <w:pPr>
        <w:spacing w:line="360" w:lineRule="auto"/>
        <w:ind w:firstLine="720"/>
        <w:jc w:val="both"/>
        <w:rPr>
          <w:rFonts w:ascii="FrankRuehl" w:hAnsi="FrankRuehl" w:cs="FrankRuehl"/>
          <w:sz w:val="28"/>
          <w:szCs w:val="28"/>
          <w:rtl/>
        </w:rPr>
      </w:pPr>
      <w:bookmarkStart w:id="6" w:name="ABSTRACT_END"/>
      <w:bookmarkEnd w:id="6"/>
    </w:p>
    <w:p w14:paraId="77E0951A" w14:textId="77777777" w:rsidR="00835896" w:rsidRPr="007E571F" w:rsidRDefault="00835896" w:rsidP="00835896">
      <w:pPr>
        <w:spacing w:line="360" w:lineRule="auto"/>
        <w:ind w:firstLine="720"/>
        <w:jc w:val="both"/>
        <w:rPr>
          <w:rFonts w:ascii="FrankRuehl" w:hAnsi="FrankRuehl" w:cs="FrankRuehl"/>
          <w:sz w:val="28"/>
          <w:szCs w:val="28"/>
          <w:rtl/>
        </w:rPr>
      </w:pPr>
      <w:r w:rsidRPr="007E571F">
        <w:rPr>
          <w:rFonts w:ascii="FrankRuehl" w:hAnsi="FrankRuehl" w:cs="FrankRuehl"/>
          <w:sz w:val="28"/>
          <w:szCs w:val="28"/>
          <w:rtl/>
        </w:rPr>
        <w:t>ביום 19.2.19 בו</w:t>
      </w:r>
      <w:r>
        <w:rPr>
          <w:rFonts w:ascii="FrankRuehl" w:hAnsi="FrankRuehl" w:cs="FrankRuehl"/>
          <w:sz w:val="28"/>
          <w:szCs w:val="28"/>
          <w:rtl/>
        </w:rPr>
        <w:t xml:space="preserve">צע חיפוש בבית, </w:t>
      </w:r>
      <w:r w:rsidRPr="007E571F">
        <w:rPr>
          <w:rFonts w:ascii="FrankRuehl" w:hAnsi="FrankRuehl" w:cs="FrankRuehl"/>
          <w:sz w:val="28"/>
          <w:szCs w:val="28"/>
          <w:rtl/>
        </w:rPr>
        <w:t>במהלכו נתפסו סם מסוג הרואין במשקל כ- 16 גרם נטו, סם מסוג קנבוס במשקל כ- 2 גרם נטו ושרשרת ותליון עם הכיתוב "ורד".</w:t>
      </w:r>
    </w:p>
    <w:p w14:paraId="7DC508D1" w14:textId="77777777" w:rsidR="00835896" w:rsidRPr="007E571F" w:rsidRDefault="00835896" w:rsidP="00835896">
      <w:pPr>
        <w:spacing w:line="360" w:lineRule="auto"/>
        <w:jc w:val="both"/>
        <w:rPr>
          <w:rFonts w:ascii="FrankRuehl" w:hAnsi="FrankRuehl" w:cs="FrankRuehl"/>
          <w:b/>
          <w:sz w:val="28"/>
          <w:szCs w:val="28"/>
          <w:rtl/>
        </w:rPr>
      </w:pPr>
    </w:p>
    <w:p w14:paraId="0AF03C3B" w14:textId="77777777" w:rsidR="00835896" w:rsidRPr="007E571F" w:rsidRDefault="00835896" w:rsidP="00835896">
      <w:pPr>
        <w:spacing w:line="360" w:lineRule="auto"/>
        <w:jc w:val="both"/>
        <w:rPr>
          <w:rFonts w:ascii="Miriam" w:hAnsi="Miriam" w:cs="Miriam"/>
          <w:b/>
          <w:rtl/>
        </w:rPr>
      </w:pPr>
      <w:r w:rsidRPr="007E571F">
        <w:rPr>
          <w:rFonts w:ascii="Miriam" w:hAnsi="Miriam" w:cs="Miriam"/>
          <w:b/>
          <w:rtl/>
        </w:rPr>
        <w:t>טיעוני הצדדים לעונש</w:t>
      </w:r>
    </w:p>
    <w:p w14:paraId="3D43521D" w14:textId="77777777" w:rsidR="00835896" w:rsidRPr="007E571F" w:rsidRDefault="00835896" w:rsidP="00835896">
      <w:pPr>
        <w:spacing w:line="360" w:lineRule="auto"/>
        <w:jc w:val="both"/>
        <w:rPr>
          <w:rFonts w:ascii="FrankRuehl" w:hAnsi="FrankRuehl" w:cs="FrankRuehl"/>
          <w:sz w:val="28"/>
          <w:szCs w:val="28"/>
          <w:rtl/>
        </w:rPr>
      </w:pPr>
    </w:p>
    <w:p w14:paraId="5AB20298" w14:textId="77777777" w:rsidR="00835896" w:rsidRPr="007E571F" w:rsidRDefault="00835896" w:rsidP="00835896">
      <w:pPr>
        <w:spacing w:line="360" w:lineRule="auto"/>
        <w:jc w:val="both"/>
        <w:rPr>
          <w:rFonts w:ascii="FrankRuehl" w:hAnsi="FrankRuehl" w:cs="Miriam"/>
          <w:b/>
          <w:sz w:val="28"/>
          <w:rtl/>
        </w:rPr>
      </w:pPr>
      <w:r w:rsidRPr="007E571F">
        <w:rPr>
          <w:rFonts w:ascii="FrankRuehl" w:hAnsi="FrankRuehl" w:cs="FrankRuehl"/>
          <w:sz w:val="28"/>
          <w:szCs w:val="28"/>
          <w:rtl/>
        </w:rPr>
        <w:t>2.</w:t>
      </w:r>
      <w:r w:rsidRPr="007E571F">
        <w:rPr>
          <w:rFonts w:ascii="FrankRuehl" w:hAnsi="FrankRuehl" w:cs="FrankRuehl"/>
          <w:sz w:val="28"/>
          <w:szCs w:val="28"/>
          <w:rtl/>
        </w:rPr>
        <w:tab/>
      </w:r>
      <w:r w:rsidRPr="007E571F">
        <w:rPr>
          <w:rFonts w:ascii="FrankRuehl" w:hAnsi="FrankRuehl" w:cs="Miriam"/>
          <w:b/>
          <w:sz w:val="28"/>
          <w:rtl/>
        </w:rPr>
        <w:t>ב"כ המאשימה</w:t>
      </w:r>
      <w:r w:rsidRPr="007E571F">
        <w:rPr>
          <w:rFonts w:ascii="FrankRuehl" w:hAnsi="FrankRuehl" w:cs="FrankRuehl"/>
          <w:sz w:val="28"/>
          <w:szCs w:val="28"/>
          <w:rtl/>
        </w:rPr>
        <w:t xml:space="preserve"> הפנה לעברו הפלילי של הנאשם (עת/1) ולשני מאסרים מותנים בני הפעלה (6 חודשים כל אחד), בגין עבירות סמים ובגין עבירות רכוש (עת/2, עת/3). הוא הפנה לכך שלחובת הנאשם (בן 47) 24 הרשעות בעיקר בגין עבירות סמים, רכוש ואלימות, מתוכן נדון 18 פעמים לעונשי מאסר בפועל, והוא הספיק לרצות עד היום (במצטבר) כ- 23 שנים מחייו במאסר מאחורי סורג ובריח. ב"כ המאשימה הפנה לערכים שנפגעו ממעשיו של הנאשם: בריאות הציבור והגנה על שלומו מפני נגע הסמים וזכות הפרט לקניין. לטענתו, עבירת הסמים פגעה בערכים המוגנים בעוצמה גבוהה בשים לב לסוג הסם (הרואין) ולכמות הסם (פי 50 מהכמות המוגדרת כעבירה של החזקת סם לשימוש עצמי) ומנגד עבירת הרכוש פגעה בעוצמה נמוכה בזכות המוגנת.</w:t>
      </w:r>
    </w:p>
    <w:p w14:paraId="7A1A55CF" w14:textId="77777777" w:rsidR="00835896" w:rsidRPr="007E571F" w:rsidRDefault="00835896" w:rsidP="00835896">
      <w:pPr>
        <w:spacing w:line="360" w:lineRule="auto"/>
        <w:jc w:val="both"/>
        <w:rPr>
          <w:rFonts w:ascii="FrankRuehl" w:hAnsi="FrankRuehl" w:cs="FrankRuehl"/>
          <w:sz w:val="28"/>
          <w:szCs w:val="28"/>
          <w:rtl/>
        </w:rPr>
      </w:pPr>
    </w:p>
    <w:p w14:paraId="5F5AE92C"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ab/>
        <w:t>ב"כ המאשימה עתר לקבוע מתחמי ענישה נפרדים: בגין החזקת סם שלא לצריכה עצמית עתר לקבוע מתחם שנע בין 12 חודשי מאסר לבין 30 חודשי מאסר בפועל, ובגין ה</w:t>
      </w:r>
      <w:r>
        <w:rPr>
          <w:rFonts w:ascii="FrankRuehl" w:hAnsi="FrankRuehl" w:cs="FrankRuehl"/>
          <w:sz w:val="28"/>
          <w:szCs w:val="28"/>
          <w:rtl/>
        </w:rPr>
        <w:t xml:space="preserve">חזקת רכוש חשוד כגנוב עתר לקבוע </w:t>
      </w:r>
      <w:r w:rsidRPr="007E571F">
        <w:rPr>
          <w:rFonts w:ascii="FrankRuehl" w:hAnsi="FrankRuehl" w:cs="FrankRuehl"/>
          <w:sz w:val="28"/>
          <w:szCs w:val="28"/>
          <w:rtl/>
        </w:rPr>
        <w:t>מתחם שנע בין מאסר על תנאי לבין ששה חודשי מאסר. ב"כ המאשימה הפנה לעברו הפלילי המכביד של הנאשם, ביקש לתת משקל לכך שהודייתו ניתנה בתום הליך ההוכחות, ועתר לגזור את עונשו של הנאשם בתוך המתחם ברף האמצעי ולהשית עליו 18 חודשי מאסר בפועל, עליהם יופעלו המאסרים המותנים במצטבר. כן עתר להשית על הנאשם עונשי מאסר על תנאי, קנס, פסילת רישיון נהיגה בפועל ועל תנאי והתחייבות.</w:t>
      </w:r>
    </w:p>
    <w:p w14:paraId="3DB02A4E"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ab/>
        <w:t xml:space="preserve"> </w:t>
      </w:r>
    </w:p>
    <w:p w14:paraId="2A53CCB3"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lastRenderedPageBreak/>
        <w:t>3.</w:t>
      </w:r>
      <w:r w:rsidRPr="007E571F">
        <w:rPr>
          <w:rFonts w:ascii="FrankRuehl" w:hAnsi="FrankRuehl" w:cs="FrankRuehl"/>
          <w:sz w:val="28"/>
          <w:szCs w:val="28"/>
          <w:rtl/>
        </w:rPr>
        <w:tab/>
      </w:r>
      <w:r w:rsidRPr="007E571F">
        <w:rPr>
          <w:rFonts w:ascii="FrankRuehl" w:hAnsi="FrankRuehl" w:cs="Miriam"/>
          <w:b/>
          <w:sz w:val="28"/>
          <w:rtl/>
        </w:rPr>
        <w:t>ב"כ הנאשם</w:t>
      </w:r>
      <w:r w:rsidRPr="007E571F">
        <w:rPr>
          <w:rFonts w:ascii="FrankRuehl" w:hAnsi="FrankRuehl" w:cs="FrankRuehl"/>
          <w:sz w:val="28"/>
          <w:szCs w:val="28"/>
          <w:rtl/>
        </w:rPr>
        <w:t xml:space="preserve"> ביקש ליתן משקל משמעותי להודיית הנאשם ונטילת אחריות, כמו גם לחיסכון זמן שיפוטי בכתיבת הכרעת הדין, זאת על רקע העובדה שרק בעקבות ניהול הליך ההוכחות עד תומו הסכימה המאשימה לזיכויו של הנאשם מעבירות ההתפרצות והגניבה ולהרשיעו חלף זאת בעבירה של החזקת נכס חשוד כגנוב. ב"כ הנאשם הפנה לכך שמדובר בגבר בן 47 אשר התמכר לסמים קשים בגיל צעיר (16) כשברקע לכך חוויית מצוקה כבר מילדותו בצל הורים אלימים, נשירה ממוסדות החינוך, התדרדרות לעבריינות רחוב ולצריכת סמים. ב"כ הנאשם ביקש ללמוד מגיליון הרישום הפלילי של הנאשם כי מדובר במי שביצע עבירות על רקע מצוקה והתמכרות לסמים. הוא הפנה לכך שהנאשם דר רחוב, נעדר תמיכה משפחתית, איש לא התייצב מטעמו לדיונים – לא משפחה ולא חברים. הוא סיפר על בנו של הנאשם (כבן 20) אשר לאור התנהלותו של הנאשם וחייו מאחורי הסורגים, נאלץ לגדול ללא דמות אב.  כן ביקש ב"כ הנאשם לתת משקל לרצונו של הנאשם להיגמל מסמים ולערוך שינוי אמיתי בחייו.</w:t>
      </w:r>
    </w:p>
    <w:p w14:paraId="6BE0CB1D" w14:textId="77777777" w:rsidR="00835896" w:rsidRPr="007E571F" w:rsidRDefault="00835896" w:rsidP="00835896">
      <w:pPr>
        <w:spacing w:line="360" w:lineRule="auto"/>
        <w:ind w:firstLine="720"/>
        <w:jc w:val="both"/>
        <w:rPr>
          <w:rFonts w:ascii="FrankRuehl" w:hAnsi="FrankRuehl" w:cs="FrankRuehl"/>
          <w:sz w:val="28"/>
          <w:szCs w:val="28"/>
          <w:rtl/>
        </w:rPr>
      </w:pPr>
    </w:p>
    <w:p w14:paraId="29DCFA71" w14:textId="77777777" w:rsidR="00835896" w:rsidRPr="007E571F" w:rsidRDefault="00835896" w:rsidP="00835896">
      <w:pPr>
        <w:spacing w:line="360" w:lineRule="auto"/>
        <w:ind w:firstLine="720"/>
        <w:jc w:val="both"/>
        <w:rPr>
          <w:rFonts w:ascii="FrankRuehl" w:hAnsi="FrankRuehl" w:cs="FrankRuehl"/>
          <w:sz w:val="28"/>
          <w:szCs w:val="28"/>
          <w:rtl/>
        </w:rPr>
      </w:pPr>
      <w:r w:rsidRPr="007E571F">
        <w:rPr>
          <w:rFonts w:ascii="FrankRuehl" w:hAnsi="FrankRuehl" w:cs="FrankRuehl"/>
          <w:sz w:val="28"/>
          <w:szCs w:val="28"/>
          <w:rtl/>
        </w:rPr>
        <w:t>ב"כ הנאשם עתר לקבוע מתחם ענישה אחד בין 9 חודשי מאסר לבין 18 חודשי מאסר בפועל, לגזור את עונשו ברף התחתון של המתחם ולהפעיל את עונשי המאסר המותנים באופן חופף זה לזה ובחפיפה חלקית לעונש המאסר שייגזר.</w:t>
      </w:r>
    </w:p>
    <w:p w14:paraId="1D8091E7" w14:textId="77777777" w:rsidR="00835896" w:rsidRPr="007E571F" w:rsidRDefault="00835896" w:rsidP="00835896">
      <w:pPr>
        <w:spacing w:line="360" w:lineRule="auto"/>
        <w:jc w:val="both"/>
        <w:rPr>
          <w:rFonts w:ascii="FrankRuehl" w:hAnsi="FrankRuehl" w:cs="Miriam"/>
          <w:b/>
          <w:sz w:val="28"/>
          <w:rtl/>
        </w:rPr>
      </w:pPr>
    </w:p>
    <w:p w14:paraId="6869FE04"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b/>
          <w:sz w:val="28"/>
          <w:szCs w:val="28"/>
          <w:rtl/>
        </w:rPr>
        <w:t>4.</w:t>
      </w:r>
      <w:r w:rsidRPr="007E571F">
        <w:rPr>
          <w:rFonts w:ascii="FrankRuehl" w:hAnsi="FrankRuehl" w:cs="FrankRuehl"/>
          <w:b/>
          <w:sz w:val="28"/>
          <w:szCs w:val="28"/>
          <w:rtl/>
        </w:rPr>
        <w:tab/>
      </w:r>
      <w:r w:rsidRPr="007E571F">
        <w:rPr>
          <w:rFonts w:ascii="Miriam" w:hAnsi="Miriam" w:cs="Miriam"/>
          <w:b/>
          <w:rtl/>
        </w:rPr>
        <w:t xml:space="preserve">הנאשם </w:t>
      </w:r>
      <w:r w:rsidRPr="007E571F">
        <w:rPr>
          <w:rFonts w:ascii="FrankRuehl" w:hAnsi="FrankRuehl" w:cs="FrankRuehl"/>
          <w:sz w:val="28"/>
          <w:szCs w:val="28"/>
          <w:rtl/>
        </w:rPr>
        <w:t xml:space="preserve">סיפר באופן בגלוי ובפתיחות על עברו, על ההתמודדויות והקשיים שעבר החל מילדותו, על העולם העברייני שבו הוא חי מזה שנים רבות, למעשה כמעט כל חייו. העיד על עצמו כעבריין חוזר </w:t>
      </w:r>
      <w:r w:rsidRPr="007E571F">
        <w:rPr>
          <w:rFonts w:ascii="FrankRuehl" w:hAnsi="FrankRuehl" w:cs="Miriam"/>
          <w:b/>
          <w:sz w:val="28"/>
          <w:rtl/>
        </w:rPr>
        <w:t>"אני רצידיביסט, נכנס יוצא נכנס יוצא נכנס יוצא, 18 כניסות"</w:t>
      </w:r>
      <w:r w:rsidRPr="007E571F">
        <w:rPr>
          <w:rFonts w:ascii="FrankRuehl" w:hAnsi="FrankRuehl" w:cs="FrankRuehl"/>
          <w:sz w:val="28"/>
          <w:szCs w:val="28"/>
          <w:rtl/>
        </w:rPr>
        <w:t>. סיפר על בנו בן ה</w:t>
      </w:r>
      <w:r>
        <w:rPr>
          <w:rFonts w:ascii="FrankRuehl" w:hAnsi="FrankRuehl" w:cs="FrankRuehl" w:hint="cs"/>
          <w:sz w:val="28"/>
          <w:szCs w:val="28"/>
          <w:rtl/>
        </w:rPr>
        <w:t>-</w:t>
      </w:r>
      <w:r w:rsidRPr="007E571F">
        <w:rPr>
          <w:rFonts w:ascii="FrankRuehl" w:hAnsi="FrankRuehl" w:cs="FrankRuehl"/>
          <w:sz w:val="28"/>
          <w:szCs w:val="28"/>
          <w:rtl/>
        </w:rPr>
        <w:t xml:space="preserve"> 20 אותו לא זכה לראות, על כך שהוא נאלץ להתמודד לבד עם החיים, על היותו נרקומן שנים ארוכות ועל רצונו לאזור אומץ ולהצליח לשנות את מסלול חייו. הנאשם דיבר בכנות על מצבו מאז שוחרר ממאסרו האחרון, על חייו ברחוב כמחוסר בית שלעתים מצא עצמו רעב לפת לחם, על רצונו בשינוי ובשיקום, ובאותה הנשימה חשף כי הוא מפחד משינוי ואיננו יודע כיצד לעשות זאת. סופו של דבר ביקש להשאיר את הדברים לשיקול דעתו של בית המשפט בתקווה לקבל הזדמנות מתוך רצון לנסות להציל את חייו, ומתוך מודעות כנה לכך שללא תהליך אמיתי של שיקום לא יוכל להבטיח שלא יחזור פעם נוספת לבית הסוהר.</w:t>
      </w:r>
    </w:p>
    <w:p w14:paraId="4542DB03" w14:textId="77777777" w:rsidR="00835896" w:rsidRPr="007E571F" w:rsidRDefault="00835896" w:rsidP="00835896">
      <w:pPr>
        <w:spacing w:line="360" w:lineRule="auto"/>
        <w:jc w:val="both"/>
        <w:rPr>
          <w:rFonts w:ascii="FrankRuehl" w:hAnsi="FrankRuehl" w:cs="Miriam"/>
          <w:b/>
          <w:sz w:val="28"/>
          <w:rtl/>
        </w:rPr>
      </w:pPr>
    </w:p>
    <w:p w14:paraId="30D8C9B9" w14:textId="77777777" w:rsidR="00835896" w:rsidRPr="007E571F" w:rsidRDefault="00835896" w:rsidP="00835896">
      <w:pPr>
        <w:spacing w:line="360" w:lineRule="auto"/>
        <w:jc w:val="both"/>
        <w:rPr>
          <w:rFonts w:ascii="Miriam" w:hAnsi="Miriam" w:cs="Miriam"/>
          <w:b/>
          <w:rtl/>
        </w:rPr>
      </w:pPr>
      <w:r w:rsidRPr="007E571F">
        <w:rPr>
          <w:rFonts w:ascii="Miriam" w:hAnsi="Miriam" w:cs="Miriam"/>
          <w:b/>
          <w:rtl/>
        </w:rPr>
        <w:t>דיון</w:t>
      </w:r>
    </w:p>
    <w:p w14:paraId="07BF8A90" w14:textId="77777777" w:rsidR="00835896" w:rsidRPr="007E571F" w:rsidRDefault="00835896" w:rsidP="00835896">
      <w:pPr>
        <w:spacing w:line="360" w:lineRule="auto"/>
        <w:jc w:val="both"/>
        <w:rPr>
          <w:rFonts w:ascii="Miriam" w:hAnsi="Miriam" w:cs="Miriam"/>
          <w:b/>
          <w:rtl/>
        </w:rPr>
      </w:pPr>
      <w:r w:rsidRPr="007E571F">
        <w:rPr>
          <w:rFonts w:ascii="Miriam" w:hAnsi="Miriam" w:cs="Miriam"/>
          <w:b/>
          <w:rtl/>
        </w:rPr>
        <w:tab/>
      </w:r>
    </w:p>
    <w:p w14:paraId="5A336D4F" w14:textId="77777777" w:rsidR="00835896" w:rsidRPr="007E571F" w:rsidRDefault="00835896" w:rsidP="00835896">
      <w:pPr>
        <w:spacing w:line="360" w:lineRule="auto"/>
        <w:jc w:val="both"/>
        <w:rPr>
          <w:rFonts w:ascii="Miriam" w:hAnsi="Miriam" w:cs="Miriam"/>
          <w:b/>
          <w:rtl/>
        </w:rPr>
      </w:pPr>
      <w:r w:rsidRPr="007E571F">
        <w:rPr>
          <w:rFonts w:ascii="Miriam" w:hAnsi="Miriam" w:cs="Miriam"/>
          <w:b/>
          <w:rtl/>
        </w:rPr>
        <w:t>קביעת מתחם העונש ההולם</w:t>
      </w:r>
    </w:p>
    <w:p w14:paraId="01F555FB" w14:textId="77777777" w:rsidR="00835896" w:rsidRPr="007E571F" w:rsidRDefault="00835896" w:rsidP="00835896">
      <w:pPr>
        <w:spacing w:line="360" w:lineRule="auto"/>
        <w:jc w:val="both"/>
        <w:rPr>
          <w:rFonts w:ascii="FrankRuehl" w:hAnsi="FrankRuehl" w:cs="Miriam"/>
          <w:b/>
          <w:sz w:val="28"/>
          <w:rtl/>
        </w:rPr>
      </w:pPr>
    </w:p>
    <w:p w14:paraId="3BF02F56"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5.</w:t>
      </w:r>
      <w:r w:rsidRPr="007E571F">
        <w:rPr>
          <w:rFonts w:ascii="FrankRuehl" w:hAnsi="FrankRuehl" w:cs="FrankRuehl"/>
          <w:sz w:val="28"/>
          <w:szCs w:val="28"/>
          <w:rtl/>
        </w:rPr>
        <w:tab/>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0854D615" w14:textId="77777777" w:rsidR="00835896" w:rsidRPr="007E571F" w:rsidRDefault="00835896" w:rsidP="00835896">
      <w:pPr>
        <w:spacing w:line="360" w:lineRule="auto"/>
        <w:jc w:val="both"/>
        <w:rPr>
          <w:rFonts w:ascii="FrankRuehl" w:hAnsi="FrankRuehl" w:cs="FrankRuehl"/>
          <w:sz w:val="28"/>
          <w:szCs w:val="28"/>
          <w:rtl/>
        </w:rPr>
      </w:pPr>
    </w:p>
    <w:p w14:paraId="39A593F5" w14:textId="77777777" w:rsidR="00835896" w:rsidRPr="007E571F" w:rsidRDefault="00835896" w:rsidP="00835896">
      <w:pPr>
        <w:spacing w:line="360" w:lineRule="auto"/>
        <w:ind w:firstLine="720"/>
        <w:jc w:val="both"/>
        <w:rPr>
          <w:rFonts w:ascii="FrankRuehl" w:hAnsi="FrankRuehl" w:cs="FrankRuehl"/>
          <w:sz w:val="28"/>
          <w:szCs w:val="28"/>
          <w:rtl/>
        </w:rPr>
      </w:pPr>
      <w:r w:rsidRPr="007E571F">
        <w:rPr>
          <w:rFonts w:ascii="FrankRuehl" w:hAnsi="FrankRuehl" w:cs="FrankRuehl"/>
          <w:sz w:val="28"/>
          <w:szCs w:val="28"/>
          <w:rtl/>
        </w:rPr>
        <w:t xml:space="preserve">הסמים והרכוש נתפסו אצל הנאשם באותו מועד, באותו מקום ובגדרי אותו החיפוש. מכאן ובניגוד לעמדת המאשימה מצאתי כי מדובר </w:t>
      </w:r>
      <w:r w:rsidRPr="007E571F">
        <w:rPr>
          <w:rFonts w:ascii="FrankRuehl" w:hAnsi="FrankRuehl" w:cs="FrankRuehl"/>
          <w:b/>
          <w:sz w:val="28"/>
          <w:szCs w:val="28"/>
          <w:rtl/>
        </w:rPr>
        <w:t>באירוע יחיד</w:t>
      </w:r>
      <w:r w:rsidRPr="007E571F">
        <w:rPr>
          <w:rFonts w:ascii="FrankRuehl" w:hAnsi="FrankRuehl" w:cs="FrankRuehl"/>
          <w:sz w:val="28"/>
          <w:szCs w:val="28"/>
          <w:rtl/>
        </w:rPr>
        <w:t xml:space="preserve"> בו העבירות משתלבות זו בזו ולפיכך ייקבע מתחם עונש יחיד.</w:t>
      </w:r>
    </w:p>
    <w:p w14:paraId="2029FDEA" w14:textId="77777777" w:rsidR="00835896" w:rsidRPr="007E571F" w:rsidRDefault="00835896" w:rsidP="00835896">
      <w:pPr>
        <w:spacing w:line="360" w:lineRule="auto"/>
        <w:jc w:val="both"/>
        <w:rPr>
          <w:rFonts w:ascii="FrankRuehl" w:hAnsi="FrankRuehl" w:cs="FrankRuehl"/>
          <w:sz w:val="28"/>
          <w:szCs w:val="28"/>
          <w:rtl/>
        </w:rPr>
      </w:pPr>
    </w:p>
    <w:p w14:paraId="05FEC0AB" w14:textId="77777777" w:rsidR="00835896" w:rsidRPr="007E571F" w:rsidRDefault="00835896" w:rsidP="00835896">
      <w:pPr>
        <w:spacing w:line="360" w:lineRule="auto"/>
        <w:ind w:firstLine="720"/>
        <w:jc w:val="both"/>
        <w:rPr>
          <w:rFonts w:ascii="FrankRuehl" w:hAnsi="FrankRuehl" w:cs="FrankRuehl"/>
          <w:sz w:val="28"/>
          <w:szCs w:val="28"/>
          <w:rtl/>
        </w:rPr>
      </w:pPr>
      <w:r w:rsidRPr="007E571F">
        <w:rPr>
          <w:rFonts w:ascii="FrankRuehl" w:hAnsi="FrankRuehl" w:cs="FrankRuehl"/>
          <w:sz w:val="28"/>
          <w:szCs w:val="28"/>
          <w:rtl/>
        </w:rPr>
        <w:t>דומה שאין צורך להכביר מ</w:t>
      </w:r>
      <w:r>
        <w:rPr>
          <w:rFonts w:ascii="FrankRuehl" w:hAnsi="FrankRuehl" w:cs="FrankRuehl" w:hint="cs"/>
          <w:sz w:val="28"/>
          <w:szCs w:val="28"/>
          <w:rtl/>
        </w:rPr>
        <w:t>י</w:t>
      </w:r>
      <w:r w:rsidRPr="007E571F">
        <w:rPr>
          <w:rFonts w:ascii="FrankRuehl" w:hAnsi="FrankRuehl" w:cs="FrankRuehl"/>
          <w:sz w:val="28"/>
          <w:szCs w:val="28"/>
          <w:rtl/>
        </w:rPr>
        <w:t>לים באשר לפגיעת מעשיו של הנאשם בערך החברתי המוגן – החובה להגן על שלומו, בטחונו ובריאותו של הציבור מפני פגיעתם הקשה של הסמים. במקרה דנן מדובר בהרואין, סם המוות, אותו החזיק הנאשם בכמות גדולה, כ- 16 גרם נטו, שאיננה מיועדת לצריכתו העצמית של הנאשם, משמע – יועדה למטרות סחר. לא לחינם גזר המח</w:t>
      </w:r>
      <w:r>
        <w:rPr>
          <w:rFonts w:ascii="FrankRuehl" w:hAnsi="FrankRuehl" w:cs="FrankRuehl"/>
          <w:sz w:val="28"/>
          <w:szCs w:val="28"/>
          <w:rtl/>
        </w:rPr>
        <w:t xml:space="preserve">וקק גזירה שווה בין העונש שנקבע </w:t>
      </w:r>
      <w:r>
        <w:rPr>
          <w:rFonts w:ascii="FrankRuehl" w:hAnsi="FrankRuehl" w:cs="FrankRuehl" w:hint="cs"/>
          <w:sz w:val="28"/>
          <w:szCs w:val="28"/>
          <w:rtl/>
        </w:rPr>
        <w:t>ב</w:t>
      </w:r>
      <w:r w:rsidRPr="007E571F">
        <w:rPr>
          <w:rFonts w:ascii="FrankRuehl" w:hAnsi="FrankRuehl" w:cs="FrankRuehl"/>
          <w:sz w:val="28"/>
          <w:szCs w:val="28"/>
          <w:rtl/>
        </w:rPr>
        <w:t>צדה של עבירת הסחר בסמים לבין זה שנקבע בצדה של עבירת החזקת סם שלא לצריכה עצמית. מדובר בשני צדדים של אותו המטבע, ובשני המקרים העבירות פוגעות בציבור באופן קשה ומשמעותי. אשר לעבירה של החזקת רכוש חשוד כגנוב, זו פוגעת בזכות הפרט לקניין.</w:t>
      </w:r>
    </w:p>
    <w:p w14:paraId="19321E9D" w14:textId="77777777" w:rsidR="00835896" w:rsidRPr="007E571F" w:rsidRDefault="00835896" w:rsidP="00835896">
      <w:pPr>
        <w:spacing w:line="360" w:lineRule="auto"/>
        <w:jc w:val="both"/>
        <w:rPr>
          <w:rFonts w:ascii="FrankRuehl" w:hAnsi="FrankRuehl" w:cs="FrankRuehl"/>
          <w:sz w:val="28"/>
          <w:szCs w:val="28"/>
          <w:rtl/>
        </w:rPr>
      </w:pPr>
    </w:p>
    <w:p w14:paraId="32CD333E" w14:textId="77777777" w:rsidR="00835896" w:rsidRPr="007E571F" w:rsidRDefault="00835896" w:rsidP="00835896">
      <w:pPr>
        <w:spacing w:line="360" w:lineRule="auto"/>
        <w:jc w:val="both"/>
        <w:rPr>
          <w:rFonts w:ascii="FrankRuehl" w:hAnsi="FrankRuehl" w:cs="FrankRuehl"/>
          <w:b/>
          <w:sz w:val="28"/>
          <w:szCs w:val="28"/>
          <w:rtl/>
        </w:rPr>
      </w:pPr>
      <w:r w:rsidRPr="007E571F">
        <w:rPr>
          <w:rFonts w:ascii="FrankRuehl" w:hAnsi="FrankRuehl" w:cs="FrankRuehl"/>
          <w:sz w:val="28"/>
          <w:szCs w:val="28"/>
          <w:rtl/>
        </w:rPr>
        <w:t>6.</w:t>
      </w:r>
      <w:r w:rsidRPr="007E571F">
        <w:rPr>
          <w:rFonts w:ascii="FrankRuehl" w:hAnsi="FrankRuehl" w:cs="FrankRuehl"/>
          <w:sz w:val="28"/>
          <w:szCs w:val="28"/>
          <w:rtl/>
        </w:rPr>
        <w:tab/>
        <w:t>לבחינת מדיניות הענישה הנוהגת בעבירות דומות בשים לב לטיב הסם וכמותו, ראו פסקי הדין שלהלן:</w:t>
      </w:r>
    </w:p>
    <w:p w14:paraId="0533B2EF" w14:textId="77777777" w:rsidR="00835896" w:rsidRPr="007E571F" w:rsidRDefault="00835896" w:rsidP="00835896">
      <w:pPr>
        <w:spacing w:line="360" w:lineRule="auto"/>
        <w:jc w:val="both"/>
        <w:rPr>
          <w:rFonts w:ascii="FrankRuehl" w:hAnsi="FrankRuehl" w:cs="FrankRuehl"/>
          <w:sz w:val="28"/>
          <w:szCs w:val="28"/>
          <w:rtl/>
        </w:rPr>
      </w:pPr>
    </w:p>
    <w:p w14:paraId="2B643366" w14:textId="77777777" w:rsidR="00835896" w:rsidRPr="007E571F" w:rsidRDefault="00CF2D92" w:rsidP="00835896">
      <w:pPr>
        <w:spacing w:line="360" w:lineRule="auto"/>
        <w:ind w:firstLine="720"/>
        <w:jc w:val="both"/>
        <w:rPr>
          <w:rFonts w:ascii="FrankRuehl" w:hAnsi="FrankRuehl" w:cs="FrankRuehl"/>
          <w:sz w:val="28"/>
          <w:szCs w:val="28"/>
          <w:rtl/>
        </w:rPr>
      </w:pPr>
      <w:hyperlink r:id="rId21" w:history="1">
        <w:r w:rsidRPr="00CF2D92">
          <w:rPr>
            <w:rFonts w:ascii="FrankRuehl" w:hAnsi="FrankRuehl" w:cs="FrankRuehl"/>
            <w:color w:val="0000FF"/>
            <w:sz w:val="28"/>
            <w:szCs w:val="28"/>
            <w:u w:val="single"/>
            <w:rtl/>
          </w:rPr>
          <w:t>ע"פ 9910/17</w:t>
        </w:r>
      </w:hyperlink>
      <w:r w:rsidR="00835896" w:rsidRPr="007E571F">
        <w:rPr>
          <w:rFonts w:ascii="FrankRuehl" w:hAnsi="FrankRuehl" w:cs="FrankRuehl"/>
          <w:b/>
          <w:sz w:val="28"/>
          <w:szCs w:val="28"/>
          <w:rtl/>
        </w:rPr>
        <w:t xml:space="preserve"> </w:t>
      </w:r>
      <w:r w:rsidR="00835896" w:rsidRPr="007E571F">
        <w:rPr>
          <w:rFonts w:ascii="Miriam" w:hAnsi="Miriam" w:cs="Miriam"/>
          <w:b/>
          <w:rtl/>
        </w:rPr>
        <w:t xml:space="preserve">גריפולינה ואח' נ' מדינת ישראל </w:t>
      </w:r>
      <w:r w:rsidR="00835896" w:rsidRPr="007E571F">
        <w:rPr>
          <w:rFonts w:ascii="FrankRuehl" w:hAnsi="FrankRuehl" w:cs="FrankRuehl"/>
          <w:sz w:val="28"/>
          <w:szCs w:val="28"/>
          <w:rtl/>
        </w:rPr>
        <w:t xml:space="preserve">(3.5.18, להלן: </w:t>
      </w:r>
      <w:r w:rsidR="00835896" w:rsidRPr="007E571F">
        <w:rPr>
          <w:rFonts w:ascii="FrankRuehl" w:hAnsi="FrankRuehl" w:cs="Miriam"/>
          <w:b/>
          <w:sz w:val="28"/>
          <w:rtl/>
        </w:rPr>
        <w:t>עניין גריפולינה</w:t>
      </w:r>
      <w:r w:rsidR="00835896" w:rsidRPr="007E571F">
        <w:rPr>
          <w:rFonts w:ascii="FrankRuehl" w:hAnsi="FrankRuehl" w:cs="FrankRuehl"/>
          <w:sz w:val="28"/>
          <w:szCs w:val="28"/>
          <w:rtl/>
        </w:rPr>
        <w:t>). המערער 2 הורשע בהחזקת סם שלא לצריכה עצמית, קוקאין במשקל 21.75 גרם וחשיש במשקל 3.26 גרם. בית המשפט המחוזי קבע מתחם ענישה בין 15 חודשי מאסר לבין 36 חודשי מאסר וגזר את עונשו של המערער למאסר בפועל בן 24 חודשים, זאת בין השאר על רקע עברו הפלילי המכביד ונסיבות ביצוע העבירה. הערעור נדחה.</w:t>
      </w:r>
    </w:p>
    <w:p w14:paraId="3E1488DA" w14:textId="77777777" w:rsidR="00835896" w:rsidRPr="007E571F" w:rsidRDefault="00835896" w:rsidP="00835896">
      <w:pPr>
        <w:spacing w:line="360" w:lineRule="auto"/>
        <w:jc w:val="both"/>
        <w:rPr>
          <w:rFonts w:ascii="FrankRuehl" w:hAnsi="FrankRuehl" w:cs="FrankRuehl"/>
          <w:sz w:val="28"/>
          <w:szCs w:val="28"/>
          <w:rtl/>
        </w:rPr>
      </w:pPr>
    </w:p>
    <w:p w14:paraId="34D2E0E6"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ab/>
      </w:r>
      <w:hyperlink r:id="rId22" w:history="1">
        <w:r w:rsidR="00CF2D92" w:rsidRPr="00CF2D92">
          <w:rPr>
            <w:rFonts w:ascii="FrankRuehl" w:hAnsi="FrankRuehl" w:cs="FrankRuehl"/>
            <w:color w:val="0000FF"/>
            <w:sz w:val="28"/>
            <w:szCs w:val="28"/>
            <w:u w:val="single"/>
            <w:rtl/>
          </w:rPr>
          <w:t>רע"פ 894/16</w:t>
        </w:r>
      </w:hyperlink>
      <w:r w:rsidRPr="007E571F">
        <w:rPr>
          <w:rFonts w:ascii="FrankRuehl" w:hAnsi="FrankRuehl" w:cs="FrankRuehl"/>
          <w:sz w:val="28"/>
          <w:szCs w:val="28"/>
          <w:rtl/>
        </w:rPr>
        <w:t xml:space="preserve"> </w:t>
      </w:r>
      <w:r w:rsidRPr="007E571F">
        <w:rPr>
          <w:rFonts w:ascii="FrankRuehl" w:hAnsi="FrankRuehl" w:cs="Miriam"/>
          <w:b/>
          <w:sz w:val="28"/>
          <w:rtl/>
        </w:rPr>
        <w:t xml:space="preserve">פרץ נ' מדינת ישראל </w:t>
      </w:r>
      <w:r w:rsidRPr="007E571F">
        <w:rPr>
          <w:rFonts w:ascii="FrankRuehl" w:hAnsi="FrankRuehl" w:cs="FrankRuehl"/>
          <w:sz w:val="28"/>
          <w:szCs w:val="28"/>
          <w:rtl/>
        </w:rPr>
        <w:t>(10.2.16). נדחתה בקשת רשות ערעור של המבקש על פסק דינו של בית המשפט המחוזי, אשר דחה את ערעור המבקש על גזר הדין. המבקש, נעדר הרשעות קודמות, הורשע על פי הודאתו בהחזקת סם מסוג קוקאין במשקל 31 גרם שלא לצריכה עצמית. נקבע מתחם עונש בין 15 חודשי מאסר לבין 36 חודשי מאסר, והמבקש נדון למאסר למשך 15 חודשים.</w:t>
      </w:r>
    </w:p>
    <w:p w14:paraId="190A98E5" w14:textId="77777777" w:rsidR="00835896" w:rsidRPr="007E571F" w:rsidRDefault="00835896" w:rsidP="00835896">
      <w:pPr>
        <w:spacing w:line="360" w:lineRule="auto"/>
        <w:jc w:val="both"/>
        <w:rPr>
          <w:rFonts w:ascii="FrankRuehl" w:hAnsi="FrankRuehl" w:cs="FrankRuehl"/>
          <w:sz w:val="28"/>
          <w:szCs w:val="28"/>
          <w:rtl/>
        </w:rPr>
      </w:pPr>
    </w:p>
    <w:p w14:paraId="46984BA7"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ab/>
      </w:r>
      <w:hyperlink r:id="rId23" w:history="1">
        <w:r w:rsidR="00CF2D92" w:rsidRPr="00CF2D92">
          <w:rPr>
            <w:rFonts w:ascii="FrankRuehl" w:hAnsi="FrankRuehl" w:cs="FrankRuehl"/>
            <w:color w:val="0000FF"/>
            <w:sz w:val="28"/>
            <w:szCs w:val="28"/>
            <w:u w:val="single"/>
            <w:rtl/>
          </w:rPr>
          <w:t>רע"פ 2472/15</w:t>
        </w:r>
      </w:hyperlink>
      <w:r w:rsidRPr="007E571F">
        <w:rPr>
          <w:rFonts w:ascii="FrankRuehl" w:hAnsi="FrankRuehl" w:cs="FrankRuehl"/>
          <w:sz w:val="28"/>
          <w:szCs w:val="28"/>
          <w:rtl/>
        </w:rPr>
        <w:t xml:space="preserve"> </w:t>
      </w:r>
      <w:r w:rsidRPr="007E571F">
        <w:rPr>
          <w:rFonts w:ascii="FrankRuehl" w:hAnsi="FrankRuehl" w:cs="Miriam"/>
          <w:b/>
          <w:sz w:val="28"/>
          <w:rtl/>
        </w:rPr>
        <w:t xml:space="preserve">שורצמן נ' מדינת ישראל </w:t>
      </w:r>
      <w:r w:rsidRPr="007E571F">
        <w:rPr>
          <w:rFonts w:ascii="FrankRuehl" w:hAnsi="FrankRuehl" w:cs="FrankRuehl"/>
          <w:sz w:val="28"/>
          <w:szCs w:val="28"/>
          <w:rtl/>
        </w:rPr>
        <w:t xml:space="preserve">(21.5.15). נדחתה בקשת רשות ערעור של המבקש על פסק דינו של בית המשפט המחוזי. המבקש החזיק בתחתוניו 17.3 גרם הרואין ו- 1.4 גרם קוקאין מחולקים למנות. בית המשפט המחוזי העמיד את המתחם בין 12 חודשי מאסר לבין 24 חודשים (במקום 10 עד 20 שנקבע בבית משפט השלום) וגזר את עונשו של הנאשם ל- 20 חודשי מאסר בפועל. </w:t>
      </w:r>
    </w:p>
    <w:p w14:paraId="5B9B23ED" w14:textId="77777777" w:rsidR="00835896" w:rsidRPr="007E571F" w:rsidRDefault="00835896" w:rsidP="00835896">
      <w:pPr>
        <w:spacing w:line="360" w:lineRule="auto"/>
        <w:jc w:val="both"/>
        <w:rPr>
          <w:rFonts w:ascii="FrankRuehl" w:hAnsi="FrankRuehl" w:cs="FrankRuehl"/>
          <w:sz w:val="28"/>
          <w:szCs w:val="28"/>
          <w:rtl/>
        </w:rPr>
      </w:pPr>
    </w:p>
    <w:p w14:paraId="69BE2844" w14:textId="77777777" w:rsidR="00835896" w:rsidRPr="007E571F" w:rsidRDefault="00CF2D92" w:rsidP="00835896">
      <w:pPr>
        <w:spacing w:line="360" w:lineRule="auto"/>
        <w:ind w:firstLine="720"/>
        <w:jc w:val="both"/>
        <w:rPr>
          <w:rFonts w:ascii="FrankRuehl" w:hAnsi="FrankRuehl" w:cs="FrankRuehl"/>
          <w:sz w:val="28"/>
          <w:szCs w:val="28"/>
          <w:rtl/>
        </w:rPr>
      </w:pPr>
      <w:hyperlink r:id="rId24" w:history="1">
        <w:r w:rsidRPr="00CF2D92">
          <w:rPr>
            <w:rFonts w:ascii="FrankRuehl" w:hAnsi="FrankRuehl" w:cs="FrankRuehl"/>
            <w:color w:val="0000FF"/>
            <w:sz w:val="28"/>
            <w:szCs w:val="28"/>
            <w:u w:val="single"/>
            <w:rtl/>
          </w:rPr>
          <w:t>רע"פ 4862/10</w:t>
        </w:r>
      </w:hyperlink>
      <w:r w:rsidR="00835896" w:rsidRPr="007E571F">
        <w:rPr>
          <w:rFonts w:ascii="FrankRuehl" w:hAnsi="FrankRuehl" w:cs="FrankRuehl"/>
          <w:sz w:val="28"/>
          <w:szCs w:val="28"/>
          <w:rtl/>
        </w:rPr>
        <w:t xml:space="preserve"> </w:t>
      </w:r>
      <w:r w:rsidR="00835896" w:rsidRPr="007E571F">
        <w:rPr>
          <w:rFonts w:ascii="Miriam" w:hAnsi="Miriam" w:cs="Miriam"/>
          <w:b/>
          <w:rtl/>
        </w:rPr>
        <w:t xml:space="preserve">אנקרי נ' מדינת ישראל </w:t>
      </w:r>
      <w:r w:rsidR="00835896" w:rsidRPr="007E571F">
        <w:rPr>
          <w:rFonts w:ascii="FrankRuehl" w:hAnsi="FrankRuehl" w:cs="FrankRuehl"/>
          <w:sz w:val="28"/>
          <w:szCs w:val="28"/>
          <w:rtl/>
        </w:rPr>
        <w:t>(29.6.10). נדחתה בקשת רשות ערעור המבקש על פסק דינו של בית המשפט המחוזי, אשר קיבל בחלקו את ערעורו של המבקש וקיצר מעונשו. המבקש הורשע בהתאם להודייתו בהחזקת סם מסוג קוקאין במשקל 11.6 גרם שלא לשימוש עצמי ובתקיפת שוטר. בית המשפט המחוזי קיצר את עונשו והעמידו על 10 חודשי מאסר בפועל (במקום 20) והפעיל במצטבר עונש מאסר על תנאי בן 6 חודשים. בית המשפט העליון מצא לקבוע כי העונש שנגזר על המבקש איננו סוטה מנורמת הענישה המקובלת.</w:t>
      </w:r>
    </w:p>
    <w:p w14:paraId="3F1BAB7E" w14:textId="77777777" w:rsidR="00835896" w:rsidRPr="007E571F" w:rsidRDefault="00835896" w:rsidP="00835896">
      <w:pPr>
        <w:spacing w:line="360" w:lineRule="auto"/>
        <w:jc w:val="both"/>
        <w:rPr>
          <w:rFonts w:ascii="FrankRuehl" w:hAnsi="FrankRuehl" w:cs="FrankRuehl"/>
          <w:sz w:val="28"/>
          <w:szCs w:val="28"/>
          <w:rtl/>
        </w:rPr>
      </w:pPr>
    </w:p>
    <w:p w14:paraId="238EE51B"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7.</w:t>
      </w:r>
      <w:r w:rsidRPr="007E571F">
        <w:rPr>
          <w:rFonts w:ascii="FrankRuehl" w:hAnsi="FrankRuehl" w:cs="FrankRuehl"/>
          <w:sz w:val="28"/>
          <w:szCs w:val="28"/>
          <w:rtl/>
        </w:rPr>
        <w:tab/>
        <w:t>בבחינת נסיבות ביצוע העבירה נתתי דעתי לכך שהסמים נתפסו בביתו של הנאשם, היינו לא במצב בו הנאשם עמד כשהסמים בכליו על סף מכירתם לאחר, ומנגד לסוג הסם הקשה והמסוכן והכמות הגדולה שנתפסה, כמות שיש בה כדי להסב נזק מוחשי וקשה למספר רב של קורבנות. כן נתתי דעתי להחזקת השרשרת החשודה כגנובה.</w:t>
      </w:r>
    </w:p>
    <w:p w14:paraId="3BF7F89A" w14:textId="77777777" w:rsidR="00835896" w:rsidRPr="007E571F" w:rsidRDefault="00835896" w:rsidP="00835896">
      <w:pPr>
        <w:spacing w:line="360" w:lineRule="auto"/>
        <w:jc w:val="both"/>
        <w:rPr>
          <w:rFonts w:ascii="FrankRuehl" w:hAnsi="FrankRuehl" w:cs="FrankRuehl"/>
          <w:sz w:val="28"/>
          <w:szCs w:val="28"/>
          <w:rtl/>
        </w:rPr>
      </w:pPr>
    </w:p>
    <w:p w14:paraId="330903D6"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ab/>
      </w:r>
      <w:r w:rsidRPr="007E571F">
        <w:rPr>
          <w:rFonts w:ascii="FrankRuehl" w:hAnsi="FrankRuehl" w:cs="Miriam"/>
          <w:b/>
          <w:sz w:val="28"/>
          <w:rtl/>
        </w:rPr>
        <w:t>לאחר שנתתי דעתי לנסיבות ביצוע העבירה, לעקרון ההלימה, למצווה להילחם באופן תדיר ועיקש בנגע הסמים, ולמתחם הענישה הנוהג, מצאתי להעמיד את מתחם העונש ההולם בין 12 חודשי מאסר בפועל לבין 24 חודשי מאסר בפועל</w:t>
      </w:r>
      <w:r w:rsidRPr="007E571F">
        <w:rPr>
          <w:rFonts w:ascii="FrankRuehl" w:hAnsi="FrankRuehl" w:cs="FrankRuehl"/>
          <w:sz w:val="28"/>
          <w:szCs w:val="28"/>
          <w:rtl/>
        </w:rPr>
        <w:t>.</w:t>
      </w:r>
    </w:p>
    <w:p w14:paraId="7BE5050D" w14:textId="77777777" w:rsidR="00835896" w:rsidRPr="007E571F" w:rsidRDefault="00835896" w:rsidP="00835896">
      <w:pPr>
        <w:spacing w:line="360" w:lineRule="auto"/>
        <w:jc w:val="both"/>
        <w:rPr>
          <w:rFonts w:ascii="FrankRuehl" w:hAnsi="FrankRuehl" w:cs="FrankRuehl"/>
          <w:sz w:val="28"/>
          <w:szCs w:val="28"/>
          <w:rtl/>
        </w:rPr>
      </w:pPr>
    </w:p>
    <w:p w14:paraId="1BFFBB89" w14:textId="77777777" w:rsidR="00835896" w:rsidRPr="007E571F" w:rsidRDefault="00835896" w:rsidP="00835896">
      <w:pPr>
        <w:spacing w:line="360" w:lineRule="auto"/>
        <w:jc w:val="both"/>
        <w:rPr>
          <w:rFonts w:ascii="FrankRuehl" w:hAnsi="FrankRuehl" w:cs="Miriam"/>
          <w:b/>
          <w:sz w:val="28"/>
          <w:rtl/>
        </w:rPr>
      </w:pPr>
      <w:r w:rsidRPr="007E571F">
        <w:rPr>
          <w:rFonts w:ascii="FrankRuehl" w:hAnsi="FrankRuehl" w:cs="Miriam"/>
          <w:b/>
          <w:sz w:val="28"/>
          <w:rtl/>
        </w:rPr>
        <w:t>גזירת העונש המתאים לנאשם</w:t>
      </w:r>
    </w:p>
    <w:p w14:paraId="3CCA3B54" w14:textId="77777777" w:rsidR="00835896" w:rsidRPr="007E571F" w:rsidRDefault="00835896" w:rsidP="00835896">
      <w:pPr>
        <w:spacing w:line="360" w:lineRule="auto"/>
        <w:jc w:val="both"/>
        <w:rPr>
          <w:rFonts w:ascii="FrankRuehl" w:hAnsi="FrankRuehl" w:cs="Miriam"/>
          <w:b/>
          <w:sz w:val="28"/>
          <w:rtl/>
        </w:rPr>
      </w:pPr>
    </w:p>
    <w:p w14:paraId="3552E713"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8.</w:t>
      </w:r>
      <w:r w:rsidRPr="007E571F">
        <w:rPr>
          <w:rFonts w:ascii="FrankRuehl" w:hAnsi="FrankRuehl" w:cs="FrankRuehl"/>
          <w:sz w:val="28"/>
          <w:szCs w:val="28"/>
          <w:rtl/>
        </w:rPr>
        <w:tab/>
      </w:r>
      <w:r w:rsidRPr="007E571F">
        <w:rPr>
          <w:rFonts w:ascii="FrankRuehl" w:hAnsi="FrankRuehl" w:cs="Miriam"/>
          <w:b/>
          <w:sz w:val="28"/>
          <w:rtl/>
        </w:rPr>
        <w:t xml:space="preserve">לקולא: </w:t>
      </w:r>
      <w:r w:rsidRPr="007E571F">
        <w:rPr>
          <w:rFonts w:ascii="FrankRuehl" w:hAnsi="FrankRuehl" w:cs="FrankRuehl"/>
          <w:sz w:val="28"/>
          <w:szCs w:val="28"/>
          <w:rtl/>
        </w:rPr>
        <w:t xml:space="preserve">הנאשם ניהל אמנם את משפטו עד תום, ואולם נוכח העובדה שבסופו של משפט זוכה מחלק נכבד מהעבירות שיוחסו לו (התפרצות לדירה וגניבה), הרי שראוי לזקוף לזכותו את הודייתו בתום ההליך, ונטילת אחריות על הסמים והרכוש שנתפסו בביתו. כן ראיתי לזקוף לזכותו של הנאשם את האופן בו דיבר בפתיחות וגילוי לב על קורותיו, מהלך חייו הקשים, ניסיונותיו הכושלים עד כה להיגמל מסמים ומהעולם העברייני, והפחד שמונע ממנו לעבור תהליך אמיתי של שינוי. אני סבור שמודעות של הנאשם, כפי שהובעה בפניי, היא צעד ראשון והכרחי בדרך לשינוי. ודאי שמוקדם לדעת האם תצלח דרכו של הנאשם, אך התרשמתי מרצון כן, מאדם אינטליגנט ורהוט שלא חשש לומר את אשר </w:t>
      </w:r>
      <w:r>
        <w:rPr>
          <w:rFonts w:ascii="FrankRuehl" w:hAnsi="FrankRuehl" w:cs="FrankRuehl" w:hint="cs"/>
          <w:sz w:val="28"/>
          <w:szCs w:val="28"/>
          <w:rtl/>
        </w:rPr>
        <w:t xml:space="preserve">על </w:t>
      </w:r>
      <w:r w:rsidRPr="007E571F">
        <w:rPr>
          <w:rFonts w:ascii="FrankRuehl" w:hAnsi="FrankRuehl" w:cs="FrankRuehl"/>
          <w:sz w:val="28"/>
          <w:szCs w:val="28"/>
          <w:rtl/>
        </w:rPr>
        <w:t>לבו הגם שהדברים שסיפר עומדים בעיקר לחובתו. כן ראיתי לזקוף לזכות הנאשם את העובדה שהצליח להתנקות מסמים בין כותלי בית הסוהר ולשמור על עצמו נקי מסמים במהלך החודשים שחלפו מאז (כ- 5.5 חודשים).</w:t>
      </w:r>
    </w:p>
    <w:p w14:paraId="48778A69" w14:textId="77777777" w:rsidR="00835896" w:rsidRPr="007E571F" w:rsidRDefault="00835896" w:rsidP="00835896">
      <w:pPr>
        <w:spacing w:line="360" w:lineRule="auto"/>
        <w:jc w:val="both"/>
        <w:rPr>
          <w:rFonts w:ascii="FrankRuehl" w:hAnsi="FrankRuehl" w:cs="FrankRuehl"/>
          <w:sz w:val="28"/>
          <w:szCs w:val="28"/>
          <w:rtl/>
        </w:rPr>
      </w:pPr>
    </w:p>
    <w:p w14:paraId="2D05B510"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ab/>
      </w:r>
      <w:r w:rsidRPr="007E571F">
        <w:rPr>
          <w:rFonts w:ascii="FrankRuehl" w:hAnsi="FrankRuehl" w:cs="Miriam"/>
          <w:b/>
          <w:sz w:val="28"/>
          <w:rtl/>
        </w:rPr>
        <w:t>לחומרא:</w:t>
      </w:r>
      <w:r w:rsidRPr="007E571F">
        <w:rPr>
          <w:rFonts w:ascii="FrankRuehl" w:hAnsi="FrankRuehl" w:cs="FrankRuehl"/>
          <w:sz w:val="28"/>
          <w:szCs w:val="28"/>
          <w:rtl/>
        </w:rPr>
        <w:t xml:space="preserve"> הנאשם העיד על עצמו, ובצדק, כרצידיביסט, עבריין מזיק לחברה אשר נכנס ויוצא את בתי הסוהר משך כל שנות חייו כאדם בוגר. לחובתו 24 הרשעות בפלילים בגינן ריצה קרוב למחצית מחייו (23 שנים) בין כותלי בית הסוהר. חודשים ספורים לאחר שחרורו ממאסרו האחרון ביצע הנאשם את העבירות עליהן הוא נותן את הדין. ניכר כי מורא הדין לא חל עד כה על הנאשם, אשר ביצע את העבירות חרף 2 מאסרים מותנים בני הפעלה שריחפו מעל ראשו, כל אחד מהם בן 6 חודשים.</w:t>
      </w:r>
    </w:p>
    <w:p w14:paraId="4EFFF543" w14:textId="77777777" w:rsidR="00835896" w:rsidRPr="007E571F" w:rsidRDefault="00835896" w:rsidP="00835896">
      <w:pPr>
        <w:spacing w:line="360" w:lineRule="auto"/>
        <w:jc w:val="both"/>
        <w:rPr>
          <w:rFonts w:ascii="FrankRuehl" w:hAnsi="FrankRuehl" w:cs="FrankRuehl"/>
          <w:sz w:val="28"/>
          <w:szCs w:val="28"/>
          <w:rtl/>
        </w:rPr>
      </w:pPr>
    </w:p>
    <w:p w14:paraId="4C70EBFF"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eastAsia="Calibri" w:hAnsi="FrankRuehl" w:cs="FrankRuehl"/>
          <w:sz w:val="28"/>
          <w:szCs w:val="28"/>
          <w:rtl/>
        </w:rPr>
        <w:t>9.</w:t>
      </w:r>
      <w:r w:rsidRPr="007E571F">
        <w:rPr>
          <w:rFonts w:ascii="FrankRuehl" w:eastAsia="Calibri" w:hAnsi="FrankRuehl" w:cs="FrankRuehl"/>
          <w:sz w:val="28"/>
          <w:szCs w:val="28"/>
          <w:rtl/>
        </w:rPr>
        <w:tab/>
        <w:t>כאמור, בתי המשפט מחויבים בעמדה מחמירה ונוקשה כנגד עברייני הסמים, ראו עניין גריפולינה: "בתי המשפט נקראים תדיר להחמרת הענישה בעבירות סמים, במיוחד בעבירות של החזקת סמים קשים שלא לצריכה עצמית" (פסקה 5).</w:t>
      </w:r>
      <w:r w:rsidRPr="007E571F">
        <w:rPr>
          <w:rFonts w:ascii="FrankRuehl" w:hAnsi="FrankRuehl" w:cs="FrankRuehl"/>
          <w:sz w:val="28"/>
          <w:szCs w:val="28"/>
          <w:rtl/>
        </w:rPr>
        <w:t xml:space="preserve"> בצד זאת שומה לקחת בחשבון את נסיבותיו של העומד לדין, לחומרא ולקולא. עתירתה העונשית של המאשימה ראויה ותואמת את מכלול השיקולים, ואם ראיתי בכל זאת להקל במעט, הרי זה לאור דבריו הכנים של הנאשם והתרשמותי כי הוא נכון לעשות מאמץ על מנת לשנות את מסלול חייו. אני מאחל לנאשם ולחברה כי יצליח במטרתו. לאור תקופת המאסר שתוטל על הנאשם ולנוכח מצבו הכלכלי העגום, לא ראיתי להשית עליו קנס. </w:t>
      </w:r>
    </w:p>
    <w:p w14:paraId="231A7B9E" w14:textId="77777777" w:rsidR="00835896" w:rsidRPr="007E571F" w:rsidRDefault="00835896" w:rsidP="00835896">
      <w:pPr>
        <w:spacing w:line="360" w:lineRule="auto"/>
        <w:jc w:val="both"/>
        <w:rPr>
          <w:rFonts w:ascii="FrankRuehl" w:hAnsi="FrankRuehl" w:cs="Miriam"/>
          <w:b/>
          <w:sz w:val="28"/>
          <w:rtl/>
        </w:rPr>
      </w:pPr>
    </w:p>
    <w:p w14:paraId="4A05180B" w14:textId="77777777" w:rsidR="00835896" w:rsidRPr="007E571F" w:rsidRDefault="00835896" w:rsidP="00835896">
      <w:pPr>
        <w:spacing w:line="360" w:lineRule="auto"/>
        <w:jc w:val="both"/>
        <w:rPr>
          <w:rFonts w:ascii="Miriam" w:hAnsi="Miriam" w:cs="Miriam"/>
          <w:b/>
          <w:rtl/>
        </w:rPr>
      </w:pPr>
      <w:r w:rsidRPr="007E571F">
        <w:rPr>
          <w:rFonts w:ascii="Miriam" w:hAnsi="Miriam" w:cs="Miriam"/>
          <w:b/>
          <w:rtl/>
        </w:rPr>
        <w:t>תוצאה</w:t>
      </w:r>
    </w:p>
    <w:p w14:paraId="407827F3" w14:textId="77777777" w:rsidR="00835896" w:rsidRPr="007E571F" w:rsidRDefault="00835896" w:rsidP="00835896">
      <w:pPr>
        <w:spacing w:line="360" w:lineRule="auto"/>
        <w:jc w:val="both"/>
        <w:rPr>
          <w:rFonts w:ascii="FrankRuehl" w:hAnsi="FrankRuehl" w:cs="FrankRuehl"/>
          <w:sz w:val="28"/>
          <w:szCs w:val="28"/>
          <w:rtl/>
        </w:rPr>
      </w:pPr>
    </w:p>
    <w:p w14:paraId="5CA179D4" w14:textId="77777777" w:rsidR="00835896" w:rsidRPr="007E571F" w:rsidRDefault="00835896" w:rsidP="00835896">
      <w:pPr>
        <w:spacing w:line="360" w:lineRule="auto"/>
        <w:jc w:val="both"/>
        <w:rPr>
          <w:rFonts w:ascii="FrankRuehl" w:hAnsi="FrankRuehl" w:cs="FrankRuehl"/>
          <w:sz w:val="28"/>
          <w:szCs w:val="28"/>
          <w:rtl/>
        </w:rPr>
      </w:pPr>
      <w:r w:rsidRPr="007E571F">
        <w:rPr>
          <w:rFonts w:ascii="FrankRuehl" w:hAnsi="FrankRuehl" w:cs="FrankRuehl"/>
          <w:sz w:val="28"/>
          <w:szCs w:val="28"/>
          <w:rtl/>
        </w:rPr>
        <w:t>10.</w:t>
      </w:r>
      <w:r w:rsidRPr="007E571F">
        <w:rPr>
          <w:rFonts w:ascii="FrankRuehl" w:hAnsi="FrankRuehl" w:cs="FrankRuehl"/>
          <w:sz w:val="28"/>
          <w:szCs w:val="28"/>
          <w:rtl/>
        </w:rPr>
        <w:tab/>
        <w:t>נוכח המפורט לעיל החלטתי לגזור על הנאשם את העונשים הבאים:</w:t>
      </w:r>
    </w:p>
    <w:p w14:paraId="39CBB114" w14:textId="77777777" w:rsidR="00835896" w:rsidRPr="007E571F" w:rsidRDefault="00835896" w:rsidP="00835896">
      <w:pPr>
        <w:spacing w:line="360" w:lineRule="auto"/>
        <w:ind w:firstLine="720"/>
        <w:jc w:val="both"/>
        <w:rPr>
          <w:rFonts w:ascii="FrankRuehl" w:hAnsi="FrankRuehl" w:cs="FrankRuehl"/>
          <w:sz w:val="28"/>
          <w:szCs w:val="28"/>
          <w:rtl/>
        </w:rPr>
      </w:pPr>
    </w:p>
    <w:p w14:paraId="565517CB" w14:textId="77777777" w:rsidR="00835896" w:rsidRPr="007E571F" w:rsidRDefault="00835896" w:rsidP="00835896">
      <w:pPr>
        <w:spacing w:line="360" w:lineRule="auto"/>
        <w:ind w:firstLine="720"/>
        <w:jc w:val="both"/>
        <w:rPr>
          <w:rFonts w:ascii="FrankRuehl" w:eastAsia="Calibri" w:hAnsi="FrankRuehl" w:cs="FrankRuehl"/>
          <w:sz w:val="28"/>
          <w:szCs w:val="28"/>
          <w:rtl/>
        </w:rPr>
      </w:pPr>
      <w:r w:rsidRPr="007E571F">
        <w:rPr>
          <w:rFonts w:ascii="FrankRuehl" w:eastAsia="Calibri" w:hAnsi="FrankRuehl" w:cs="FrankRuehl"/>
          <w:sz w:val="28"/>
          <w:szCs w:val="28"/>
          <w:rtl/>
        </w:rPr>
        <w:t>א.</w:t>
      </w:r>
      <w:r w:rsidRPr="007E571F">
        <w:rPr>
          <w:rFonts w:ascii="FrankRuehl" w:eastAsia="Calibri" w:hAnsi="FrankRuehl" w:cs="FrankRuehl"/>
          <w:sz w:val="28"/>
          <w:szCs w:val="28"/>
          <w:rtl/>
        </w:rPr>
        <w:tab/>
        <w:t>16 חודשי מאסר בפועל.</w:t>
      </w:r>
    </w:p>
    <w:p w14:paraId="197EA42F" w14:textId="77777777" w:rsidR="00835896" w:rsidRPr="007E571F" w:rsidRDefault="00835896" w:rsidP="00835896">
      <w:pPr>
        <w:spacing w:line="360" w:lineRule="auto"/>
        <w:ind w:left="1665"/>
        <w:contextualSpacing/>
        <w:jc w:val="both"/>
        <w:rPr>
          <w:rFonts w:ascii="FrankRuehl" w:eastAsia="Calibri" w:hAnsi="FrankRuehl" w:cs="FrankRuehl"/>
          <w:sz w:val="28"/>
          <w:szCs w:val="28"/>
          <w:rtl/>
        </w:rPr>
      </w:pPr>
    </w:p>
    <w:p w14:paraId="2A6D65F5"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r w:rsidRPr="007E571F">
        <w:rPr>
          <w:rFonts w:ascii="FrankRuehl" w:eastAsia="Calibri" w:hAnsi="FrankRuehl" w:cs="FrankRuehl"/>
          <w:sz w:val="28"/>
          <w:szCs w:val="28"/>
          <w:rtl/>
        </w:rPr>
        <w:t>ב.</w:t>
      </w:r>
      <w:r w:rsidRPr="007E571F">
        <w:rPr>
          <w:rFonts w:ascii="FrankRuehl" w:eastAsia="Calibri" w:hAnsi="FrankRuehl" w:cs="FrankRuehl"/>
          <w:sz w:val="28"/>
          <w:szCs w:val="28"/>
          <w:rtl/>
        </w:rPr>
        <w:tab/>
        <w:t>אני מורה על הפעלת 6 חודשים מאסר מותנה (</w:t>
      </w:r>
      <w:hyperlink r:id="rId25" w:history="1">
        <w:r w:rsidR="00CF2D92" w:rsidRPr="00CF2D92">
          <w:rPr>
            <w:rFonts w:ascii="FrankRuehl" w:eastAsia="Calibri" w:hAnsi="FrankRuehl" w:cs="FrankRuehl"/>
            <w:color w:val="0000FF"/>
            <w:sz w:val="28"/>
            <w:szCs w:val="28"/>
            <w:u w:val="single"/>
            <w:rtl/>
          </w:rPr>
          <w:t>ת"פ 58627-01-16</w:t>
        </w:r>
      </w:hyperlink>
      <w:r w:rsidRPr="007E571F">
        <w:rPr>
          <w:rFonts w:ascii="FrankRuehl" w:eastAsia="Calibri" w:hAnsi="FrankRuehl" w:cs="FrankRuehl"/>
          <w:sz w:val="28"/>
          <w:szCs w:val="28"/>
          <w:rtl/>
        </w:rPr>
        <w:t>, גזר דין מיום 4.7.16), ועל הפעלת 6 חודשים מאסר מותנה (</w:t>
      </w:r>
      <w:hyperlink r:id="rId26" w:history="1">
        <w:r w:rsidR="00CF2D92" w:rsidRPr="00CF2D92">
          <w:rPr>
            <w:rFonts w:ascii="FrankRuehl" w:eastAsia="Calibri" w:hAnsi="FrankRuehl" w:cs="FrankRuehl"/>
            <w:color w:val="0000FF"/>
            <w:sz w:val="28"/>
            <w:szCs w:val="28"/>
            <w:u w:val="single"/>
            <w:rtl/>
          </w:rPr>
          <w:t>ת"פ 61587-06-17</w:t>
        </w:r>
      </w:hyperlink>
      <w:r w:rsidRPr="007E571F">
        <w:rPr>
          <w:rFonts w:ascii="FrankRuehl" w:eastAsia="Calibri" w:hAnsi="FrankRuehl" w:cs="FrankRuehl"/>
          <w:sz w:val="28"/>
          <w:szCs w:val="28"/>
          <w:rtl/>
        </w:rPr>
        <w:t>, גזר דין מיום 2.1.18). המאסרים המותנים יופעלו במצטבר זה לזה ובמצטבר לעונש המאסר שנגזר על הנאשם.</w:t>
      </w:r>
    </w:p>
    <w:p w14:paraId="41ED3B66"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p>
    <w:p w14:paraId="450C9843" w14:textId="77777777" w:rsidR="00835896" w:rsidRPr="007E571F" w:rsidRDefault="00835896" w:rsidP="00835896">
      <w:pPr>
        <w:spacing w:line="360" w:lineRule="auto"/>
        <w:ind w:left="1440"/>
        <w:jc w:val="both"/>
        <w:rPr>
          <w:rFonts w:ascii="FrankRuehl" w:eastAsia="Calibri" w:hAnsi="FrankRuehl" w:cs="FrankRuehl"/>
          <w:sz w:val="28"/>
          <w:szCs w:val="28"/>
          <w:rtl/>
        </w:rPr>
      </w:pPr>
      <w:r w:rsidRPr="007E571F">
        <w:rPr>
          <w:rFonts w:ascii="FrankRuehl" w:eastAsia="Calibri" w:hAnsi="FrankRuehl" w:cs="Miriam"/>
          <w:b/>
          <w:sz w:val="28"/>
          <w:rtl/>
        </w:rPr>
        <w:t>סך הכל ירצה הנאשם עונש מאסר בפועל בן 28 חודשים אשר ימנה מיום מעצרו 19.2.19.</w:t>
      </w:r>
    </w:p>
    <w:p w14:paraId="0F3A24E0" w14:textId="77777777" w:rsidR="00835896" w:rsidRPr="007E571F" w:rsidRDefault="00835896" w:rsidP="00835896">
      <w:pPr>
        <w:spacing w:line="360" w:lineRule="auto"/>
        <w:ind w:hanging="720"/>
        <w:jc w:val="both"/>
        <w:rPr>
          <w:rFonts w:ascii="FrankRuehl" w:eastAsia="Calibri" w:hAnsi="FrankRuehl" w:cs="FrankRuehl"/>
          <w:sz w:val="28"/>
          <w:szCs w:val="28"/>
          <w:rtl/>
        </w:rPr>
      </w:pPr>
    </w:p>
    <w:p w14:paraId="44A55362"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r w:rsidRPr="007E571F">
        <w:rPr>
          <w:rFonts w:ascii="FrankRuehl" w:eastAsia="Calibri" w:hAnsi="FrankRuehl" w:cs="FrankRuehl"/>
          <w:sz w:val="28"/>
          <w:szCs w:val="28"/>
          <w:rtl/>
        </w:rPr>
        <w:t>ג.</w:t>
      </w:r>
      <w:r w:rsidRPr="007E571F">
        <w:rPr>
          <w:rFonts w:ascii="FrankRuehl" w:eastAsia="Calibri" w:hAnsi="FrankRuehl" w:cs="FrankRuehl"/>
          <w:sz w:val="28"/>
          <w:szCs w:val="28"/>
          <w:rtl/>
        </w:rPr>
        <w:tab/>
        <w:t xml:space="preserve">6 חודשי מאסר אותם לא ירצה הנאשם אלא אם יעבור בתוך שלוש שנים עבירה על </w:t>
      </w:r>
      <w:hyperlink r:id="rId27" w:history="1">
        <w:r w:rsidR="00D902B4" w:rsidRPr="00D902B4">
          <w:rPr>
            <w:rFonts w:ascii="FrankRuehl" w:eastAsia="Calibri" w:hAnsi="FrankRuehl" w:cs="FrankRuehl"/>
            <w:color w:val="0000FF"/>
            <w:sz w:val="28"/>
            <w:szCs w:val="28"/>
            <w:u w:val="single"/>
            <w:rtl/>
          </w:rPr>
          <w:t>פקודת הסמים</w:t>
        </w:r>
      </w:hyperlink>
      <w:r w:rsidRPr="007E571F">
        <w:rPr>
          <w:rFonts w:ascii="FrankRuehl" w:eastAsia="Calibri" w:hAnsi="FrankRuehl" w:cs="FrankRuehl"/>
          <w:sz w:val="28"/>
          <w:szCs w:val="28"/>
          <w:rtl/>
        </w:rPr>
        <w:t xml:space="preserve"> מסוג פשע או עבירת רכוש מסוג פשע.</w:t>
      </w:r>
    </w:p>
    <w:p w14:paraId="157C9E50"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p>
    <w:p w14:paraId="68D21004"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r w:rsidRPr="007E571F">
        <w:rPr>
          <w:rFonts w:ascii="FrankRuehl" w:eastAsia="Calibri" w:hAnsi="FrankRuehl" w:cs="FrankRuehl"/>
          <w:sz w:val="28"/>
          <w:szCs w:val="28"/>
          <w:rtl/>
        </w:rPr>
        <w:t>ד.</w:t>
      </w:r>
      <w:r w:rsidRPr="007E571F">
        <w:rPr>
          <w:rFonts w:ascii="FrankRuehl" w:eastAsia="Calibri" w:hAnsi="FrankRuehl" w:cs="FrankRuehl"/>
          <w:sz w:val="28"/>
          <w:szCs w:val="28"/>
          <w:rtl/>
        </w:rPr>
        <w:tab/>
        <w:t>3 חודשי מאסר אותם לא ירצה הנאשם אלא אם יעבור בתוך שלוש שנים עבירה על פקודת הסמים מסוג עוון או עבירת רכוש מסוג עוון.</w:t>
      </w:r>
    </w:p>
    <w:p w14:paraId="5DBD690E" w14:textId="77777777" w:rsidR="00835896" w:rsidRPr="007E571F" w:rsidRDefault="00835896" w:rsidP="00835896">
      <w:pPr>
        <w:spacing w:line="360" w:lineRule="auto"/>
        <w:ind w:hanging="720"/>
        <w:jc w:val="both"/>
        <w:rPr>
          <w:rFonts w:ascii="FrankRuehl" w:eastAsia="Calibri" w:hAnsi="FrankRuehl" w:cs="FrankRuehl"/>
          <w:sz w:val="28"/>
          <w:szCs w:val="28"/>
          <w:rtl/>
        </w:rPr>
      </w:pPr>
    </w:p>
    <w:p w14:paraId="467424BD"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r w:rsidRPr="007E571F">
        <w:rPr>
          <w:rFonts w:ascii="FrankRuehl" w:eastAsia="Calibri" w:hAnsi="FrankRuehl" w:cs="FrankRuehl"/>
          <w:sz w:val="28"/>
          <w:szCs w:val="28"/>
          <w:rtl/>
        </w:rPr>
        <w:t>ה.</w:t>
      </w:r>
      <w:r w:rsidRPr="007E571F">
        <w:rPr>
          <w:rFonts w:ascii="FrankRuehl" w:eastAsia="Calibri" w:hAnsi="FrankRuehl" w:cs="FrankRuehl"/>
          <w:sz w:val="28"/>
          <w:szCs w:val="28"/>
          <w:rtl/>
        </w:rPr>
        <w:tab/>
        <w:t>הנאשם יחתום על התחייבות בסך 3,000 ₪ להימנע בתוך שלוש שנים מביצוע עבירת סמים או רכוש. ההתחייבות תחתם עוד היום, שאם לא כן, ירצה תקופת מאסר בת 5 ימים.</w:t>
      </w:r>
    </w:p>
    <w:p w14:paraId="70B23AA7" w14:textId="77777777" w:rsidR="00835896" w:rsidRPr="007E571F" w:rsidRDefault="00835896" w:rsidP="00835896">
      <w:pPr>
        <w:spacing w:line="360" w:lineRule="auto"/>
        <w:ind w:hanging="720"/>
        <w:jc w:val="both"/>
        <w:rPr>
          <w:rFonts w:ascii="FrankRuehl" w:eastAsia="Calibri" w:hAnsi="FrankRuehl" w:cs="FrankRuehl"/>
          <w:sz w:val="28"/>
          <w:szCs w:val="28"/>
          <w:rtl/>
        </w:rPr>
      </w:pPr>
    </w:p>
    <w:p w14:paraId="00810A43"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r w:rsidRPr="007E571F">
        <w:rPr>
          <w:rFonts w:ascii="FrankRuehl" w:eastAsia="Calibri" w:hAnsi="FrankRuehl" w:cs="FrankRuehl"/>
          <w:sz w:val="28"/>
          <w:szCs w:val="28"/>
          <w:rtl/>
        </w:rPr>
        <w:t xml:space="preserve">ו. </w:t>
      </w:r>
      <w:r w:rsidRPr="007E571F">
        <w:rPr>
          <w:rFonts w:ascii="FrankRuehl" w:eastAsia="Calibri" w:hAnsi="FrankRuehl" w:cs="FrankRuehl"/>
          <w:sz w:val="28"/>
          <w:szCs w:val="28"/>
          <w:rtl/>
        </w:rPr>
        <w:tab/>
        <w:t>אני פוסל את הנאשם מלקבל ומלהחזיק רישיון נהיגה לתקופה של 6 חודשים. הנאשם יפקיד את רישיון הנהיגה שלו במזכירות בית המשפט.</w:t>
      </w:r>
    </w:p>
    <w:p w14:paraId="71736DE6"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p>
    <w:p w14:paraId="744C0E48" w14:textId="77777777" w:rsidR="00835896" w:rsidRPr="007E571F" w:rsidRDefault="00835896" w:rsidP="00835896">
      <w:pPr>
        <w:spacing w:line="360" w:lineRule="auto"/>
        <w:ind w:left="1440" w:hanging="720"/>
        <w:jc w:val="both"/>
        <w:rPr>
          <w:rFonts w:ascii="FrankRuehl" w:eastAsia="Calibri" w:hAnsi="FrankRuehl" w:cs="FrankRuehl"/>
          <w:sz w:val="28"/>
          <w:szCs w:val="28"/>
          <w:rtl/>
        </w:rPr>
      </w:pPr>
      <w:r w:rsidRPr="007E571F">
        <w:rPr>
          <w:rFonts w:ascii="FrankRuehl" w:eastAsia="Calibri" w:hAnsi="FrankRuehl" w:cs="FrankRuehl"/>
          <w:sz w:val="28"/>
          <w:szCs w:val="28"/>
          <w:rtl/>
        </w:rPr>
        <w:t>ז.</w:t>
      </w:r>
      <w:r w:rsidRPr="007E571F">
        <w:rPr>
          <w:rFonts w:ascii="FrankRuehl" w:eastAsia="Calibri" w:hAnsi="FrankRuehl" w:cs="FrankRuehl"/>
          <w:sz w:val="28"/>
          <w:szCs w:val="28"/>
          <w:rtl/>
        </w:rPr>
        <w:tab/>
        <w:t>הנאשם יפסל מלקבל ומלהחזיק רישיון נהיגה לתקופה של 6 חודשים, ואולם הנאשם לא ישא בעונש זה אלא אם יעבור בתוך 3 שנים עבירה על פקודת הסמים.</w:t>
      </w:r>
    </w:p>
    <w:p w14:paraId="24CCE3F5" w14:textId="77777777" w:rsidR="00835896" w:rsidRPr="007E571F" w:rsidRDefault="00835896" w:rsidP="00835896">
      <w:pPr>
        <w:spacing w:line="360" w:lineRule="auto"/>
        <w:jc w:val="both"/>
        <w:rPr>
          <w:rFonts w:ascii="FrankRuehl" w:eastAsia="Calibri" w:hAnsi="FrankRuehl" w:cs="FrankRuehl"/>
          <w:sz w:val="28"/>
          <w:szCs w:val="28"/>
          <w:rtl/>
        </w:rPr>
      </w:pPr>
    </w:p>
    <w:p w14:paraId="6351F4F6" w14:textId="77777777" w:rsidR="00835896" w:rsidRPr="007E571F" w:rsidRDefault="00835896" w:rsidP="00835896">
      <w:pPr>
        <w:spacing w:line="360" w:lineRule="auto"/>
        <w:jc w:val="both"/>
        <w:rPr>
          <w:rFonts w:ascii="FrankRuehl" w:eastAsia="Calibri" w:hAnsi="FrankRuehl" w:cs="Miriam"/>
          <w:b/>
          <w:sz w:val="28"/>
          <w:rtl/>
        </w:rPr>
      </w:pPr>
      <w:r w:rsidRPr="007E571F">
        <w:rPr>
          <w:rFonts w:ascii="FrankRuehl" w:eastAsia="Calibri" w:hAnsi="FrankRuehl" w:cs="Miriam"/>
          <w:b/>
          <w:sz w:val="28"/>
          <w:rtl/>
        </w:rPr>
        <w:t>זכות ערעור לבית המשפט המחוזי תוך 45 ימים מהיום.</w:t>
      </w:r>
    </w:p>
    <w:p w14:paraId="5A2F5BBB" w14:textId="77777777" w:rsidR="00835896" w:rsidRPr="00CF2D92" w:rsidRDefault="00CF2D92" w:rsidP="00835896">
      <w:pPr>
        <w:rPr>
          <w:color w:val="FFFFFF"/>
          <w:sz w:val="2"/>
          <w:szCs w:val="2"/>
          <w:rtl/>
        </w:rPr>
      </w:pPr>
      <w:r w:rsidRPr="00CF2D92">
        <w:rPr>
          <w:color w:val="FFFFFF"/>
          <w:sz w:val="2"/>
          <w:szCs w:val="2"/>
          <w:rtl/>
        </w:rPr>
        <w:t>5129371</w:t>
      </w:r>
    </w:p>
    <w:p w14:paraId="65DEF105" w14:textId="77777777" w:rsidR="00835896" w:rsidRDefault="00CF2D92" w:rsidP="00835896">
      <w:pPr>
        <w:rPr>
          <w:rFonts w:cs="FrankRuehl"/>
          <w:sz w:val="28"/>
          <w:szCs w:val="28"/>
          <w:rtl/>
        </w:rPr>
      </w:pPr>
      <w:bookmarkStart w:id="7" w:name="Nitan"/>
      <w:r w:rsidRPr="00CF2D92">
        <w:rPr>
          <w:rFonts w:ascii="Arial" w:hAnsi="Arial"/>
          <w:color w:val="FFFFFF"/>
          <w:sz w:val="2"/>
          <w:szCs w:val="2"/>
          <w:rtl/>
        </w:rPr>
        <w:t>54678313</w:t>
      </w:r>
      <w:r>
        <w:rPr>
          <w:rFonts w:ascii="Arial" w:hAnsi="Arial"/>
          <w:rtl/>
        </w:rPr>
        <w:t xml:space="preserve">ניתן היום,  ד' אב תשע"ט, 05 אוגוסט 2019, במעמד הצדדים. </w:t>
      </w:r>
      <w:bookmarkEnd w:id="7"/>
    </w:p>
    <w:p w14:paraId="34D12FB9" w14:textId="77777777" w:rsidR="00835896" w:rsidRDefault="00835896" w:rsidP="00CF2D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209D0E" w14:textId="77777777" w:rsidR="00835896" w:rsidRDefault="00835896" w:rsidP="00835896">
      <w:pPr>
        <w:jc w:val="center"/>
        <w:rPr>
          <w:rFonts w:ascii="Arial" w:hAnsi="Arial" w:cs="FrankRuehl"/>
          <w:sz w:val="28"/>
          <w:szCs w:val="28"/>
          <w:rtl/>
        </w:rPr>
      </w:pPr>
    </w:p>
    <w:p w14:paraId="7635FB8C" w14:textId="77777777" w:rsidR="00835896" w:rsidRDefault="00835896" w:rsidP="00835896">
      <w:pPr>
        <w:rPr>
          <w:rFonts w:cs="FrankRuehl"/>
          <w:sz w:val="28"/>
          <w:szCs w:val="28"/>
          <w:rtl/>
        </w:rPr>
      </w:pPr>
    </w:p>
    <w:p w14:paraId="1000256B" w14:textId="77777777" w:rsidR="00835896" w:rsidRPr="00D902B4" w:rsidRDefault="00D902B4" w:rsidP="00835896">
      <w:pPr>
        <w:pStyle w:val="a3"/>
        <w:jc w:val="center"/>
        <w:rPr>
          <w:color w:val="FFFFFF"/>
          <w:sz w:val="2"/>
          <w:szCs w:val="2"/>
          <w:rtl/>
        </w:rPr>
      </w:pPr>
      <w:r w:rsidRPr="00D902B4">
        <w:rPr>
          <w:color w:val="FFFFFF"/>
          <w:sz w:val="2"/>
          <w:szCs w:val="2"/>
          <w:rtl/>
        </w:rPr>
        <w:t>5129371</w:t>
      </w:r>
    </w:p>
    <w:p w14:paraId="70A84193" w14:textId="77777777" w:rsidR="0015590A" w:rsidRPr="00D902B4" w:rsidRDefault="00D902B4" w:rsidP="00CF2D92">
      <w:pPr>
        <w:keepNext/>
        <w:rPr>
          <w:rFonts w:ascii="David" w:hAnsi="David"/>
          <w:color w:val="FFFFFF"/>
          <w:sz w:val="2"/>
          <w:szCs w:val="2"/>
          <w:rtl/>
        </w:rPr>
      </w:pPr>
      <w:r w:rsidRPr="00D902B4">
        <w:rPr>
          <w:rFonts w:ascii="David" w:hAnsi="David"/>
          <w:color w:val="FFFFFF"/>
          <w:sz w:val="2"/>
          <w:szCs w:val="2"/>
          <w:rtl/>
        </w:rPr>
        <w:t>54678313</w:t>
      </w:r>
    </w:p>
    <w:p w14:paraId="01E89E17" w14:textId="77777777" w:rsidR="00CF2D92" w:rsidRPr="00CF2D92" w:rsidRDefault="00CF2D92" w:rsidP="00CF2D92">
      <w:pPr>
        <w:keepNext/>
        <w:rPr>
          <w:rFonts w:ascii="David" w:hAnsi="David"/>
          <w:color w:val="000000"/>
          <w:sz w:val="22"/>
          <w:szCs w:val="22"/>
          <w:rtl/>
        </w:rPr>
      </w:pPr>
      <w:r w:rsidRPr="00CF2D92">
        <w:rPr>
          <w:rFonts w:ascii="David" w:hAnsi="David"/>
          <w:color w:val="000000"/>
          <w:sz w:val="22"/>
          <w:szCs w:val="22"/>
          <w:rtl/>
        </w:rPr>
        <w:t>גיא אבנון 54678313</w:t>
      </w:r>
    </w:p>
    <w:p w14:paraId="54058B3B" w14:textId="77777777" w:rsidR="00CF2D92" w:rsidRDefault="00CF2D92" w:rsidP="00CF2D92">
      <w:r w:rsidRPr="00CF2D92">
        <w:rPr>
          <w:color w:val="000000"/>
          <w:rtl/>
        </w:rPr>
        <w:t>נוסח מסמך זה כפוף לשינויי ניסוח ועריכה</w:t>
      </w:r>
    </w:p>
    <w:p w14:paraId="73BB3D16" w14:textId="77777777" w:rsidR="00CF2D92" w:rsidRDefault="00CF2D92" w:rsidP="00CF2D92">
      <w:pPr>
        <w:rPr>
          <w:rtl/>
        </w:rPr>
      </w:pPr>
    </w:p>
    <w:p w14:paraId="71235FFD" w14:textId="77777777" w:rsidR="00CF2D92" w:rsidRDefault="00CF2D92" w:rsidP="00CF2D9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526556F" w14:textId="77777777" w:rsidR="00CF2D92" w:rsidRPr="00CF2D92" w:rsidRDefault="00CF2D92" w:rsidP="00D902B4">
      <w:pPr>
        <w:rPr>
          <w:color w:val="0000FF"/>
          <w:u w:val="single"/>
        </w:rPr>
      </w:pPr>
    </w:p>
    <w:sectPr w:rsidR="00CF2D92" w:rsidRPr="00CF2D92" w:rsidSect="00D902B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6298C" w14:textId="77777777" w:rsidR="00700BC6" w:rsidRDefault="00700BC6" w:rsidP="00ED3D9A">
      <w:r>
        <w:separator/>
      </w:r>
    </w:p>
  </w:endnote>
  <w:endnote w:type="continuationSeparator" w:id="0">
    <w:p w14:paraId="2CD3A0A1" w14:textId="77777777" w:rsidR="00700BC6" w:rsidRDefault="00700BC6" w:rsidP="00ED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59083" w14:textId="77777777" w:rsidR="00D902B4" w:rsidRDefault="00D902B4" w:rsidP="00D902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F5D446" w14:textId="77777777" w:rsidR="00D206AD" w:rsidRPr="00D902B4" w:rsidRDefault="00D902B4" w:rsidP="00D902B4">
    <w:pPr>
      <w:pStyle w:val="a5"/>
      <w:pBdr>
        <w:top w:val="single" w:sz="4" w:space="1" w:color="auto"/>
        <w:between w:val="single" w:sz="4" w:space="0" w:color="auto"/>
      </w:pBdr>
      <w:spacing w:after="60"/>
      <w:jc w:val="center"/>
      <w:rPr>
        <w:rFonts w:ascii="FrankRuehl" w:hAnsi="FrankRuehl" w:cs="FrankRuehl"/>
        <w:color w:val="000000"/>
      </w:rPr>
    </w:pPr>
    <w:r w:rsidRPr="00D902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4B58" w14:textId="77777777" w:rsidR="00D902B4" w:rsidRDefault="00D902B4" w:rsidP="00D902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5526">
      <w:rPr>
        <w:rFonts w:ascii="FrankRuehl" w:hAnsi="FrankRuehl" w:cs="FrankRuehl"/>
        <w:noProof/>
        <w:rtl/>
      </w:rPr>
      <w:t>1</w:t>
    </w:r>
    <w:r>
      <w:rPr>
        <w:rFonts w:ascii="FrankRuehl" w:hAnsi="FrankRuehl" w:cs="FrankRuehl"/>
        <w:rtl/>
      </w:rPr>
      <w:fldChar w:fldCharType="end"/>
    </w:r>
  </w:p>
  <w:p w14:paraId="41BF1CAD" w14:textId="77777777" w:rsidR="00D206AD" w:rsidRPr="00D902B4" w:rsidRDefault="00D902B4" w:rsidP="00D902B4">
    <w:pPr>
      <w:pStyle w:val="a5"/>
      <w:pBdr>
        <w:top w:val="single" w:sz="4" w:space="1" w:color="auto"/>
        <w:between w:val="single" w:sz="4" w:space="0" w:color="auto"/>
      </w:pBdr>
      <w:spacing w:after="60"/>
      <w:jc w:val="center"/>
      <w:rPr>
        <w:rFonts w:ascii="FrankRuehl" w:hAnsi="FrankRuehl" w:cs="FrankRuehl"/>
        <w:color w:val="000000"/>
      </w:rPr>
    </w:pPr>
    <w:r w:rsidRPr="00D902B4">
      <w:rPr>
        <w:rFonts w:ascii="FrankRuehl" w:hAnsi="FrankRuehl" w:cs="FrankRuehl"/>
        <w:color w:val="000000"/>
      </w:rPr>
      <w:pict w14:anchorId="33465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9CC25" w14:textId="77777777" w:rsidR="00700BC6" w:rsidRDefault="00700BC6" w:rsidP="00ED3D9A">
      <w:r>
        <w:separator/>
      </w:r>
    </w:p>
  </w:footnote>
  <w:footnote w:type="continuationSeparator" w:id="0">
    <w:p w14:paraId="67C2EFDD" w14:textId="77777777" w:rsidR="00700BC6" w:rsidRDefault="00700BC6" w:rsidP="00ED3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9DF5C" w14:textId="77777777" w:rsidR="00CF2D92" w:rsidRPr="00D902B4" w:rsidRDefault="00D902B4" w:rsidP="00D902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71968-02-19</w:t>
    </w:r>
    <w:r>
      <w:rPr>
        <w:rFonts w:ascii="David" w:hAnsi="David"/>
        <w:color w:val="000000"/>
        <w:sz w:val="22"/>
        <w:szCs w:val="22"/>
        <w:rtl/>
      </w:rPr>
      <w:tab/>
      <w:t xml:space="preserve"> מדינת ישראל נ' ברוך סעדה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CD721" w14:textId="77777777" w:rsidR="00CF2D92" w:rsidRPr="00D902B4" w:rsidRDefault="00D902B4" w:rsidP="00D902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71968-02-19</w:t>
    </w:r>
    <w:r>
      <w:rPr>
        <w:rFonts w:ascii="David" w:hAnsi="David"/>
        <w:color w:val="000000"/>
        <w:sz w:val="22"/>
        <w:szCs w:val="22"/>
        <w:rtl/>
      </w:rPr>
      <w:tab/>
      <w:t xml:space="preserve"> מדינת ישראל נ' ברוך סעדה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5896"/>
    <w:rsid w:val="0015590A"/>
    <w:rsid w:val="00381020"/>
    <w:rsid w:val="00700BC6"/>
    <w:rsid w:val="00805526"/>
    <w:rsid w:val="00835896"/>
    <w:rsid w:val="00CA1E20"/>
    <w:rsid w:val="00CF2D92"/>
    <w:rsid w:val="00D206AD"/>
    <w:rsid w:val="00D902B4"/>
    <w:rsid w:val="00E75E69"/>
    <w:rsid w:val="00ED3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D89F00"/>
  <w15:chartTrackingRefBased/>
  <w15:docId w15:val="{FEEF0B9B-900E-4074-9709-A2E91E51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589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5896"/>
    <w:pPr>
      <w:tabs>
        <w:tab w:val="center" w:pos="4153"/>
        <w:tab w:val="right" w:pos="8306"/>
      </w:tabs>
    </w:pPr>
  </w:style>
  <w:style w:type="character" w:customStyle="1" w:styleId="a4">
    <w:name w:val="כותרת עליונה תו"/>
    <w:link w:val="a3"/>
    <w:rsid w:val="00835896"/>
    <w:rPr>
      <w:rFonts w:ascii="Times New Roman" w:eastAsia="Times New Roman" w:hAnsi="Times New Roman" w:cs="David"/>
      <w:sz w:val="24"/>
      <w:szCs w:val="24"/>
    </w:rPr>
  </w:style>
  <w:style w:type="paragraph" w:styleId="a5">
    <w:name w:val="footer"/>
    <w:basedOn w:val="a"/>
    <w:link w:val="a6"/>
    <w:rsid w:val="00835896"/>
    <w:pPr>
      <w:tabs>
        <w:tab w:val="center" w:pos="4153"/>
        <w:tab w:val="right" w:pos="8306"/>
      </w:tabs>
    </w:pPr>
  </w:style>
  <w:style w:type="character" w:customStyle="1" w:styleId="a6">
    <w:name w:val="כותרת תחתונה תו"/>
    <w:link w:val="a5"/>
    <w:rsid w:val="00835896"/>
    <w:rPr>
      <w:rFonts w:ascii="Times New Roman" w:eastAsia="Times New Roman" w:hAnsi="Times New Roman" w:cs="David"/>
      <w:sz w:val="24"/>
      <w:szCs w:val="24"/>
    </w:rPr>
  </w:style>
  <w:style w:type="table" w:styleId="a7">
    <w:name w:val="Table Grid"/>
    <w:basedOn w:val="a1"/>
    <w:rsid w:val="008358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5896"/>
  </w:style>
  <w:style w:type="character" w:styleId="Hyperlink">
    <w:name w:val="Hyperlink"/>
    <w:rsid w:val="00CF2D9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384" TargetMode="External"/><Relationship Id="rId26" Type="http://schemas.openxmlformats.org/officeDocument/2006/relationships/hyperlink" Target="http://www.nevo.co.il/case/22769779" TargetMode="External"/><Relationship Id="rId3" Type="http://schemas.openxmlformats.org/officeDocument/2006/relationships/webSettings" Target="webSettings.xml"/><Relationship Id="rId21" Type="http://schemas.openxmlformats.org/officeDocument/2006/relationships/hyperlink" Target="http://www.nevo.co.il/case/23751286" TargetMode="External"/><Relationship Id="rId34" Type="http://schemas.openxmlformats.org/officeDocument/2006/relationships/theme" Target="theme/theme1.xml"/><Relationship Id="rId7" Type="http://schemas.openxmlformats.org/officeDocument/2006/relationships/hyperlink" Target="http://www.nevo.co.il/law/4216/7.a" TargetMode="External"/><Relationship Id="rId12" Type="http://schemas.openxmlformats.org/officeDocument/2006/relationships/hyperlink" Target="http://www.nevo.co.il/law/70301/41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920125"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6.b" TargetMode="External"/><Relationship Id="rId20" Type="http://schemas.openxmlformats.org/officeDocument/2006/relationships/hyperlink" Target="http://www.nevo.co.il/law/70301"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case/5980328"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017809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84" TargetMode="External"/><Relationship Id="rId19" Type="http://schemas.openxmlformats.org/officeDocument/2006/relationships/hyperlink" Target="http://www.nevo.co.il/law/70301/413"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956295"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1986</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11893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3866743</vt:i4>
      </vt:variant>
      <vt:variant>
        <vt:i4>60</vt:i4>
      </vt:variant>
      <vt:variant>
        <vt:i4>0</vt:i4>
      </vt:variant>
      <vt:variant>
        <vt:i4>5</vt:i4>
      </vt:variant>
      <vt:variant>
        <vt:lpwstr>http://www.nevo.co.il/case/22769779</vt:lpwstr>
      </vt:variant>
      <vt:variant>
        <vt:lpwstr/>
      </vt:variant>
      <vt:variant>
        <vt:i4>3735671</vt:i4>
      </vt:variant>
      <vt:variant>
        <vt:i4>57</vt:i4>
      </vt:variant>
      <vt:variant>
        <vt:i4>0</vt:i4>
      </vt:variant>
      <vt:variant>
        <vt:i4>5</vt:i4>
      </vt:variant>
      <vt:variant>
        <vt:lpwstr>http://www.nevo.co.il/case/20920125</vt:lpwstr>
      </vt:variant>
      <vt:variant>
        <vt:lpwstr/>
      </vt:variant>
      <vt:variant>
        <vt:i4>3539071</vt:i4>
      </vt:variant>
      <vt:variant>
        <vt:i4>54</vt:i4>
      </vt:variant>
      <vt:variant>
        <vt:i4>0</vt:i4>
      </vt:variant>
      <vt:variant>
        <vt:i4>5</vt:i4>
      </vt:variant>
      <vt:variant>
        <vt:lpwstr>http://www.nevo.co.il/case/5980328</vt:lpwstr>
      </vt:variant>
      <vt:variant>
        <vt:lpwstr/>
      </vt:variant>
      <vt:variant>
        <vt:i4>3276915</vt:i4>
      </vt:variant>
      <vt:variant>
        <vt:i4>51</vt:i4>
      </vt:variant>
      <vt:variant>
        <vt:i4>0</vt:i4>
      </vt:variant>
      <vt:variant>
        <vt:i4>5</vt:i4>
      </vt:variant>
      <vt:variant>
        <vt:lpwstr>http://www.nevo.co.il/case/20178093</vt:lpwstr>
      </vt:variant>
      <vt:variant>
        <vt:lpwstr/>
      </vt:variant>
      <vt:variant>
        <vt:i4>3407987</vt:i4>
      </vt:variant>
      <vt:variant>
        <vt:i4>48</vt:i4>
      </vt:variant>
      <vt:variant>
        <vt:i4>0</vt:i4>
      </vt:variant>
      <vt:variant>
        <vt:i4>5</vt:i4>
      </vt:variant>
      <vt:variant>
        <vt:lpwstr>http://www.nevo.co.il/case/20956295</vt:lpwstr>
      </vt:variant>
      <vt:variant>
        <vt:lpwstr/>
      </vt:variant>
      <vt:variant>
        <vt:i4>3932272</vt:i4>
      </vt:variant>
      <vt:variant>
        <vt:i4>45</vt:i4>
      </vt:variant>
      <vt:variant>
        <vt:i4>0</vt:i4>
      </vt:variant>
      <vt:variant>
        <vt:i4>5</vt:i4>
      </vt:variant>
      <vt:variant>
        <vt:lpwstr>http://www.nevo.co.il/case/23751286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6553697</vt:i4>
      </vt:variant>
      <vt:variant>
        <vt:i4>39</vt:i4>
      </vt:variant>
      <vt:variant>
        <vt:i4>0</vt:i4>
      </vt:variant>
      <vt:variant>
        <vt:i4>5</vt:i4>
      </vt:variant>
      <vt:variant>
        <vt:lpwstr>http://www.nevo.co.il/law/70301/413</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6553697</vt:i4>
      </vt:variant>
      <vt:variant>
        <vt:i4>18</vt:i4>
      </vt:variant>
      <vt:variant>
        <vt:i4>0</vt:i4>
      </vt:variant>
      <vt:variant>
        <vt:i4>5</vt:i4>
      </vt:variant>
      <vt:variant>
        <vt:lpwstr>http://www.nevo.co.il/law/70301/413</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71968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ברוך סעדה</vt:lpwstr>
  </property>
  <property fmtid="{D5CDD505-2E9C-101B-9397-08002B2CF9AE}" pid="10" name="LAWYER">
    <vt:lpwstr>מיקי ברגר;דורון שטרן</vt:lpwstr>
  </property>
  <property fmtid="{D5CDD505-2E9C-101B-9397-08002B2CF9AE}" pid="11" name="JUDGE">
    <vt:lpwstr>גיא אבנון</vt:lpwstr>
  </property>
  <property fmtid="{D5CDD505-2E9C-101B-9397-08002B2CF9AE}" pid="12" name="CITY">
    <vt:lpwstr>ראשל"צ</vt:lpwstr>
  </property>
  <property fmtid="{D5CDD505-2E9C-101B-9397-08002B2CF9AE}" pid="13" name="DATE">
    <vt:lpwstr>20190805</vt:lpwstr>
  </property>
  <property fmtid="{D5CDD505-2E9C-101B-9397-08002B2CF9AE}" pid="14" name="TYPE_N_DATE">
    <vt:lpwstr>38020190805</vt:lpwstr>
  </property>
  <property fmtid="{D5CDD505-2E9C-101B-9397-08002B2CF9AE}" pid="15" name="CASESLISTTMP1">
    <vt:lpwstr>23751286;20956295;20178093;5980328;20920125;22769779</vt:lpwstr>
  </property>
  <property fmtid="{D5CDD505-2E9C-101B-9397-08002B2CF9AE}" pid="16" name="WORDNUMPAGES">
    <vt:lpwstr>8</vt:lpwstr>
  </property>
  <property fmtid="{D5CDD505-2E9C-101B-9397-08002B2CF9AE}" pid="17" name="TYPE_ABS_DATE">
    <vt:lpwstr>380020190805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70301/406.b;384;413</vt:lpwstr>
  </property>
</Properties>
</file>