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81947" w:rsidRPr="00BC5C98" w14:paraId="0312128E" w14:textId="77777777" w:rsidTr="00C6080D">
        <w:trPr>
          <w:trHeight w:hRule="exact" w:val="418"/>
          <w:jc w:val="center"/>
        </w:trPr>
        <w:tc>
          <w:tcPr>
            <w:tcW w:w="8721" w:type="dxa"/>
            <w:gridSpan w:val="2"/>
          </w:tcPr>
          <w:p w14:paraId="1B89731E" w14:textId="77777777" w:rsidR="00A81947" w:rsidRPr="00BC5C98" w:rsidRDefault="00A81947" w:rsidP="00561F67">
            <w:pPr>
              <w:pStyle w:val="a3"/>
              <w:jc w:val="center"/>
              <w:rPr>
                <w:rFonts w:ascii="Tahoma" w:hAnsi="Tahoma" w:cs="FrankRuehl"/>
                <w:color w:val="000080"/>
                <w:sz w:val="28"/>
                <w:szCs w:val="28"/>
                <w:rtl/>
              </w:rPr>
            </w:pPr>
            <w:bookmarkStart w:id="0" w:name="LastJudge"/>
            <w:r w:rsidRPr="00BC5C98">
              <w:rPr>
                <w:rFonts w:ascii="Tahoma" w:hAnsi="Tahoma" w:cs="FrankRuehl"/>
                <w:b/>
                <w:bCs/>
                <w:color w:val="000080"/>
                <w:sz w:val="28"/>
                <w:szCs w:val="28"/>
                <w:rtl/>
              </w:rPr>
              <w:t>בית משפט השלום בירושלים</w:t>
            </w:r>
          </w:p>
        </w:tc>
      </w:tr>
      <w:tr w:rsidR="00A81947" w:rsidRPr="00BC5C98" w14:paraId="6FE3AA5A" w14:textId="77777777" w:rsidTr="00C6080D">
        <w:trPr>
          <w:trHeight w:val="337"/>
          <w:jc w:val="center"/>
        </w:trPr>
        <w:tc>
          <w:tcPr>
            <w:tcW w:w="5054" w:type="dxa"/>
          </w:tcPr>
          <w:p w14:paraId="675E7E17" w14:textId="77777777" w:rsidR="00A81947" w:rsidRPr="00BC5C98" w:rsidRDefault="00A81947" w:rsidP="00561F67">
            <w:pPr>
              <w:rPr>
                <w:rFonts w:cs="FrankRuehl"/>
                <w:b/>
                <w:bCs/>
                <w:sz w:val="28"/>
                <w:szCs w:val="28"/>
                <w:rtl/>
              </w:rPr>
            </w:pPr>
            <w:r w:rsidRPr="00BC5C98">
              <w:rPr>
                <w:rFonts w:cs="FrankRuehl"/>
                <w:b/>
                <w:bCs/>
                <w:sz w:val="28"/>
                <w:szCs w:val="28"/>
                <w:rtl/>
              </w:rPr>
              <w:t>ת"פ</w:t>
            </w:r>
            <w:r w:rsidRPr="00BC5C98">
              <w:rPr>
                <w:rFonts w:cs="FrankRuehl" w:hint="cs"/>
                <w:b/>
                <w:bCs/>
                <w:sz w:val="28"/>
                <w:szCs w:val="28"/>
                <w:rtl/>
              </w:rPr>
              <w:t xml:space="preserve"> </w:t>
            </w:r>
            <w:r w:rsidRPr="00BC5C98">
              <w:rPr>
                <w:rFonts w:cs="FrankRuehl"/>
                <w:b/>
                <w:bCs/>
                <w:sz w:val="28"/>
                <w:szCs w:val="28"/>
                <w:rtl/>
              </w:rPr>
              <w:t>11868-03-19</w:t>
            </w:r>
            <w:r w:rsidRPr="00BC5C98">
              <w:rPr>
                <w:rFonts w:cs="FrankRuehl" w:hint="cs"/>
                <w:b/>
                <w:bCs/>
                <w:sz w:val="28"/>
                <w:szCs w:val="28"/>
                <w:rtl/>
              </w:rPr>
              <w:t xml:space="preserve"> </w:t>
            </w:r>
            <w:r w:rsidRPr="00BC5C98">
              <w:rPr>
                <w:rFonts w:cs="FrankRuehl"/>
                <w:b/>
                <w:bCs/>
                <w:sz w:val="28"/>
                <w:szCs w:val="28"/>
                <w:rtl/>
              </w:rPr>
              <w:t>מדינת ישראל נ' בויום</w:t>
            </w:r>
          </w:p>
          <w:p w14:paraId="2F183484" w14:textId="77777777" w:rsidR="00A81947" w:rsidRPr="00BC5C98" w:rsidRDefault="00A81947" w:rsidP="00561F67">
            <w:pPr>
              <w:pStyle w:val="a3"/>
              <w:rPr>
                <w:rFonts w:cs="FrankRuehl"/>
                <w:sz w:val="28"/>
                <w:szCs w:val="28"/>
                <w:rtl/>
              </w:rPr>
            </w:pPr>
          </w:p>
        </w:tc>
        <w:tc>
          <w:tcPr>
            <w:tcW w:w="3667" w:type="dxa"/>
          </w:tcPr>
          <w:p w14:paraId="4EA3759B" w14:textId="77777777" w:rsidR="00A81947" w:rsidRPr="00BC5C98" w:rsidRDefault="00A81947" w:rsidP="00561F67">
            <w:pPr>
              <w:pStyle w:val="a3"/>
              <w:jc w:val="right"/>
              <w:rPr>
                <w:rFonts w:cs="FrankRuehl"/>
                <w:sz w:val="28"/>
                <w:szCs w:val="28"/>
                <w:rtl/>
              </w:rPr>
            </w:pPr>
          </w:p>
        </w:tc>
      </w:tr>
    </w:tbl>
    <w:p w14:paraId="0C0B1FE1" w14:textId="77777777" w:rsidR="00A81947" w:rsidRPr="00BC5C98" w:rsidRDefault="00A81947" w:rsidP="00A81947">
      <w:pPr>
        <w:pStyle w:val="a3"/>
        <w:rPr>
          <w:rtl/>
        </w:rPr>
      </w:pPr>
      <w:r w:rsidRPr="00BC5C98">
        <w:rPr>
          <w:rFonts w:hint="cs"/>
          <w:rtl/>
        </w:rPr>
        <w:t xml:space="preserve"> </w:t>
      </w:r>
    </w:p>
    <w:p w14:paraId="21D2C4D8" w14:textId="77777777" w:rsidR="00A81947" w:rsidRPr="00BC5C98" w:rsidRDefault="00A81947" w:rsidP="00A81947">
      <w:pPr>
        <w:rPr>
          <w:rtl/>
        </w:rPr>
      </w:pPr>
    </w:p>
    <w:p w14:paraId="2DD65E99" w14:textId="77777777" w:rsidR="00A81947" w:rsidRPr="00BC5C98" w:rsidRDefault="00A81947" w:rsidP="00A819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629"/>
        <w:gridCol w:w="2268"/>
      </w:tblGrid>
      <w:tr w:rsidR="00A81947" w:rsidRPr="00BC5C98" w14:paraId="30006A44" w14:textId="77777777" w:rsidTr="00A81947">
        <w:trPr>
          <w:trHeight w:val="295"/>
          <w:jc w:val="center"/>
        </w:trPr>
        <w:tc>
          <w:tcPr>
            <w:tcW w:w="923" w:type="dxa"/>
            <w:tcBorders>
              <w:top w:val="nil"/>
              <w:left w:val="nil"/>
              <w:bottom w:val="nil"/>
              <w:right w:val="nil"/>
            </w:tcBorders>
            <w:shd w:val="clear" w:color="auto" w:fill="auto"/>
          </w:tcPr>
          <w:p w14:paraId="13F7DC0A" w14:textId="77777777" w:rsidR="00A81947" w:rsidRPr="00BC5C98" w:rsidRDefault="00A81947" w:rsidP="00A81947">
            <w:pPr>
              <w:jc w:val="both"/>
              <w:rPr>
                <w:rFonts w:ascii="Arial" w:hAnsi="Arial" w:cs="FrankRuehl"/>
                <w:b/>
                <w:bCs/>
                <w:sz w:val="28"/>
                <w:szCs w:val="28"/>
              </w:rPr>
            </w:pPr>
            <w:r w:rsidRPr="00BC5C98">
              <w:rPr>
                <w:rFonts w:ascii="Arial" w:hAnsi="Arial" w:cs="FrankRuehl" w:hint="cs"/>
                <w:b/>
                <w:bCs/>
                <w:sz w:val="28"/>
                <w:szCs w:val="28"/>
                <w:rtl/>
              </w:rPr>
              <w:t>ב</w:t>
            </w:r>
            <w:r w:rsidRPr="00BC5C98">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26C137E9" w14:textId="77777777" w:rsidR="00A81947" w:rsidRPr="00BC5C98" w:rsidRDefault="00A81947" w:rsidP="00561F67">
            <w:pPr>
              <w:rPr>
                <w:rFonts w:ascii="Arial" w:hAnsi="Arial" w:cs="FrankRuehl"/>
                <w:b/>
                <w:bCs/>
                <w:sz w:val="28"/>
                <w:szCs w:val="28"/>
                <w:rtl/>
              </w:rPr>
            </w:pPr>
            <w:r w:rsidRPr="00BC5C98">
              <w:rPr>
                <w:rFonts w:ascii="Arial" w:hAnsi="Arial" w:cs="FrankRuehl" w:hint="cs"/>
                <w:b/>
                <w:bCs/>
                <w:sz w:val="28"/>
                <w:szCs w:val="28"/>
                <w:rtl/>
              </w:rPr>
              <w:t>כבוד ה</w:t>
            </w:r>
            <w:r w:rsidRPr="00BC5C98">
              <w:rPr>
                <w:rFonts w:ascii="Arial" w:hAnsi="Arial" w:cs="FrankRuehl"/>
                <w:b/>
                <w:bCs/>
                <w:sz w:val="28"/>
                <w:szCs w:val="28"/>
                <w:rtl/>
              </w:rPr>
              <w:t>שופט</w:t>
            </w:r>
            <w:r w:rsidRPr="00BC5C98">
              <w:rPr>
                <w:rFonts w:ascii="Arial" w:hAnsi="Arial" w:cs="FrankRuehl" w:hint="cs"/>
                <w:b/>
                <w:bCs/>
                <w:sz w:val="28"/>
                <w:szCs w:val="28"/>
                <w:rtl/>
              </w:rPr>
              <w:t xml:space="preserve">  </w:t>
            </w:r>
            <w:r w:rsidRPr="00BC5C98">
              <w:rPr>
                <w:rFonts w:ascii="Arial" w:hAnsi="Arial" w:cs="FrankRuehl"/>
                <w:b/>
                <w:bCs/>
                <w:sz w:val="28"/>
                <w:szCs w:val="28"/>
                <w:rtl/>
              </w:rPr>
              <w:t>דוד שאול גבאי ריכטר</w:t>
            </w:r>
          </w:p>
          <w:p w14:paraId="5D8ABC09" w14:textId="77777777" w:rsidR="00A81947" w:rsidRPr="00BC5C98" w:rsidRDefault="00A81947" w:rsidP="00561F67">
            <w:pPr>
              <w:rPr>
                <w:rFonts w:cs="FrankRuehl"/>
                <w:b/>
                <w:bCs/>
                <w:sz w:val="28"/>
                <w:szCs w:val="28"/>
                <w:rtl/>
              </w:rPr>
            </w:pPr>
          </w:p>
          <w:p w14:paraId="2E5C8FAB" w14:textId="77777777" w:rsidR="00A81947" w:rsidRPr="00BC5C98" w:rsidRDefault="00A81947" w:rsidP="00A81947">
            <w:pPr>
              <w:jc w:val="both"/>
              <w:rPr>
                <w:rFonts w:ascii="Arial" w:hAnsi="Arial" w:cs="FrankRuehl"/>
                <w:b/>
                <w:bCs/>
                <w:sz w:val="28"/>
                <w:szCs w:val="28"/>
              </w:rPr>
            </w:pPr>
          </w:p>
        </w:tc>
      </w:tr>
      <w:tr w:rsidR="00A81947" w:rsidRPr="00BC5C98" w14:paraId="37A5F440" w14:textId="77777777" w:rsidTr="00A81947">
        <w:trPr>
          <w:trHeight w:val="355"/>
          <w:jc w:val="center"/>
        </w:trPr>
        <w:tc>
          <w:tcPr>
            <w:tcW w:w="923" w:type="dxa"/>
            <w:tcBorders>
              <w:top w:val="nil"/>
              <w:left w:val="nil"/>
              <w:bottom w:val="nil"/>
              <w:right w:val="nil"/>
            </w:tcBorders>
            <w:shd w:val="clear" w:color="auto" w:fill="auto"/>
          </w:tcPr>
          <w:p w14:paraId="1AF96FB3" w14:textId="77777777" w:rsidR="00A81947" w:rsidRPr="00BC5C98" w:rsidRDefault="00A81947" w:rsidP="00A81947">
            <w:pPr>
              <w:jc w:val="both"/>
              <w:rPr>
                <w:rFonts w:ascii="Arial" w:hAnsi="Arial" w:cs="FrankRuehl"/>
                <w:b/>
                <w:bCs/>
                <w:sz w:val="28"/>
                <w:szCs w:val="28"/>
              </w:rPr>
            </w:pPr>
            <w:bookmarkStart w:id="1" w:name="FirstAppellant"/>
            <w:r w:rsidRPr="00BC5C98">
              <w:rPr>
                <w:rFonts w:ascii="Arial" w:hAnsi="Arial" w:cs="FrankRuehl" w:hint="cs"/>
                <w:b/>
                <w:bCs/>
                <w:sz w:val="28"/>
                <w:szCs w:val="28"/>
                <w:rtl/>
              </w:rPr>
              <w:t>בעניין:</w:t>
            </w:r>
          </w:p>
        </w:tc>
        <w:tc>
          <w:tcPr>
            <w:tcW w:w="5629" w:type="dxa"/>
            <w:tcBorders>
              <w:top w:val="nil"/>
              <w:left w:val="nil"/>
              <w:bottom w:val="nil"/>
              <w:right w:val="nil"/>
            </w:tcBorders>
            <w:shd w:val="clear" w:color="auto" w:fill="auto"/>
          </w:tcPr>
          <w:p w14:paraId="6E3ED3F5" w14:textId="77777777" w:rsidR="00A81947" w:rsidRPr="00BC5C98" w:rsidRDefault="00A81947" w:rsidP="00561F67">
            <w:pPr>
              <w:rPr>
                <w:rFonts w:cs="FrankRuehl"/>
                <w:b/>
                <w:bCs/>
                <w:sz w:val="28"/>
                <w:szCs w:val="28"/>
              </w:rPr>
            </w:pPr>
            <w:r w:rsidRPr="00BC5C98">
              <w:rPr>
                <w:rFonts w:ascii="Arial" w:hAnsi="Arial" w:cs="FrankRuehl"/>
                <w:b/>
                <w:bCs/>
                <w:sz w:val="28"/>
                <w:szCs w:val="28"/>
                <w:rtl/>
              </w:rPr>
              <w:t>מדינת ישראל</w:t>
            </w:r>
            <w:r w:rsidRPr="00BC5C98">
              <w:rPr>
                <w:rFonts w:ascii="Arial" w:hAnsi="Arial" w:cs="FrankRuehl"/>
                <w:b/>
                <w:bCs/>
                <w:sz w:val="28"/>
                <w:szCs w:val="28"/>
                <w:rtl/>
              </w:rPr>
              <w:br/>
            </w:r>
            <w:r w:rsidRPr="00BC5C98">
              <w:rPr>
                <w:rFonts w:cs="FrankRuehl" w:hint="cs"/>
                <w:b/>
                <w:bCs/>
                <w:sz w:val="28"/>
                <w:szCs w:val="28"/>
                <w:rtl/>
              </w:rPr>
              <w:t>ע"י תביעות ירושלים</w:t>
            </w:r>
          </w:p>
        </w:tc>
        <w:tc>
          <w:tcPr>
            <w:tcW w:w="2268" w:type="dxa"/>
            <w:tcBorders>
              <w:top w:val="nil"/>
              <w:left w:val="nil"/>
              <w:bottom w:val="nil"/>
              <w:right w:val="nil"/>
            </w:tcBorders>
            <w:shd w:val="clear" w:color="auto" w:fill="auto"/>
          </w:tcPr>
          <w:p w14:paraId="7B56451A" w14:textId="77777777" w:rsidR="00A81947" w:rsidRPr="00BC5C98" w:rsidRDefault="00A81947" w:rsidP="00A81947">
            <w:pPr>
              <w:jc w:val="both"/>
              <w:rPr>
                <w:rFonts w:ascii="Arial" w:hAnsi="Arial" w:cs="FrankRuehl"/>
                <w:b/>
                <w:bCs/>
                <w:sz w:val="28"/>
                <w:szCs w:val="28"/>
              </w:rPr>
            </w:pPr>
          </w:p>
        </w:tc>
      </w:tr>
      <w:bookmarkEnd w:id="1"/>
      <w:tr w:rsidR="00A81947" w:rsidRPr="00BC5C98" w14:paraId="3C069A5C" w14:textId="77777777" w:rsidTr="00A81947">
        <w:trPr>
          <w:trHeight w:val="355"/>
          <w:jc w:val="center"/>
        </w:trPr>
        <w:tc>
          <w:tcPr>
            <w:tcW w:w="923" w:type="dxa"/>
            <w:tcBorders>
              <w:top w:val="nil"/>
              <w:left w:val="nil"/>
              <w:bottom w:val="nil"/>
              <w:right w:val="nil"/>
            </w:tcBorders>
            <w:shd w:val="clear" w:color="auto" w:fill="auto"/>
          </w:tcPr>
          <w:p w14:paraId="74981430" w14:textId="77777777" w:rsidR="00A81947" w:rsidRPr="00BC5C98" w:rsidRDefault="00A81947" w:rsidP="00A81947">
            <w:pPr>
              <w:jc w:val="both"/>
              <w:rPr>
                <w:rFonts w:ascii="Arial" w:hAnsi="Arial" w:cs="FrankRuehl"/>
                <w:b/>
                <w:bCs/>
                <w:sz w:val="28"/>
                <w:szCs w:val="28"/>
                <w:rtl/>
              </w:rPr>
            </w:pPr>
          </w:p>
        </w:tc>
        <w:tc>
          <w:tcPr>
            <w:tcW w:w="5629" w:type="dxa"/>
            <w:tcBorders>
              <w:top w:val="nil"/>
              <w:left w:val="nil"/>
              <w:bottom w:val="nil"/>
              <w:right w:val="nil"/>
            </w:tcBorders>
            <w:shd w:val="clear" w:color="auto" w:fill="auto"/>
          </w:tcPr>
          <w:p w14:paraId="094B6695" w14:textId="77777777" w:rsidR="00A81947" w:rsidRPr="00BC5C98" w:rsidRDefault="00A81947" w:rsidP="00A81947">
            <w:pPr>
              <w:jc w:val="both"/>
              <w:rPr>
                <w:rFonts w:cs="FrankRuehl"/>
                <w:b/>
                <w:bCs/>
                <w:sz w:val="28"/>
                <w:szCs w:val="28"/>
                <w:rtl/>
              </w:rPr>
            </w:pPr>
          </w:p>
        </w:tc>
        <w:tc>
          <w:tcPr>
            <w:tcW w:w="2268" w:type="dxa"/>
            <w:tcBorders>
              <w:top w:val="nil"/>
              <w:left w:val="nil"/>
              <w:bottom w:val="nil"/>
              <w:right w:val="nil"/>
            </w:tcBorders>
            <w:shd w:val="clear" w:color="auto" w:fill="auto"/>
          </w:tcPr>
          <w:p w14:paraId="2CAB2065" w14:textId="77777777" w:rsidR="00A81947" w:rsidRPr="00BC5C98" w:rsidRDefault="00A81947" w:rsidP="00A81947">
            <w:pPr>
              <w:jc w:val="right"/>
              <w:rPr>
                <w:rFonts w:ascii="Arial" w:hAnsi="Arial" w:cs="FrankRuehl"/>
                <w:b/>
                <w:bCs/>
                <w:sz w:val="28"/>
                <w:szCs w:val="28"/>
                <w:rtl/>
              </w:rPr>
            </w:pPr>
            <w:r w:rsidRPr="00BC5C98">
              <w:rPr>
                <w:rFonts w:ascii="Arial" w:hAnsi="Arial" w:cs="FrankRuehl" w:hint="cs"/>
                <w:b/>
                <w:bCs/>
                <w:sz w:val="28"/>
                <w:szCs w:val="28"/>
                <w:rtl/>
              </w:rPr>
              <w:t>ה</w:t>
            </w:r>
            <w:r w:rsidRPr="00BC5C98">
              <w:rPr>
                <w:rFonts w:ascii="Arial" w:hAnsi="Arial" w:cs="FrankRuehl"/>
                <w:b/>
                <w:bCs/>
                <w:sz w:val="28"/>
                <w:szCs w:val="28"/>
                <w:rtl/>
              </w:rPr>
              <w:t>מאשימה</w:t>
            </w:r>
          </w:p>
        </w:tc>
      </w:tr>
      <w:tr w:rsidR="00A81947" w:rsidRPr="00BC5C98" w14:paraId="03492AA1" w14:textId="77777777" w:rsidTr="00A81947">
        <w:trPr>
          <w:trHeight w:val="355"/>
          <w:jc w:val="center"/>
        </w:trPr>
        <w:tc>
          <w:tcPr>
            <w:tcW w:w="923" w:type="dxa"/>
            <w:tcBorders>
              <w:top w:val="nil"/>
              <w:left w:val="nil"/>
              <w:bottom w:val="nil"/>
              <w:right w:val="nil"/>
            </w:tcBorders>
            <w:shd w:val="clear" w:color="auto" w:fill="auto"/>
          </w:tcPr>
          <w:p w14:paraId="645C82D4" w14:textId="77777777" w:rsidR="00A81947" w:rsidRPr="00BC5C98" w:rsidRDefault="00A81947" w:rsidP="00A81947">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C13DCD3" w14:textId="77777777" w:rsidR="00A81947" w:rsidRPr="00BC5C98" w:rsidRDefault="00A81947" w:rsidP="00A81947">
            <w:pPr>
              <w:jc w:val="center"/>
              <w:rPr>
                <w:rFonts w:ascii="Arial" w:hAnsi="Arial" w:cs="FrankRuehl"/>
                <w:b/>
                <w:bCs/>
                <w:sz w:val="28"/>
                <w:szCs w:val="28"/>
                <w:rtl/>
              </w:rPr>
            </w:pPr>
          </w:p>
          <w:p w14:paraId="310B7461" w14:textId="77777777" w:rsidR="00A81947" w:rsidRPr="00BC5C98" w:rsidRDefault="00A81947" w:rsidP="00A81947">
            <w:pPr>
              <w:jc w:val="center"/>
              <w:rPr>
                <w:rFonts w:ascii="Arial" w:hAnsi="Arial" w:cs="FrankRuehl"/>
                <w:b/>
                <w:bCs/>
                <w:sz w:val="28"/>
                <w:szCs w:val="28"/>
                <w:rtl/>
              </w:rPr>
            </w:pPr>
            <w:r w:rsidRPr="00BC5C98">
              <w:rPr>
                <w:rFonts w:ascii="Arial" w:hAnsi="Arial" w:cs="FrankRuehl"/>
                <w:b/>
                <w:bCs/>
                <w:sz w:val="28"/>
                <w:szCs w:val="28"/>
                <w:rtl/>
              </w:rPr>
              <w:t>נגד</w:t>
            </w:r>
          </w:p>
          <w:p w14:paraId="1F7C6C08" w14:textId="77777777" w:rsidR="00A81947" w:rsidRPr="00BC5C98" w:rsidRDefault="00A81947" w:rsidP="00A81947">
            <w:pPr>
              <w:jc w:val="both"/>
              <w:rPr>
                <w:rFonts w:ascii="Arial" w:hAnsi="Arial" w:cs="FrankRuehl"/>
                <w:b/>
                <w:bCs/>
                <w:sz w:val="28"/>
                <w:szCs w:val="28"/>
              </w:rPr>
            </w:pPr>
          </w:p>
        </w:tc>
      </w:tr>
      <w:tr w:rsidR="00A81947" w:rsidRPr="00BC5C98" w14:paraId="45ADD198" w14:textId="77777777" w:rsidTr="00A81947">
        <w:trPr>
          <w:trHeight w:val="355"/>
          <w:jc w:val="center"/>
        </w:trPr>
        <w:tc>
          <w:tcPr>
            <w:tcW w:w="923" w:type="dxa"/>
            <w:tcBorders>
              <w:top w:val="nil"/>
              <w:left w:val="nil"/>
              <w:bottom w:val="nil"/>
              <w:right w:val="nil"/>
            </w:tcBorders>
            <w:shd w:val="clear" w:color="auto" w:fill="auto"/>
          </w:tcPr>
          <w:p w14:paraId="28F50D0D" w14:textId="77777777" w:rsidR="00A81947" w:rsidRPr="00BC5C98" w:rsidRDefault="00A81947" w:rsidP="00561F67">
            <w:pPr>
              <w:rPr>
                <w:rFonts w:ascii="Arial" w:hAnsi="Arial" w:cs="FrankRuehl"/>
                <w:b/>
                <w:bCs/>
                <w:sz w:val="28"/>
                <w:szCs w:val="28"/>
                <w:rtl/>
              </w:rPr>
            </w:pPr>
          </w:p>
        </w:tc>
        <w:tc>
          <w:tcPr>
            <w:tcW w:w="5629" w:type="dxa"/>
            <w:tcBorders>
              <w:top w:val="nil"/>
              <w:left w:val="nil"/>
              <w:bottom w:val="nil"/>
              <w:right w:val="nil"/>
            </w:tcBorders>
            <w:shd w:val="clear" w:color="auto" w:fill="auto"/>
          </w:tcPr>
          <w:p w14:paraId="5C0265CB" w14:textId="77777777" w:rsidR="00A81947" w:rsidRPr="00BC5C98" w:rsidRDefault="00A81947" w:rsidP="00561F67">
            <w:pPr>
              <w:rPr>
                <w:rFonts w:cs="FrankRuehl"/>
                <w:b/>
                <w:bCs/>
                <w:sz w:val="28"/>
                <w:szCs w:val="28"/>
                <w:rtl/>
              </w:rPr>
            </w:pPr>
            <w:r w:rsidRPr="00BC5C98">
              <w:rPr>
                <w:rFonts w:ascii="Arial" w:hAnsi="Arial" w:cs="FrankRuehl"/>
                <w:b/>
                <w:bCs/>
                <w:sz w:val="28"/>
                <w:szCs w:val="28"/>
                <w:rtl/>
              </w:rPr>
              <w:t>נחמן בויו</w:t>
            </w:r>
            <w:r w:rsidRPr="00BC5C98">
              <w:rPr>
                <w:rFonts w:ascii="Arial" w:hAnsi="Arial" w:cs="FrankRuehl" w:hint="cs"/>
                <w:b/>
                <w:bCs/>
                <w:sz w:val="28"/>
                <w:szCs w:val="28"/>
                <w:rtl/>
              </w:rPr>
              <w:t>ם,</w:t>
            </w:r>
            <w:r w:rsidRPr="00BC5C98">
              <w:rPr>
                <w:rFonts w:cs="FrankRuehl" w:hint="cs"/>
                <w:b/>
                <w:bCs/>
                <w:sz w:val="28"/>
                <w:szCs w:val="28"/>
                <w:rtl/>
              </w:rPr>
              <w:t xml:space="preserve"> ת.ז. </w:t>
            </w:r>
            <w:r w:rsidR="00BC5C98">
              <w:rPr>
                <w:rFonts w:cs="FrankRuehl"/>
                <w:b/>
                <w:bCs/>
                <w:sz w:val="28"/>
                <w:szCs w:val="28"/>
              </w:rPr>
              <w:t>xxxxxxxxx</w:t>
            </w:r>
          </w:p>
        </w:tc>
        <w:tc>
          <w:tcPr>
            <w:tcW w:w="2268" w:type="dxa"/>
            <w:tcBorders>
              <w:top w:val="nil"/>
              <w:left w:val="nil"/>
              <w:bottom w:val="nil"/>
              <w:right w:val="nil"/>
            </w:tcBorders>
            <w:shd w:val="clear" w:color="auto" w:fill="auto"/>
          </w:tcPr>
          <w:p w14:paraId="630804D2" w14:textId="77777777" w:rsidR="00A81947" w:rsidRPr="00BC5C98" w:rsidRDefault="00A81947" w:rsidP="00A81947">
            <w:pPr>
              <w:jc w:val="right"/>
              <w:rPr>
                <w:rFonts w:ascii="Arial" w:hAnsi="Arial" w:cs="FrankRuehl"/>
                <w:b/>
                <w:bCs/>
                <w:sz w:val="28"/>
                <w:szCs w:val="28"/>
              </w:rPr>
            </w:pPr>
          </w:p>
        </w:tc>
      </w:tr>
      <w:tr w:rsidR="00A81947" w:rsidRPr="00BC5C98" w14:paraId="50AB0E18" w14:textId="77777777" w:rsidTr="00A81947">
        <w:trPr>
          <w:trHeight w:val="355"/>
          <w:jc w:val="center"/>
        </w:trPr>
        <w:tc>
          <w:tcPr>
            <w:tcW w:w="923" w:type="dxa"/>
            <w:tcBorders>
              <w:top w:val="nil"/>
              <w:left w:val="nil"/>
              <w:bottom w:val="nil"/>
              <w:right w:val="nil"/>
            </w:tcBorders>
            <w:shd w:val="clear" w:color="auto" w:fill="auto"/>
          </w:tcPr>
          <w:p w14:paraId="384E7DE0" w14:textId="77777777" w:rsidR="00A81947" w:rsidRPr="00BC5C98" w:rsidRDefault="00A81947" w:rsidP="00A81947">
            <w:pPr>
              <w:jc w:val="both"/>
              <w:rPr>
                <w:rFonts w:ascii="Arial" w:hAnsi="Arial" w:cs="FrankRuehl"/>
                <w:b/>
                <w:bCs/>
                <w:sz w:val="28"/>
                <w:szCs w:val="28"/>
                <w:rtl/>
              </w:rPr>
            </w:pPr>
            <w:bookmarkStart w:id="2" w:name="FirstLawyer"/>
          </w:p>
        </w:tc>
        <w:tc>
          <w:tcPr>
            <w:tcW w:w="5629" w:type="dxa"/>
            <w:tcBorders>
              <w:top w:val="nil"/>
              <w:left w:val="nil"/>
              <w:bottom w:val="nil"/>
              <w:right w:val="nil"/>
            </w:tcBorders>
            <w:shd w:val="clear" w:color="auto" w:fill="auto"/>
          </w:tcPr>
          <w:p w14:paraId="363FC30E" w14:textId="77777777" w:rsidR="00A81947" w:rsidRPr="00BC5C98" w:rsidRDefault="00A81947" w:rsidP="00A81947">
            <w:pPr>
              <w:jc w:val="both"/>
              <w:rPr>
                <w:rFonts w:cs="FrankRuehl"/>
                <w:b/>
                <w:bCs/>
                <w:sz w:val="28"/>
                <w:szCs w:val="28"/>
                <w:rtl/>
              </w:rPr>
            </w:pPr>
            <w:r w:rsidRPr="00BC5C98">
              <w:rPr>
                <w:rFonts w:cs="FrankRuehl" w:hint="cs"/>
                <w:b/>
                <w:bCs/>
                <w:sz w:val="28"/>
                <w:szCs w:val="28"/>
                <w:rtl/>
              </w:rPr>
              <w:t>ע"י ב"כ עו"ד יעקב שלומוביץ ממשרד עו"ד תמי אולמן</w:t>
            </w:r>
          </w:p>
        </w:tc>
        <w:tc>
          <w:tcPr>
            <w:tcW w:w="2268" w:type="dxa"/>
            <w:tcBorders>
              <w:top w:val="nil"/>
              <w:left w:val="nil"/>
              <w:bottom w:val="nil"/>
              <w:right w:val="nil"/>
            </w:tcBorders>
            <w:shd w:val="clear" w:color="auto" w:fill="auto"/>
          </w:tcPr>
          <w:p w14:paraId="472AD145" w14:textId="77777777" w:rsidR="00A81947" w:rsidRPr="00BC5C98" w:rsidRDefault="00A81947" w:rsidP="00A81947">
            <w:pPr>
              <w:jc w:val="right"/>
              <w:rPr>
                <w:rFonts w:ascii="Arial" w:hAnsi="Arial" w:cs="FrankRuehl"/>
                <w:b/>
                <w:bCs/>
                <w:sz w:val="28"/>
                <w:szCs w:val="28"/>
              </w:rPr>
            </w:pPr>
            <w:r w:rsidRPr="00BC5C98">
              <w:rPr>
                <w:rFonts w:ascii="Arial" w:hAnsi="Arial" w:cs="FrankRuehl" w:hint="cs"/>
                <w:b/>
                <w:bCs/>
                <w:sz w:val="28"/>
                <w:szCs w:val="28"/>
                <w:rtl/>
              </w:rPr>
              <w:t>ה</w:t>
            </w:r>
            <w:r w:rsidRPr="00BC5C98">
              <w:rPr>
                <w:rFonts w:ascii="Arial" w:hAnsi="Arial" w:cs="FrankRuehl"/>
                <w:b/>
                <w:bCs/>
                <w:sz w:val="28"/>
                <w:szCs w:val="28"/>
                <w:rtl/>
              </w:rPr>
              <w:t>נאש</w:t>
            </w:r>
            <w:r w:rsidRPr="00BC5C98">
              <w:rPr>
                <w:rFonts w:ascii="Arial" w:hAnsi="Arial" w:cs="FrankRuehl" w:hint="cs"/>
                <w:b/>
                <w:bCs/>
                <w:sz w:val="28"/>
                <w:szCs w:val="28"/>
                <w:rtl/>
              </w:rPr>
              <w:t>ם</w:t>
            </w:r>
          </w:p>
        </w:tc>
      </w:tr>
      <w:bookmarkEnd w:id="2"/>
    </w:tbl>
    <w:p w14:paraId="4D489A3E" w14:textId="77777777" w:rsidR="00A81947" w:rsidRPr="00BC5C98" w:rsidRDefault="00A81947" w:rsidP="00A81947"/>
    <w:p w14:paraId="75520919" w14:textId="77777777" w:rsidR="00C6080D" w:rsidRPr="00C6080D" w:rsidRDefault="00C6080D" w:rsidP="00C6080D">
      <w:pPr>
        <w:spacing w:before="120" w:after="120" w:line="240" w:lineRule="exact"/>
        <w:ind w:left="283" w:hanging="283"/>
        <w:jc w:val="both"/>
        <w:rPr>
          <w:rFonts w:ascii="FrankRuehl" w:hAnsi="FrankRuehl" w:cs="FrankRuehl"/>
          <w:rtl/>
        </w:rPr>
      </w:pPr>
      <w:bookmarkStart w:id="3" w:name="LawTable"/>
      <w:bookmarkEnd w:id="3"/>
      <w:r w:rsidRPr="00C6080D">
        <w:rPr>
          <w:rFonts w:ascii="FrankRuehl" w:hAnsi="FrankRuehl" w:cs="FrankRuehl"/>
          <w:rtl/>
        </w:rPr>
        <w:t xml:space="preserve">חקיקה שאוזכרה: </w:t>
      </w:r>
    </w:p>
    <w:p w14:paraId="6733F658" w14:textId="77777777" w:rsidR="00C6080D" w:rsidRPr="00C6080D" w:rsidRDefault="00C6080D" w:rsidP="00C6080D">
      <w:pPr>
        <w:spacing w:before="120" w:after="120" w:line="240" w:lineRule="exact"/>
        <w:ind w:left="283" w:hanging="283"/>
        <w:jc w:val="both"/>
        <w:rPr>
          <w:rFonts w:ascii="FrankRuehl" w:hAnsi="FrankRuehl" w:cs="FrankRuehl"/>
          <w:rtl/>
        </w:rPr>
      </w:pPr>
      <w:hyperlink r:id="rId7" w:history="1">
        <w:r w:rsidRPr="00C6080D">
          <w:rPr>
            <w:rFonts w:ascii="FrankRuehl" w:hAnsi="FrankRuehl" w:cs="FrankRuehl"/>
            <w:color w:val="0000FF"/>
            <w:u w:val="single"/>
            <w:rtl/>
          </w:rPr>
          <w:t>פקודת הסמים המסוכנים [נוסח חדש], תשל"ג-1973</w:t>
        </w:r>
      </w:hyperlink>
      <w:r w:rsidRPr="00C6080D">
        <w:rPr>
          <w:rFonts w:ascii="FrankRuehl" w:hAnsi="FrankRuehl" w:cs="FrankRuehl"/>
          <w:rtl/>
        </w:rPr>
        <w:t xml:space="preserve">: סע'  </w:t>
      </w:r>
      <w:hyperlink r:id="rId8" w:history="1">
        <w:r w:rsidRPr="00C6080D">
          <w:rPr>
            <w:rFonts w:ascii="FrankRuehl" w:hAnsi="FrankRuehl" w:cs="FrankRuehl"/>
            <w:color w:val="0000FF"/>
            <w:u w:val="single"/>
            <w:rtl/>
          </w:rPr>
          <w:t>7(א)</w:t>
        </w:r>
      </w:hyperlink>
      <w:r w:rsidRPr="00C6080D">
        <w:rPr>
          <w:rFonts w:ascii="FrankRuehl" w:hAnsi="FrankRuehl" w:cs="FrankRuehl"/>
          <w:rtl/>
        </w:rPr>
        <w:t xml:space="preserve">, </w:t>
      </w:r>
      <w:hyperlink r:id="rId9" w:history="1">
        <w:r w:rsidRPr="00C6080D">
          <w:rPr>
            <w:rFonts w:ascii="FrankRuehl" w:hAnsi="FrankRuehl" w:cs="FrankRuehl"/>
            <w:color w:val="0000FF"/>
            <w:u w:val="single"/>
            <w:rtl/>
          </w:rPr>
          <w:t>7(ג)</w:t>
        </w:r>
      </w:hyperlink>
      <w:r w:rsidRPr="00C6080D">
        <w:rPr>
          <w:rFonts w:ascii="FrankRuehl" w:hAnsi="FrankRuehl" w:cs="FrankRuehl"/>
          <w:rtl/>
        </w:rPr>
        <w:t xml:space="preserve">, </w:t>
      </w:r>
      <w:hyperlink r:id="rId10" w:history="1">
        <w:r w:rsidRPr="00C6080D">
          <w:rPr>
            <w:rFonts w:ascii="FrankRuehl" w:hAnsi="FrankRuehl" w:cs="FrankRuehl"/>
            <w:color w:val="0000FF"/>
            <w:u w:val="single"/>
            <w:rtl/>
          </w:rPr>
          <w:t>13</w:t>
        </w:r>
      </w:hyperlink>
      <w:r w:rsidRPr="00C6080D">
        <w:rPr>
          <w:rFonts w:ascii="FrankRuehl" w:hAnsi="FrankRuehl" w:cs="FrankRuehl"/>
          <w:rtl/>
        </w:rPr>
        <w:t xml:space="preserve">, </w:t>
      </w:r>
      <w:hyperlink r:id="rId11" w:history="1">
        <w:r w:rsidRPr="00C6080D">
          <w:rPr>
            <w:rFonts w:ascii="FrankRuehl" w:hAnsi="FrankRuehl" w:cs="FrankRuehl"/>
            <w:color w:val="0000FF"/>
            <w:u w:val="single"/>
            <w:rtl/>
          </w:rPr>
          <w:t>19(א)</w:t>
        </w:r>
      </w:hyperlink>
      <w:r w:rsidRPr="00C6080D">
        <w:rPr>
          <w:rFonts w:ascii="FrankRuehl" w:hAnsi="FrankRuehl" w:cs="FrankRuehl"/>
          <w:rtl/>
        </w:rPr>
        <w:t xml:space="preserve">, </w:t>
      </w:r>
      <w:hyperlink r:id="rId12" w:history="1">
        <w:r w:rsidRPr="00C6080D">
          <w:rPr>
            <w:rFonts w:ascii="FrankRuehl" w:hAnsi="FrankRuehl" w:cs="FrankRuehl"/>
            <w:color w:val="0000FF"/>
            <w:u w:val="single"/>
            <w:rtl/>
          </w:rPr>
          <w:t>36א(א)</w:t>
        </w:r>
      </w:hyperlink>
      <w:r w:rsidRPr="00C6080D">
        <w:rPr>
          <w:rFonts w:ascii="FrankRuehl" w:hAnsi="FrankRuehl" w:cs="FrankRuehl"/>
          <w:rtl/>
        </w:rPr>
        <w:t xml:space="preserve">, </w:t>
      </w:r>
      <w:hyperlink r:id="rId13" w:history="1">
        <w:r w:rsidRPr="00C6080D">
          <w:rPr>
            <w:rFonts w:ascii="FrankRuehl" w:hAnsi="FrankRuehl" w:cs="FrankRuehl"/>
            <w:color w:val="0000FF"/>
            <w:u w:val="single"/>
            <w:rtl/>
          </w:rPr>
          <w:t>36א(ב)</w:t>
        </w:r>
      </w:hyperlink>
    </w:p>
    <w:p w14:paraId="4F7E8E52" w14:textId="77777777" w:rsidR="00C6080D" w:rsidRPr="00C6080D" w:rsidRDefault="00C6080D" w:rsidP="00C6080D">
      <w:pPr>
        <w:spacing w:before="120" w:after="120" w:line="240" w:lineRule="exact"/>
        <w:ind w:left="283" w:hanging="283"/>
        <w:jc w:val="both"/>
        <w:rPr>
          <w:rFonts w:ascii="FrankRuehl" w:hAnsi="FrankRuehl" w:cs="FrankRuehl"/>
          <w:rtl/>
        </w:rPr>
      </w:pPr>
      <w:hyperlink r:id="rId14" w:history="1">
        <w:r w:rsidRPr="00C6080D">
          <w:rPr>
            <w:rFonts w:ascii="FrankRuehl" w:hAnsi="FrankRuehl" w:cs="FrankRuehl"/>
            <w:color w:val="0000FF"/>
            <w:u w:val="single"/>
            <w:rtl/>
          </w:rPr>
          <w:t>חוק העונשין, תשל"ז-1977</w:t>
        </w:r>
      </w:hyperlink>
      <w:r w:rsidRPr="00C6080D">
        <w:rPr>
          <w:rFonts w:ascii="FrankRuehl" w:hAnsi="FrankRuehl" w:cs="FrankRuehl"/>
          <w:rtl/>
        </w:rPr>
        <w:t xml:space="preserve">: סע'  </w:t>
      </w:r>
      <w:hyperlink r:id="rId15" w:history="1">
        <w:r w:rsidRPr="00C6080D">
          <w:rPr>
            <w:rFonts w:ascii="FrankRuehl" w:hAnsi="FrankRuehl" w:cs="FrankRuehl"/>
            <w:color w:val="0000FF"/>
            <w:u w:val="single"/>
            <w:rtl/>
          </w:rPr>
          <w:t>29 (א)</w:t>
        </w:r>
      </w:hyperlink>
      <w:r w:rsidRPr="00C6080D">
        <w:rPr>
          <w:rFonts w:ascii="FrankRuehl" w:hAnsi="FrankRuehl" w:cs="FrankRuehl"/>
          <w:rtl/>
        </w:rPr>
        <w:t xml:space="preserve">, </w:t>
      </w:r>
      <w:hyperlink r:id="rId16" w:history="1">
        <w:r w:rsidRPr="00C6080D">
          <w:rPr>
            <w:rFonts w:ascii="FrankRuehl" w:hAnsi="FrankRuehl" w:cs="FrankRuehl"/>
            <w:color w:val="0000FF"/>
            <w:u w:val="single"/>
            <w:rtl/>
          </w:rPr>
          <w:t>40ט'</w:t>
        </w:r>
      </w:hyperlink>
      <w:r w:rsidRPr="00C6080D">
        <w:rPr>
          <w:rFonts w:ascii="FrankRuehl" w:hAnsi="FrankRuehl" w:cs="FrankRuehl"/>
          <w:rtl/>
        </w:rPr>
        <w:t xml:space="preserve">, </w:t>
      </w:r>
      <w:hyperlink r:id="rId17" w:history="1">
        <w:r w:rsidRPr="00C6080D">
          <w:rPr>
            <w:rFonts w:ascii="FrankRuehl" w:hAnsi="FrankRuehl" w:cs="FrankRuehl"/>
            <w:color w:val="0000FF"/>
            <w:u w:val="single"/>
            <w:rtl/>
          </w:rPr>
          <w:t>40יא</w:t>
        </w:r>
      </w:hyperlink>
    </w:p>
    <w:p w14:paraId="4526BF66" w14:textId="77777777" w:rsidR="00A81947" w:rsidRPr="00C6080D" w:rsidRDefault="00A81947" w:rsidP="00C6080D">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1947" w14:paraId="7A9BC381" w14:textId="77777777" w:rsidTr="00A81947">
        <w:trPr>
          <w:trHeight w:val="355"/>
          <w:jc w:val="center"/>
        </w:trPr>
        <w:tc>
          <w:tcPr>
            <w:tcW w:w="8820" w:type="dxa"/>
            <w:tcBorders>
              <w:top w:val="nil"/>
              <w:left w:val="nil"/>
              <w:bottom w:val="nil"/>
              <w:right w:val="nil"/>
            </w:tcBorders>
            <w:shd w:val="clear" w:color="auto" w:fill="auto"/>
          </w:tcPr>
          <w:p w14:paraId="7A897D33" w14:textId="77777777" w:rsidR="00BC5C98" w:rsidRPr="00BC5C98" w:rsidRDefault="00BC5C98" w:rsidP="00BC5C98">
            <w:pPr>
              <w:jc w:val="center"/>
              <w:rPr>
                <w:rFonts w:ascii="Arial" w:hAnsi="Arial" w:cs="FrankRuehl"/>
                <w:b/>
                <w:bCs/>
                <w:sz w:val="32"/>
                <w:szCs w:val="32"/>
                <w:u w:val="single"/>
                <w:rtl/>
              </w:rPr>
            </w:pPr>
            <w:bookmarkStart w:id="5" w:name="PsakDin" w:colFirst="0" w:colLast="0"/>
            <w:bookmarkEnd w:id="0"/>
            <w:r w:rsidRPr="00BC5C98">
              <w:rPr>
                <w:rFonts w:ascii="Arial" w:hAnsi="Arial" w:cs="FrankRuehl"/>
                <w:b/>
                <w:bCs/>
                <w:sz w:val="32"/>
                <w:szCs w:val="32"/>
                <w:u w:val="single"/>
                <w:rtl/>
              </w:rPr>
              <w:t>גזר דין</w:t>
            </w:r>
          </w:p>
          <w:p w14:paraId="079502DE" w14:textId="77777777" w:rsidR="00A81947" w:rsidRPr="00BC5C98" w:rsidRDefault="00A81947" w:rsidP="00BC5C98">
            <w:pPr>
              <w:jc w:val="center"/>
              <w:rPr>
                <w:rFonts w:ascii="Arial" w:hAnsi="Arial" w:cs="FrankRuehl"/>
                <w:bCs/>
                <w:sz w:val="32"/>
                <w:szCs w:val="32"/>
                <w:u w:val="single"/>
                <w:rtl/>
              </w:rPr>
            </w:pPr>
          </w:p>
        </w:tc>
      </w:tr>
      <w:bookmarkEnd w:id="5"/>
    </w:tbl>
    <w:p w14:paraId="44A8294B" w14:textId="77777777" w:rsidR="00A81947" w:rsidRPr="00B05847" w:rsidRDefault="00A81947" w:rsidP="00A81947">
      <w:pPr>
        <w:rPr>
          <w:rFonts w:ascii="Arial" w:hAnsi="Arial"/>
          <w:rtl/>
        </w:rPr>
      </w:pPr>
    </w:p>
    <w:p w14:paraId="0244FEC9" w14:textId="77777777" w:rsidR="00A81947" w:rsidRDefault="00A81947" w:rsidP="00A81947">
      <w:pPr>
        <w:spacing w:after="160" w:line="256" w:lineRule="auto"/>
        <w:rPr>
          <w:rFonts w:ascii="Calibri" w:hAnsi="Calibri" w:cs="FrankRuehl"/>
          <w:b/>
          <w:bCs/>
          <w:sz w:val="28"/>
          <w:szCs w:val="28"/>
          <w:u w:val="single"/>
          <w:rtl/>
        </w:rPr>
      </w:pPr>
    </w:p>
    <w:p w14:paraId="2BEF2503" w14:textId="77777777" w:rsidR="00A81947" w:rsidRDefault="00A81947" w:rsidP="00A81947">
      <w:pPr>
        <w:spacing w:after="160" w:line="256" w:lineRule="auto"/>
        <w:rPr>
          <w:rFonts w:ascii="Calibri" w:hAnsi="Calibri" w:cs="FrankRuehl"/>
          <w:b/>
          <w:bCs/>
          <w:sz w:val="28"/>
          <w:szCs w:val="28"/>
          <w:u w:val="single"/>
        </w:rPr>
      </w:pPr>
      <w:r>
        <w:rPr>
          <w:rFonts w:ascii="Calibri" w:hAnsi="Calibri" w:cs="FrankRuehl" w:hint="cs"/>
          <w:b/>
          <w:bCs/>
          <w:sz w:val="28"/>
          <w:szCs w:val="28"/>
          <w:u w:val="single"/>
          <w:rtl/>
        </w:rPr>
        <w:t>כתב האישום</w:t>
      </w:r>
    </w:p>
    <w:p w14:paraId="106B9C37" w14:textId="77777777" w:rsidR="00A81947" w:rsidRDefault="00A81947" w:rsidP="00A81947">
      <w:pPr>
        <w:spacing w:after="160" w:line="360" w:lineRule="auto"/>
        <w:jc w:val="both"/>
        <w:rPr>
          <w:rFonts w:ascii="Calibri" w:hAnsi="Calibri" w:cs="FrankRuehl"/>
          <w:sz w:val="28"/>
          <w:szCs w:val="28"/>
        </w:rPr>
      </w:pPr>
      <w:bookmarkStart w:id="6" w:name="ABSTRACT_START"/>
      <w:bookmarkEnd w:id="6"/>
      <w:r>
        <w:rPr>
          <w:rFonts w:ascii="Calibri" w:hAnsi="Calibri" w:cs="FrankRuehl" w:hint="cs"/>
          <w:sz w:val="28"/>
          <w:szCs w:val="28"/>
          <w:rtl/>
        </w:rPr>
        <w:t xml:space="preserve">הנאשם הורשע על פי הודאתו בכתב אישום מתוקן בעבירות של החזקת סמים שלא לצריכה עצמית, עבירה לפי </w:t>
      </w:r>
      <w:hyperlink r:id="rId18" w:history="1">
        <w:r w:rsidR="00C6080D" w:rsidRPr="00C6080D">
          <w:rPr>
            <w:rFonts w:ascii="Calibri" w:hAnsi="Calibri" w:cs="FrankRuehl" w:hint="eastAsia"/>
            <w:color w:val="0000FF"/>
            <w:sz w:val="28"/>
            <w:szCs w:val="28"/>
            <w:u w:val="single"/>
            <w:rtl/>
          </w:rPr>
          <w:t>סעיף</w:t>
        </w:r>
        <w:r w:rsidR="00C6080D" w:rsidRPr="00C6080D">
          <w:rPr>
            <w:rFonts w:ascii="Calibri" w:hAnsi="Calibri" w:cs="FrankRuehl"/>
            <w:color w:val="0000FF"/>
            <w:sz w:val="28"/>
            <w:szCs w:val="28"/>
            <w:u w:val="single"/>
            <w:rtl/>
          </w:rPr>
          <w:t xml:space="preserve"> 7(</w:t>
        </w:r>
        <w:r w:rsidR="00C6080D" w:rsidRPr="00C6080D">
          <w:rPr>
            <w:rFonts w:ascii="Calibri" w:hAnsi="Calibri" w:cs="FrankRuehl" w:hint="eastAsia"/>
            <w:color w:val="0000FF"/>
            <w:sz w:val="28"/>
            <w:szCs w:val="28"/>
            <w:u w:val="single"/>
            <w:rtl/>
          </w:rPr>
          <w:t>א</w:t>
        </w:r>
        <w:r w:rsidR="00C6080D" w:rsidRPr="00C6080D">
          <w:rPr>
            <w:rFonts w:ascii="Calibri" w:hAnsi="Calibri" w:cs="FrankRuehl"/>
            <w:color w:val="0000FF"/>
            <w:sz w:val="28"/>
            <w:szCs w:val="28"/>
            <w:u w:val="single"/>
            <w:rtl/>
          </w:rPr>
          <w:t>)</w:t>
        </w:r>
      </w:hyperlink>
      <w:r>
        <w:rPr>
          <w:rFonts w:ascii="Calibri" w:hAnsi="Calibri" w:cs="FrankRuehl" w:hint="cs"/>
          <w:sz w:val="28"/>
          <w:szCs w:val="28"/>
          <w:rtl/>
        </w:rPr>
        <w:t xml:space="preserve"> + </w:t>
      </w:r>
      <w:hyperlink r:id="rId19" w:history="1">
        <w:r w:rsidR="00C6080D" w:rsidRPr="00C6080D">
          <w:rPr>
            <w:rFonts w:ascii="Calibri" w:hAnsi="Calibri" w:cs="FrankRuehl"/>
            <w:color w:val="0000FF"/>
            <w:sz w:val="28"/>
            <w:szCs w:val="28"/>
            <w:u w:val="single"/>
            <w:rtl/>
          </w:rPr>
          <w:t>7(</w:t>
        </w:r>
        <w:r w:rsidR="00C6080D" w:rsidRPr="00C6080D">
          <w:rPr>
            <w:rFonts w:ascii="Calibri" w:hAnsi="Calibri" w:cs="FrankRuehl" w:hint="eastAsia"/>
            <w:color w:val="0000FF"/>
            <w:sz w:val="28"/>
            <w:szCs w:val="28"/>
            <w:u w:val="single"/>
            <w:rtl/>
          </w:rPr>
          <w:t>ג</w:t>
        </w:r>
        <w:r w:rsidR="00C6080D" w:rsidRPr="00C6080D">
          <w:rPr>
            <w:rFonts w:ascii="Calibri" w:hAnsi="Calibri" w:cs="FrankRuehl"/>
            <w:color w:val="0000FF"/>
            <w:sz w:val="28"/>
            <w:szCs w:val="28"/>
            <w:u w:val="single"/>
            <w:rtl/>
          </w:rPr>
          <w:t>)</w:t>
        </w:r>
      </w:hyperlink>
      <w:r>
        <w:rPr>
          <w:rFonts w:ascii="Calibri" w:hAnsi="Calibri" w:cs="FrankRuehl" w:hint="cs"/>
          <w:sz w:val="28"/>
          <w:szCs w:val="28"/>
          <w:rtl/>
        </w:rPr>
        <w:t xml:space="preserve"> רישא ל</w:t>
      </w:r>
      <w:hyperlink r:id="rId20" w:history="1">
        <w:r w:rsidR="00BC5C98" w:rsidRPr="00BC5C98">
          <w:rPr>
            <w:rFonts w:ascii="Calibri" w:hAnsi="Calibri" w:cs="FrankRuehl" w:hint="eastAsia"/>
            <w:color w:val="0000FF"/>
            <w:sz w:val="28"/>
            <w:szCs w:val="28"/>
            <w:u w:val="single"/>
            <w:rtl/>
          </w:rPr>
          <w:t>פקודת</w:t>
        </w:r>
        <w:r w:rsidR="00BC5C98" w:rsidRPr="00BC5C98">
          <w:rPr>
            <w:rFonts w:ascii="Calibri" w:hAnsi="Calibri" w:cs="FrankRuehl"/>
            <w:color w:val="0000FF"/>
            <w:sz w:val="28"/>
            <w:szCs w:val="28"/>
            <w:u w:val="single"/>
            <w:rtl/>
          </w:rPr>
          <w:t xml:space="preserve"> </w:t>
        </w:r>
        <w:r w:rsidR="00BC5C98" w:rsidRPr="00BC5C98">
          <w:rPr>
            <w:rFonts w:ascii="Calibri" w:hAnsi="Calibri" w:cs="FrankRuehl" w:hint="eastAsia"/>
            <w:color w:val="0000FF"/>
            <w:sz w:val="28"/>
            <w:szCs w:val="28"/>
            <w:u w:val="single"/>
            <w:rtl/>
          </w:rPr>
          <w:t>הסמים</w:t>
        </w:r>
        <w:r w:rsidR="00BC5C98" w:rsidRPr="00BC5C98">
          <w:rPr>
            <w:rFonts w:ascii="Calibri" w:hAnsi="Calibri" w:cs="FrankRuehl"/>
            <w:color w:val="0000FF"/>
            <w:sz w:val="28"/>
            <w:szCs w:val="28"/>
            <w:u w:val="single"/>
            <w:rtl/>
          </w:rPr>
          <w:t xml:space="preserve"> </w:t>
        </w:r>
        <w:r w:rsidR="00BC5C98" w:rsidRPr="00BC5C98">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(נוסח חדש), תשל"ג – 1973 (להלן – </w:t>
      </w:r>
      <w:r>
        <w:rPr>
          <w:rFonts w:ascii="Calibri" w:hAnsi="Calibri" w:cs="FrankRuehl" w:hint="cs"/>
          <w:b/>
          <w:bCs/>
          <w:sz w:val="28"/>
          <w:szCs w:val="28"/>
          <w:rtl/>
        </w:rPr>
        <w:t>הפקודה</w:t>
      </w:r>
      <w:r>
        <w:rPr>
          <w:rFonts w:ascii="Calibri" w:hAnsi="Calibri" w:cs="FrankRuehl" w:hint="cs"/>
          <w:sz w:val="28"/>
          <w:szCs w:val="28"/>
          <w:rtl/>
        </w:rPr>
        <w:t xml:space="preserve">), ובשלוש עבירות של סחר בסמים מסוכנים, עבירה לפי </w:t>
      </w:r>
      <w:hyperlink r:id="rId21" w:history="1">
        <w:r w:rsidR="00C6080D" w:rsidRPr="00C6080D">
          <w:rPr>
            <w:rFonts w:ascii="Calibri" w:hAnsi="Calibri" w:cs="FrankRuehl" w:hint="eastAsia"/>
            <w:color w:val="0000FF"/>
            <w:sz w:val="28"/>
            <w:szCs w:val="28"/>
            <w:u w:val="single"/>
            <w:rtl/>
          </w:rPr>
          <w:t>סעיף</w:t>
        </w:r>
        <w:r w:rsidR="00C6080D" w:rsidRPr="00C6080D">
          <w:rPr>
            <w:rFonts w:ascii="Calibri" w:hAnsi="Calibri" w:cs="FrankRuehl"/>
            <w:color w:val="0000FF"/>
            <w:sz w:val="28"/>
            <w:szCs w:val="28"/>
            <w:u w:val="single"/>
            <w:rtl/>
          </w:rPr>
          <w:t xml:space="preserve"> 13</w:t>
        </w:r>
      </w:hyperlink>
      <w:r>
        <w:rPr>
          <w:rFonts w:ascii="Calibri" w:hAnsi="Calibri" w:cs="FrankRuehl" w:hint="cs"/>
          <w:sz w:val="28"/>
          <w:szCs w:val="28"/>
          <w:rtl/>
        </w:rPr>
        <w:t xml:space="preserve"> + </w:t>
      </w:r>
      <w:hyperlink r:id="rId22" w:history="1">
        <w:r w:rsidR="00C6080D" w:rsidRPr="00C6080D">
          <w:rPr>
            <w:rFonts w:ascii="Calibri" w:hAnsi="Calibri" w:cs="FrankRuehl"/>
            <w:color w:val="0000FF"/>
            <w:sz w:val="28"/>
            <w:szCs w:val="28"/>
            <w:u w:val="single"/>
            <w:rtl/>
          </w:rPr>
          <w:t>19(</w:t>
        </w:r>
        <w:r w:rsidR="00C6080D" w:rsidRPr="00C6080D">
          <w:rPr>
            <w:rFonts w:ascii="Calibri" w:hAnsi="Calibri" w:cs="FrankRuehl" w:hint="eastAsia"/>
            <w:color w:val="0000FF"/>
            <w:sz w:val="28"/>
            <w:szCs w:val="28"/>
            <w:u w:val="single"/>
            <w:rtl/>
          </w:rPr>
          <w:t>א</w:t>
        </w:r>
        <w:r w:rsidR="00C6080D" w:rsidRPr="00C6080D">
          <w:rPr>
            <w:rFonts w:ascii="Calibri" w:hAnsi="Calibri" w:cs="FrankRuehl"/>
            <w:color w:val="0000FF"/>
            <w:sz w:val="28"/>
            <w:szCs w:val="28"/>
            <w:u w:val="single"/>
            <w:rtl/>
          </w:rPr>
          <w:t>)</w:t>
        </w:r>
      </w:hyperlink>
      <w:r>
        <w:rPr>
          <w:rFonts w:ascii="Calibri" w:hAnsi="Calibri" w:cs="FrankRuehl" w:hint="cs"/>
          <w:sz w:val="28"/>
          <w:szCs w:val="28"/>
          <w:rtl/>
        </w:rPr>
        <w:t xml:space="preserve"> לפקודה + סעיף </w:t>
      </w:r>
      <w:hyperlink r:id="rId23" w:history="1">
        <w:r w:rsidR="00C6080D" w:rsidRPr="00C6080D">
          <w:rPr>
            <w:rFonts w:ascii="Calibri" w:hAnsi="Calibri" w:cs="FrankRuehl"/>
            <w:color w:val="0000FF"/>
            <w:sz w:val="28"/>
            <w:szCs w:val="28"/>
            <w:u w:val="single"/>
            <w:rtl/>
          </w:rPr>
          <w:t>29 (</w:t>
        </w:r>
        <w:r w:rsidR="00C6080D" w:rsidRPr="00C6080D">
          <w:rPr>
            <w:rFonts w:ascii="Calibri" w:hAnsi="Calibri" w:cs="FrankRuehl" w:hint="eastAsia"/>
            <w:color w:val="0000FF"/>
            <w:sz w:val="28"/>
            <w:szCs w:val="28"/>
            <w:u w:val="single"/>
            <w:rtl/>
          </w:rPr>
          <w:t>א</w:t>
        </w:r>
        <w:r w:rsidR="00C6080D" w:rsidRPr="00C6080D">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24" w:history="1">
        <w:r w:rsidR="00BC5C98" w:rsidRPr="00BC5C98">
          <w:rPr>
            <w:rFonts w:ascii="Calibri" w:hAnsi="Calibri" w:cs="FrankRuehl" w:hint="eastAsia"/>
            <w:color w:val="0000FF"/>
            <w:sz w:val="28"/>
            <w:szCs w:val="28"/>
            <w:u w:val="single"/>
            <w:rtl/>
          </w:rPr>
          <w:t>חוק</w:t>
        </w:r>
        <w:r w:rsidR="00BC5C98" w:rsidRPr="00BC5C98">
          <w:rPr>
            <w:rFonts w:ascii="Calibri" w:hAnsi="Calibri" w:cs="FrankRuehl"/>
            <w:color w:val="0000FF"/>
            <w:sz w:val="28"/>
            <w:szCs w:val="28"/>
            <w:u w:val="single"/>
            <w:rtl/>
          </w:rPr>
          <w:t xml:space="preserve"> </w:t>
        </w:r>
        <w:r w:rsidR="00BC5C98" w:rsidRPr="00BC5C98">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תשל"ז – 1977 </w:t>
      </w:r>
      <w:bookmarkStart w:id="7" w:name="ABSTRACT_END"/>
      <w:bookmarkEnd w:id="7"/>
      <w:r>
        <w:rPr>
          <w:rFonts w:ascii="Calibri" w:hAnsi="Calibri" w:cs="FrankRuehl" w:hint="cs"/>
          <w:sz w:val="28"/>
          <w:szCs w:val="28"/>
          <w:rtl/>
        </w:rPr>
        <w:t xml:space="preserve">(להלן </w:t>
      </w:r>
      <w:r>
        <w:rPr>
          <w:rFonts w:ascii="Calibri" w:hAnsi="Calibri" w:cs="FrankRuehl"/>
          <w:sz w:val="28"/>
          <w:szCs w:val="28"/>
          <w:rtl/>
        </w:rPr>
        <w:t>–</w:t>
      </w:r>
      <w:r>
        <w:rPr>
          <w:rFonts w:ascii="Calibri" w:hAnsi="Calibri" w:cs="FrankRuehl" w:hint="cs"/>
          <w:sz w:val="28"/>
          <w:szCs w:val="28"/>
          <w:rtl/>
        </w:rPr>
        <w:t xml:space="preserve"> </w:t>
      </w:r>
      <w:r w:rsidRPr="00D13BC5">
        <w:rPr>
          <w:rFonts w:ascii="Calibri" w:hAnsi="Calibri" w:cs="FrankRuehl" w:hint="cs"/>
          <w:b/>
          <w:bCs/>
          <w:sz w:val="28"/>
          <w:szCs w:val="28"/>
          <w:rtl/>
        </w:rPr>
        <w:t>חוק העונשין</w:t>
      </w:r>
      <w:r>
        <w:rPr>
          <w:rFonts w:ascii="Calibri" w:hAnsi="Calibri" w:cs="FrankRuehl" w:hint="cs"/>
          <w:sz w:val="28"/>
          <w:szCs w:val="28"/>
          <w:rtl/>
        </w:rPr>
        <w:t>).</w:t>
      </w:r>
    </w:p>
    <w:p w14:paraId="0B54B656"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b/>
          <w:bCs/>
          <w:sz w:val="28"/>
          <w:szCs w:val="28"/>
          <w:rtl/>
        </w:rPr>
        <w:t>מעובדות האישום הראשון</w:t>
      </w:r>
      <w:r>
        <w:rPr>
          <w:rFonts w:ascii="Calibri" w:hAnsi="Calibri" w:cs="FrankRuehl" w:hint="cs"/>
          <w:sz w:val="28"/>
          <w:szCs w:val="28"/>
          <w:rtl/>
        </w:rPr>
        <w:t xml:space="preserve"> עולה, כי ביום 25.2.2019 החזיק הנאשם ברכבו 27.86 גרם קנביס כשהוא מחולק ל </w:t>
      </w:r>
      <w:r>
        <w:rPr>
          <w:rFonts w:ascii="Calibri" w:hAnsi="Calibri" w:cs="FrankRuehl"/>
          <w:sz w:val="28"/>
          <w:szCs w:val="28"/>
          <w:rtl/>
        </w:rPr>
        <w:t>–</w:t>
      </w:r>
      <w:r>
        <w:rPr>
          <w:rFonts w:ascii="Calibri" w:hAnsi="Calibri" w:cs="FrankRuehl" w:hint="cs"/>
          <w:sz w:val="28"/>
          <w:szCs w:val="28"/>
          <w:rtl/>
        </w:rPr>
        <w:t xml:space="preserve"> 4 שקיות מתחת למושב הנהג. כמו כן, החזיק הנאשם ברכבו סך של 8,140 </w:t>
      </w:r>
      <w:r>
        <w:rPr>
          <w:rFonts w:ascii="Calibri" w:hAnsi="Calibri" w:cs="FrankRuehl" w:hint="eastAsia"/>
          <w:sz w:val="28"/>
          <w:szCs w:val="28"/>
          <w:rtl/>
        </w:rPr>
        <w:t>₪</w:t>
      </w:r>
      <w:r>
        <w:rPr>
          <w:rFonts w:ascii="Calibri" w:hAnsi="Calibri" w:cs="FrankRuehl" w:hint="cs"/>
          <w:sz w:val="28"/>
          <w:szCs w:val="28"/>
          <w:rtl/>
        </w:rPr>
        <w:t xml:space="preserve">. בחיפוש שבוצע בביתו,  נמצאו 52.29 גרם קנביס, מחולקים ל </w:t>
      </w:r>
      <w:r>
        <w:rPr>
          <w:rFonts w:ascii="Calibri" w:hAnsi="Calibri" w:cs="FrankRuehl"/>
          <w:sz w:val="28"/>
          <w:szCs w:val="28"/>
          <w:rtl/>
        </w:rPr>
        <w:t>–</w:t>
      </w:r>
      <w:r>
        <w:rPr>
          <w:rFonts w:ascii="Calibri" w:hAnsi="Calibri" w:cs="FrankRuehl" w:hint="cs"/>
          <w:sz w:val="28"/>
          <w:szCs w:val="28"/>
          <w:rtl/>
        </w:rPr>
        <w:t xml:space="preserve"> 8 שקיות, מוחזקים במקומות שונים בבית. כמו כן, נמצאו 2,000 </w:t>
      </w:r>
      <w:r>
        <w:rPr>
          <w:rFonts w:ascii="Calibri" w:hAnsi="Calibri" w:cs="FrankRuehl" w:hint="eastAsia"/>
          <w:sz w:val="28"/>
          <w:szCs w:val="28"/>
          <w:rtl/>
        </w:rPr>
        <w:t>₪</w:t>
      </w:r>
      <w:r>
        <w:rPr>
          <w:rFonts w:ascii="Calibri" w:hAnsi="Calibri" w:cs="FrankRuehl" w:hint="cs"/>
          <w:sz w:val="28"/>
          <w:szCs w:val="28"/>
          <w:rtl/>
        </w:rPr>
        <w:t xml:space="preserve"> במזומן.</w:t>
      </w:r>
    </w:p>
    <w:p w14:paraId="4BE3B83D"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b/>
          <w:bCs/>
          <w:sz w:val="28"/>
          <w:szCs w:val="28"/>
          <w:rtl/>
        </w:rPr>
        <w:lastRenderedPageBreak/>
        <w:t xml:space="preserve">מעובדות האישום השני </w:t>
      </w:r>
      <w:r>
        <w:rPr>
          <w:rFonts w:ascii="Calibri" w:hAnsi="Calibri" w:cs="FrankRuehl" w:hint="cs"/>
          <w:sz w:val="28"/>
          <w:szCs w:val="28"/>
          <w:rtl/>
        </w:rPr>
        <w:t xml:space="preserve"> עולה כי ביום 25.2.2019 התקשר הנאשם עם כרמל קבסה באמצעות שימוש ביישומון הטלגרם וקבעו להיפגש לצורך ביצוע עסקה בסמים. הנאשם הגיע באמצעות רכבו למקום המפגש ומכר לכרמל 7.08 גרם קנבוס תמורת 400 </w:t>
      </w:r>
      <w:r>
        <w:rPr>
          <w:rFonts w:ascii="Calibri" w:hAnsi="Calibri" w:cs="FrankRuehl" w:hint="eastAsia"/>
          <w:sz w:val="28"/>
          <w:szCs w:val="28"/>
          <w:rtl/>
        </w:rPr>
        <w:t>₪</w:t>
      </w:r>
      <w:r>
        <w:rPr>
          <w:rFonts w:ascii="Calibri" w:hAnsi="Calibri" w:cs="FrankRuehl" w:hint="cs"/>
          <w:sz w:val="28"/>
          <w:szCs w:val="28"/>
          <w:rtl/>
        </w:rPr>
        <w:t xml:space="preserve">.  </w:t>
      </w:r>
    </w:p>
    <w:p w14:paraId="7A1FE26F"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b/>
          <w:bCs/>
          <w:sz w:val="28"/>
          <w:szCs w:val="28"/>
          <w:rtl/>
        </w:rPr>
        <w:t xml:space="preserve">מעובדות האישום השלישי </w:t>
      </w:r>
      <w:r>
        <w:rPr>
          <w:rFonts w:ascii="Calibri" w:hAnsi="Calibri" w:cs="FrankRuehl" w:hint="cs"/>
          <w:sz w:val="28"/>
          <w:szCs w:val="28"/>
          <w:rtl/>
        </w:rPr>
        <w:t xml:space="preserve"> עולה, כי ביום 25.2.2019 התקשר הנאשם עם עזרא ירמיהו שוורץ באמצעות שימוש ביישומון הטלגרם, והשניים קבעו להיפגש לצורך ביצוע עסקה בסמים. הנאשם הגיע באמצעות רכבו למקום המפגש, ומכר לעזרא 6.81 גרם קנבוס תמורת 400 </w:t>
      </w:r>
      <w:r>
        <w:rPr>
          <w:rFonts w:ascii="Calibri" w:hAnsi="Calibri" w:cs="FrankRuehl" w:hint="eastAsia"/>
          <w:sz w:val="28"/>
          <w:szCs w:val="28"/>
          <w:rtl/>
        </w:rPr>
        <w:t>₪</w:t>
      </w:r>
      <w:r>
        <w:rPr>
          <w:rFonts w:ascii="Calibri" w:hAnsi="Calibri" w:cs="FrankRuehl" w:hint="cs"/>
          <w:sz w:val="28"/>
          <w:szCs w:val="28"/>
          <w:rtl/>
        </w:rPr>
        <w:t xml:space="preserve">.  </w:t>
      </w:r>
    </w:p>
    <w:p w14:paraId="343EBA34" w14:textId="77777777" w:rsidR="00A81947" w:rsidRPr="00EC78DB" w:rsidRDefault="00A81947" w:rsidP="00A81947">
      <w:pPr>
        <w:spacing w:after="160" w:line="360" w:lineRule="auto"/>
        <w:jc w:val="both"/>
        <w:rPr>
          <w:rFonts w:ascii="Calibri" w:hAnsi="Calibri" w:cs="FrankRuehl"/>
          <w:sz w:val="28"/>
          <w:szCs w:val="28"/>
        </w:rPr>
      </w:pPr>
      <w:r>
        <w:rPr>
          <w:rFonts w:ascii="Calibri" w:hAnsi="Calibri" w:cs="FrankRuehl" w:hint="cs"/>
          <w:b/>
          <w:bCs/>
          <w:sz w:val="28"/>
          <w:szCs w:val="28"/>
          <w:rtl/>
        </w:rPr>
        <w:t>מעובדות האישום הרביעי</w:t>
      </w:r>
      <w:r>
        <w:rPr>
          <w:rFonts w:ascii="Calibri" w:hAnsi="Calibri" w:cs="FrankRuehl" w:hint="cs"/>
          <w:sz w:val="28"/>
          <w:szCs w:val="28"/>
          <w:rtl/>
        </w:rPr>
        <w:t xml:space="preserve"> עולה כי ביום 25.2.2019 התקשר הנאשם עם אריה נתן בניים באמצעות שימוש ביישומון הטלגרם והשניים להיפגש לצורך ביצוע עסקה בסמים. הנאשם הגיע באמצעות רכבו למקום המפגש ומכר לאריה 7.08 גרם קנבוס תמורת 400 </w:t>
      </w:r>
      <w:r>
        <w:rPr>
          <w:rFonts w:ascii="Calibri" w:hAnsi="Calibri" w:cs="FrankRuehl" w:hint="eastAsia"/>
          <w:sz w:val="28"/>
          <w:szCs w:val="28"/>
          <w:rtl/>
        </w:rPr>
        <w:t>₪</w:t>
      </w:r>
      <w:r>
        <w:rPr>
          <w:rFonts w:ascii="Calibri" w:hAnsi="Calibri" w:cs="FrankRuehl" w:hint="cs"/>
          <w:sz w:val="28"/>
          <w:szCs w:val="28"/>
          <w:rtl/>
        </w:rPr>
        <w:t xml:space="preserve">.  </w:t>
      </w:r>
    </w:p>
    <w:p w14:paraId="657A3CB9" w14:textId="77777777" w:rsidR="00A81947" w:rsidRDefault="00A81947" w:rsidP="00A81947">
      <w:pPr>
        <w:spacing w:after="160"/>
        <w:jc w:val="both"/>
        <w:rPr>
          <w:rFonts w:ascii="Calibri" w:hAnsi="Calibri" w:cs="FrankRuehl"/>
          <w:b/>
          <w:bCs/>
          <w:sz w:val="28"/>
          <w:szCs w:val="28"/>
          <w:u w:val="single"/>
          <w:rtl/>
        </w:rPr>
      </w:pPr>
    </w:p>
    <w:p w14:paraId="1D786B43" w14:textId="77777777" w:rsidR="00A81947" w:rsidRDefault="00A81947" w:rsidP="00A81947">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מהלך הדיון</w:t>
      </w:r>
    </w:p>
    <w:p w14:paraId="2FB7ABF4" w14:textId="77777777" w:rsidR="00A81947" w:rsidRDefault="00A81947" w:rsidP="00A81947">
      <w:pPr>
        <w:spacing w:after="160" w:line="360" w:lineRule="auto"/>
        <w:jc w:val="both"/>
        <w:rPr>
          <w:rFonts w:ascii="FrankRuehl" w:hAnsi="FrankRuehl" w:cs="FrankRuehl"/>
          <w:sz w:val="28"/>
          <w:szCs w:val="28"/>
          <w:rtl/>
        </w:rPr>
      </w:pPr>
      <w:r>
        <w:rPr>
          <w:rFonts w:ascii="Calibri" w:hAnsi="Calibri" w:cs="FrankRuehl" w:hint="cs"/>
          <w:sz w:val="28"/>
          <w:szCs w:val="28"/>
          <w:rtl/>
        </w:rPr>
        <w:t xml:space="preserve">הנאשם נעצר ביום 26.2.2019 ושהה במעצר במסגרת הליך מעצר הימים עד ליום 6.3.2019. באותו יום הוגש כתב האישום יחד עם בקשה למעצר עד תום ההליכים נגדו. ביום 7.4.2019 שוחרר הנאשם למעצר בית מלא בפיקוח. ביום 27.8.2019 הקלתי בתנאי מעצר הבית, בכך שאפשרתי לנאשם לצאת מהבית בפיקוח בין השעות 07:00 </w:t>
      </w:r>
      <w:r>
        <w:rPr>
          <w:rFonts w:ascii="Calibri" w:hAnsi="Calibri" w:cs="FrankRuehl"/>
          <w:sz w:val="28"/>
          <w:szCs w:val="28"/>
          <w:rtl/>
        </w:rPr>
        <w:t>–</w:t>
      </w:r>
      <w:r>
        <w:rPr>
          <w:rFonts w:ascii="Calibri" w:hAnsi="Calibri" w:cs="FrankRuehl" w:hint="cs"/>
          <w:sz w:val="28"/>
          <w:szCs w:val="28"/>
          <w:rtl/>
        </w:rPr>
        <w:t xml:space="preserve"> 14:00.</w:t>
      </w:r>
    </w:p>
    <w:p w14:paraId="344C757A" w14:textId="77777777" w:rsidR="00A81947" w:rsidRDefault="00A81947" w:rsidP="00A81947">
      <w:pPr>
        <w:spacing w:after="160"/>
        <w:jc w:val="both"/>
        <w:rPr>
          <w:rFonts w:ascii="Calibri" w:hAnsi="Calibri" w:cs="FrankRuehl"/>
          <w:b/>
          <w:bCs/>
          <w:sz w:val="28"/>
          <w:szCs w:val="28"/>
          <w:u w:val="single"/>
          <w:rtl/>
        </w:rPr>
      </w:pPr>
    </w:p>
    <w:p w14:paraId="744387E2" w14:textId="77777777" w:rsidR="00A81947" w:rsidRDefault="00A81947" w:rsidP="00A81947">
      <w:pPr>
        <w:spacing w:after="160" w:line="360" w:lineRule="auto"/>
        <w:jc w:val="both"/>
        <w:rPr>
          <w:rFonts w:ascii="Calibri" w:hAnsi="Calibri" w:cs="FrankRuehl"/>
          <w:b/>
          <w:bCs/>
          <w:sz w:val="28"/>
          <w:szCs w:val="28"/>
          <w:u w:val="single"/>
        </w:rPr>
      </w:pPr>
      <w:r>
        <w:rPr>
          <w:rFonts w:ascii="Calibri" w:hAnsi="Calibri" w:cs="FrankRuehl" w:hint="cs"/>
          <w:b/>
          <w:bCs/>
          <w:sz w:val="28"/>
          <w:szCs w:val="28"/>
          <w:u w:val="single"/>
          <w:rtl/>
        </w:rPr>
        <w:t>תסקיר שירות המבחן</w:t>
      </w:r>
    </w:p>
    <w:p w14:paraId="5DC0DCA4"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מהתסקיר שהוגש בעניינו של הנאשם עולה, כי הוא בן 21, רווק , בן להורים גרושים שגדל בצפת. שירות המבחן גולל את קורותיו וקורות משפחתו של הנאשם, ותיאר תמונה משפחתית מורכבת. הנאשם החל לצרוך סמים בגיל 17. הוא התגייס לשירות צבאי אך שוחרר בשל נסיבות אישיות לאחר כשנה. לאחר מכן עבד בעבודות שונות והתגורר מחוץ לבית הוריו. הנאשם נעדר עבר פלילי. הנאשם טען כי ביצע את העבירות משום שביקש להשיג כסף קל ומהיר. השירות התרשם כי הנאשם נטל אחריות מלאה למעשיו והביע עליהם חרטה וצער. שירות המבחן עמד על כך שלנאשם יכולת להתבוננות ביקורתית על חייו ורצון לשקמם. הנאשם השתלב בטיפול בהתמכרויות ועד כה שיתף פעולה עם התכנית הטיפולית. נוכח גילו הצעיר, סבר שירות המבחן, כי הנאשם זקוק למסגרת אשר תסייע לו לגבש זהות בוגרת ועצמאית, ולכן הומלץ על הטלת צו מבחן למשך שנה וחצי במהלכה ישולב בטיפול, וכן של"צ בהיקף של 250 שעות.</w:t>
      </w:r>
    </w:p>
    <w:p w14:paraId="4ADD5D03" w14:textId="77777777" w:rsidR="00A81947" w:rsidRDefault="00A81947" w:rsidP="00A81947">
      <w:pPr>
        <w:spacing w:after="160"/>
        <w:jc w:val="both"/>
        <w:rPr>
          <w:rFonts w:ascii="Calibri" w:hAnsi="Calibri" w:cs="FrankRuehl"/>
          <w:b/>
          <w:bCs/>
          <w:sz w:val="28"/>
          <w:szCs w:val="28"/>
          <w:u w:val="single"/>
          <w:rtl/>
        </w:rPr>
      </w:pPr>
    </w:p>
    <w:p w14:paraId="29462956" w14:textId="77777777" w:rsidR="00A81947" w:rsidRDefault="00A81947" w:rsidP="00A81947">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חוות דעת הממונה לעבודות שירות</w:t>
      </w:r>
    </w:p>
    <w:p w14:paraId="03AC9BA4" w14:textId="77777777" w:rsidR="00A81947" w:rsidRPr="00EC78DB"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 xml:space="preserve">הנאשם נמצא כשיר לביצוע עבודות שירות וניתן להציבו בחברת קדישא </w:t>
      </w:r>
      <w:r>
        <w:rPr>
          <w:rFonts w:ascii="Calibri" w:hAnsi="Calibri" w:cs="FrankRuehl"/>
          <w:sz w:val="28"/>
          <w:szCs w:val="28"/>
          <w:rtl/>
        </w:rPr>
        <w:t>–</w:t>
      </w:r>
      <w:r>
        <w:rPr>
          <w:rFonts w:ascii="Calibri" w:hAnsi="Calibri" w:cs="FrankRuehl" w:hint="cs"/>
          <w:sz w:val="28"/>
          <w:szCs w:val="28"/>
          <w:rtl/>
        </w:rPr>
        <w:t xml:space="preserve"> חיפה החל מיום 20.1.2020.</w:t>
      </w:r>
    </w:p>
    <w:p w14:paraId="0FDB9C6D" w14:textId="77777777" w:rsidR="00A81947" w:rsidRDefault="00A81947" w:rsidP="00A81947">
      <w:pPr>
        <w:spacing w:after="160" w:line="360" w:lineRule="auto"/>
        <w:jc w:val="both"/>
        <w:rPr>
          <w:rFonts w:ascii="Calibri" w:hAnsi="Calibri" w:cs="FrankRuehl"/>
          <w:b/>
          <w:bCs/>
          <w:sz w:val="28"/>
          <w:szCs w:val="28"/>
          <w:u w:val="single"/>
          <w:rtl/>
        </w:rPr>
      </w:pPr>
    </w:p>
    <w:p w14:paraId="770CBDC3" w14:textId="77777777" w:rsidR="00A81947" w:rsidRDefault="00A81947" w:rsidP="00A81947">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ראיות וטיעונים לעונש</w:t>
      </w:r>
    </w:p>
    <w:p w14:paraId="3ED8DC93"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 xml:space="preserve">הצדדים לא הגיעו להסכמה עונשית. </w:t>
      </w:r>
    </w:p>
    <w:p w14:paraId="2092BB43"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במסגרת ראיות לעונש שמעתי את אמו של הנאשם, אשר סיפרה על נסיבות חייו של הנאשם וכן על המורכבות המשפחתית, על רקע שוני והתרחקות באורחות החיים של הנאשם ביחס להוריו, שהביא לניתוק ולאובדן קשר ביניהם, בין היתר, בתקופה הרלבנטית שבה בוצעו העבירות. בעקבות ההליכים כאן, חודש הקשר וכיום תיארה האם קיומם של קשרים קרובים בין הנאשם להוריו.</w:t>
      </w:r>
    </w:p>
    <w:p w14:paraId="3826B43C" w14:textId="77777777" w:rsidR="00A81947" w:rsidRDefault="00A81947" w:rsidP="00A81947">
      <w:pPr>
        <w:spacing w:after="160"/>
        <w:jc w:val="both"/>
        <w:rPr>
          <w:rFonts w:ascii="Calibri" w:hAnsi="Calibri" w:cs="FrankRuehl"/>
          <w:sz w:val="28"/>
          <w:szCs w:val="28"/>
          <w:rtl/>
        </w:rPr>
      </w:pPr>
    </w:p>
    <w:p w14:paraId="3FDD32CB"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 xml:space="preserve">אשר לטיעונים לעונש, מחד, ב"כ המאשימה טען, כי יש לקבוע מתחם ענישה שנע בין 6 ל </w:t>
      </w:r>
      <w:r>
        <w:rPr>
          <w:rFonts w:ascii="Calibri" w:hAnsi="Calibri" w:cs="FrankRuehl"/>
          <w:sz w:val="28"/>
          <w:szCs w:val="28"/>
          <w:rtl/>
        </w:rPr>
        <w:t>–</w:t>
      </w:r>
      <w:r>
        <w:rPr>
          <w:rFonts w:ascii="Calibri" w:hAnsi="Calibri" w:cs="FrankRuehl" w:hint="cs"/>
          <w:sz w:val="28"/>
          <w:szCs w:val="28"/>
          <w:rtl/>
        </w:rPr>
        <w:t xml:space="preserve"> 12 חודשים בפועל לכל אישום של סחר בסמים, ומתחם שנע בין 8 ל- 20 חודשי מאסר בפועל בגין עבירה של החזקת סמים שלא לצריכה עצמית, ועתר להטיל על הנאשם עונש מאסר מצטבר ולהכריז עליו כסוחר סמים. בנקודה זו טען הסניגור, כי במסגרת ההסדר אליו הגיעו הצדדים לא הוסכם על הכרזה על הנאשם כ"סוחר סמים", והיפנה בהקשר זה לפרוטוקול. </w:t>
      </w:r>
    </w:p>
    <w:p w14:paraId="23F27D26" w14:textId="77777777" w:rsidR="00A81947" w:rsidRDefault="00A81947" w:rsidP="00A81947">
      <w:pPr>
        <w:spacing w:after="160" w:line="360" w:lineRule="auto"/>
        <w:jc w:val="both"/>
        <w:rPr>
          <w:rFonts w:ascii="Calibri" w:hAnsi="Calibri" w:cs="FrankRuehl"/>
          <w:sz w:val="28"/>
          <w:szCs w:val="28"/>
          <w:rtl/>
        </w:rPr>
      </w:pPr>
      <w:r>
        <w:rPr>
          <w:rFonts w:ascii="Calibri" w:hAnsi="Calibri" w:cs="FrankRuehl" w:hint="cs"/>
          <w:sz w:val="28"/>
          <w:szCs w:val="28"/>
          <w:rtl/>
        </w:rPr>
        <w:t>מאידך, הסניגור טען, כי יש לאמץ את המלצת שירות המבחן ולהטיל על הנאשם של"צ, זאת בשל נסיבות חייו המפורטות, גילו הצעיר והיעדר עבר פלילי.</w:t>
      </w:r>
    </w:p>
    <w:p w14:paraId="28B7E7C2" w14:textId="77777777" w:rsidR="00A81947" w:rsidRDefault="00A81947" w:rsidP="00A81947">
      <w:pPr>
        <w:spacing w:after="160"/>
        <w:jc w:val="both"/>
        <w:rPr>
          <w:rFonts w:ascii="Calibri" w:hAnsi="Calibri" w:cs="FrankRuehl"/>
          <w:b/>
          <w:bCs/>
          <w:sz w:val="28"/>
          <w:szCs w:val="28"/>
          <w:u w:val="single"/>
          <w:rtl/>
        </w:rPr>
      </w:pPr>
    </w:p>
    <w:p w14:paraId="3242C5DC" w14:textId="77777777" w:rsidR="00A81947" w:rsidRDefault="00A81947" w:rsidP="00A81947">
      <w:pPr>
        <w:spacing w:after="160" w:line="360" w:lineRule="auto"/>
        <w:jc w:val="both"/>
        <w:rPr>
          <w:rFonts w:ascii="Calibri" w:hAnsi="Calibri" w:cs="FrankRuehl"/>
          <w:b/>
          <w:bCs/>
          <w:sz w:val="28"/>
          <w:szCs w:val="28"/>
          <w:u w:val="single"/>
          <w:rtl/>
        </w:rPr>
      </w:pPr>
      <w:r>
        <w:rPr>
          <w:rFonts w:ascii="Calibri" w:hAnsi="Calibri" w:cs="FrankRuehl" w:hint="cs"/>
          <w:b/>
          <w:bCs/>
          <w:sz w:val="28"/>
          <w:szCs w:val="28"/>
          <w:u w:val="single"/>
          <w:rtl/>
        </w:rPr>
        <w:t xml:space="preserve">קביעת מתחם הענישה </w:t>
      </w:r>
      <w:r>
        <w:rPr>
          <w:rFonts w:ascii="Calibri" w:hAnsi="Calibri"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6AD4E3B" w14:textId="77777777" w:rsidR="00A81947" w:rsidRDefault="00A81947" w:rsidP="00A81947">
      <w:pPr>
        <w:spacing w:after="160"/>
        <w:jc w:val="both"/>
        <w:rPr>
          <w:rFonts w:ascii="Calibri" w:hAnsi="Calibri" w:cs="FrankRuehl"/>
          <w:b/>
          <w:bCs/>
          <w:sz w:val="28"/>
          <w:szCs w:val="28"/>
          <w:u w:val="single"/>
          <w:rtl/>
        </w:rPr>
      </w:pPr>
    </w:p>
    <w:p w14:paraId="019F07F3" w14:textId="77777777" w:rsidR="00A81947" w:rsidRDefault="00A81947" w:rsidP="00A81947">
      <w:pPr>
        <w:spacing w:after="160" w:line="360" w:lineRule="auto"/>
        <w:jc w:val="both"/>
        <w:rPr>
          <w:rFonts w:ascii="FrankRuehl" w:hAnsi="FrankRuehl" w:cs="FrankRuehl"/>
          <w:b/>
          <w:bCs/>
          <w:sz w:val="28"/>
          <w:szCs w:val="28"/>
          <w:u w:val="single"/>
        </w:rPr>
      </w:pPr>
      <w:r>
        <w:rPr>
          <w:rFonts w:ascii="FrankRuehl" w:hAnsi="FrankRuehl" w:cs="FrankRuehl" w:hint="cs"/>
          <w:b/>
          <w:bCs/>
          <w:sz w:val="28"/>
          <w:szCs w:val="28"/>
          <w:u w:val="single"/>
          <w:rtl/>
        </w:rPr>
        <w:t xml:space="preserve">קביעת מתחם הענישה </w:t>
      </w:r>
      <w:r>
        <w:rPr>
          <w:rFonts w:ascii="FrankRuehl" w:hAnsi="FrankRuehl"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D00B8F0" w14:textId="77777777" w:rsidR="00A81947" w:rsidRDefault="00A81947" w:rsidP="00A81947">
      <w:pPr>
        <w:spacing w:after="160"/>
        <w:jc w:val="both"/>
        <w:rPr>
          <w:rFonts w:ascii="FrankRuehl" w:hAnsi="FrankRuehl" w:cs="FrankRuehl"/>
          <w:b/>
          <w:bCs/>
          <w:sz w:val="28"/>
          <w:szCs w:val="28"/>
          <w:u w:val="single"/>
          <w:rtl/>
        </w:rPr>
      </w:pPr>
    </w:p>
    <w:p w14:paraId="2FC3A9DA" w14:textId="77777777" w:rsidR="00A81947" w:rsidRDefault="00A81947" w:rsidP="00A81947">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אשר לערך המוגן </w:t>
      </w:r>
      <w:r>
        <w:rPr>
          <w:rFonts w:ascii="FrankRuehl" w:hAnsi="FrankRuehl" w:cs="FrankRuehl" w:hint="cs"/>
          <w:sz w:val="28"/>
          <w:szCs w:val="28"/>
          <w:rtl/>
        </w:rPr>
        <w:t>– סחר בסמים הוא רעה חולה, שתפוצתה נרחבת ביותר ונזקיה למשתמשים, חדשים כוותיקים, הם רבים וקשים. אך לאחרונה, יחסית, נתן דעתו בית המשפט העליון על החומרה שבהפצת סמים באמצעים אלקטרוניים דוגמת אפליקציית טלגראם, כאמצעי קל ו"נקי" לכאורה לביצוע עבירות אלו:</w:t>
      </w:r>
    </w:p>
    <w:p w14:paraId="0057ED43" w14:textId="77777777" w:rsidR="00A81947" w:rsidRDefault="00A81947" w:rsidP="00A81947">
      <w:pPr>
        <w:ind w:left="680" w:right="680"/>
        <w:jc w:val="both"/>
        <w:rPr>
          <w:rFonts w:ascii="FrankRuehl" w:hAnsi="FrankRuehl" w:cs="FrankRuehl"/>
          <w:sz w:val="28"/>
          <w:szCs w:val="28"/>
        </w:rPr>
      </w:pPr>
      <w:r>
        <w:rPr>
          <w:rFonts w:ascii="FrankRuehl" w:hAnsi="FrankRuehl" w:cs="FrankRuehl" w:hint="cs"/>
          <w:sz w:val="28"/>
          <w:szCs w:val="28"/>
          <w:rtl/>
        </w:rPr>
        <w:t>"לפני סיום, ארשום הערת אזהרה לפני הצרכנים והמשתמשים.</w:t>
      </w:r>
    </w:p>
    <w:p w14:paraId="4835C761" w14:textId="77777777" w:rsidR="00A81947" w:rsidRDefault="00A81947" w:rsidP="00A81947">
      <w:pPr>
        <w:ind w:left="680" w:right="680"/>
        <w:jc w:val="both"/>
        <w:rPr>
          <w:rFonts w:ascii="FrankRuehl" w:hAnsi="FrankRuehl" w:cs="FrankRuehl"/>
          <w:sz w:val="28"/>
          <w:szCs w:val="28"/>
          <w:rtl/>
        </w:rPr>
      </w:pPr>
      <w:r>
        <w:rPr>
          <w:rFonts w:ascii="FrankRuehl" w:hAnsi="FrankRuehl" w:cs="FrankRuehl" w:hint="cs"/>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שהגם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Pr>
          <w:rFonts w:ascii="FrankRuehl" w:hAnsi="FrankRuehl" w:cs="FrankRuehl" w:hint="cs"/>
          <w:b/>
          <w:bCs/>
          <w:sz w:val="28"/>
          <w:szCs w:val="28"/>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רבה עבירות של סחר והפצה של סמים מסוכנים, גם סמים "קלים", תוך הטלת ענישה משמעותית ומרתיעה. צרכנים ומשתמשים – ראו הוזהרתם</w:t>
      </w:r>
      <w:r>
        <w:rPr>
          <w:rFonts w:ascii="FrankRuehl" w:hAnsi="FrankRuehl" w:cs="FrankRuehl" w:hint="cs"/>
          <w:sz w:val="28"/>
          <w:szCs w:val="28"/>
          <w:rtl/>
        </w:rPr>
        <w:t>" [</w:t>
      </w:r>
      <w:hyperlink r:id="rId25" w:history="1">
        <w:r w:rsidR="00BC5C98" w:rsidRPr="00BC5C98">
          <w:rPr>
            <w:rFonts w:ascii="FrankRuehl" w:hAnsi="FrankRuehl" w:cs="FrankRuehl"/>
            <w:color w:val="0000FF"/>
            <w:sz w:val="28"/>
            <w:szCs w:val="28"/>
            <w:u w:val="single"/>
            <w:rtl/>
          </w:rPr>
          <w:t>ע"פ 2596/18</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זנזורי</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12.8.2018) בפסקה 8 – ההדגשות הוספו].</w:t>
      </w:r>
    </w:p>
    <w:p w14:paraId="522EBC3D" w14:textId="77777777" w:rsidR="00A81947" w:rsidRDefault="00A81947" w:rsidP="00A81947">
      <w:pPr>
        <w:spacing w:line="360" w:lineRule="auto"/>
        <w:jc w:val="both"/>
        <w:rPr>
          <w:rFonts w:ascii="FrankRuehl" w:hAnsi="FrankRuehl" w:cs="FrankRuehl"/>
          <w:sz w:val="28"/>
          <w:szCs w:val="28"/>
          <w:rtl/>
        </w:rPr>
      </w:pPr>
    </w:p>
    <w:p w14:paraId="65F85CE1" w14:textId="77777777" w:rsidR="00A81947" w:rsidRDefault="00A81947" w:rsidP="00A81947">
      <w:pPr>
        <w:jc w:val="both"/>
        <w:rPr>
          <w:rFonts w:ascii="FrankRuehl" w:hAnsi="FrankRuehl" w:cs="FrankRuehl"/>
          <w:sz w:val="28"/>
          <w:szCs w:val="28"/>
          <w:rtl/>
        </w:rPr>
      </w:pPr>
    </w:p>
    <w:p w14:paraId="04101316" w14:textId="77777777" w:rsidR="00A81947" w:rsidRDefault="00A81947" w:rsidP="00A81947">
      <w:pPr>
        <w:spacing w:after="160"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נסיבות הקשורות בביצוע העבירה, לפי </w:t>
      </w:r>
      <w:hyperlink r:id="rId26" w:history="1">
        <w:r w:rsidR="00C6080D" w:rsidRPr="00C6080D">
          <w:rPr>
            <w:rFonts w:ascii="FrankRuehl" w:hAnsi="FrankRuehl" w:cs="FrankRuehl"/>
            <w:b/>
            <w:bCs/>
            <w:color w:val="0000FF"/>
            <w:sz w:val="28"/>
            <w:szCs w:val="28"/>
            <w:u w:val="single"/>
            <w:rtl/>
          </w:rPr>
          <w:t>סעיף 40ט'</w:t>
        </w:r>
      </w:hyperlink>
      <w:r>
        <w:rPr>
          <w:rFonts w:ascii="FrankRuehl" w:hAnsi="FrankRuehl" w:cs="FrankRuehl" w:hint="cs"/>
          <w:b/>
          <w:bCs/>
          <w:sz w:val="28"/>
          <w:szCs w:val="28"/>
          <w:u w:val="single"/>
          <w:rtl/>
        </w:rPr>
        <w:t xml:space="preserve"> ל</w:t>
      </w:r>
      <w:hyperlink r:id="rId27" w:history="1">
        <w:r w:rsidR="00BC5C98" w:rsidRPr="00BC5C98">
          <w:rPr>
            <w:rFonts w:ascii="FrankRuehl" w:hAnsi="FrankRuehl" w:cs="FrankRuehl"/>
            <w:b/>
            <w:bCs/>
            <w:color w:val="0000FF"/>
            <w:sz w:val="28"/>
            <w:szCs w:val="28"/>
            <w:u w:val="single"/>
            <w:rtl/>
          </w:rPr>
          <w:t>חוק העונשין</w:t>
        </w:r>
      </w:hyperlink>
      <w:r>
        <w:rPr>
          <w:rFonts w:ascii="FrankRuehl" w:hAnsi="FrankRuehl" w:cs="FrankRuehl" w:hint="cs"/>
          <w:b/>
          <w:bCs/>
          <w:sz w:val="28"/>
          <w:szCs w:val="28"/>
          <w:rtl/>
        </w:rPr>
        <w:t xml:space="preserve"> – </w:t>
      </w:r>
      <w:r>
        <w:rPr>
          <w:rFonts w:ascii="FrankRuehl" w:hAnsi="FrankRuehl" w:cs="FrankRuehl" w:hint="cs"/>
          <w:sz w:val="28"/>
          <w:szCs w:val="28"/>
          <w:rtl/>
        </w:rPr>
        <w:t>בין הנסיבות הקשורות בביצוע העבירה יש לשקול את אלה, לעניין קביעת המתחם: הנאשם צריך היה להימנע מביצוע המעשים בהיותם בלתי חוקיים אלא שמדובר באדם צעיר מאוד בתחילת שנות העשרים לחייו, והוא פעל בחוסר שיקול דעת, המאפיין לעתים קרובות, בני גיל זה; גם אם מדובר בסם "קל" מסוג קנביס, העובדה שמדובר בהחזקת כמות שלא לצריכה עצמית, ובסחר במספר הזדמנויות באופן מתוכנן ומתוחכם לשם בצע כסף, מהוות כולן נסיבות לחומרה; הנזק מסחר בסמים ידוע וקשה.</w:t>
      </w:r>
    </w:p>
    <w:p w14:paraId="77B8E351" w14:textId="77777777" w:rsidR="00A81947" w:rsidRDefault="00A81947" w:rsidP="00A81947">
      <w:pPr>
        <w:spacing w:after="160"/>
        <w:jc w:val="both"/>
        <w:rPr>
          <w:rFonts w:ascii="FrankRuehl" w:hAnsi="FrankRuehl" w:cs="FrankRuehl"/>
          <w:b/>
          <w:bCs/>
          <w:sz w:val="28"/>
          <w:szCs w:val="28"/>
          <w:u w:val="single"/>
          <w:rtl/>
        </w:rPr>
      </w:pPr>
    </w:p>
    <w:p w14:paraId="0AF5A0B3" w14:textId="77777777" w:rsidR="00A81947" w:rsidRDefault="00A81947" w:rsidP="00A81947">
      <w:pPr>
        <w:spacing w:after="160" w:line="360" w:lineRule="auto"/>
        <w:jc w:val="both"/>
        <w:rPr>
          <w:rFonts w:ascii="FrankRuehl" w:hAnsi="FrankRuehl" w:cs="FrankRuehl"/>
          <w:sz w:val="28"/>
          <w:szCs w:val="28"/>
          <w:rtl/>
        </w:rPr>
      </w:pPr>
      <w:r>
        <w:rPr>
          <w:rFonts w:ascii="FrankRuehl" w:hAnsi="FrankRuehl" w:cs="FrankRuehl" w:hint="cs"/>
          <w:b/>
          <w:bCs/>
          <w:sz w:val="28"/>
          <w:szCs w:val="28"/>
          <w:u w:val="single"/>
          <w:rtl/>
        </w:rPr>
        <w:t>מדיניות הענישה הנוהגת</w:t>
      </w:r>
      <w:r>
        <w:rPr>
          <w:rFonts w:ascii="FrankRuehl" w:hAnsi="FrankRuehl" w:cs="FrankRuehl" w:hint="cs"/>
          <w:b/>
          <w:bCs/>
          <w:sz w:val="28"/>
          <w:szCs w:val="28"/>
          <w:rtl/>
        </w:rPr>
        <w:t xml:space="preserve"> – </w:t>
      </w:r>
      <w:r>
        <w:rPr>
          <w:rFonts w:ascii="FrankRuehl" w:hAnsi="FrankRuehl" w:cs="FrankRuehl" w:hint="cs"/>
          <w:sz w:val="28"/>
          <w:szCs w:val="28"/>
          <w:rtl/>
        </w:rPr>
        <w:t xml:space="preserve">הכלל בעבירות סחר בסמים הוא מאסר בפועל, כשלרוב, יש לתת בכורה לשיקולי הרתעה וגמול, על-פני האינטרסים האישיים של נאשם, לרבות שיקומו. ר' בהקשר זה: רע"פ 3343/17 </w:t>
      </w:r>
      <w:r>
        <w:rPr>
          <w:rFonts w:ascii="FrankRuehl" w:hAnsi="FrankRuehl" w:cs="FrankRuehl" w:hint="cs"/>
          <w:b/>
          <w:bCs/>
          <w:sz w:val="28"/>
          <w:szCs w:val="28"/>
          <w:u w:val="single"/>
          <w:rtl/>
        </w:rPr>
        <w:t>מכאוי</w:t>
      </w:r>
      <w:r>
        <w:rPr>
          <w:rFonts w:ascii="FrankRuehl" w:hAnsi="FrankRuehl" w:cs="FrankRuehl" w:hint="cs"/>
          <w:sz w:val="28"/>
          <w:szCs w:val="28"/>
          <w:rtl/>
        </w:rPr>
        <w:t xml:space="preserve"> נ' </w:t>
      </w:r>
      <w:r>
        <w:rPr>
          <w:rFonts w:ascii="FrankRuehl" w:hAnsi="FrankRuehl" w:cs="FrankRuehl" w:hint="cs"/>
          <w:b/>
          <w:bCs/>
          <w:sz w:val="28"/>
          <w:szCs w:val="28"/>
          <w:u w:val="single"/>
          <w:rtl/>
        </w:rPr>
        <w:t>מ"</w:t>
      </w:r>
      <w:r>
        <w:rPr>
          <w:rFonts w:ascii="FrankRuehl" w:hAnsi="FrankRuehl" w:cs="FrankRuehl" w:hint="cs"/>
          <w:sz w:val="28"/>
          <w:szCs w:val="28"/>
          <w:rtl/>
        </w:rPr>
        <w:t>י (מיום 26.7.2017). ב</w:t>
      </w:r>
      <w:hyperlink r:id="rId28" w:history="1">
        <w:r w:rsidR="00BC5C98" w:rsidRPr="00BC5C98">
          <w:rPr>
            <w:rFonts w:ascii="FrankRuehl" w:hAnsi="FrankRuehl" w:cs="FrankRuehl"/>
            <w:color w:val="0000FF"/>
            <w:sz w:val="28"/>
            <w:szCs w:val="28"/>
            <w:u w:val="single"/>
            <w:rtl/>
          </w:rPr>
          <w:t>רע"פ 7996/12</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יוסף</w:t>
      </w:r>
      <w:r>
        <w:rPr>
          <w:rFonts w:ascii="FrankRuehl" w:hAnsi="FrankRuehl" w:cs="FrankRuehl" w:hint="cs"/>
          <w:sz w:val="28"/>
          <w:szCs w:val="28"/>
          <w:rtl/>
        </w:rPr>
        <w:t xml:space="preserve"> נ' </w:t>
      </w:r>
      <w:r>
        <w:rPr>
          <w:rFonts w:ascii="FrankRuehl" w:hAnsi="FrankRuehl" w:cs="FrankRuehl" w:hint="cs"/>
          <w:b/>
          <w:bCs/>
          <w:sz w:val="28"/>
          <w:szCs w:val="28"/>
          <w:u w:val="single"/>
          <w:rtl/>
        </w:rPr>
        <w:t>מ"</w:t>
      </w:r>
      <w:r>
        <w:rPr>
          <w:rFonts w:ascii="FrankRuehl" w:hAnsi="FrankRuehl" w:cs="FrankRuehl" w:hint="cs"/>
          <w:sz w:val="28"/>
          <w:szCs w:val="28"/>
          <w:rtl/>
        </w:rPr>
        <w:t>י (מיום 23.1.2013) נקבע מתחם ענישה בין 7 ל-18 חודשים בנסיבות של 4 מקרי סחר בחשיש וסחר בקוקאין (גרמים בודדים), והנאשם נדון ל-21 חודשי מאסר בגין מעשים נוספים; ב</w:t>
      </w:r>
      <w:hyperlink r:id="rId29" w:history="1">
        <w:r w:rsidR="00BC5C98" w:rsidRPr="00BC5C98">
          <w:rPr>
            <w:rFonts w:ascii="FrankRuehl" w:hAnsi="FrankRuehl" w:cs="FrankRuehl"/>
            <w:color w:val="0000FF"/>
            <w:sz w:val="28"/>
            <w:szCs w:val="28"/>
            <w:u w:val="single"/>
            <w:rtl/>
          </w:rPr>
          <w:t>רע"פ 1370/17</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בן נעים</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20.4.2017) נדון אדם ל-16 חודשי מאסר וחילוט, על בסיס מתחם שבין 12 ל-24 חודשי מאסר לגבי ריבוי מקרים של סחר בחשיש, לרבות בפלטת חשיש. יצוין, כי להבדיל ממקרנו, באותו מקרה דובר גם באישום של סחר בלמעלה מקילוגרם חשיש; ב</w:t>
      </w:r>
      <w:hyperlink r:id="rId30" w:history="1">
        <w:r w:rsidR="00BC5C98" w:rsidRPr="00BC5C98">
          <w:rPr>
            <w:rFonts w:ascii="FrankRuehl" w:hAnsi="FrankRuehl" w:cs="FrankRuehl"/>
            <w:color w:val="0000FF"/>
            <w:sz w:val="28"/>
            <w:szCs w:val="28"/>
            <w:u w:val="single"/>
            <w:rtl/>
          </w:rPr>
          <w:t>רע"פ 2139/16</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אברמס</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18.5.2016) אושר מתחם שבין 8 ל-27 חודשי מאסר ביחס לריבוי מקרים של סחר בחשיש, אם כי בכמויות גדולות לכל עסקה, מאשר במקרנו. שם הנאשם נדון ל-8 חודשי מאסר בפועל; ב</w:t>
      </w:r>
      <w:hyperlink r:id="rId31" w:history="1">
        <w:r w:rsidR="00BC5C98" w:rsidRPr="00BC5C98">
          <w:rPr>
            <w:rFonts w:ascii="FrankRuehl" w:hAnsi="FrankRuehl" w:cs="FrankRuehl"/>
            <w:color w:val="0000FF"/>
            <w:sz w:val="28"/>
            <w:szCs w:val="28"/>
            <w:u w:val="single"/>
            <w:rtl/>
          </w:rPr>
          <w:t>עפ"ג (חיפה) 23794-09-17</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ג'בארין</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26.10.2017) אושר מתחם שבין חודשים ספורים ועד 18 חודשי מאסר למספר אישומים הנוגעים לסחר בחשיש אל מול סוכן בכמויות משתנות שבין 8 ל-90 גרם. שם הוטלו בין 10 ל-17 חודשי מאסר על נאשמים שונים בהתאם לנסיבותיהם המשתנות; ב</w:t>
      </w:r>
      <w:hyperlink r:id="rId32" w:history="1">
        <w:r w:rsidR="00BC5C98" w:rsidRPr="00BC5C98">
          <w:rPr>
            <w:rFonts w:ascii="FrankRuehl" w:hAnsi="FrankRuehl" w:cs="FrankRuehl"/>
            <w:color w:val="0000FF"/>
            <w:sz w:val="28"/>
            <w:szCs w:val="28"/>
            <w:u w:val="single"/>
            <w:rtl/>
          </w:rPr>
          <w:t>עפ"ג (י-ם) 10175-02-16</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מ"י</w:t>
      </w:r>
      <w:r>
        <w:rPr>
          <w:rFonts w:ascii="FrankRuehl" w:hAnsi="FrankRuehl" w:cs="FrankRuehl" w:hint="cs"/>
          <w:sz w:val="28"/>
          <w:szCs w:val="28"/>
          <w:rtl/>
        </w:rPr>
        <w:t xml:space="preserve"> נ' </w:t>
      </w:r>
      <w:r>
        <w:rPr>
          <w:rFonts w:ascii="FrankRuehl" w:hAnsi="FrankRuehl" w:cs="FrankRuehl" w:hint="cs"/>
          <w:b/>
          <w:bCs/>
          <w:sz w:val="28"/>
          <w:szCs w:val="28"/>
          <w:u w:val="single"/>
          <w:rtl/>
        </w:rPr>
        <w:t>דייני</w:t>
      </w:r>
      <w:r>
        <w:rPr>
          <w:rFonts w:ascii="FrankRuehl" w:hAnsi="FrankRuehl" w:cs="FrankRuehl" w:hint="cs"/>
          <w:sz w:val="28"/>
          <w:szCs w:val="28"/>
          <w:rtl/>
        </w:rPr>
        <w:t xml:space="preserve"> (מיום 14.6.2016) הסתיים הליך בעונש בעבודות שירות בשל שיקולי שיקום, כשנקבע מתחם שבין 5 ל-15 חודשי מאסר לנסיבות של ריבוי מכירות קנביס בכמות של 4 גרם בכל פעם, כשברקע הדחת קטינים; ב</w:t>
      </w:r>
      <w:hyperlink r:id="rId33" w:history="1">
        <w:r w:rsidR="00BC5C98" w:rsidRPr="00BC5C98">
          <w:rPr>
            <w:rFonts w:ascii="FrankRuehl" w:hAnsi="FrankRuehl" w:cs="FrankRuehl"/>
            <w:color w:val="0000FF"/>
            <w:sz w:val="28"/>
            <w:szCs w:val="28"/>
            <w:u w:val="single"/>
            <w:rtl/>
          </w:rPr>
          <w:t>עפ"ג (י-ם)  21958-07-16</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שם טוב</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9.4.2018) הסתיים ההליך בעבודות שירות, חלף 10 חודשי מאסר שנגזרו בערכאה הדיונית, וזאת מטעמי שיקום. שם דובר במתחם שבין 10 חודשי מאסר ועד 30 חודשים ביחס למקרה של הדחת קטין לשימוש בסם על רקע חברתי ומכירה מספר פעמים לקטינים.</w:t>
      </w:r>
    </w:p>
    <w:p w14:paraId="0C22B9B0" w14:textId="77777777" w:rsidR="00A81947" w:rsidRDefault="00A81947" w:rsidP="00A81947">
      <w:pPr>
        <w:spacing w:line="360" w:lineRule="auto"/>
        <w:jc w:val="both"/>
        <w:rPr>
          <w:rFonts w:ascii="FrankRuehl" w:hAnsi="FrankRuehl" w:cs="FrankRuehl"/>
          <w:sz w:val="28"/>
          <w:szCs w:val="28"/>
          <w:rtl/>
        </w:rPr>
      </w:pPr>
      <w:r>
        <w:rPr>
          <w:rFonts w:ascii="FrankRuehl" w:hAnsi="FrankRuehl" w:cs="FrankRuehl" w:hint="cs"/>
          <w:sz w:val="28"/>
          <w:szCs w:val="28"/>
          <w:rtl/>
        </w:rPr>
        <w:t>אשר לאפשרות הטלת של"ץ, כמובן כביטוי להצלחת שיקומו של נאשם, אפנה ל</w:t>
      </w:r>
      <w:hyperlink r:id="rId34" w:history="1">
        <w:r w:rsidR="00BC5C98" w:rsidRPr="00BC5C98">
          <w:rPr>
            <w:rFonts w:ascii="FrankRuehl" w:hAnsi="FrankRuehl" w:cs="FrankRuehl"/>
            <w:color w:val="0000FF"/>
            <w:sz w:val="28"/>
            <w:szCs w:val="28"/>
            <w:u w:val="single"/>
            <w:rtl/>
          </w:rPr>
          <w:t>רע"פ 5494/19</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רנד</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(מיום 22.8.2019) – שם דובר בריבוי מקרי סחר ללקוחות שונים לרבות קטינים, לאחר שהעסקאות תואמו באמצעות טלגראס, אושר עונש של של"ץ בהיקף 200 שעות ומאסרים מותנים. ב</w:t>
      </w:r>
      <w:hyperlink r:id="rId35" w:history="1">
        <w:r w:rsidR="00BC5C98" w:rsidRPr="00BC5C98">
          <w:rPr>
            <w:rFonts w:ascii="FrankRuehl" w:hAnsi="FrankRuehl" w:cs="FrankRuehl"/>
            <w:color w:val="0000FF"/>
            <w:sz w:val="28"/>
            <w:szCs w:val="28"/>
            <w:u w:val="single"/>
            <w:rtl/>
          </w:rPr>
          <w:t>עפ"ג (חיפה) 53901-05-15</w:t>
        </w:r>
      </w:hyperlink>
      <w:r>
        <w:rPr>
          <w:rFonts w:ascii="FrankRuehl" w:hAnsi="FrankRuehl" w:cs="FrankRuehl" w:hint="cs"/>
          <w:sz w:val="28"/>
          <w:szCs w:val="28"/>
          <w:rtl/>
        </w:rPr>
        <w:t xml:space="preserve"> </w:t>
      </w:r>
      <w:r>
        <w:rPr>
          <w:rFonts w:ascii="FrankRuehl" w:hAnsi="FrankRuehl" w:cs="FrankRuehl" w:hint="cs"/>
          <w:b/>
          <w:bCs/>
          <w:sz w:val="28"/>
          <w:szCs w:val="28"/>
          <w:u w:val="single"/>
          <w:rtl/>
        </w:rPr>
        <w:t>איטח</w:t>
      </w:r>
      <w:r>
        <w:rPr>
          <w:rFonts w:ascii="FrankRuehl" w:hAnsi="FrankRuehl" w:cs="FrankRuehl" w:hint="cs"/>
          <w:sz w:val="28"/>
          <w:szCs w:val="28"/>
          <w:rtl/>
        </w:rPr>
        <w:t xml:space="preserve"> נ' </w:t>
      </w:r>
      <w:r>
        <w:rPr>
          <w:rFonts w:ascii="FrankRuehl" w:hAnsi="FrankRuehl" w:cs="FrankRuehl" w:hint="cs"/>
          <w:b/>
          <w:bCs/>
          <w:sz w:val="28"/>
          <w:szCs w:val="28"/>
          <w:u w:val="single"/>
          <w:rtl/>
        </w:rPr>
        <w:t>מ"י</w:t>
      </w:r>
      <w:r>
        <w:rPr>
          <w:rFonts w:ascii="FrankRuehl" w:hAnsi="FrankRuehl" w:cs="FrankRuehl" w:hint="cs"/>
          <w:sz w:val="28"/>
          <w:szCs w:val="28"/>
          <w:rtl/>
        </w:rPr>
        <w:t xml:space="preserve"> אושר מתחם ענישה שבין 6 ל-18 חודשי מאסר בנסיבות של סיוע ל-3 עסקאות סמים מסוג מריחואנה והחזקת סמים שלא לצריכה עצמית, וכן אושר עונש של 200 שעות של"ץ, מאסר מותנה ומבחן, במסגרת חריגה מן המתחם מטעמי שיקום. </w:t>
      </w:r>
    </w:p>
    <w:p w14:paraId="2B3A536E" w14:textId="77777777" w:rsidR="00A81947" w:rsidRDefault="00A81947" w:rsidP="00A81947">
      <w:pPr>
        <w:spacing w:after="160"/>
        <w:jc w:val="both"/>
        <w:rPr>
          <w:rFonts w:ascii="FrankRuehl" w:hAnsi="FrankRuehl" w:cs="FrankRuehl"/>
          <w:sz w:val="28"/>
          <w:szCs w:val="28"/>
          <w:rtl/>
        </w:rPr>
      </w:pPr>
    </w:p>
    <w:p w14:paraId="779F692A" w14:textId="77777777" w:rsidR="00A81947" w:rsidRDefault="00A81947" w:rsidP="00A81947">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מתחם הענישה</w:t>
      </w:r>
      <w:r>
        <w:rPr>
          <w:rFonts w:ascii="FrankRuehl" w:hAnsi="FrankRuehl" w:cs="FrankRuehl" w:hint="cs"/>
          <w:sz w:val="28"/>
          <w:szCs w:val="28"/>
          <w:rtl/>
        </w:rPr>
        <w:t xml:space="preserve"> – יוער תחילה, כי החלטתי להתייחס למכלול האישומים כאל אירוע אחד לצורך קביעת המתחם, בשל סמיכות הזמנים (כל העבירות בוצעו באותו יום), והיות האישומים רצף אחד של פעילות, על-פי מבחן הקשר ההדוק. לפיכך, מתחם הענישה צריך לעמוד בין 6 ל – 24 חודשי מאסר לרבות אפשרות ריצוי מאסר בעבודות שירות.</w:t>
      </w:r>
    </w:p>
    <w:p w14:paraId="39927807" w14:textId="77777777" w:rsidR="00A81947" w:rsidRDefault="00A81947" w:rsidP="00A81947">
      <w:pPr>
        <w:spacing w:after="160"/>
        <w:jc w:val="both"/>
        <w:rPr>
          <w:rFonts w:ascii="FrankRuehl" w:hAnsi="FrankRuehl" w:cs="FrankRuehl"/>
          <w:b/>
          <w:bCs/>
          <w:sz w:val="28"/>
          <w:szCs w:val="28"/>
          <w:rtl/>
        </w:rPr>
      </w:pPr>
    </w:p>
    <w:p w14:paraId="4313837A" w14:textId="77777777" w:rsidR="00A81947" w:rsidRDefault="00A81947" w:rsidP="00A81947">
      <w:pPr>
        <w:spacing w:after="160" w:line="360" w:lineRule="auto"/>
        <w:jc w:val="both"/>
        <w:rPr>
          <w:rFonts w:ascii="FrankRuehl" w:hAnsi="FrankRuehl" w:cs="FrankRuehl"/>
          <w:sz w:val="28"/>
          <w:szCs w:val="28"/>
          <w:rtl/>
        </w:rPr>
      </w:pPr>
      <w:r>
        <w:rPr>
          <w:rFonts w:ascii="FrankRuehl" w:hAnsi="FrankRuehl" w:cs="FrankRuehl" w:hint="cs"/>
          <w:b/>
          <w:bCs/>
          <w:sz w:val="28"/>
          <w:szCs w:val="28"/>
          <w:u w:val="single"/>
          <w:rtl/>
        </w:rPr>
        <w:t xml:space="preserve">נסיבות שאינן קשורות בביצוע העבירה לפי </w:t>
      </w:r>
      <w:hyperlink r:id="rId36" w:history="1">
        <w:r w:rsidR="00C6080D" w:rsidRPr="00C6080D">
          <w:rPr>
            <w:rFonts w:ascii="FrankRuehl" w:hAnsi="FrankRuehl" w:cs="FrankRuehl"/>
            <w:b/>
            <w:bCs/>
            <w:color w:val="0000FF"/>
            <w:sz w:val="28"/>
            <w:szCs w:val="28"/>
            <w:u w:val="single"/>
            <w:rtl/>
          </w:rPr>
          <w:t>סעיף 40י"א</w:t>
        </w:r>
      </w:hyperlink>
      <w:r>
        <w:rPr>
          <w:rFonts w:ascii="FrankRuehl" w:hAnsi="FrankRuehl" w:cs="FrankRuehl" w:hint="cs"/>
          <w:b/>
          <w:bCs/>
          <w:sz w:val="28"/>
          <w:szCs w:val="28"/>
          <w:u w:val="single"/>
          <w:rtl/>
        </w:rPr>
        <w:t xml:space="preserve"> ל</w:t>
      </w:r>
      <w:hyperlink r:id="rId37" w:history="1">
        <w:r w:rsidR="00BC5C98" w:rsidRPr="00BC5C98">
          <w:rPr>
            <w:rFonts w:ascii="FrankRuehl" w:hAnsi="FrankRuehl" w:cs="FrankRuehl"/>
            <w:b/>
            <w:bCs/>
            <w:color w:val="0000FF"/>
            <w:sz w:val="28"/>
            <w:szCs w:val="28"/>
            <w:u w:val="single"/>
            <w:rtl/>
          </w:rPr>
          <w:t>חוק העונשין</w:t>
        </w:r>
      </w:hyperlink>
      <w:r>
        <w:rPr>
          <w:rFonts w:ascii="FrankRuehl" w:hAnsi="FrankRuehl" w:cs="FrankRuehl" w:hint="cs"/>
          <w:b/>
          <w:bCs/>
          <w:sz w:val="28"/>
          <w:szCs w:val="28"/>
          <w:rtl/>
        </w:rPr>
        <w:t xml:space="preserve"> – </w:t>
      </w:r>
      <w:r>
        <w:rPr>
          <w:rFonts w:ascii="FrankRuehl" w:hAnsi="FrankRuehl" w:cs="FrankRuehl" w:hint="cs"/>
          <w:sz w:val="28"/>
          <w:szCs w:val="28"/>
          <w:rtl/>
        </w:rPr>
        <w:t xml:space="preserve">ניתן  לתת משקל לנסיבות הבאות שאינן קשורות בביצוע העבירה, במסגרת גזירת העונש בתוך המתחם: הנאשם צעיר בתחילת דרכו, ללא עבר פלילי; נסיבות חייו אינן מן הפשוטות לנוכח המורכבות המשפחתית עליה עמד שירות המבחן בתסקירו; הנאשם שירת שירות צבאי, גם אם לא מלא; הנאשם שיתף פעולה עם שירות המבחן ונטל אחריות למעשיו והוא נכון ומתעתד להמשך טיפול תחת פיקוח שירות המבחן; נטילת האחריות של הנאשם היא מלאה ואמתית ונראה שכך גם התגייסותו לטיפול ולשיקום. הדברים באו לידי ביטוי גם בדבריו לפניי ובדברי אמו. בנסיבות אלו, שליחת אדם כה צעיר ללא עבר פלילי למאסר בפועל, תהווה גורם מדרדר, ואין הדבר עולה בקנה אחד עם האינטרס הפרטני או הציבורי.  </w:t>
      </w:r>
    </w:p>
    <w:p w14:paraId="5EA7BE7A" w14:textId="77777777" w:rsidR="00A81947" w:rsidRDefault="00A81947" w:rsidP="00A81947">
      <w:pPr>
        <w:spacing w:after="160"/>
        <w:jc w:val="both"/>
        <w:rPr>
          <w:rFonts w:ascii="FrankRuehl" w:hAnsi="FrankRuehl" w:cs="FrankRuehl"/>
          <w:sz w:val="28"/>
          <w:szCs w:val="28"/>
          <w:rtl/>
        </w:rPr>
      </w:pPr>
    </w:p>
    <w:p w14:paraId="64434262" w14:textId="77777777" w:rsidR="00A81947" w:rsidRDefault="00A81947" w:rsidP="00A81947">
      <w:pPr>
        <w:spacing w:after="160" w:line="360" w:lineRule="auto"/>
        <w:jc w:val="both"/>
        <w:rPr>
          <w:rFonts w:ascii="FrankRuehl" w:hAnsi="FrankRuehl" w:cs="FrankRuehl"/>
          <w:sz w:val="28"/>
          <w:szCs w:val="28"/>
          <w:rtl/>
        </w:rPr>
      </w:pPr>
      <w:r w:rsidRPr="000844B2">
        <w:rPr>
          <w:rFonts w:ascii="FrankRuehl" w:hAnsi="FrankRuehl" w:cs="FrankRuehl" w:hint="cs"/>
          <w:b/>
          <w:bCs/>
          <w:sz w:val="28"/>
          <w:szCs w:val="28"/>
          <w:u w:val="single"/>
          <w:rtl/>
        </w:rPr>
        <w:t>סטיה לקולא מטעמי שיקום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לכן, יש מקום בנסיבות העניין לסטות ממתחם הענישה שקבעתי מטעמי שיקום, ויש לאפשר לנאשם לרצות עונש של של"ץ אך בהיקף נרחב יותר מזה שעליו המליץ שירות המבחן. הסניגור הפנה לפסיקה בנסיבות חמורות יותר שהסתיימה במסגרת של"ץ לנוכח הליך שיקומי, וזהו גם המקרה שבו הנאשם הוכיח פוטנציאל ממשי לשיקומו.</w:t>
      </w:r>
    </w:p>
    <w:p w14:paraId="0356914E" w14:textId="77777777" w:rsidR="00A81947" w:rsidRDefault="00A81947" w:rsidP="00A81947">
      <w:pPr>
        <w:spacing w:after="160"/>
        <w:jc w:val="both"/>
        <w:rPr>
          <w:rFonts w:ascii="FrankRuehl" w:hAnsi="FrankRuehl" w:cs="FrankRuehl"/>
          <w:b/>
          <w:bCs/>
          <w:sz w:val="28"/>
          <w:szCs w:val="28"/>
          <w:u w:val="single"/>
          <w:rtl/>
        </w:rPr>
      </w:pPr>
    </w:p>
    <w:p w14:paraId="2B111FCD" w14:textId="77777777" w:rsidR="00A81947" w:rsidRDefault="00A81947" w:rsidP="00A81947">
      <w:pPr>
        <w:spacing w:after="160"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גזירת הדין</w:t>
      </w:r>
    </w:p>
    <w:p w14:paraId="4AFDB35E" w14:textId="77777777" w:rsidR="00A81947" w:rsidRDefault="00A81947" w:rsidP="00A81947">
      <w:pPr>
        <w:spacing w:after="160" w:line="360" w:lineRule="auto"/>
        <w:jc w:val="both"/>
        <w:rPr>
          <w:rFonts w:ascii="FrankRuehl" w:hAnsi="FrankRuehl" w:cs="FrankRuehl"/>
          <w:sz w:val="28"/>
          <w:szCs w:val="28"/>
          <w:rtl/>
        </w:rPr>
      </w:pPr>
      <w:r>
        <w:rPr>
          <w:rFonts w:ascii="FrankRuehl" w:hAnsi="FrankRuehl" w:cs="FrankRuehl" w:hint="cs"/>
          <w:sz w:val="28"/>
          <w:szCs w:val="28"/>
          <w:rtl/>
        </w:rPr>
        <w:t>לפיכך, אני מחליט לגזור על הנאשם את העונשים הבאים:</w:t>
      </w:r>
    </w:p>
    <w:p w14:paraId="01D70A53" w14:textId="77777777" w:rsidR="00A81947" w:rsidRDefault="00A81947" w:rsidP="00A81947">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400 שעות שירות לתועלת הציבור, ע"פ תוכנית שיכין שירות המבחן ויגישה לבית המשפט בתוך 30 יום מהיום. בכל מקרה, לא יוחל בביצוע העבודות לפני יום 23.2.2020. מובהר לנאשם כי הפרת צו השל"ץ יוכל להוביל לגזירת הדין מחדש לרבות שליחתו למאסר.</w:t>
      </w:r>
    </w:p>
    <w:p w14:paraId="31B3B838" w14:textId="77777777" w:rsidR="00A81947" w:rsidRDefault="00A81947" w:rsidP="00A81947">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 xml:space="preserve">6 חודשי מאסר, שלא ירוצו אלא אם יעבור הנאשם כל עבירה לפי </w:t>
      </w:r>
      <w:hyperlink r:id="rId38" w:history="1">
        <w:r w:rsidR="00BC5C98" w:rsidRPr="00BC5C98">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למעט שימוש עצמי והחזקת כלים לשימוש עצמי, בתוך 3 שנים מהיום;</w:t>
      </w:r>
    </w:p>
    <w:p w14:paraId="56AEFA50" w14:textId="77777777" w:rsidR="00A81947" w:rsidRDefault="00A81947" w:rsidP="00A81947">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חודש מאסר שלא ירוצה, אלא אם יעבור הנאשם בתוך שלוש שנים מהיום כל עבירה של שימוש עצמי בסמים או החזקת כלים לשימוש עצמי, בתוך 3 שנים מהיום;</w:t>
      </w:r>
    </w:p>
    <w:p w14:paraId="11C5A1DD" w14:textId="77777777" w:rsidR="00A81947" w:rsidRDefault="00A81947" w:rsidP="00A81947">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קנס בסך 4,000  ₪, אשר יקוזז במלואו מההפקדה בתיק המ"ת, או חודש מאסר תמורתו אם לא ישולם. ככל שתיוותר יתרת חובה, תשולם ב-5 תשלומים החל מיום 1.2.2020 ובכל 1 לחודש רצוף שלאחריו. תיוותר יתרת זכות, תוחזר לנאשם באמצעות ב"כ;</w:t>
      </w:r>
    </w:p>
    <w:p w14:paraId="65DF43BF" w14:textId="77777777" w:rsidR="00A81947" w:rsidRDefault="00A81947" w:rsidP="00A81947">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צו מבחן לתקופה של 18 חודשים. במהלך תקופה זו הנאשם מחויב בשיתוף פעולה עם שירות המבחן, כאשר מובהר כי הפרת  הצו תוכל להביא לפתיחה מחודשת של המשפט וגזירת עונשו של הנאשם, לרבות הטלת עונש מאסר;</w:t>
      </w:r>
    </w:p>
    <w:p w14:paraId="4136D386" w14:textId="77777777" w:rsidR="00A81947" w:rsidRDefault="00A81947" w:rsidP="00A81947">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hint="cs"/>
          <w:sz w:val="28"/>
          <w:szCs w:val="28"/>
          <w:rtl/>
        </w:rPr>
        <w:t>התחייבות בסך 5,000  ₪ שלא לעבור כל עבירה לפי פקודת הסמים לרבות שימוש עצמי והחזקת כלים לשימוש עצמי, במשך שנתיים מהיום, או 10 ימי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6F5D8D0D" w14:textId="77777777" w:rsidR="00A81947" w:rsidRDefault="00A81947" w:rsidP="00A81947">
      <w:pPr>
        <w:spacing w:after="160" w:line="360" w:lineRule="auto"/>
        <w:jc w:val="both"/>
        <w:rPr>
          <w:rFonts w:ascii="FrankRuehl" w:hAnsi="FrankRuehl" w:cs="FrankRuehl"/>
          <w:sz w:val="28"/>
          <w:szCs w:val="28"/>
          <w:rtl/>
        </w:rPr>
      </w:pPr>
    </w:p>
    <w:p w14:paraId="72F90F99" w14:textId="77777777" w:rsidR="00A81947" w:rsidRPr="000C6210" w:rsidRDefault="00A81947" w:rsidP="00A81947">
      <w:pPr>
        <w:spacing w:after="160" w:line="360" w:lineRule="auto"/>
        <w:jc w:val="both"/>
        <w:rPr>
          <w:rFonts w:ascii="FrankRuehl" w:hAnsi="FrankRuehl" w:cs="FrankRuehl"/>
          <w:sz w:val="28"/>
          <w:szCs w:val="28"/>
          <w:rtl/>
        </w:rPr>
      </w:pPr>
      <w:r w:rsidRPr="000844B2">
        <w:rPr>
          <w:rFonts w:ascii="FrankRuehl" w:hAnsi="FrankRuehl" w:cs="FrankRuehl" w:hint="cs"/>
          <w:sz w:val="28"/>
          <w:szCs w:val="28"/>
          <w:u w:val="single"/>
          <w:rtl/>
        </w:rPr>
        <w:t>אשר לבקשת המאשימה להכריז על הנאשם "סוחר סמים"</w:t>
      </w:r>
      <w:r w:rsidRPr="000C6210">
        <w:rPr>
          <w:rFonts w:ascii="FrankRuehl" w:hAnsi="FrankRuehl" w:cs="FrankRuehl" w:hint="cs"/>
          <w:sz w:val="28"/>
          <w:szCs w:val="28"/>
          <w:rtl/>
        </w:rPr>
        <w:t xml:space="preserve"> </w:t>
      </w:r>
      <w:r w:rsidRPr="000C6210">
        <w:rPr>
          <w:rFonts w:ascii="FrankRuehl" w:hAnsi="FrankRuehl" w:cs="FrankRuehl"/>
          <w:sz w:val="28"/>
          <w:szCs w:val="28"/>
          <w:rtl/>
        </w:rPr>
        <w:t>–</w:t>
      </w:r>
      <w:r w:rsidRPr="000C6210">
        <w:rPr>
          <w:rFonts w:ascii="FrankRuehl" w:hAnsi="FrankRuehl" w:cs="FrankRuehl" w:hint="cs"/>
          <w:sz w:val="28"/>
          <w:szCs w:val="28"/>
          <w:rtl/>
        </w:rPr>
        <w:t xml:space="preserve"> אין לקבל את עמדת המאשימה, והדבר נובע מהאופן שבו הוצג ההסדר בפרוטוקול מיום 14.7.2019, שם נרשם: </w:t>
      </w:r>
    </w:p>
    <w:p w14:paraId="57D865BA" w14:textId="77777777" w:rsidR="00A81947" w:rsidRPr="000C6210" w:rsidRDefault="00A81947" w:rsidP="00A81947">
      <w:pPr>
        <w:ind w:left="680" w:right="680"/>
        <w:jc w:val="both"/>
        <w:rPr>
          <w:rFonts w:ascii="Arial" w:hAnsi="Arial"/>
          <w:b/>
          <w:bCs/>
        </w:rPr>
      </w:pPr>
      <w:r w:rsidRPr="000C6210">
        <w:rPr>
          <w:rFonts w:ascii="Arial" w:hAnsi="Arial" w:hint="cs"/>
          <w:rtl/>
        </w:rPr>
        <w:t xml:space="preserve">"ב"כ המאשימה: הגענו להסדר לפיו כתב האישום יתוקן, הנאשם יודה ויורשע ויישלח לתסקיר שירות מבחן מפאת גילו. בשלב זה עמדתנו למאסר. נגבש את עמדתנו לאחר קבלת תסקיר. </w:t>
      </w:r>
      <w:r w:rsidRPr="000C6210">
        <w:rPr>
          <w:rFonts w:ascii="Arial" w:hAnsi="Arial" w:hint="cs"/>
          <w:b/>
          <w:bCs/>
          <w:rtl/>
        </w:rPr>
        <w:t>נטען לקנס והסניגור חופשי בטיעוניו. מוסכם על חילוט הכסף במלואו והשבת הטלפון.</w:t>
      </w:r>
    </w:p>
    <w:p w14:paraId="23C3883C" w14:textId="77777777" w:rsidR="00A81947" w:rsidRPr="000C6210" w:rsidRDefault="00A81947" w:rsidP="00A81947">
      <w:pPr>
        <w:ind w:left="680" w:right="680"/>
        <w:jc w:val="both"/>
        <w:rPr>
          <w:rFonts w:ascii="Arial" w:hAnsi="Arial"/>
        </w:rPr>
      </w:pPr>
    </w:p>
    <w:p w14:paraId="1F4E1C59" w14:textId="77777777" w:rsidR="00A81947" w:rsidRPr="000C6210" w:rsidRDefault="00A81947" w:rsidP="00A81947">
      <w:pPr>
        <w:spacing w:after="160"/>
        <w:ind w:left="680" w:right="680"/>
        <w:jc w:val="both"/>
        <w:rPr>
          <w:rFonts w:ascii="FrankRuehl" w:hAnsi="FrankRuehl" w:cs="FrankRuehl"/>
          <w:sz w:val="28"/>
          <w:szCs w:val="28"/>
          <w:rtl/>
        </w:rPr>
      </w:pPr>
      <w:r w:rsidRPr="000C6210">
        <w:rPr>
          <w:rFonts w:ascii="Arial" w:hAnsi="Arial"/>
          <w:rtl/>
        </w:rPr>
        <w:t xml:space="preserve">ב"כ הנאשם: </w:t>
      </w:r>
      <w:r w:rsidRPr="000C6210">
        <w:rPr>
          <w:rFonts w:ascii="Arial" w:hAnsi="Arial"/>
          <w:b/>
          <w:bCs/>
          <w:rtl/>
        </w:rPr>
        <w:t>אני מאשר את הדברים</w:t>
      </w:r>
      <w:r w:rsidRPr="000C6210">
        <w:rPr>
          <w:rFonts w:ascii="Arial" w:hAnsi="Arial" w:hint="cs"/>
          <w:rtl/>
        </w:rPr>
        <w:t>" (ההדגשה הוספה)</w:t>
      </w:r>
      <w:r w:rsidRPr="000C6210">
        <w:rPr>
          <w:rFonts w:ascii="Arial" w:hAnsi="Arial"/>
          <w:rtl/>
        </w:rPr>
        <w:t>.</w:t>
      </w:r>
    </w:p>
    <w:p w14:paraId="12A23ECD" w14:textId="77777777" w:rsidR="00A81947" w:rsidRDefault="00A81947" w:rsidP="00A81947">
      <w:pPr>
        <w:spacing w:after="160"/>
        <w:jc w:val="both"/>
        <w:rPr>
          <w:rFonts w:ascii="FrankRuehl" w:hAnsi="FrankRuehl" w:cs="FrankRuehl"/>
          <w:sz w:val="28"/>
          <w:szCs w:val="28"/>
          <w:rtl/>
        </w:rPr>
      </w:pPr>
    </w:p>
    <w:p w14:paraId="75500859" w14:textId="77777777" w:rsidR="00A81947" w:rsidRPr="000C6210" w:rsidRDefault="00A81947" w:rsidP="00A81947">
      <w:pPr>
        <w:spacing w:after="160" w:line="360" w:lineRule="auto"/>
        <w:jc w:val="both"/>
        <w:rPr>
          <w:rFonts w:ascii="FrankRuehl" w:hAnsi="FrankRuehl" w:cs="FrankRuehl"/>
          <w:sz w:val="28"/>
          <w:szCs w:val="28"/>
          <w:rtl/>
        </w:rPr>
      </w:pPr>
      <w:r w:rsidRPr="000C6210">
        <w:rPr>
          <w:rFonts w:ascii="FrankRuehl" w:hAnsi="FrankRuehl" w:cs="FrankRuehl" w:hint="cs"/>
          <w:sz w:val="28"/>
          <w:szCs w:val="28"/>
          <w:rtl/>
        </w:rPr>
        <w:t xml:space="preserve">זאת ועוד, מדברי הסניגור היום, עליהם לא חלקה ב"כ המאשימה, רכבו של הנאשם </w:t>
      </w:r>
      <w:r w:rsidRPr="00D36D2B">
        <w:rPr>
          <w:rFonts w:ascii="FrankRuehl" w:hAnsi="FrankRuehl" w:cs="FrankRuehl" w:hint="cs"/>
          <w:b/>
          <w:bCs/>
          <w:sz w:val="28"/>
          <w:szCs w:val="28"/>
          <w:rtl/>
        </w:rPr>
        <w:t>הוחזר</w:t>
      </w:r>
      <w:r w:rsidRPr="000C6210">
        <w:rPr>
          <w:rFonts w:ascii="FrankRuehl" w:hAnsi="FrankRuehl" w:cs="FrankRuehl" w:hint="cs"/>
          <w:sz w:val="28"/>
          <w:szCs w:val="28"/>
          <w:rtl/>
        </w:rPr>
        <w:t xml:space="preserve"> לו בהסכמה, והרי זה שימש ככלי לביצוע העבירה. משמעות הדבר היא, כי גם אם </w:t>
      </w:r>
      <w:r>
        <w:rPr>
          <w:rFonts w:ascii="FrankRuehl" w:hAnsi="FrankRuehl" w:cs="FrankRuehl" w:hint="cs"/>
          <w:sz w:val="28"/>
          <w:szCs w:val="28"/>
          <w:rtl/>
        </w:rPr>
        <w:t xml:space="preserve">הדבר הוצהר </w:t>
      </w:r>
      <w:r w:rsidRPr="000C6210">
        <w:rPr>
          <w:rFonts w:ascii="FrankRuehl" w:hAnsi="FrankRuehl" w:cs="FrankRuehl" w:hint="cs"/>
          <w:sz w:val="28"/>
          <w:szCs w:val="28"/>
          <w:rtl/>
        </w:rPr>
        <w:t xml:space="preserve">לא מפורשות, </w:t>
      </w:r>
      <w:r>
        <w:rPr>
          <w:rFonts w:ascii="FrankRuehl" w:hAnsi="FrankRuehl" w:cs="FrankRuehl" w:hint="cs"/>
          <w:sz w:val="28"/>
          <w:szCs w:val="28"/>
          <w:rtl/>
        </w:rPr>
        <w:t xml:space="preserve">הרי שהמאשימה </w:t>
      </w:r>
      <w:r w:rsidRPr="000C6210">
        <w:rPr>
          <w:rFonts w:ascii="FrankRuehl" w:hAnsi="FrankRuehl" w:cs="FrankRuehl" w:hint="cs"/>
          <w:sz w:val="28"/>
          <w:szCs w:val="28"/>
          <w:rtl/>
        </w:rPr>
        <w:t xml:space="preserve">הסכימה לנוכח התנהלותה כאן, לוותר על ההכרזה. </w:t>
      </w:r>
    </w:p>
    <w:p w14:paraId="1A5D4249" w14:textId="77777777" w:rsidR="00A81947" w:rsidRPr="000C6210" w:rsidRDefault="00A81947" w:rsidP="00A81947">
      <w:pPr>
        <w:spacing w:after="160" w:line="360" w:lineRule="auto"/>
        <w:jc w:val="both"/>
        <w:rPr>
          <w:rFonts w:ascii="FrankRuehl" w:hAnsi="FrankRuehl" w:cs="FrankRuehl"/>
          <w:sz w:val="28"/>
          <w:szCs w:val="28"/>
          <w:rtl/>
        </w:rPr>
      </w:pPr>
      <w:r w:rsidRPr="000C6210">
        <w:rPr>
          <w:rFonts w:ascii="FrankRuehl" w:hAnsi="FrankRuehl" w:cs="FrankRuehl" w:hint="cs"/>
          <w:sz w:val="28"/>
          <w:szCs w:val="28"/>
          <w:rtl/>
        </w:rPr>
        <w:t>אשר לטענה, כי החילוט נובע מעצם ההכרזה, אין ל</w:t>
      </w:r>
      <w:r>
        <w:rPr>
          <w:rFonts w:ascii="FrankRuehl" w:hAnsi="FrankRuehl" w:cs="FrankRuehl" w:hint="cs"/>
          <w:sz w:val="28"/>
          <w:szCs w:val="28"/>
          <w:rtl/>
        </w:rPr>
        <w:t>כ</w:t>
      </w:r>
      <w:r w:rsidRPr="000C6210">
        <w:rPr>
          <w:rFonts w:ascii="FrankRuehl" w:hAnsi="FrankRuehl" w:cs="FrankRuehl" w:hint="cs"/>
          <w:sz w:val="28"/>
          <w:szCs w:val="28"/>
          <w:rtl/>
        </w:rPr>
        <w:t xml:space="preserve">ך בסיס, שכן הוראת </w:t>
      </w:r>
      <w:hyperlink r:id="rId39" w:history="1">
        <w:r w:rsidR="00C6080D" w:rsidRPr="00C6080D">
          <w:rPr>
            <w:rFonts w:ascii="FrankRuehl" w:hAnsi="FrankRuehl" w:cs="FrankRuehl"/>
            <w:color w:val="0000FF"/>
            <w:sz w:val="28"/>
            <w:szCs w:val="28"/>
            <w:u w:val="single"/>
            <w:rtl/>
          </w:rPr>
          <w:t>סעיף 36א(א)</w:t>
        </w:r>
      </w:hyperlink>
      <w:r w:rsidRPr="000C6210">
        <w:rPr>
          <w:rFonts w:ascii="FrankRuehl" w:hAnsi="FrankRuehl" w:cs="FrankRuehl" w:hint="cs"/>
          <w:sz w:val="28"/>
          <w:szCs w:val="28"/>
          <w:rtl/>
        </w:rPr>
        <w:t xml:space="preserve"> לפקודה קובעת כי "הורשע אדם בעבירה של עסקת סמים, יצווה בית המשפט.... כי בנוסף לכל עונש </w:t>
      </w:r>
      <w:r>
        <w:rPr>
          <w:rFonts w:ascii="FrankRuehl" w:hAnsi="FrankRuehl" w:cs="FrankRuehl" w:hint="cs"/>
          <w:sz w:val="28"/>
          <w:szCs w:val="28"/>
          <w:rtl/>
        </w:rPr>
        <w:t>יחולט</w:t>
      </w:r>
      <w:r w:rsidRPr="000C6210">
        <w:rPr>
          <w:rFonts w:ascii="FrankRuehl" w:hAnsi="FrankRuehl" w:cs="FrankRuehl" w:hint="cs"/>
          <w:sz w:val="28"/>
          <w:szCs w:val="28"/>
          <w:rtl/>
        </w:rPr>
        <w:t xml:space="preserve"> לאוצר המדינה כל רכוש שהוא"... הדבר אינו מותנה בהכרזה על נאשם כ"סוחר סמים".</w:t>
      </w:r>
    </w:p>
    <w:p w14:paraId="06C4990E" w14:textId="77777777" w:rsidR="00A81947" w:rsidRPr="000C6210" w:rsidRDefault="00A81947" w:rsidP="00A81947">
      <w:pPr>
        <w:spacing w:after="160" w:line="360" w:lineRule="auto"/>
        <w:jc w:val="both"/>
        <w:rPr>
          <w:rFonts w:ascii="FrankRuehl" w:hAnsi="FrankRuehl" w:cs="FrankRuehl"/>
          <w:sz w:val="28"/>
          <w:szCs w:val="28"/>
          <w:rtl/>
        </w:rPr>
      </w:pPr>
      <w:r w:rsidRPr="000C6210">
        <w:rPr>
          <w:rFonts w:ascii="FrankRuehl" w:hAnsi="FrankRuehl" w:cs="FrankRuehl" w:hint="cs"/>
          <w:sz w:val="28"/>
          <w:szCs w:val="28"/>
          <w:rtl/>
        </w:rPr>
        <w:t>לפיכך, ובמכלול הנסיבות, וא</w:t>
      </w:r>
      <w:r>
        <w:rPr>
          <w:rFonts w:ascii="FrankRuehl" w:hAnsi="FrankRuehl" w:cs="FrankRuehl" w:hint="cs"/>
          <w:sz w:val="28"/>
          <w:szCs w:val="28"/>
          <w:rtl/>
        </w:rPr>
        <w:t>ף</w:t>
      </w:r>
      <w:r w:rsidRPr="000C6210">
        <w:rPr>
          <w:rFonts w:ascii="FrankRuehl" w:hAnsi="FrankRuehl" w:cs="FrankRuehl" w:hint="cs"/>
          <w:sz w:val="28"/>
          <w:szCs w:val="28"/>
          <w:rtl/>
        </w:rPr>
        <w:t xml:space="preserve"> אם אאמץ את עמדת המאשימה, הרי שלפי </w:t>
      </w:r>
      <w:hyperlink r:id="rId40" w:history="1">
        <w:r w:rsidR="00C6080D" w:rsidRPr="00C6080D">
          <w:rPr>
            <w:rFonts w:ascii="FrankRuehl" w:hAnsi="FrankRuehl" w:cs="FrankRuehl"/>
            <w:color w:val="0000FF"/>
            <w:sz w:val="28"/>
            <w:szCs w:val="28"/>
            <w:u w:val="single"/>
            <w:rtl/>
          </w:rPr>
          <w:t>סעיף 36א(ב)</w:t>
        </w:r>
      </w:hyperlink>
      <w:r w:rsidRPr="000C6210">
        <w:rPr>
          <w:rFonts w:ascii="FrankRuehl" w:hAnsi="FrankRuehl" w:cs="FrankRuehl" w:hint="cs"/>
          <w:sz w:val="28"/>
          <w:szCs w:val="28"/>
          <w:rtl/>
        </w:rPr>
        <w:t xml:space="preserve"> סיפא, סברתי שאין טעמים מוצדקים להכריז על הנאשם סוחר סמים בנסיבות העניין. </w:t>
      </w:r>
    </w:p>
    <w:p w14:paraId="3F3059D8" w14:textId="77777777" w:rsidR="00A81947" w:rsidRDefault="00A81947" w:rsidP="00A81947">
      <w:pPr>
        <w:spacing w:after="160" w:line="360" w:lineRule="auto"/>
        <w:jc w:val="both"/>
        <w:rPr>
          <w:rFonts w:ascii="FrankRuehl" w:hAnsi="FrankRuehl" w:cs="FrankRuehl"/>
          <w:sz w:val="28"/>
          <w:szCs w:val="28"/>
          <w:rtl/>
        </w:rPr>
      </w:pPr>
      <w:r w:rsidRPr="000C6210">
        <w:rPr>
          <w:rFonts w:ascii="FrankRuehl" w:hAnsi="FrankRuehl" w:cs="FrankRuehl" w:hint="cs"/>
          <w:sz w:val="28"/>
          <w:szCs w:val="28"/>
          <w:rtl/>
        </w:rPr>
        <w:t>לפיכך, בהתאם למוסכם, מורה על חילוט כל הכספים שנתפסו כמפורט בכתב האישום, מורה על השמדת הסמים, ומורה על השבת הטלפון לנאשם.</w:t>
      </w:r>
    </w:p>
    <w:p w14:paraId="3CF3904E" w14:textId="77777777" w:rsidR="00A81947" w:rsidRDefault="00A81947" w:rsidP="00A81947">
      <w:pPr>
        <w:spacing w:after="160" w:line="360" w:lineRule="auto"/>
        <w:rPr>
          <w:rFonts w:ascii="FrankRuehl" w:hAnsi="FrankRuehl" w:cs="FrankRuehl"/>
          <w:sz w:val="28"/>
          <w:szCs w:val="28"/>
          <w:rtl/>
        </w:rPr>
      </w:pPr>
      <w:r>
        <w:rPr>
          <w:rFonts w:ascii="FrankRuehl" w:hAnsi="FrankRuehl" w:cs="FrankRuehl" w:hint="cs"/>
          <w:sz w:val="28"/>
          <w:szCs w:val="28"/>
          <w:rtl/>
        </w:rPr>
        <w:t>יש לשלוח לשירות המבחן ולממונה על עבודות שירות.</w:t>
      </w:r>
    </w:p>
    <w:p w14:paraId="66F3DC32" w14:textId="77777777" w:rsidR="00A81947" w:rsidRPr="00453B49" w:rsidRDefault="00A81947" w:rsidP="00A81947">
      <w:pPr>
        <w:spacing w:after="160" w:line="256" w:lineRule="auto"/>
        <w:rPr>
          <w:rFonts w:ascii="FrankRuehl" w:hAnsi="FrankRuehl" w:cs="FrankRuehl"/>
          <w:sz w:val="28"/>
          <w:szCs w:val="28"/>
        </w:rPr>
      </w:pPr>
      <w:r>
        <w:rPr>
          <w:rFonts w:ascii="FrankRuehl" w:hAnsi="FrankRuehl" w:cs="FrankRuehl" w:hint="cs"/>
          <w:sz w:val="28"/>
          <w:szCs w:val="28"/>
          <w:rtl/>
        </w:rPr>
        <w:t>זכות ערעור כחוק לבית המשפט המחוזי בירושלים בתוך 45 יום מהיום.</w:t>
      </w:r>
    </w:p>
    <w:p w14:paraId="34535E87" w14:textId="77777777" w:rsidR="00A81947" w:rsidRPr="00BC5C98" w:rsidRDefault="00BC5C98" w:rsidP="00A81947">
      <w:pPr>
        <w:rPr>
          <w:color w:val="FFFFFF"/>
          <w:sz w:val="2"/>
          <w:szCs w:val="2"/>
          <w:rtl/>
        </w:rPr>
      </w:pPr>
      <w:r w:rsidRPr="00BC5C98">
        <w:rPr>
          <w:color w:val="FFFFFF"/>
          <w:sz w:val="2"/>
          <w:szCs w:val="2"/>
          <w:rtl/>
        </w:rPr>
        <w:t>5129371</w:t>
      </w:r>
    </w:p>
    <w:p w14:paraId="7D5E3E40" w14:textId="77777777" w:rsidR="00A81947" w:rsidRPr="005638D9" w:rsidRDefault="00BC5C98" w:rsidP="00A81947">
      <w:pPr>
        <w:rPr>
          <w:rFonts w:cs="FrankRuehl"/>
          <w:sz w:val="28"/>
          <w:szCs w:val="28"/>
          <w:rtl/>
        </w:rPr>
      </w:pPr>
      <w:bookmarkStart w:id="8" w:name="Nitan"/>
      <w:r w:rsidRPr="00BC5C98">
        <w:rPr>
          <w:rFonts w:ascii="Arial" w:hAnsi="Arial"/>
          <w:color w:val="FFFFFF"/>
          <w:sz w:val="2"/>
          <w:szCs w:val="2"/>
          <w:rtl/>
        </w:rPr>
        <w:t>54678313</w:t>
      </w:r>
      <w:r>
        <w:rPr>
          <w:rFonts w:ascii="Arial" w:hAnsi="Arial"/>
          <w:rtl/>
        </w:rPr>
        <w:t xml:space="preserve">ניתן היום,  כ"ז כסלו תש"פ, 25 דצמבר 2019, במעמד הצדדים. </w:t>
      </w:r>
      <w:bookmarkEnd w:id="8"/>
    </w:p>
    <w:p w14:paraId="23871BF5" w14:textId="77777777" w:rsidR="00A81947" w:rsidRDefault="00A81947" w:rsidP="00BC5C9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483F7A" w14:textId="77777777" w:rsidR="00A81947" w:rsidRDefault="00A81947" w:rsidP="00A81947">
      <w:pPr>
        <w:jc w:val="center"/>
        <w:rPr>
          <w:rFonts w:ascii="Arial" w:hAnsi="Arial" w:cs="FrankRuehl"/>
          <w:sz w:val="28"/>
          <w:szCs w:val="28"/>
          <w:rtl/>
        </w:rPr>
      </w:pPr>
    </w:p>
    <w:p w14:paraId="1BB7EB03" w14:textId="77777777" w:rsidR="00A81947" w:rsidRDefault="00A81947" w:rsidP="00A81947">
      <w:pPr>
        <w:rPr>
          <w:rFonts w:cs="FrankRuehl"/>
          <w:sz w:val="28"/>
          <w:szCs w:val="28"/>
          <w:rtl/>
        </w:rPr>
      </w:pPr>
    </w:p>
    <w:p w14:paraId="79BF94B3" w14:textId="77777777" w:rsidR="00A81947" w:rsidRDefault="00A81947" w:rsidP="00A81947">
      <w:pPr>
        <w:pStyle w:val="a3"/>
        <w:jc w:val="center"/>
        <w:rPr>
          <w:rtl/>
        </w:rPr>
      </w:pPr>
    </w:p>
    <w:p w14:paraId="45B88339" w14:textId="77777777" w:rsidR="00703202" w:rsidRPr="00BC5C98" w:rsidRDefault="00703202" w:rsidP="00BC5C98">
      <w:pPr>
        <w:keepNext/>
        <w:rPr>
          <w:rFonts w:ascii="David" w:hAnsi="David"/>
          <w:color w:val="000000"/>
          <w:sz w:val="22"/>
          <w:szCs w:val="22"/>
          <w:rtl/>
        </w:rPr>
      </w:pPr>
    </w:p>
    <w:p w14:paraId="528F06A2" w14:textId="77777777" w:rsidR="00BC5C98" w:rsidRPr="00BC5C98" w:rsidRDefault="00BC5C98" w:rsidP="00BC5C98">
      <w:pPr>
        <w:keepNext/>
        <w:rPr>
          <w:rFonts w:ascii="David" w:hAnsi="David"/>
          <w:color w:val="000000"/>
          <w:sz w:val="22"/>
          <w:szCs w:val="22"/>
          <w:rtl/>
        </w:rPr>
      </w:pPr>
      <w:r w:rsidRPr="00BC5C98">
        <w:rPr>
          <w:rFonts w:ascii="David" w:hAnsi="David"/>
          <w:color w:val="000000"/>
          <w:sz w:val="22"/>
          <w:szCs w:val="22"/>
          <w:rtl/>
        </w:rPr>
        <w:t>דוד שאול גבאי ריכטר 54678313</w:t>
      </w:r>
    </w:p>
    <w:p w14:paraId="53FE6864" w14:textId="77777777" w:rsidR="00BC5C98" w:rsidRDefault="00BC5C98" w:rsidP="00BC5C98">
      <w:r w:rsidRPr="00BC5C98">
        <w:rPr>
          <w:color w:val="000000"/>
          <w:rtl/>
        </w:rPr>
        <w:t>נוסח מסמך זה כפוף לשינויי ניסוח ועריכה</w:t>
      </w:r>
    </w:p>
    <w:p w14:paraId="61F7A19D" w14:textId="77777777" w:rsidR="00BC5C98" w:rsidRDefault="00BC5C98" w:rsidP="00BC5C98">
      <w:pPr>
        <w:rPr>
          <w:rtl/>
        </w:rPr>
      </w:pPr>
    </w:p>
    <w:p w14:paraId="73FFE357" w14:textId="77777777" w:rsidR="00BC5C98" w:rsidRDefault="00BC5C98" w:rsidP="00BC5C98">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AC1829B" w14:textId="77777777" w:rsidR="00BC5C98" w:rsidRPr="00BC5C98" w:rsidRDefault="00BC5C98" w:rsidP="00BC5C98">
      <w:pPr>
        <w:jc w:val="center"/>
        <w:rPr>
          <w:color w:val="0000FF"/>
          <w:u w:val="single"/>
        </w:rPr>
      </w:pPr>
    </w:p>
    <w:sectPr w:rsidR="00BC5C98" w:rsidRPr="00BC5C98" w:rsidSect="00BC5C9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41326" w14:textId="77777777" w:rsidR="007E45C4" w:rsidRDefault="007E45C4" w:rsidP="00A76A47">
      <w:r>
        <w:separator/>
      </w:r>
    </w:p>
  </w:endnote>
  <w:endnote w:type="continuationSeparator" w:id="0">
    <w:p w14:paraId="016E1093" w14:textId="77777777" w:rsidR="007E45C4" w:rsidRDefault="007E45C4" w:rsidP="00A7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DC3F8" w14:textId="77777777" w:rsidR="00BC5C98" w:rsidRDefault="00BC5C98" w:rsidP="00BC5C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B3B77D" w14:textId="77777777" w:rsidR="00561F67" w:rsidRPr="00BC5C98" w:rsidRDefault="00BC5C98" w:rsidP="00BC5C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53F51" w14:textId="77777777" w:rsidR="00BC5C98" w:rsidRDefault="00BC5C98" w:rsidP="00BC5C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64E1">
      <w:rPr>
        <w:rFonts w:ascii="FrankRuehl" w:hAnsi="FrankRuehl" w:cs="FrankRuehl"/>
        <w:noProof/>
        <w:rtl/>
      </w:rPr>
      <w:t>1</w:t>
    </w:r>
    <w:r>
      <w:rPr>
        <w:rFonts w:ascii="FrankRuehl" w:hAnsi="FrankRuehl" w:cs="FrankRuehl"/>
        <w:rtl/>
      </w:rPr>
      <w:fldChar w:fldCharType="end"/>
    </w:r>
  </w:p>
  <w:p w14:paraId="3EBAEA3B" w14:textId="77777777" w:rsidR="00561F67" w:rsidRPr="00BC5C98" w:rsidRDefault="00BC5C98" w:rsidP="00BC5C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BA6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94FA6" w14:textId="77777777" w:rsidR="007E45C4" w:rsidRDefault="007E45C4" w:rsidP="00A76A47">
      <w:r>
        <w:separator/>
      </w:r>
    </w:p>
  </w:footnote>
  <w:footnote w:type="continuationSeparator" w:id="0">
    <w:p w14:paraId="7EE241C0" w14:textId="77777777" w:rsidR="007E45C4" w:rsidRDefault="007E45C4" w:rsidP="00A7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D789A" w14:textId="77777777" w:rsidR="00BC5C98" w:rsidRPr="00BC5C98" w:rsidRDefault="00BC5C98" w:rsidP="00BC5C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11868-03-19</w:t>
    </w:r>
    <w:r>
      <w:rPr>
        <w:rFonts w:ascii="David" w:hAnsi="David"/>
        <w:color w:val="000000"/>
        <w:sz w:val="22"/>
        <w:szCs w:val="22"/>
        <w:rtl/>
      </w:rPr>
      <w:tab/>
      <w:t xml:space="preserve"> מדינת ישראל נ' נחמן בויום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B7179" w14:textId="77777777" w:rsidR="00BC5C98" w:rsidRPr="00BC5C98" w:rsidRDefault="00BC5C98" w:rsidP="00BC5C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11868-03-19</w:t>
    </w:r>
    <w:r>
      <w:rPr>
        <w:rFonts w:ascii="David" w:hAnsi="David"/>
        <w:color w:val="000000"/>
        <w:sz w:val="22"/>
        <w:szCs w:val="22"/>
        <w:rtl/>
      </w:rPr>
      <w:tab/>
      <w:t xml:space="preserve"> מדינת ישראל נ' נחמן בויום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61FA3"/>
    <w:multiLevelType w:val="hybridMultilevel"/>
    <w:tmpl w:val="ECD67968"/>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9976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1947"/>
    <w:rsid w:val="0018327F"/>
    <w:rsid w:val="00561F67"/>
    <w:rsid w:val="00703202"/>
    <w:rsid w:val="007E45C4"/>
    <w:rsid w:val="00A76A47"/>
    <w:rsid w:val="00A81947"/>
    <w:rsid w:val="00B164E1"/>
    <w:rsid w:val="00BC5C98"/>
    <w:rsid w:val="00C6080D"/>
    <w:rsid w:val="00CB63BD"/>
    <w:rsid w:val="00EB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6B2662"/>
  <w15:chartTrackingRefBased/>
  <w15:docId w15:val="{29B4D74C-85FB-4D77-9FA9-22707516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9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1947"/>
    <w:pPr>
      <w:tabs>
        <w:tab w:val="center" w:pos="4153"/>
        <w:tab w:val="right" w:pos="8306"/>
      </w:tabs>
    </w:pPr>
  </w:style>
  <w:style w:type="character" w:customStyle="1" w:styleId="a4">
    <w:name w:val="כותרת עליונה תו"/>
    <w:link w:val="a3"/>
    <w:rsid w:val="00A81947"/>
    <w:rPr>
      <w:rFonts w:ascii="Times New Roman" w:eastAsia="Times New Roman" w:hAnsi="Times New Roman" w:cs="David"/>
      <w:sz w:val="24"/>
      <w:szCs w:val="24"/>
    </w:rPr>
  </w:style>
  <w:style w:type="paragraph" w:styleId="a5">
    <w:name w:val="footer"/>
    <w:basedOn w:val="a"/>
    <w:link w:val="a6"/>
    <w:rsid w:val="00A81947"/>
    <w:pPr>
      <w:tabs>
        <w:tab w:val="center" w:pos="4153"/>
        <w:tab w:val="right" w:pos="8306"/>
      </w:tabs>
    </w:pPr>
  </w:style>
  <w:style w:type="character" w:customStyle="1" w:styleId="a6">
    <w:name w:val="כותרת תחתונה תו"/>
    <w:link w:val="a5"/>
    <w:rsid w:val="00A81947"/>
    <w:rPr>
      <w:rFonts w:ascii="Times New Roman" w:eastAsia="Times New Roman" w:hAnsi="Times New Roman" w:cs="David"/>
      <w:sz w:val="24"/>
      <w:szCs w:val="24"/>
    </w:rPr>
  </w:style>
  <w:style w:type="table" w:styleId="a7">
    <w:name w:val="Table Grid"/>
    <w:basedOn w:val="a1"/>
    <w:rsid w:val="00A819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1947"/>
  </w:style>
  <w:style w:type="character" w:styleId="Hyperlink">
    <w:name w:val="Hyperlink"/>
    <w:rsid w:val="00BC5C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4216/36a.a"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597771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2240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93618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36a.b"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yperlink" Target="http://www.nevo.co.il/law/70301/29.a" TargetMode="External"/><Relationship Id="rId28" Type="http://schemas.openxmlformats.org/officeDocument/2006/relationships/hyperlink" Target="http://www.nevo.co.il/case/5605484"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297371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035570" TargetMode="External"/><Relationship Id="rId35" Type="http://schemas.openxmlformats.org/officeDocument/2006/relationships/hyperlink" Target="http://www.nevo.co.il/case/20321459"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1980458"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2293</Words>
  <Characters>11469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13735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5111890</vt:i4>
      </vt:variant>
      <vt:variant>
        <vt:i4>99</vt:i4>
      </vt:variant>
      <vt:variant>
        <vt:i4>0</vt:i4>
      </vt:variant>
      <vt:variant>
        <vt:i4>5</vt:i4>
      </vt:variant>
      <vt:variant>
        <vt:lpwstr>http://www.nevo.co.il/law/4216/36a.b</vt:lpwstr>
      </vt:variant>
      <vt:variant>
        <vt:lpwstr/>
      </vt:variant>
      <vt:variant>
        <vt:i4>5046354</vt:i4>
      </vt:variant>
      <vt:variant>
        <vt:i4>96</vt:i4>
      </vt:variant>
      <vt:variant>
        <vt:i4>0</vt:i4>
      </vt:variant>
      <vt:variant>
        <vt:i4>5</vt:i4>
      </vt:variant>
      <vt:variant>
        <vt:lpwstr>http://www.nevo.co.il/law/4216/36a.a</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3473522</vt:i4>
      </vt:variant>
      <vt:variant>
        <vt:i4>84</vt:i4>
      </vt:variant>
      <vt:variant>
        <vt:i4>0</vt:i4>
      </vt:variant>
      <vt:variant>
        <vt:i4>5</vt:i4>
      </vt:variant>
      <vt:variant>
        <vt:lpwstr>http://www.nevo.co.il/case/20321459</vt:lpwstr>
      </vt:variant>
      <vt:variant>
        <vt:lpwstr/>
      </vt:variant>
      <vt:variant>
        <vt:i4>3997809</vt:i4>
      </vt:variant>
      <vt:variant>
        <vt:i4>81</vt:i4>
      </vt:variant>
      <vt:variant>
        <vt:i4>0</vt:i4>
      </vt:variant>
      <vt:variant>
        <vt:i4>5</vt:i4>
      </vt:variant>
      <vt:variant>
        <vt:lpwstr>http://www.nevo.co.il/case/25977712</vt:lpwstr>
      </vt:variant>
      <vt:variant>
        <vt:lpwstr/>
      </vt:variant>
      <vt:variant>
        <vt:i4>4063353</vt:i4>
      </vt:variant>
      <vt:variant>
        <vt:i4>78</vt:i4>
      </vt:variant>
      <vt:variant>
        <vt:i4>0</vt:i4>
      </vt:variant>
      <vt:variant>
        <vt:i4>5</vt:i4>
      </vt:variant>
      <vt:variant>
        <vt:lpwstr>http://www.nevo.co.il/case/21980458</vt:lpwstr>
      </vt:variant>
      <vt:variant>
        <vt:lpwstr/>
      </vt:variant>
      <vt:variant>
        <vt:i4>3473526</vt:i4>
      </vt:variant>
      <vt:variant>
        <vt:i4>75</vt:i4>
      </vt:variant>
      <vt:variant>
        <vt:i4>0</vt:i4>
      </vt:variant>
      <vt:variant>
        <vt:i4>5</vt:i4>
      </vt:variant>
      <vt:variant>
        <vt:lpwstr>http://www.nevo.co.il/case/20936185</vt:lpwstr>
      </vt:variant>
      <vt:variant>
        <vt:lpwstr/>
      </vt:variant>
      <vt:variant>
        <vt:i4>3735670</vt:i4>
      </vt:variant>
      <vt:variant>
        <vt:i4>72</vt:i4>
      </vt:variant>
      <vt:variant>
        <vt:i4>0</vt:i4>
      </vt:variant>
      <vt:variant>
        <vt:i4>5</vt:i4>
      </vt:variant>
      <vt:variant>
        <vt:lpwstr>http://www.nevo.co.il/case/22973717</vt:lpwstr>
      </vt:variant>
      <vt:variant>
        <vt:lpwstr/>
      </vt:variant>
      <vt:variant>
        <vt:i4>3145843</vt:i4>
      </vt:variant>
      <vt:variant>
        <vt:i4>69</vt:i4>
      </vt:variant>
      <vt:variant>
        <vt:i4>0</vt:i4>
      </vt:variant>
      <vt:variant>
        <vt:i4>5</vt:i4>
      </vt:variant>
      <vt:variant>
        <vt:lpwstr>http://www.nevo.co.il/case/21035570</vt:lpwstr>
      </vt:variant>
      <vt:variant>
        <vt:lpwstr/>
      </vt:variant>
      <vt:variant>
        <vt:i4>3473522</vt:i4>
      </vt:variant>
      <vt:variant>
        <vt:i4>66</vt:i4>
      </vt:variant>
      <vt:variant>
        <vt:i4>0</vt:i4>
      </vt:variant>
      <vt:variant>
        <vt:i4>5</vt:i4>
      </vt:variant>
      <vt:variant>
        <vt:lpwstr>http://www.nevo.co.il/case/22240058</vt:lpwstr>
      </vt:variant>
      <vt:variant>
        <vt:lpwstr/>
      </vt:variant>
      <vt:variant>
        <vt:i4>3473535</vt:i4>
      </vt:variant>
      <vt:variant>
        <vt:i4>63</vt:i4>
      </vt:variant>
      <vt:variant>
        <vt:i4>0</vt:i4>
      </vt:variant>
      <vt:variant>
        <vt:i4>5</vt:i4>
      </vt:variant>
      <vt:variant>
        <vt:lpwstr>http://www.nevo.co.il/case/5605484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7995492</vt:i4>
      </vt:variant>
      <vt:variant>
        <vt:i4>51</vt:i4>
      </vt:variant>
      <vt:variant>
        <vt:i4>0</vt:i4>
      </vt:variant>
      <vt:variant>
        <vt:i4>5</vt:i4>
      </vt:variant>
      <vt:variant>
        <vt:lpwstr>http://www.nevo.co.il/law/70301</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6357107</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11868</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נחמן בויום</vt:lpwstr>
  </property>
  <property fmtid="{D5CDD505-2E9C-101B-9397-08002B2CF9AE}" pid="10" name="LAWYER">
    <vt:lpwstr>יעקב שלומוביץ ממשרד תמי אולמן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20191225</vt:lpwstr>
  </property>
  <property fmtid="{D5CDD505-2E9C-101B-9397-08002B2CF9AE}" pid="14" name="TYPE_N_DATE">
    <vt:lpwstr>38020191225</vt:lpwstr>
  </property>
  <property fmtid="{D5CDD505-2E9C-101B-9397-08002B2CF9AE}" pid="15" name="CASESLISTTMP1">
    <vt:lpwstr>23827604;5605484;22240058;21035570;22973717;20936185;21980458;25977712;20321459</vt:lpwstr>
  </property>
  <property fmtid="{D5CDD505-2E9C-101B-9397-08002B2CF9AE}" pid="16" name="CASENOTES1">
    <vt:lpwstr>ProcID=174;133;209&amp;PartA=3343&amp;PartC=17</vt:lpwstr>
  </property>
  <property fmtid="{D5CDD505-2E9C-101B-9397-08002B2CF9AE}" pid="17" name="WORDNUMPAGES">
    <vt:lpwstr>8</vt:lpwstr>
  </property>
  <property fmtid="{D5CDD505-2E9C-101B-9397-08002B2CF9AE}" pid="18" name="TYPE_ABS_DATE">
    <vt:lpwstr>380020191225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4216/007.a;007.c;013;019.a;036a.a;036a.b</vt:lpwstr>
  </property>
  <property fmtid="{D5CDD505-2E9C-101B-9397-08002B2CF9AE}" pid="38" name="LAWLISTTMP2">
    <vt:lpwstr>70301/029.a;040i;40ja</vt:lpwstr>
  </property>
</Properties>
</file>