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A561D" w:rsidRPr="009C2F46" w14:paraId="69F51E1D" w14:textId="77777777" w:rsidTr="0091452B">
        <w:trPr>
          <w:trHeight w:hRule="exact" w:val="418"/>
          <w:jc w:val="center"/>
        </w:trPr>
        <w:tc>
          <w:tcPr>
            <w:tcW w:w="8721" w:type="dxa"/>
            <w:gridSpan w:val="2"/>
          </w:tcPr>
          <w:p w14:paraId="3FFD0D54" w14:textId="77777777" w:rsidR="00DA561D" w:rsidRPr="009C2F46" w:rsidRDefault="00DA561D" w:rsidP="00271FC3">
            <w:pPr>
              <w:pStyle w:val="a3"/>
              <w:jc w:val="center"/>
              <w:rPr>
                <w:rFonts w:ascii="Tahoma" w:hAnsi="Tahoma" w:cs="Tahoma"/>
                <w:color w:val="000080"/>
                <w:rtl/>
              </w:rPr>
            </w:pPr>
            <w:bookmarkStart w:id="0" w:name="FirstLawyer"/>
            <w:bookmarkStart w:id="1" w:name="LastJudge"/>
            <w:r w:rsidRPr="009C2F46">
              <w:rPr>
                <w:rFonts w:ascii="FrankRuehl" w:hAnsi="FrankRuehl" w:cs="FrankRuehl"/>
                <w:b/>
                <w:bCs/>
                <w:color w:val="000080"/>
                <w:sz w:val="28"/>
                <w:szCs w:val="28"/>
                <w:rtl/>
              </w:rPr>
              <w:t>בית משפט השלום בירושלים</w:t>
            </w:r>
          </w:p>
        </w:tc>
      </w:tr>
      <w:tr w:rsidR="00DA561D" w:rsidRPr="009C2F46" w14:paraId="43C35D83" w14:textId="77777777" w:rsidTr="0091452B">
        <w:trPr>
          <w:trHeight w:val="337"/>
          <w:jc w:val="center"/>
        </w:trPr>
        <w:tc>
          <w:tcPr>
            <w:tcW w:w="5061" w:type="dxa"/>
          </w:tcPr>
          <w:p w14:paraId="7B912D20" w14:textId="77777777" w:rsidR="00DA561D" w:rsidRPr="009C2F46" w:rsidRDefault="00DA561D" w:rsidP="00271FC3">
            <w:pPr>
              <w:rPr>
                <w:rFonts w:cs="FrankRuehl"/>
                <w:sz w:val="28"/>
                <w:szCs w:val="28"/>
                <w:rtl/>
              </w:rPr>
            </w:pPr>
            <w:r w:rsidRPr="009C2F46">
              <w:rPr>
                <w:rFonts w:cs="FrankRuehl"/>
                <w:sz w:val="28"/>
                <w:szCs w:val="28"/>
                <w:rtl/>
              </w:rPr>
              <w:t>ת"פ</w:t>
            </w:r>
            <w:r w:rsidRPr="009C2F46">
              <w:rPr>
                <w:rFonts w:cs="FrankRuehl" w:hint="cs"/>
                <w:sz w:val="28"/>
                <w:szCs w:val="28"/>
                <w:rtl/>
              </w:rPr>
              <w:t xml:space="preserve"> </w:t>
            </w:r>
            <w:r w:rsidRPr="009C2F46">
              <w:rPr>
                <w:rFonts w:cs="FrankRuehl"/>
                <w:sz w:val="28"/>
                <w:szCs w:val="28"/>
                <w:rtl/>
              </w:rPr>
              <w:t>33331-03-19</w:t>
            </w:r>
            <w:r w:rsidRPr="009C2F46">
              <w:rPr>
                <w:rFonts w:cs="FrankRuehl" w:hint="cs"/>
                <w:sz w:val="28"/>
                <w:szCs w:val="28"/>
                <w:rtl/>
              </w:rPr>
              <w:t xml:space="preserve"> </w:t>
            </w:r>
            <w:r w:rsidRPr="009C2F46">
              <w:rPr>
                <w:rFonts w:cs="FrankRuehl"/>
                <w:sz w:val="28"/>
                <w:szCs w:val="28"/>
                <w:rtl/>
              </w:rPr>
              <w:t>מדינת ישראל נ' ברדי(אחר/נוסף)</w:t>
            </w:r>
          </w:p>
          <w:p w14:paraId="0B7D28BA" w14:textId="77777777" w:rsidR="00DA561D" w:rsidRPr="009C2F46" w:rsidRDefault="00DA561D" w:rsidP="00271FC3">
            <w:pPr>
              <w:pStyle w:val="a3"/>
              <w:rPr>
                <w:rFonts w:cs="FrankRuehl"/>
                <w:sz w:val="28"/>
                <w:szCs w:val="28"/>
                <w:rtl/>
              </w:rPr>
            </w:pPr>
          </w:p>
        </w:tc>
        <w:tc>
          <w:tcPr>
            <w:tcW w:w="3660" w:type="dxa"/>
          </w:tcPr>
          <w:p w14:paraId="5B902409" w14:textId="77777777" w:rsidR="00DA561D" w:rsidRPr="009C2F46" w:rsidRDefault="00DA561D" w:rsidP="00271FC3">
            <w:pPr>
              <w:pStyle w:val="a3"/>
              <w:jc w:val="right"/>
              <w:rPr>
                <w:rFonts w:cs="FrankRuehl"/>
                <w:sz w:val="28"/>
                <w:szCs w:val="28"/>
                <w:rtl/>
              </w:rPr>
            </w:pPr>
          </w:p>
        </w:tc>
      </w:tr>
    </w:tbl>
    <w:p w14:paraId="38E7482D" w14:textId="77777777" w:rsidR="00DA561D" w:rsidRPr="009C2F46" w:rsidRDefault="00DA561D" w:rsidP="00DA561D">
      <w:pPr>
        <w:pStyle w:val="a3"/>
        <w:rPr>
          <w:rtl/>
        </w:rPr>
      </w:pPr>
      <w:r w:rsidRPr="009C2F46">
        <w:rPr>
          <w:rFonts w:hint="cs"/>
          <w:rtl/>
        </w:rPr>
        <w:t xml:space="preserve"> </w:t>
      </w:r>
    </w:p>
    <w:p w14:paraId="1BC8BB2B" w14:textId="77777777" w:rsidR="00DA561D" w:rsidRPr="009C2F46" w:rsidRDefault="00DA561D" w:rsidP="00DA561D">
      <w:pPr>
        <w:rPr>
          <w:rtl/>
        </w:rPr>
      </w:pPr>
    </w:p>
    <w:p w14:paraId="7EC12BC5" w14:textId="77777777" w:rsidR="00DA561D" w:rsidRPr="009C2F46" w:rsidRDefault="00DA561D" w:rsidP="00DA561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A561D" w:rsidRPr="009C2F46" w14:paraId="67AF39FE" w14:textId="77777777" w:rsidTr="00DA561D">
        <w:trPr>
          <w:trHeight w:val="295"/>
          <w:jc w:val="center"/>
        </w:trPr>
        <w:tc>
          <w:tcPr>
            <w:tcW w:w="923" w:type="dxa"/>
            <w:tcBorders>
              <w:top w:val="nil"/>
              <w:left w:val="nil"/>
              <w:bottom w:val="nil"/>
              <w:right w:val="nil"/>
            </w:tcBorders>
            <w:shd w:val="clear" w:color="auto" w:fill="auto"/>
          </w:tcPr>
          <w:p w14:paraId="53B92BE3" w14:textId="77777777" w:rsidR="00DA561D" w:rsidRPr="009C2F46" w:rsidRDefault="00DA561D" w:rsidP="00DA561D">
            <w:pPr>
              <w:jc w:val="both"/>
              <w:rPr>
                <w:rFonts w:ascii="FrankRuehl" w:hAnsi="FrankRuehl" w:cs="FrankRuehl"/>
                <w:b/>
                <w:bCs/>
                <w:sz w:val="28"/>
                <w:szCs w:val="28"/>
              </w:rPr>
            </w:pPr>
            <w:r w:rsidRPr="009C2F46">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01D57F1B" w14:textId="77777777" w:rsidR="00DA561D" w:rsidRPr="009C2F46" w:rsidRDefault="00DA561D" w:rsidP="00271FC3">
            <w:pPr>
              <w:rPr>
                <w:rFonts w:ascii="FrankRuehl" w:hAnsi="FrankRuehl" w:cs="FrankRuehl"/>
                <w:b/>
                <w:bCs/>
                <w:sz w:val="28"/>
                <w:szCs w:val="28"/>
                <w:rtl/>
              </w:rPr>
            </w:pPr>
            <w:r w:rsidRPr="009C2F46">
              <w:rPr>
                <w:rFonts w:ascii="FrankRuehl" w:hAnsi="FrankRuehl" w:cs="FrankRuehl"/>
                <w:b/>
                <w:bCs/>
                <w:sz w:val="28"/>
                <w:szCs w:val="28"/>
                <w:rtl/>
              </w:rPr>
              <w:t>כבוד השופט  דוד שאול גבאי ריכטר</w:t>
            </w:r>
          </w:p>
          <w:p w14:paraId="7679E7E7" w14:textId="77777777" w:rsidR="00DA561D" w:rsidRPr="009C2F46" w:rsidRDefault="00DA561D" w:rsidP="00271FC3">
            <w:pPr>
              <w:rPr>
                <w:rFonts w:ascii="FrankRuehl" w:hAnsi="FrankRuehl" w:cs="FrankRuehl"/>
                <w:b/>
                <w:bCs/>
                <w:sz w:val="28"/>
                <w:szCs w:val="28"/>
                <w:rtl/>
              </w:rPr>
            </w:pPr>
          </w:p>
          <w:p w14:paraId="3DC2727F" w14:textId="77777777" w:rsidR="00DA561D" w:rsidRPr="009C2F46" w:rsidRDefault="00DA561D" w:rsidP="00DA561D">
            <w:pPr>
              <w:jc w:val="both"/>
              <w:rPr>
                <w:rFonts w:ascii="FrankRuehl" w:hAnsi="FrankRuehl" w:cs="FrankRuehl"/>
                <w:b/>
                <w:bCs/>
                <w:sz w:val="28"/>
                <w:szCs w:val="28"/>
              </w:rPr>
            </w:pPr>
          </w:p>
        </w:tc>
      </w:tr>
      <w:tr w:rsidR="00DA561D" w:rsidRPr="009C2F46" w14:paraId="0379033F" w14:textId="77777777" w:rsidTr="00DA561D">
        <w:trPr>
          <w:trHeight w:val="355"/>
          <w:jc w:val="center"/>
        </w:trPr>
        <w:tc>
          <w:tcPr>
            <w:tcW w:w="923" w:type="dxa"/>
            <w:tcBorders>
              <w:top w:val="nil"/>
              <w:left w:val="nil"/>
              <w:bottom w:val="nil"/>
              <w:right w:val="nil"/>
            </w:tcBorders>
            <w:shd w:val="clear" w:color="auto" w:fill="auto"/>
          </w:tcPr>
          <w:p w14:paraId="4850A688" w14:textId="77777777" w:rsidR="00DA561D" w:rsidRPr="009C2F46" w:rsidRDefault="00DA561D" w:rsidP="00DA561D">
            <w:pPr>
              <w:jc w:val="both"/>
              <w:rPr>
                <w:rFonts w:ascii="FrankRuehl" w:hAnsi="FrankRuehl" w:cs="FrankRuehl"/>
                <w:b/>
                <w:bCs/>
                <w:sz w:val="28"/>
                <w:szCs w:val="28"/>
              </w:rPr>
            </w:pPr>
            <w:bookmarkStart w:id="2" w:name="FirstAppellant"/>
            <w:r w:rsidRPr="009C2F46">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59118067" w14:textId="77777777" w:rsidR="00DA561D" w:rsidRPr="009C2F46" w:rsidRDefault="00DA561D" w:rsidP="00271FC3">
            <w:pPr>
              <w:rPr>
                <w:rFonts w:ascii="FrankRuehl" w:hAnsi="FrankRuehl" w:cs="FrankRuehl"/>
                <w:b/>
                <w:bCs/>
                <w:sz w:val="28"/>
                <w:szCs w:val="28"/>
              </w:rPr>
            </w:pPr>
            <w:r w:rsidRPr="009C2F46">
              <w:rPr>
                <w:rFonts w:ascii="FrankRuehl" w:hAnsi="FrankRuehl" w:cs="FrankRuehl"/>
                <w:b/>
                <w:bCs/>
                <w:sz w:val="28"/>
                <w:szCs w:val="28"/>
                <w:rtl/>
              </w:rPr>
              <w:t>מדינת ישראל</w:t>
            </w:r>
            <w:r w:rsidRPr="009C2F46">
              <w:rPr>
                <w:rFonts w:ascii="FrankRuehl" w:hAnsi="FrankRuehl" w:cs="FrankRuehl"/>
                <w:b/>
                <w:bCs/>
                <w:sz w:val="28"/>
                <w:szCs w:val="28"/>
                <w:rtl/>
              </w:rPr>
              <w:br/>
              <w:t xml:space="preserve">ע"י </w:t>
            </w:r>
            <w:r w:rsidRPr="009C2F46">
              <w:rPr>
                <w:rFonts w:ascii="FrankRuehl" w:hAnsi="FrankRuehl" w:cs="FrankRuehl" w:hint="cs"/>
                <w:b/>
                <w:bCs/>
                <w:sz w:val="28"/>
                <w:szCs w:val="28"/>
                <w:rtl/>
              </w:rPr>
              <w:t xml:space="preserve">עו"ד מאיר לוברבאום </w:t>
            </w:r>
            <w:r w:rsidRPr="009C2F46">
              <w:rPr>
                <w:rFonts w:ascii="FrankRuehl" w:hAnsi="FrankRuehl" w:cs="FrankRuehl"/>
                <w:b/>
                <w:bCs/>
                <w:sz w:val="28"/>
                <w:szCs w:val="28"/>
                <w:rtl/>
              </w:rPr>
              <w:t>תביעות ירושלים</w:t>
            </w:r>
          </w:p>
        </w:tc>
        <w:tc>
          <w:tcPr>
            <w:tcW w:w="3771" w:type="dxa"/>
            <w:tcBorders>
              <w:top w:val="nil"/>
              <w:left w:val="nil"/>
              <w:bottom w:val="nil"/>
              <w:right w:val="nil"/>
            </w:tcBorders>
            <w:shd w:val="clear" w:color="auto" w:fill="auto"/>
          </w:tcPr>
          <w:p w14:paraId="0F77D6D3" w14:textId="77777777" w:rsidR="00DA561D" w:rsidRPr="009C2F46" w:rsidRDefault="00DA561D" w:rsidP="00DA561D">
            <w:pPr>
              <w:jc w:val="both"/>
              <w:rPr>
                <w:rFonts w:ascii="FrankRuehl" w:hAnsi="FrankRuehl" w:cs="FrankRuehl"/>
                <w:b/>
                <w:bCs/>
                <w:sz w:val="28"/>
                <w:szCs w:val="28"/>
              </w:rPr>
            </w:pPr>
          </w:p>
        </w:tc>
      </w:tr>
      <w:bookmarkEnd w:id="2"/>
      <w:tr w:rsidR="00DA561D" w:rsidRPr="009C2F46" w14:paraId="64370D2C" w14:textId="77777777" w:rsidTr="00DA561D">
        <w:trPr>
          <w:trHeight w:val="355"/>
          <w:jc w:val="center"/>
        </w:trPr>
        <w:tc>
          <w:tcPr>
            <w:tcW w:w="923" w:type="dxa"/>
            <w:tcBorders>
              <w:top w:val="nil"/>
              <w:left w:val="nil"/>
              <w:bottom w:val="nil"/>
              <w:right w:val="nil"/>
            </w:tcBorders>
            <w:shd w:val="clear" w:color="auto" w:fill="auto"/>
          </w:tcPr>
          <w:p w14:paraId="547E29E7" w14:textId="77777777" w:rsidR="00DA561D" w:rsidRPr="009C2F46" w:rsidRDefault="00DA561D" w:rsidP="00DA561D">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71A6E98" w14:textId="77777777" w:rsidR="00DA561D" w:rsidRPr="009C2F46" w:rsidRDefault="00DA561D" w:rsidP="00DA561D">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1C11715F" w14:textId="77777777" w:rsidR="00DA561D" w:rsidRPr="009C2F46" w:rsidRDefault="00DA561D" w:rsidP="00DA561D">
            <w:pPr>
              <w:jc w:val="right"/>
              <w:rPr>
                <w:rFonts w:ascii="FrankRuehl" w:hAnsi="FrankRuehl" w:cs="FrankRuehl"/>
                <w:b/>
                <w:bCs/>
                <w:sz w:val="28"/>
                <w:szCs w:val="28"/>
                <w:rtl/>
              </w:rPr>
            </w:pPr>
            <w:r w:rsidRPr="009C2F46">
              <w:rPr>
                <w:rFonts w:ascii="FrankRuehl" w:hAnsi="FrankRuehl" w:cs="FrankRuehl"/>
                <w:b/>
                <w:bCs/>
                <w:sz w:val="28"/>
                <w:szCs w:val="28"/>
                <w:rtl/>
              </w:rPr>
              <w:t>המאשימה</w:t>
            </w:r>
          </w:p>
        </w:tc>
      </w:tr>
      <w:tr w:rsidR="00DA561D" w:rsidRPr="009C2F46" w14:paraId="4D4C6B05" w14:textId="77777777" w:rsidTr="00DA561D">
        <w:trPr>
          <w:trHeight w:val="355"/>
          <w:jc w:val="center"/>
        </w:trPr>
        <w:tc>
          <w:tcPr>
            <w:tcW w:w="923" w:type="dxa"/>
            <w:tcBorders>
              <w:top w:val="nil"/>
              <w:left w:val="nil"/>
              <w:bottom w:val="nil"/>
              <w:right w:val="nil"/>
            </w:tcBorders>
            <w:shd w:val="clear" w:color="auto" w:fill="auto"/>
          </w:tcPr>
          <w:p w14:paraId="2F012BA6" w14:textId="77777777" w:rsidR="00DA561D" w:rsidRPr="009C2F46" w:rsidRDefault="00DA561D" w:rsidP="00DA561D">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AF450E6" w14:textId="77777777" w:rsidR="00DA561D" w:rsidRPr="009C2F46" w:rsidRDefault="00DA561D" w:rsidP="00DA561D">
            <w:pPr>
              <w:jc w:val="center"/>
              <w:rPr>
                <w:rFonts w:ascii="FrankRuehl" w:hAnsi="FrankRuehl" w:cs="FrankRuehl"/>
                <w:b/>
                <w:bCs/>
                <w:sz w:val="28"/>
                <w:szCs w:val="28"/>
                <w:rtl/>
              </w:rPr>
            </w:pPr>
          </w:p>
          <w:p w14:paraId="69D08056" w14:textId="77777777" w:rsidR="00DA561D" w:rsidRPr="009C2F46" w:rsidRDefault="00DA561D" w:rsidP="00DA561D">
            <w:pPr>
              <w:jc w:val="center"/>
              <w:rPr>
                <w:rFonts w:ascii="FrankRuehl" w:hAnsi="FrankRuehl" w:cs="FrankRuehl"/>
                <w:b/>
                <w:bCs/>
                <w:sz w:val="28"/>
                <w:szCs w:val="28"/>
                <w:rtl/>
              </w:rPr>
            </w:pPr>
            <w:r w:rsidRPr="009C2F46">
              <w:rPr>
                <w:rFonts w:ascii="FrankRuehl" w:hAnsi="FrankRuehl" w:cs="FrankRuehl"/>
                <w:b/>
                <w:bCs/>
                <w:sz w:val="28"/>
                <w:szCs w:val="28"/>
                <w:rtl/>
              </w:rPr>
              <w:t>נגד</w:t>
            </w:r>
          </w:p>
          <w:p w14:paraId="7ED85BF3" w14:textId="77777777" w:rsidR="00DA561D" w:rsidRPr="009C2F46" w:rsidRDefault="00DA561D" w:rsidP="00DA561D">
            <w:pPr>
              <w:jc w:val="both"/>
              <w:rPr>
                <w:rFonts w:ascii="FrankRuehl" w:hAnsi="FrankRuehl" w:cs="FrankRuehl"/>
                <w:b/>
                <w:bCs/>
                <w:sz w:val="28"/>
                <w:szCs w:val="28"/>
              </w:rPr>
            </w:pPr>
          </w:p>
        </w:tc>
      </w:tr>
      <w:tr w:rsidR="00DA561D" w:rsidRPr="009C2F46" w14:paraId="7CDA3B4D" w14:textId="77777777" w:rsidTr="00DA561D">
        <w:trPr>
          <w:trHeight w:val="355"/>
          <w:jc w:val="center"/>
        </w:trPr>
        <w:tc>
          <w:tcPr>
            <w:tcW w:w="923" w:type="dxa"/>
            <w:tcBorders>
              <w:top w:val="nil"/>
              <w:left w:val="nil"/>
              <w:bottom w:val="nil"/>
              <w:right w:val="nil"/>
            </w:tcBorders>
            <w:shd w:val="clear" w:color="auto" w:fill="auto"/>
          </w:tcPr>
          <w:p w14:paraId="07B26E78" w14:textId="77777777" w:rsidR="00DA561D" w:rsidRPr="009C2F46" w:rsidRDefault="00DA561D" w:rsidP="00271FC3">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344A84A" w14:textId="77777777" w:rsidR="00DA561D" w:rsidRPr="009C2F46" w:rsidRDefault="00DA561D" w:rsidP="00271FC3">
            <w:pPr>
              <w:rPr>
                <w:rFonts w:ascii="FrankRuehl" w:hAnsi="FrankRuehl" w:cs="FrankRuehl"/>
                <w:b/>
                <w:bCs/>
                <w:sz w:val="28"/>
                <w:szCs w:val="28"/>
                <w:rtl/>
              </w:rPr>
            </w:pPr>
            <w:r w:rsidRPr="009C2F46">
              <w:rPr>
                <w:rFonts w:ascii="FrankRuehl" w:hAnsi="FrankRuehl" w:cs="FrankRuehl"/>
                <w:b/>
                <w:bCs/>
                <w:sz w:val="28"/>
                <w:szCs w:val="28"/>
                <w:rtl/>
              </w:rPr>
              <w:t xml:space="preserve">אפרים ברדי ת.ז. </w:t>
            </w:r>
            <w:r w:rsidR="009C2F46">
              <w:rPr>
                <w:rFonts w:ascii="FrankRuehl" w:hAnsi="FrankRuehl" w:cs="FrankRuehl"/>
                <w:b/>
                <w:bCs/>
                <w:sz w:val="28"/>
                <w:szCs w:val="28"/>
              </w:rPr>
              <w:t>xxxxxxxxx</w:t>
            </w:r>
            <w:r w:rsidRPr="009C2F46">
              <w:rPr>
                <w:rFonts w:ascii="FrankRuehl" w:hAnsi="FrankRuehl" w:cs="FrankRuehl"/>
                <w:b/>
                <w:bCs/>
                <w:sz w:val="28"/>
                <w:szCs w:val="28"/>
                <w:rtl/>
              </w:rPr>
              <w:br/>
              <w:t>ע"י ב"כ עוה"ד מיכאל עירוני</w:t>
            </w:r>
          </w:p>
        </w:tc>
        <w:tc>
          <w:tcPr>
            <w:tcW w:w="3771" w:type="dxa"/>
            <w:tcBorders>
              <w:top w:val="nil"/>
              <w:left w:val="nil"/>
              <w:bottom w:val="nil"/>
              <w:right w:val="nil"/>
            </w:tcBorders>
            <w:shd w:val="clear" w:color="auto" w:fill="auto"/>
          </w:tcPr>
          <w:p w14:paraId="5BF90FA6" w14:textId="77777777" w:rsidR="00DA561D" w:rsidRPr="009C2F46" w:rsidRDefault="00DA561D" w:rsidP="00DA561D">
            <w:pPr>
              <w:jc w:val="right"/>
              <w:rPr>
                <w:rFonts w:ascii="FrankRuehl" w:hAnsi="FrankRuehl" w:cs="FrankRuehl"/>
                <w:b/>
                <w:bCs/>
                <w:sz w:val="28"/>
                <w:szCs w:val="28"/>
              </w:rPr>
            </w:pPr>
          </w:p>
        </w:tc>
      </w:tr>
      <w:tr w:rsidR="00DA561D" w:rsidRPr="009C2F46" w14:paraId="58C27789" w14:textId="77777777" w:rsidTr="00DA561D">
        <w:trPr>
          <w:trHeight w:val="355"/>
          <w:jc w:val="center"/>
        </w:trPr>
        <w:tc>
          <w:tcPr>
            <w:tcW w:w="923" w:type="dxa"/>
            <w:tcBorders>
              <w:top w:val="nil"/>
              <w:left w:val="nil"/>
              <w:bottom w:val="nil"/>
              <w:right w:val="nil"/>
            </w:tcBorders>
            <w:shd w:val="clear" w:color="auto" w:fill="auto"/>
          </w:tcPr>
          <w:p w14:paraId="5B21FDAB" w14:textId="77777777" w:rsidR="00DA561D" w:rsidRPr="009C2F46" w:rsidRDefault="00DA561D" w:rsidP="00DA561D">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20D7D56" w14:textId="77777777" w:rsidR="00DA561D" w:rsidRPr="009C2F46" w:rsidRDefault="00DA561D" w:rsidP="00DA561D">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1A8E1B85" w14:textId="77777777" w:rsidR="00DA561D" w:rsidRPr="009C2F46" w:rsidRDefault="00DA561D" w:rsidP="00DA561D">
            <w:pPr>
              <w:jc w:val="right"/>
              <w:rPr>
                <w:rFonts w:ascii="FrankRuehl" w:hAnsi="FrankRuehl" w:cs="FrankRuehl"/>
                <w:b/>
                <w:bCs/>
                <w:sz w:val="28"/>
                <w:szCs w:val="28"/>
              </w:rPr>
            </w:pPr>
            <w:r w:rsidRPr="009C2F46">
              <w:rPr>
                <w:rFonts w:ascii="FrankRuehl" w:hAnsi="FrankRuehl" w:cs="FrankRuehl"/>
                <w:b/>
                <w:bCs/>
                <w:sz w:val="28"/>
                <w:szCs w:val="28"/>
                <w:rtl/>
              </w:rPr>
              <w:t>הנאשם</w:t>
            </w:r>
          </w:p>
        </w:tc>
      </w:tr>
    </w:tbl>
    <w:p w14:paraId="3770A1C8" w14:textId="77777777" w:rsidR="00DA561D" w:rsidRPr="009C2F46" w:rsidRDefault="00DA561D" w:rsidP="00DA561D"/>
    <w:p w14:paraId="76FB356B" w14:textId="77777777" w:rsidR="000E5C72" w:rsidRPr="000E5C72" w:rsidRDefault="000E5C72" w:rsidP="000E5C72">
      <w:pPr>
        <w:spacing w:before="120" w:after="120" w:line="240" w:lineRule="exact"/>
        <w:ind w:left="283" w:hanging="283"/>
        <w:jc w:val="both"/>
        <w:rPr>
          <w:rFonts w:ascii="FrankRuehl" w:hAnsi="FrankRuehl" w:cs="FrankRuehl"/>
          <w:rtl/>
        </w:rPr>
      </w:pPr>
    </w:p>
    <w:p w14:paraId="1E3D39D1" w14:textId="77777777" w:rsidR="00D371DB" w:rsidRDefault="00D371DB" w:rsidP="00D371DB">
      <w:pPr>
        <w:rPr>
          <w:rFonts w:ascii="Arial" w:hAnsi="Arial"/>
          <w:rtl/>
        </w:rPr>
      </w:pPr>
      <w:bookmarkStart w:id="3" w:name="LawTable"/>
      <w:bookmarkEnd w:id="3"/>
    </w:p>
    <w:p w14:paraId="2DDFC8CA" w14:textId="77777777" w:rsidR="00D371DB" w:rsidRPr="00D371DB" w:rsidRDefault="00D371DB" w:rsidP="00D371DB">
      <w:pPr>
        <w:spacing w:before="120" w:after="120" w:line="240" w:lineRule="exact"/>
        <w:ind w:left="283" w:hanging="283"/>
        <w:jc w:val="both"/>
        <w:rPr>
          <w:rFonts w:ascii="FrankRuehl" w:hAnsi="FrankRuehl" w:cs="FrankRuehl"/>
          <w:rtl/>
        </w:rPr>
      </w:pPr>
    </w:p>
    <w:p w14:paraId="7D26BA41" w14:textId="77777777" w:rsidR="00D371DB" w:rsidRPr="00D371DB" w:rsidRDefault="00D371DB" w:rsidP="00D371DB">
      <w:pPr>
        <w:spacing w:before="120" w:after="120" w:line="240" w:lineRule="exact"/>
        <w:ind w:left="283" w:hanging="283"/>
        <w:jc w:val="both"/>
        <w:rPr>
          <w:rFonts w:ascii="FrankRuehl" w:hAnsi="FrankRuehl" w:cs="FrankRuehl"/>
          <w:rtl/>
        </w:rPr>
      </w:pPr>
    </w:p>
    <w:p w14:paraId="51C45DC0" w14:textId="77777777" w:rsidR="00D371DB" w:rsidRPr="00D371DB" w:rsidRDefault="00D371DB" w:rsidP="00D371DB">
      <w:pPr>
        <w:spacing w:before="120" w:after="120" w:line="240" w:lineRule="exact"/>
        <w:ind w:left="283" w:hanging="283"/>
        <w:jc w:val="both"/>
        <w:rPr>
          <w:rFonts w:ascii="FrankRuehl" w:hAnsi="FrankRuehl" w:cs="FrankRuehl"/>
          <w:rtl/>
        </w:rPr>
      </w:pPr>
      <w:r w:rsidRPr="00D371DB">
        <w:rPr>
          <w:rFonts w:ascii="FrankRuehl" w:hAnsi="FrankRuehl" w:cs="FrankRuehl"/>
          <w:rtl/>
        </w:rPr>
        <w:t xml:space="preserve">חקיקה שאוזכרה: </w:t>
      </w:r>
    </w:p>
    <w:p w14:paraId="754D7E9D" w14:textId="77777777" w:rsidR="00D371DB" w:rsidRPr="00D371DB" w:rsidRDefault="00D371DB" w:rsidP="00D371DB">
      <w:pPr>
        <w:spacing w:before="120" w:after="120" w:line="240" w:lineRule="exact"/>
        <w:ind w:left="283" w:hanging="283"/>
        <w:jc w:val="both"/>
        <w:rPr>
          <w:rFonts w:ascii="FrankRuehl" w:hAnsi="FrankRuehl" w:cs="FrankRuehl"/>
          <w:rtl/>
        </w:rPr>
      </w:pPr>
      <w:hyperlink r:id="rId7" w:history="1">
        <w:r w:rsidRPr="00D371DB">
          <w:rPr>
            <w:rFonts w:ascii="FrankRuehl" w:hAnsi="FrankRuehl" w:cs="FrankRuehl"/>
            <w:color w:val="0000FF"/>
            <w:rtl/>
          </w:rPr>
          <w:t>פקודת הסמים המסוכנים [נוסח חדש], תשל"ג-1973</w:t>
        </w:r>
      </w:hyperlink>
      <w:r w:rsidRPr="00D371DB">
        <w:rPr>
          <w:rFonts w:ascii="FrankRuehl" w:hAnsi="FrankRuehl" w:cs="FrankRuehl"/>
          <w:rtl/>
        </w:rPr>
        <w:t xml:space="preserve">: סע'  </w:t>
      </w:r>
      <w:hyperlink r:id="rId8" w:history="1">
        <w:r w:rsidRPr="00D371DB">
          <w:rPr>
            <w:rFonts w:ascii="FrankRuehl" w:hAnsi="FrankRuehl" w:cs="FrankRuehl"/>
            <w:color w:val="0000FF"/>
            <w:rtl/>
          </w:rPr>
          <w:t>7.א.</w:t>
        </w:r>
      </w:hyperlink>
      <w:r w:rsidRPr="00D371DB">
        <w:rPr>
          <w:rFonts w:ascii="FrankRuehl" w:hAnsi="FrankRuehl" w:cs="FrankRuehl"/>
          <w:rtl/>
        </w:rPr>
        <w:t xml:space="preserve">, </w:t>
      </w:r>
      <w:hyperlink r:id="rId9" w:history="1">
        <w:r w:rsidRPr="00D371DB">
          <w:rPr>
            <w:rFonts w:ascii="FrankRuehl" w:hAnsi="FrankRuehl" w:cs="FrankRuehl"/>
            <w:color w:val="0000FF"/>
            <w:rtl/>
          </w:rPr>
          <w:t>7.ג</w:t>
        </w:r>
      </w:hyperlink>
      <w:r w:rsidRPr="00D371DB">
        <w:rPr>
          <w:rFonts w:ascii="FrankRuehl" w:hAnsi="FrankRuehl" w:cs="FrankRuehl"/>
          <w:rtl/>
        </w:rPr>
        <w:t xml:space="preserve">, </w:t>
      </w:r>
      <w:hyperlink r:id="rId10" w:history="1">
        <w:r w:rsidRPr="00D371DB">
          <w:rPr>
            <w:rFonts w:ascii="FrankRuehl" w:hAnsi="FrankRuehl" w:cs="FrankRuehl"/>
            <w:color w:val="0000FF"/>
            <w:rtl/>
          </w:rPr>
          <w:t>13</w:t>
        </w:r>
      </w:hyperlink>
      <w:r w:rsidRPr="00D371DB">
        <w:rPr>
          <w:rFonts w:ascii="FrankRuehl" w:hAnsi="FrankRuehl" w:cs="FrankRuehl"/>
          <w:rtl/>
        </w:rPr>
        <w:t xml:space="preserve">, </w:t>
      </w:r>
      <w:hyperlink r:id="rId11" w:history="1">
        <w:r w:rsidRPr="00D371DB">
          <w:rPr>
            <w:rFonts w:ascii="FrankRuehl" w:hAnsi="FrankRuehl" w:cs="FrankRuehl"/>
            <w:color w:val="0000FF"/>
            <w:rtl/>
          </w:rPr>
          <w:t>19א</w:t>
        </w:r>
      </w:hyperlink>
    </w:p>
    <w:p w14:paraId="38FF5482" w14:textId="77777777" w:rsidR="00D371DB" w:rsidRPr="00D371DB" w:rsidRDefault="00D371DB" w:rsidP="00D371DB">
      <w:pPr>
        <w:spacing w:before="120" w:after="120" w:line="240" w:lineRule="exact"/>
        <w:ind w:left="283" w:hanging="283"/>
        <w:jc w:val="both"/>
        <w:rPr>
          <w:rFonts w:ascii="FrankRuehl" w:hAnsi="FrankRuehl" w:cs="FrankRuehl"/>
          <w:rtl/>
        </w:rPr>
      </w:pPr>
      <w:hyperlink r:id="rId12" w:history="1">
        <w:r w:rsidRPr="00D371DB">
          <w:rPr>
            <w:rFonts w:ascii="FrankRuehl" w:hAnsi="FrankRuehl" w:cs="FrankRuehl"/>
            <w:color w:val="0000FF"/>
            <w:rtl/>
          </w:rPr>
          <w:t>תקנות התעבורה, תשכ"א-1961 - לא מרובדות</w:t>
        </w:r>
      </w:hyperlink>
      <w:r w:rsidRPr="00D371DB">
        <w:rPr>
          <w:rFonts w:ascii="FrankRuehl" w:hAnsi="FrankRuehl" w:cs="FrankRuehl"/>
          <w:rtl/>
        </w:rPr>
        <w:t xml:space="preserve">: סע'  </w:t>
      </w:r>
      <w:hyperlink r:id="rId13" w:history="1">
        <w:r w:rsidRPr="00D371DB">
          <w:rPr>
            <w:rFonts w:ascii="FrankRuehl" w:hAnsi="FrankRuehl" w:cs="FrankRuehl"/>
            <w:color w:val="0000FF"/>
            <w:rtl/>
          </w:rPr>
          <w:t>28(ב)(1)(א)</w:t>
        </w:r>
      </w:hyperlink>
    </w:p>
    <w:p w14:paraId="3659C24A" w14:textId="77777777" w:rsidR="00D371DB" w:rsidRPr="00D371DB" w:rsidRDefault="00D371DB" w:rsidP="00D371DB">
      <w:pPr>
        <w:spacing w:before="120" w:after="120" w:line="240" w:lineRule="exact"/>
        <w:ind w:left="283" w:hanging="283"/>
        <w:jc w:val="both"/>
        <w:rPr>
          <w:rFonts w:ascii="FrankRuehl" w:hAnsi="FrankRuehl" w:cs="FrankRuehl"/>
          <w:rtl/>
        </w:rPr>
      </w:pPr>
      <w:hyperlink r:id="rId14" w:history="1">
        <w:r w:rsidRPr="00D371DB">
          <w:rPr>
            <w:rFonts w:ascii="FrankRuehl" w:hAnsi="FrankRuehl" w:cs="FrankRuehl"/>
            <w:color w:val="0000FF"/>
            <w:rtl/>
          </w:rPr>
          <w:t>חוק העונשין, תשל"ז-1977</w:t>
        </w:r>
      </w:hyperlink>
      <w:r w:rsidRPr="00D371DB">
        <w:rPr>
          <w:rFonts w:ascii="FrankRuehl" w:hAnsi="FrankRuehl" w:cs="FrankRuehl"/>
          <w:rtl/>
        </w:rPr>
        <w:t xml:space="preserve">: סע'  </w:t>
      </w:r>
      <w:hyperlink r:id="rId15" w:history="1">
        <w:r w:rsidRPr="00D371DB">
          <w:rPr>
            <w:rFonts w:ascii="FrankRuehl" w:hAnsi="FrankRuehl" w:cs="FrankRuehl"/>
            <w:color w:val="0000FF"/>
            <w:rtl/>
          </w:rPr>
          <w:t>40ט'</w:t>
        </w:r>
      </w:hyperlink>
      <w:r w:rsidRPr="00D371DB">
        <w:rPr>
          <w:rFonts w:ascii="FrankRuehl" w:hAnsi="FrankRuehl" w:cs="FrankRuehl"/>
          <w:rtl/>
        </w:rPr>
        <w:t xml:space="preserve">, </w:t>
      </w:r>
      <w:hyperlink r:id="rId16" w:history="1">
        <w:r w:rsidRPr="00D371DB">
          <w:rPr>
            <w:rFonts w:ascii="FrankRuehl" w:hAnsi="FrankRuehl" w:cs="FrankRuehl"/>
            <w:color w:val="0000FF"/>
            <w:rtl/>
          </w:rPr>
          <w:t>40יא</w:t>
        </w:r>
      </w:hyperlink>
    </w:p>
    <w:p w14:paraId="2C7F5A2A" w14:textId="77777777" w:rsidR="00D371DB" w:rsidRPr="00D371DB" w:rsidRDefault="00D371DB" w:rsidP="00D371DB">
      <w:pPr>
        <w:rPr>
          <w:rFonts w:ascii="Arial" w:hAnsi="Arial"/>
          <w:rtl/>
        </w:rPr>
      </w:pPr>
      <w:bookmarkStart w:id="4" w:name="LawTable_End"/>
      <w:bookmarkEnd w:id="4"/>
    </w:p>
    <w:p w14:paraId="2CB2C976" w14:textId="77777777" w:rsidR="00DA561D" w:rsidRPr="000E5C72" w:rsidRDefault="00DA561D" w:rsidP="000E5C7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561D" w14:paraId="0B10F230" w14:textId="77777777" w:rsidTr="00DA561D">
        <w:trPr>
          <w:trHeight w:val="355"/>
          <w:jc w:val="center"/>
        </w:trPr>
        <w:tc>
          <w:tcPr>
            <w:tcW w:w="8820" w:type="dxa"/>
            <w:tcBorders>
              <w:top w:val="nil"/>
              <w:left w:val="nil"/>
              <w:bottom w:val="nil"/>
              <w:right w:val="nil"/>
            </w:tcBorders>
            <w:shd w:val="clear" w:color="auto" w:fill="auto"/>
          </w:tcPr>
          <w:p w14:paraId="61E7834A" w14:textId="77777777" w:rsidR="009C2F46" w:rsidRPr="009C2F46" w:rsidRDefault="009C2F46" w:rsidP="009C2F46">
            <w:pPr>
              <w:jc w:val="center"/>
              <w:rPr>
                <w:rFonts w:ascii="Arial" w:hAnsi="Arial" w:cs="FrankRuehl"/>
                <w:b/>
                <w:bCs/>
                <w:sz w:val="32"/>
                <w:szCs w:val="32"/>
                <w:u w:val="single"/>
                <w:rtl/>
              </w:rPr>
            </w:pPr>
            <w:bookmarkStart w:id="5" w:name="PsakDin" w:colFirst="0" w:colLast="0"/>
            <w:bookmarkEnd w:id="0"/>
            <w:bookmarkEnd w:id="1"/>
            <w:r w:rsidRPr="009C2F46">
              <w:rPr>
                <w:rFonts w:ascii="Arial" w:hAnsi="Arial" w:cs="FrankRuehl"/>
                <w:b/>
                <w:bCs/>
                <w:sz w:val="32"/>
                <w:szCs w:val="32"/>
                <w:u w:val="single"/>
                <w:rtl/>
              </w:rPr>
              <w:t>גזר דין</w:t>
            </w:r>
          </w:p>
          <w:p w14:paraId="09A49C68" w14:textId="77777777" w:rsidR="00DA561D" w:rsidRPr="009C2F46" w:rsidRDefault="00DA561D" w:rsidP="009C2F46">
            <w:pPr>
              <w:jc w:val="center"/>
              <w:rPr>
                <w:rFonts w:ascii="Arial" w:hAnsi="Arial" w:cs="FrankRuehl"/>
                <w:bCs/>
                <w:sz w:val="32"/>
                <w:szCs w:val="32"/>
                <w:u w:val="single"/>
                <w:rtl/>
              </w:rPr>
            </w:pPr>
          </w:p>
        </w:tc>
      </w:tr>
      <w:bookmarkEnd w:id="5"/>
    </w:tbl>
    <w:p w14:paraId="2427DBF4" w14:textId="77777777" w:rsidR="00DA561D" w:rsidRPr="00B05847" w:rsidRDefault="00DA561D" w:rsidP="00DA561D">
      <w:pPr>
        <w:rPr>
          <w:rFonts w:ascii="Arial" w:hAnsi="Arial"/>
          <w:rtl/>
        </w:rPr>
      </w:pPr>
    </w:p>
    <w:p w14:paraId="282DE22E" w14:textId="77777777" w:rsidR="00DA561D" w:rsidRDefault="00DA561D" w:rsidP="00DA561D">
      <w:pPr>
        <w:rPr>
          <w:rFonts w:ascii="FrankRuehl" w:hAnsi="FrankRuehl" w:cs="FrankRuehl"/>
          <w:b/>
          <w:bCs/>
          <w:sz w:val="28"/>
          <w:szCs w:val="28"/>
          <w:u w:val="single"/>
          <w:rtl/>
        </w:rPr>
      </w:pPr>
    </w:p>
    <w:p w14:paraId="034ABD94" w14:textId="77777777" w:rsidR="00DA561D" w:rsidRDefault="00DA561D" w:rsidP="00DA561D">
      <w:pPr>
        <w:spacing w:line="360" w:lineRule="auto"/>
        <w:rPr>
          <w:rFonts w:ascii="FrankRuehl" w:hAnsi="FrankRuehl" w:cs="FrankRuehl"/>
          <w:b/>
          <w:bCs/>
          <w:sz w:val="28"/>
          <w:szCs w:val="28"/>
          <w:u w:val="single"/>
        </w:rPr>
      </w:pPr>
      <w:r>
        <w:rPr>
          <w:rFonts w:ascii="FrankRuehl" w:hAnsi="FrankRuehl" w:cs="FrankRuehl"/>
          <w:b/>
          <w:bCs/>
          <w:sz w:val="28"/>
          <w:szCs w:val="28"/>
          <w:u w:val="single"/>
          <w:rtl/>
        </w:rPr>
        <w:t xml:space="preserve">כתב האישום </w:t>
      </w:r>
      <w:hyperlink r:id="rId17" w:history="1">
        <w:r w:rsidR="009C2F46" w:rsidRPr="009C2F46">
          <w:rPr>
            <w:rFonts w:ascii="FrankRuehl" w:hAnsi="FrankRuehl" w:cs="FrankRuehl"/>
            <w:b/>
            <w:bCs/>
            <w:color w:val="0000FF"/>
            <w:sz w:val="28"/>
            <w:szCs w:val="28"/>
            <w:u w:val="single"/>
            <w:rtl/>
          </w:rPr>
          <w:t>ת"פ 33331-03-19</w:t>
        </w:r>
      </w:hyperlink>
      <w:r>
        <w:rPr>
          <w:rFonts w:ascii="FrankRuehl" w:hAnsi="FrankRuehl" w:cs="FrankRuehl"/>
          <w:b/>
          <w:bCs/>
          <w:sz w:val="28"/>
          <w:szCs w:val="28"/>
          <w:u w:val="single"/>
          <w:rtl/>
        </w:rPr>
        <w:t xml:space="preserve"> (התיק העיקרי)</w:t>
      </w:r>
    </w:p>
    <w:p w14:paraId="65579973" w14:textId="77777777" w:rsidR="00DA561D" w:rsidRDefault="00DA561D" w:rsidP="00DA561D">
      <w:pPr>
        <w:spacing w:after="160" w:line="360" w:lineRule="auto"/>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הנאשם הורשע על פי הודאתו בעבירות ובעובדות המנויות בכתב האישום. </w:t>
      </w:r>
    </w:p>
    <w:p w14:paraId="6CA6C3F1"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באישום הראשון הודה הנאשם בביצוע עבירה של </w:t>
      </w:r>
      <w:r w:rsidRPr="00150307">
        <w:rPr>
          <w:rFonts w:ascii="FrankRuehl" w:hAnsi="FrankRuehl" w:cs="FrankRuehl"/>
          <w:b/>
          <w:bCs/>
          <w:sz w:val="28"/>
          <w:szCs w:val="28"/>
          <w:rtl/>
        </w:rPr>
        <w:t>החזקת סמים שלא לצריכה עצמית</w:t>
      </w:r>
      <w:r>
        <w:rPr>
          <w:rFonts w:ascii="FrankRuehl" w:hAnsi="FrankRuehl" w:cs="FrankRuehl"/>
          <w:sz w:val="28"/>
          <w:szCs w:val="28"/>
          <w:rtl/>
        </w:rPr>
        <w:t xml:space="preserve"> לפי סעיפים </w:t>
      </w:r>
      <w:hyperlink r:id="rId18" w:history="1">
        <w:r w:rsidR="0091452B" w:rsidRPr="0091452B">
          <w:rPr>
            <w:rStyle w:val="Hyperlink"/>
            <w:rFonts w:ascii="FrankRuehl" w:hAnsi="FrankRuehl" w:cs="FrankRuehl"/>
            <w:sz w:val="28"/>
            <w:szCs w:val="28"/>
            <w:rtl/>
          </w:rPr>
          <w:t>7(א) + (ג)</w:t>
        </w:r>
      </w:hyperlink>
      <w:r>
        <w:rPr>
          <w:rFonts w:ascii="FrankRuehl" w:hAnsi="FrankRuehl" w:cs="FrankRuehl"/>
          <w:sz w:val="28"/>
          <w:szCs w:val="28"/>
          <w:rtl/>
        </w:rPr>
        <w:t xml:space="preserve"> רישא לפקודת הסמים, בכך שהחזיק במקומות שונים בדירתו 271.8 גרם קנבוס ו – 48.17 גרם חשיש. כן החזיק הנאשם על גופו 4,200 ₪ במזומן.</w:t>
      </w:r>
    </w:p>
    <w:p w14:paraId="54B7EC5C" w14:textId="77777777" w:rsidR="00DA561D" w:rsidRDefault="00DA561D" w:rsidP="00DA561D">
      <w:pPr>
        <w:spacing w:after="160" w:line="360" w:lineRule="auto"/>
        <w:jc w:val="both"/>
        <w:rPr>
          <w:rFonts w:ascii="FrankRuehl" w:hAnsi="FrankRuehl" w:cs="FrankRuehl"/>
          <w:sz w:val="28"/>
          <w:szCs w:val="28"/>
          <w:rtl/>
        </w:rPr>
      </w:pPr>
      <w:bookmarkStart w:id="7" w:name="ABSTRACT_END"/>
      <w:bookmarkEnd w:id="7"/>
      <w:r>
        <w:rPr>
          <w:rFonts w:ascii="FrankRuehl" w:hAnsi="FrankRuehl" w:cs="FrankRuehl"/>
          <w:sz w:val="28"/>
          <w:szCs w:val="28"/>
          <w:rtl/>
        </w:rPr>
        <w:lastRenderedPageBreak/>
        <w:t>באישום השני הודה הנאשם בביצוע עביר</w:t>
      </w:r>
      <w:r>
        <w:rPr>
          <w:rFonts w:ascii="FrankRuehl" w:hAnsi="FrankRuehl" w:cs="FrankRuehl" w:hint="cs"/>
          <w:sz w:val="28"/>
          <w:szCs w:val="28"/>
          <w:rtl/>
        </w:rPr>
        <w:t>ה</w:t>
      </w:r>
      <w:r>
        <w:rPr>
          <w:rFonts w:ascii="FrankRuehl" w:hAnsi="FrankRuehl" w:cs="FrankRuehl"/>
          <w:sz w:val="28"/>
          <w:szCs w:val="28"/>
          <w:rtl/>
        </w:rPr>
        <w:t xml:space="preserve"> של </w:t>
      </w:r>
      <w:r w:rsidRPr="00150307">
        <w:rPr>
          <w:rFonts w:ascii="FrankRuehl" w:hAnsi="FrankRuehl" w:cs="FrankRuehl"/>
          <w:b/>
          <w:bCs/>
          <w:sz w:val="28"/>
          <w:szCs w:val="28"/>
          <w:rtl/>
        </w:rPr>
        <w:t>סחר בסמים</w:t>
      </w:r>
      <w:r>
        <w:rPr>
          <w:rFonts w:ascii="FrankRuehl" w:hAnsi="FrankRuehl" w:cs="FrankRuehl"/>
          <w:sz w:val="28"/>
          <w:szCs w:val="28"/>
          <w:rtl/>
        </w:rPr>
        <w:t xml:space="preserve">, לפי </w:t>
      </w:r>
      <w:hyperlink r:id="rId19" w:history="1">
        <w:r w:rsidR="0091452B" w:rsidRPr="0091452B">
          <w:rPr>
            <w:rStyle w:val="Hyperlink"/>
            <w:rFonts w:ascii="FrankRuehl" w:hAnsi="FrankRuehl" w:cs="FrankRuehl" w:hint="eastAsia"/>
            <w:sz w:val="28"/>
            <w:szCs w:val="28"/>
            <w:rtl/>
          </w:rPr>
          <w:t>סעיפים</w:t>
        </w:r>
        <w:r w:rsidR="0091452B" w:rsidRPr="0091452B">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ו-</w:t>
      </w:r>
      <w:hyperlink r:id="rId20" w:history="1">
        <w:r w:rsidR="0091452B" w:rsidRPr="0091452B">
          <w:rPr>
            <w:rStyle w:val="Hyperlink"/>
            <w:rFonts w:ascii="FrankRuehl" w:hAnsi="FrankRuehl" w:cs="FrankRuehl"/>
            <w:sz w:val="28"/>
            <w:szCs w:val="28"/>
            <w:rtl/>
          </w:rPr>
          <w:t>19א</w:t>
        </w:r>
      </w:hyperlink>
      <w:r>
        <w:rPr>
          <w:rFonts w:ascii="FrankRuehl" w:hAnsi="FrankRuehl" w:cs="FrankRuehl" w:hint="cs"/>
          <w:sz w:val="28"/>
          <w:szCs w:val="28"/>
          <w:rtl/>
        </w:rPr>
        <w:t xml:space="preserve"> </w:t>
      </w:r>
      <w:r>
        <w:rPr>
          <w:rFonts w:ascii="FrankRuehl" w:hAnsi="FrankRuehl" w:cs="FrankRuehl"/>
          <w:sz w:val="28"/>
          <w:szCs w:val="28"/>
          <w:rtl/>
        </w:rPr>
        <w:t>ל</w:t>
      </w:r>
      <w:hyperlink r:id="rId21" w:history="1">
        <w:r w:rsidR="009C2F46" w:rsidRPr="009C2F4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על פי עובדות כתב האישום, מכר הנאשם לאחר, לאחר תיאום  ב"טלגראס",  4 גרם קנבוס תמורת 350 ₪.</w:t>
      </w:r>
    </w:p>
    <w:p w14:paraId="2EF37059"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באישום השלישי הודה הנאשם בביצוע עביר</w:t>
      </w:r>
      <w:r>
        <w:rPr>
          <w:rFonts w:ascii="FrankRuehl" w:hAnsi="FrankRuehl" w:cs="FrankRuehl" w:hint="cs"/>
          <w:sz w:val="28"/>
          <w:szCs w:val="28"/>
          <w:rtl/>
        </w:rPr>
        <w:t>ה</w:t>
      </w:r>
      <w:r>
        <w:rPr>
          <w:rFonts w:ascii="FrankRuehl" w:hAnsi="FrankRuehl" w:cs="FrankRuehl"/>
          <w:sz w:val="28"/>
          <w:szCs w:val="28"/>
          <w:rtl/>
        </w:rPr>
        <w:t xml:space="preserve"> של סחר בסמים. על פי עובדות כתב האישום, מכר הנאשם לאחר, לאחר תיאום ב"טלגראס", 24.3930 גרם חשיש תמורת 750 ₪.</w:t>
      </w:r>
    </w:p>
    <w:p w14:paraId="4C29C186" w14:textId="77777777" w:rsidR="00DA561D" w:rsidRDefault="00DA561D" w:rsidP="00DA561D">
      <w:pPr>
        <w:spacing w:after="160" w:line="360" w:lineRule="auto"/>
        <w:jc w:val="both"/>
        <w:rPr>
          <w:rFonts w:ascii="FrankRuehl" w:hAnsi="FrankRuehl" w:cs="FrankRuehl"/>
          <w:b/>
          <w:bCs/>
          <w:sz w:val="28"/>
          <w:szCs w:val="28"/>
          <w:u w:val="single"/>
          <w:rtl/>
        </w:rPr>
      </w:pPr>
    </w:p>
    <w:p w14:paraId="78F21E8C"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כתב אישום </w:t>
      </w:r>
      <w:hyperlink r:id="rId22" w:history="1">
        <w:r w:rsidR="009C2F46" w:rsidRPr="009C2F46">
          <w:rPr>
            <w:rFonts w:ascii="FrankRuehl" w:hAnsi="FrankRuehl" w:cs="FrankRuehl"/>
            <w:b/>
            <w:bCs/>
            <w:color w:val="0000FF"/>
            <w:sz w:val="28"/>
            <w:szCs w:val="28"/>
            <w:u w:val="single"/>
            <w:rtl/>
          </w:rPr>
          <w:t>תת"ע 4661-08-19</w:t>
        </w:r>
      </w:hyperlink>
      <w:r>
        <w:rPr>
          <w:rFonts w:ascii="FrankRuehl" w:hAnsi="FrankRuehl" w:cs="FrankRuehl"/>
          <w:b/>
          <w:bCs/>
          <w:sz w:val="28"/>
          <w:szCs w:val="28"/>
          <w:u w:val="single"/>
          <w:rtl/>
        </w:rPr>
        <w:t xml:space="preserve"> (התיק המצורף)</w:t>
      </w:r>
    </w:p>
    <w:p w14:paraId="7B8ADE23"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על פי עובדות כתב האישום, ביום 23.7.2018, רכב הנאשם על אופניים חשמליים תוך שימוש בטלפון נייד, בניגוד </w:t>
      </w:r>
      <w:hyperlink r:id="rId23" w:history="1">
        <w:r w:rsidR="0091452B" w:rsidRPr="0091452B">
          <w:rPr>
            <w:rStyle w:val="Hyperlink"/>
            <w:rFonts w:ascii="FrankRuehl" w:hAnsi="FrankRuehl" w:cs="FrankRuehl"/>
            <w:sz w:val="28"/>
            <w:szCs w:val="28"/>
            <w:rtl/>
          </w:rPr>
          <w:t>לתקנה 28(ב)(1)(א)</w:t>
        </w:r>
      </w:hyperlink>
      <w:r>
        <w:rPr>
          <w:rFonts w:ascii="FrankRuehl" w:hAnsi="FrankRuehl" w:cs="FrankRuehl"/>
          <w:sz w:val="28"/>
          <w:szCs w:val="28"/>
          <w:rtl/>
        </w:rPr>
        <w:t xml:space="preserve"> ל</w:t>
      </w:r>
      <w:hyperlink r:id="rId24" w:history="1">
        <w:r w:rsidR="009C2F46" w:rsidRPr="009C2F46">
          <w:rPr>
            <w:rFonts w:ascii="FrankRuehl" w:hAnsi="FrankRuehl" w:cs="FrankRuehl"/>
            <w:color w:val="0000FF"/>
            <w:sz w:val="28"/>
            <w:szCs w:val="28"/>
            <w:u w:val="single"/>
            <w:rtl/>
          </w:rPr>
          <w:t>תקנות התעבורה</w:t>
        </w:r>
      </w:hyperlink>
      <w:r>
        <w:rPr>
          <w:rFonts w:ascii="FrankRuehl" w:hAnsi="FrankRuehl" w:cs="FrankRuehl"/>
          <w:sz w:val="28"/>
          <w:szCs w:val="28"/>
          <w:rtl/>
        </w:rPr>
        <w:t>.</w:t>
      </w:r>
    </w:p>
    <w:p w14:paraId="1978D988" w14:textId="77777777" w:rsidR="00DA561D" w:rsidRDefault="00DA561D" w:rsidP="00DA561D">
      <w:pPr>
        <w:spacing w:after="160" w:line="360" w:lineRule="auto"/>
        <w:jc w:val="both"/>
        <w:rPr>
          <w:rFonts w:ascii="FrankRuehl" w:hAnsi="FrankRuehl" w:cs="FrankRuehl"/>
          <w:b/>
          <w:bCs/>
          <w:sz w:val="28"/>
          <w:szCs w:val="28"/>
          <w:u w:val="single"/>
          <w:rtl/>
        </w:rPr>
      </w:pPr>
    </w:p>
    <w:p w14:paraId="4C3DF0C6" w14:textId="77777777" w:rsidR="00DA561D" w:rsidRDefault="00DA561D" w:rsidP="00DA561D">
      <w:pPr>
        <w:spacing w:after="160" w:line="360" w:lineRule="auto"/>
        <w:jc w:val="both"/>
        <w:rPr>
          <w:rFonts w:ascii="FrankRuehl" w:hAnsi="FrankRuehl" w:cs="FrankRuehl"/>
          <w:sz w:val="28"/>
          <w:szCs w:val="28"/>
          <w:rtl/>
        </w:rPr>
      </w:pPr>
    </w:p>
    <w:p w14:paraId="7F4AC8DF" w14:textId="77777777" w:rsidR="00DA561D" w:rsidRDefault="00DA561D" w:rsidP="00DA561D">
      <w:pPr>
        <w:spacing w:after="160"/>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73091742" w14:textId="77777777" w:rsidR="00DA561D" w:rsidRDefault="00DA561D" w:rsidP="00DA561D">
      <w:pPr>
        <w:spacing w:line="360" w:lineRule="auto"/>
        <w:jc w:val="both"/>
        <w:rPr>
          <w:rFonts w:ascii="FrankRuehl" w:hAnsi="FrankRuehl" w:cs="FrankRuehl"/>
          <w:sz w:val="28"/>
          <w:szCs w:val="28"/>
          <w:rtl/>
        </w:rPr>
      </w:pPr>
      <w:r w:rsidRPr="00DA561D">
        <w:rPr>
          <w:rFonts w:ascii="Calibri" w:hAnsi="Calibri" w:cs="FrankRuehl"/>
          <w:sz w:val="28"/>
          <w:szCs w:val="28"/>
          <w:rtl/>
        </w:rPr>
        <w:t xml:space="preserve">הנאשם שלפניי הובא לבית המשפט במסגרת בקשה למעצר עד לתום ההליכים, ובית המשפט הורה על שחרורו למעצר בית מלא בבית הוריו, לאחר קבלת תסקיר מעצר. הנאשם היה עצור בתיק זה בין התאריכים 14.3.2019 עד ליום 3.4.2019 (סה"כ 23 יום). לאחר שמונה חודשים של מעצר בית מלא ללא הפרות מצד הנאשם, הוקלו תנאי מעצר הבית ובמקביל, הכרעתי את דינו על-פי הודאתו בעובדות כתב האישום המתוקן. במהלך חודש דצמבר 2019 הקלתי בתנאים והותרתי מעצר בית לילי והמשך צו פיקוח. כן ביקש הנאשם לצרף תיק תעבורה מאילת והכרעתי את דינו גם בתיק זה. בהמשך הגיש הנאשם בקשה לביטול התנאים המגבילים, אולם המאשימה טענה, כי במהלך חודש ינואר, כחודש בלבד לאחר ההקלה בתנאים, נתפס הנאשם כשהוא מפר את תנאי המעצר, לפיכך דחיתי את הבקשה. </w:t>
      </w:r>
      <w:r>
        <w:rPr>
          <w:rFonts w:ascii="FrankRuehl" w:hAnsi="FrankRuehl" w:cs="FrankRuehl"/>
          <w:sz w:val="28"/>
          <w:szCs w:val="28"/>
          <w:rtl/>
        </w:rPr>
        <w:t xml:space="preserve">הצדדים לא הגיעו להסדר לעניין העונש. הנאשם נשלח לתסקיר ולחוות דעת של הממונה על עבודות השירות. </w:t>
      </w:r>
    </w:p>
    <w:p w14:paraId="3ECE2FBE" w14:textId="77777777" w:rsidR="00DA561D" w:rsidRDefault="00DA561D" w:rsidP="00DA561D">
      <w:pPr>
        <w:spacing w:after="160" w:line="360" w:lineRule="auto"/>
        <w:jc w:val="both"/>
        <w:rPr>
          <w:rFonts w:ascii="FrankRuehl" w:hAnsi="FrankRuehl" w:cs="FrankRuehl"/>
          <w:b/>
          <w:bCs/>
          <w:sz w:val="28"/>
          <w:szCs w:val="28"/>
          <w:u w:val="single"/>
          <w:rtl/>
        </w:rPr>
      </w:pPr>
    </w:p>
    <w:p w14:paraId="070A741A"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תסקירי שירות המבחן</w:t>
      </w:r>
    </w:p>
    <w:p w14:paraId="3714C863"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מהתסקיר הראשון שהוגש במרץ 2020 עולה, כי מדובר באדם כבן 21 רווק ללא עבר פלילי. טרם מעצרו הנוכחי התגורר בדירה שכורה בירושלים יחד עם חברים ועבד במשך שנה בחנות ירקות </w:t>
      </w:r>
      <w:r>
        <w:rPr>
          <w:rFonts w:ascii="FrankRuehl" w:hAnsi="FrankRuehl" w:cs="FrankRuehl"/>
          <w:sz w:val="28"/>
          <w:szCs w:val="28"/>
          <w:rtl/>
        </w:rPr>
        <w:lastRenderedPageBreak/>
        <w:t>ובמקביל עבד בחברת קייטרינג. הנאשם סיים 12 שנות לימוד במסגרות תלמוד תורה וישיבות. לטענת הנאשם חווה פגיעות מאחרים בילדותו יותר מפעם אחת. בנוגע לשימוש בסמים, תיאר הנאשם, כי החל לצרוך סמים בהיותו בן 15, עת שהה במסגרת חוץ ביתית. לאורך השנים חלה הסלמה בדפוסי שימושו והשימוש הפך ליומיומי. שירות המבחן התרשם, כי השימוש בסמים מהווה עבור הנאשם מפלט מטראומות לא מעובדות שחווה בעבר. במהלך תקופת הפיקוח, הופנה הנאשם ליחידה בטיפול בהתמכרויות בבית שמש. מאז חודש יוני 2019 שולב בטיפול פרטני ומסר בדיקות לאיתור שרידי סם שנמצאו נקיות. באשר לטיפול</w:t>
      </w:r>
      <w:r>
        <w:rPr>
          <w:rFonts w:ascii="FrankRuehl" w:hAnsi="FrankRuehl" w:cs="FrankRuehl" w:hint="cs"/>
          <w:sz w:val="28"/>
          <w:szCs w:val="28"/>
          <w:rtl/>
        </w:rPr>
        <w:t xml:space="preserve"> </w:t>
      </w:r>
      <w:r>
        <w:rPr>
          <w:rFonts w:ascii="FrankRuehl" w:hAnsi="FrankRuehl" w:cs="FrankRuehl"/>
          <w:sz w:val="28"/>
          <w:szCs w:val="28"/>
          <w:rtl/>
        </w:rPr>
        <w:t>ציין שירות המבחן,  כי הנאשם הגיע באופן רציף ויציב לפגישות הטיפוליות, אולם ניכר כי אינו מבין את נחיצות הטיפול וחש כי אינו נתרם מהתהליך הטיפולי. הנאשם סיים את הטיפול ביחידה להתמכרויות והוועדה שהתקיימה בעניינו קבעה כי ניתן לסיים את התהליך. בשל פרוץ משבר הקורונה, שירות המבחן לא הצליח לפגוש את הנאשם פעם נוספת וביקש דחיה על מנת למצות את התהליך הטיפולי.</w:t>
      </w:r>
    </w:p>
    <w:p w14:paraId="3358479F"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מהתסקיר השני שהוגש בחודש יולי 2020 עולה, כי במהלך תקופת הדחיה, שירות המבחן ניסה ליצור קשר עם הנאשם על מנת להזמינו לפגישה, אך הנאשם ניתק עמם קשר. לפיכך, שירות המבחן לא בא בהמלצה.</w:t>
      </w:r>
    </w:p>
    <w:p w14:paraId="5CC06771"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בתסקיר שהוגש בחודש אוקטובר 2020 צוין, כי הקשר עם שירות המבחן השתבש, בין היתר בשל משבר הקורונה ואילוצים בריאותיים הן של הנאשם והן של קצינת המבחן. יחד עם זאת המשיך הנאשם למסור בדיקות שתן שנמצאו נקיות. שירות המבחן מצא כי למרות האתגרים עמם נאלץ הנאשם להתמודד לאורך חייו, גילה חוזקות ועוצמות בהקשר זה</w:t>
      </w:r>
      <w:r>
        <w:rPr>
          <w:rFonts w:ascii="FrankRuehl" w:hAnsi="FrankRuehl" w:cs="FrankRuehl" w:hint="cs"/>
          <w:sz w:val="28"/>
          <w:szCs w:val="28"/>
          <w:rtl/>
        </w:rPr>
        <w:t>,</w:t>
      </w:r>
      <w:r>
        <w:rPr>
          <w:rFonts w:ascii="FrankRuehl" w:hAnsi="FrankRuehl" w:cs="FrankRuehl"/>
          <w:sz w:val="28"/>
          <w:szCs w:val="28"/>
          <w:rtl/>
        </w:rPr>
        <w:t xml:space="preserve"> ותפקד באופן חיובי מבחינה תעס</w:t>
      </w:r>
      <w:r>
        <w:rPr>
          <w:rFonts w:ascii="FrankRuehl" w:hAnsi="FrankRuehl" w:cs="FrankRuehl" w:hint="cs"/>
          <w:sz w:val="28"/>
          <w:szCs w:val="28"/>
          <w:rtl/>
        </w:rPr>
        <w:t>ו</w:t>
      </w:r>
      <w:r>
        <w:rPr>
          <w:rFonts w:ascii="FrankRuehl" w:hAnsi="FrankRuehl" w:cs="FrankRuehl"/>
          <w:sz w:val="28"/>
          <w:szCs w:val="28"/>
          <w:rtl/>
        </w:rPr>
        <w:t xml:space="preserve">קתית ובהיבט של ניקיון מסמים. לכן הומלץ על הטלת מאסר בעבודות שירות ללא רכיב טיפולי, בהיעדר מוטיבציה טיפולית מצד הנאשם. </w:t>
      </w:r>
    </w:p>
    <w:p w14:paraId="5C4D3B3B"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שירות המבחן חזר על המלצתו גם בתסקירו מחודש נובמבר 2020, אם כי ציין כי נגד הנאשם הוגש כתב אישום נוסף בגין הפרת הוראה חוקית ושימוש עצמי בסמים. הנאשם סיפר כי חברתו נפגעה ונזקקה לעזרתו, ולכן יצא מהבית תוך הפרת התנאים מבלי ששקל את השלכות מעשיו. הוא הכחיש את עבירת הסמים.</w:t>
      </w:r>
    </w:p>
    <w:p w14:paraId="19E636D4"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בתסקיר מחודש דצמבר 2020 ציין שירות המבחן כי הנאשם פנה מיוזמתו לטיפול פסיכולוגי פרטי, ומשיחה עם המטפלת עלה כי כך הם פני הדברים</w:t>
      </w:r>
      <w:r>
        <w:rPr>
          <w:rFonts w:ascii="FrankRuehl" w:hAnsi="FrankRuehl" w:cs="FrankRuehl" w:hint="cs"/>
          <w:sz w:val="28"/>
          <w:szCs w:val="28"/>
          <w:rtl/>
        </w:rPr>
        <w:t>,</w:t>
      </w:r>
      <w:r>
        <w:rPr>
          <w:rFonts w:ascii="FrankRuehl" w:hAnsi="FrankRuehl" w:cs="FrankRuehl"/>
          <w:sz w:val="28"/>
          <w:szCs w:val="28"/>
          <w:rtl/>
        </w:rPr>
        <w:t xml:space="preserve"> ונראה כי הנאשם נוקט כעת גישה יוזמת לפתרון בעיותיו. הנאשם הביע מצוקה מהמשך מגוריו עם הוריו וכן הביע חשש מכך שאם יוטל עליו מאסר בעבודות שירות, ובהיעדר עורף כלכלי, ייאלץ להישאר לגור עמם. שירות המבחן העריך כי הישארות הנאשם בבית הוריו שהיווה רקע להתדרדרות קודמת שלו מהווה למעשה מוקד סיכון, ולכן שינה את המלצתו והמליץ להטיל על הנאשם של"ץ נרחב וכן צו מבחן להבטחת המשך הטיפול. שירות המבחן סבר כי יש לשקול ענישה מוחשית שלא תדרדר את הנאשם.</w:t>
      </w:r>
    </w:p>
    <w:p w14:paraId="2FD2282D"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hint="cs"/>
          <w:sz w:val="28"/>
          <w:szCs w:val="28"/>
          <w:rtl/>
        </w:rPr>
        <w:t>בתסקיר האחרון מחודש מאי 2021, חזר שירות המבחן על המלצתו האחרונה להטלת של"ץ וצו מבחן.</w:t>
      </w:r>
    </w:p>
    <w:p w14:paraId="2C5C12ED" w14:textId="77777777" w:rsidR="00DA561D" w:rsidRDefault="00DA561D" w:rsidP="00DA561D">
      <w:pPr>
        <w:spacing w:after="160" w:line="360" w:lineRule="auto"/>
        <w:jc w:val="both"/>
        <w:rPr>
          <w:rFonts w:ascii="FrankRuehl" w:hAnsi="FrankRuehl" w:cs="FrankRuehl"/>
          <w:b/>
          <w:bCs/>
          <w:sz w:val="28"/>
          <w:szCs w:val="28"/>
          <w:u w:val="single"/>
          <w:rtl/>
        </w:rPr>
      </w:pPr>
    </w:p>
    <w:p w14:paraId="634EDA00"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חוות דעת הממונה על עבודות שירות</w:t>
      </w:r>
    </w:p>
    <w:p w14:paraId="630E0BEA"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הנאשם נמצא כשיר לריצוי מאסר בדרך של עבודות שירות. הממונה המליץ על השמת הנאשם בעמותת לתת בבית שמש, החל מיום 7.3.2021.</w:t>
      </w:r>
    </w:p>
    <w:p w14:paraId="2CEBE8A6"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טיעונים לעונש</w:t>
      </w:r>
    </w:p>
    <w:p w14:paraId="7148FD92"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הצדדים לא הגיעו להסכמה עונשית. </w:t>
      </w:r>
    </w:p>
    <w:p w14:paraId="1834BF01"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מחד, </w:t>
      </w:r>
      <w:r>
        <w:rPr>
          <w:rFonts w:ascii="FrankRuehl" w:hAnsi="FrankRuehl" w:cs="FrankRuehl" w:hint="cs"/>
          <w:sz w:val="28"/>
          <w:szCs w:val="28"/>
          <w:rtl/>
        </w:rPr>
        <w:t xml:space="preserve">טען ב"כ המאשימה לחומרת העבירות ולמתחמי ענישה הכוללים מאסר בפועל. הוא סבר כי הנאשם לא עבר תהליך שיקומי המצדיק סטיה מן המתחמים להם עתר, ולכן ביקש להטיל עליו עונש בתחתית מתחמי הענישה הכולל מאסר וענישה נוספת. </w:t>
      </w:r>
    </w:p>
    <w:p w14:paraId="3A9051AB"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 xml:space="preserve">מאידך, </w:t>
      </w:r>
      <w:r>
        <w:rPr>
          <w:rFonts w:ascii="FrankRuehl" w:hAnsi="FrankRuehl" w:cs="FrankRuehl" w:hint="cs"/>
          <w:sz w:val="28"/>
          <w:szCs w:val="28"/>
          <w:rtl/>
        </w:rPr>
        <w:t xml:space="preserve">עמד </w:t>
      </w:r>
      <w:r>
        <w:rPr>
          <w:rFonts w:ascii="FrankRuehl" w:hAnsi="FrankRuehl" w:cs="FrankRuehl"/>
          <w:sz w:val="28"/>
          <w:szCs w:val="28"/>
          <w:rtl/>
        </w:rPr>
        <w:t xml:space="preserve">הסניגור </w:t>
      </w:r>
      <w:r>
        <w:rPr>
          <w:rFonts w:ascii="FrankRuehl" w:hAnsi="FrankRuehl" w:cs="FrankRuehl" w:hint="cs"/>
          <w:sz w:val="28"/>
          <w:szCs w:val="28"/>
          <w:rtl/>
        </w:rPr>
        <w:t xml:space="preserve">על נסיבותיהן של העבירות שאינן מן החמורות, לטעמו. כמו כן עמד על נסיבותיו האישיות של הנאשם ועל התהליך שעבר, למרות כל הקשיים, וביקש לאמץ את המלצת שירות המבחן. </w:t>
      </w:r>
    </w:p>
    <w:p w14:paraId="4D99F1D3" w14:textId="77777777" w:rsidR="00DA561D" w:rsidRDefault="00DA561D" w:rsidP="00DA561D">
      <w:pPr>
        <w:spacing w:after="160" w:line="360" w:lineRule="auto"/>
        <w:jc w:val="both"/>
        <w:rPr>
          <w:rFonts w:ascii="FrankRuehl" w:hAnsi="FrankRuehl" w:cs="FrankRuehl"/>
          <w:b/>
          <w:bCs/>
          <w:sz w:val="28"/>
          <w:szCs w:val="28"/>
          <w:u w:val="single"/>
          <w:rtl/>
        </w:rPr>
      </w:pPr>
    </w:p>
    <w:p w14:paraId="25DF0A4A"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קביעת מתחם הענישה </w:t>
      </w:r>
      <w:r>
        <w:rPr>
          <w:rFonts w:ascii="FrankRuehl" w:hAnsi="FrankRuehl"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89A7C2A" w14:textId="77777777" w:rsidR="00DA561D" w:rsidRDefault="00DA561D" w:rsidP="00DA561D">
      <w:pPr>
        <w:spacing w:after="160" w:line="360" w:lineRule="auto"/>
        <w:jc w:val="both"/>
        <w:rPr>
          <w:rFonts w:ascii="FrankRuehl" w:hAnsi="FrankRuehl" w:cs="FrankRuehl"/>
          <w:b/>
          <w:bCs/>
          <w:sz w:val="28"/>
          <w:szCs w:val="28"/>
          <w:u w:val="single"/>
          <w:rtl/>
        </w:rPr>
      </w:pPr>
    </w:p>
    <w:p w14:paraId="599A5BCE"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b/>
          <w:bCs/>
          <w:sz w:val="28"/>
          <w:szCs w:val="28"/>
          <w:u w:val="single"/>
          <w:rtl/>
        </w:rPr>
        <w:t xml:space="preserve">אשר לערך המוגן </w:t>
      </w:r>
      <w:r>
        <w:rPr>
          <w:rFonts w:ascii="FrankRuehl" w:hAnsi="FrankRuehl" w:cs="FrankRuehl"/>
          <w:sz w:val="28"/>
          <w:szCs w:val="28"/>
          <w:rtl/>
        </w:rPr>
        <w:t>– באשר לתיק העיקרי, העבירות אותן עבר הנאשם פוגעות בערך המוגן של שמירה על שלום הציבור ובריאותו מפני נגע הסמים</w:t>
      </w:r>
      <w:r>
        <w:rPr>
          <w:rFonts w:ascii="FrankRuehl" w:hAnsi="FrankRuehl" w:cs="FrankRuehl" w:hint="cs"/>
          <w:sz w:val="28"/>
          <w:szCs w:val="28"/>
          <w:rtl/>
        </w:rPr>
        <w:t xml:space="preserve">, כאשר עבירות סחר בסמים הן עבירות חמורות מעצם טיבן שלרוב יש להחמיר בענישה בגין ביצוען, באופן שיכלול מאסר בפועל - </w:t>
      </w:r>
      <w:r>
        <w:rPr>
          <w:rFonts w:ascii="FrankRuehl" w:hAnsi="FrankRuehl" w:cs="FrankRuehl"/>
          <w:sz w:val="28"/>
          <w:szCs w:val="28"/>
          <w:rtl/>
        </w:rPr>
        <w:t xml:space="preserve">ר' בהקשר זה: רע"פ </w:t>
      </w:r>
      <w:hyperlink r:id="rId25" w:history="1">
        <w:r w:rsidR="000E5C72" w:rsidRPr="000E5C72">
          <w:rPr>
            <w:rFonts w:ascii="FrankRuehl" w:hAnsi="FrankRuehl" w:cs="FrankRuehl"/>
            <w:color w:val="0000FF"/>
            <w:sz w:val="28"/>
            <w:szCs w:val="28"/>
            <w:u w:val="single"/>
            <w:rtl/>
          </w:rPr>
          <w:t xml:space="preserve">3343/07 </w:t>
        </w:r>
      </w:hyperlink>
      <w:r>
        <w:rPr>
          <w:rFonts w:ascii="FrankRuehl" w:hAnsi="FrankRuehl" w:cs="FrankRuehl"/>
          <w:sz w:val="28"/>
          <w:szCs w:val="28"/>
          <w:rtl/>
        </w:rPr>
        <w:t xml:space="preserve"> </w:t>
      </w:r>
      <w:r>
        <w:rPr>
          <w:rFonts w:ascii="FrankRuehl" w:hAnsi="FrankRuehl" w:cs="FrankRuehl"/>
          <w:b/>
          <w:bCs/>
          <w:sz w:val="28"/>
          <w:szCs w:val="28"/>
          <w:u w:val="single"/>
          <w:rtl/>
        </w:rPr>
        <w:t>מכאוי</w:t>
      </w:r>
      <w:r>
        <w:rPr>
          <w:rFonts w:ascii="FrankRuehl" w:hAnsi="FrankRuehl" w:cs="FrankRuehl"/>
          <w:sz w:val="28"/>
          <w:szCs w:val="28"/>
          <w:rtl/>
        </w:rPr>
        <w:t xml:space="preserve"> נ' </w:t>
      </w:r>
      <w:r>
        <w:rPr>
          <w:rFonts w:ascii="FrankRuehl" w:hAnsi="FrankRuehl" w:cs="FrankRuehl"/>
          <w:b/>
          <w:bCs/>
          <w:sz w:val="28"/>
          <w:szCs w:val="28"/>
          <w:u w:val="single"/>
          <w:rtl/>
        </w:rPr>
        <w:t>מ"</w:t>
      </w:r>
      <w:r>
        <w:rPr>
          <w:rFonts w:ascii="FrankRuehl" w:hAnsi="FrankRuehl" w:cs="FrankRuehl"/>
          <w:sz w:val="28"/>
          <w:szCs w:val="28"/>
          <w:rtl/>
        </w:rPr>
        <w:t>י (מיום 26.7.2017). בנוסף יש לשים לב רב לדברי בית המשפט העליון ב</w:t>
      </w:r>
      <w:hyperlink r:id="rId26" w:history="1">
        <w:r w:rsidR="009C2F46" w:rsidRPr="009C2F46">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Pr>
          <w:rFonts w:ascii="FrankRuehl" w:hAnsi="FrankRuehl" w:cs="FrankRuehl"/>
          <w:b/>
          <w:bCs/>
          <w:sz w:val="28"/>
          <w:szCs w:val="28"/>
          <w:u w:val="single"/>
          <w:rtl/>
        </w:rPr>
        <w:t>זנזורי</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12.8.2018) בפסקה 8 מפי כב' השופט עמית</w:t>
      </w:r>
      <w:r>
        <w:rPr>
          <w:rFonts w:ascii="FrankRuehl" w:hAnsi="FrankRuehl" w:cs="FrankRuehl" w:hint="cs"/>
          <w:sz w:val="28"/>
          <w:szCs w:val="28"/>
          <w:rtl/>
        </w:rPr>
        <w:t xml:space="preserve"> בנוגע לתיקי הסמים בהם נעשה שימוש ב"טלגראס" או אמצעי חברתי אחר לצורך סחר</w:t>
      </w:r>
      <w:r>
        <w:rPr>
          <w:rFonts w:ascii="FrankRuehl" w:hAnsi="FrankRuehl" w:cs="FrankRuehl"/>
          <w:sz w:val="28"/>
          <w:szCs w:val="28"/>
          <w:rtl/>
        </w:rPr>
        <w:t>.</w:t>
      </w:r>
    </w:p>
    <w:p w14:paraId="11C0D41E" w14:textId="77777777" w:rsidR="00DA561D" w:rsidRDefault="00DA561D" w:rsidP="00DA561D">
      <w:pPr>
        <w:spacing w:line="360" w:lineRule="auto"/>
        <w:rPr>
          <w:rFonts w:ascii="FrankRuehl" w:hAnsi="FrankRuehl" w:cs="FrankRuehl"/>
          <w:sz w:val="28"/>
          <w:szCs w:val="28"/>
          <w:rtl/>
        </w:rPr>
      </w:pPr>
      <w:r>
        <w:rPr>
          <w:rFonts w:ascii="FrankRuehl" w:hAnsi="FrankRuehl" w:cs="FrankRuehl"/>
          <w:sz w:val="28"/>
          <w:szCs w:val="28"/>
          <w:rtl/>
        </w:rPr>
        <w:t>באשר לתיק המצורף, העבירה אותה עבר הנאשם פוגעת בערך של שמירה על שלום עוברי הדרך.</w:t>
      </w:r>
    </w:p>
    <w:p w14:paraId="2D96340E" w14:textId="77777777" w:rsidR="00DA561D" w:rsidRDefault="00DA561D" w:rsidP="00DA561D">
      <w:pPr>
        <w:spacing w:after="160" w:line="360" w:lineRule="auto"/>
        <w:jc w:val="both"/>
        <w:rPr>
          <w:rFonts w:ascii="FrankRuehl" w:hAnsi="FrankRuehl" w:cs="FrankRuehl"/>
          <w:b/>
          <w:bCs/>
          <w:sz w:val="28"/>
          <w:szCs w:val="28"/>
          <w:u w:val="single"/>
          <w:rtl/>
        </w:rPr>
      </w:pPr>
    </w:p>
    <w:p w14:paraId="7657B68E"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הקשורות בביצוע העבירה, לפי </w:t>
      </w:r>
      <w:hyperlink r:id="rId27" w:history="1">
        <w:r w:rsidR="0091452B" w:rsidRPr="0091452B">
          <w:rPr>
            <w:rStyle w:val="Hyperlink"/>
            <w:rFonts w:ascii="FrankRuehl" w:hAnsi="FrankRuehl" w:cs="FrankRuehl"/>
            <w:b/>
            <w:bCs/>
            <w:sz w:val="28"/>
            <w:szCs w:val="28"/>
            <w:rtl/>
          </w:rPr>
          <w:t>סעיף 40ט'</w:t>
        </w:r>
      </w:hyperlink>
      <w:r>
        <w:rPr>
          <w:rFonts w:ascii="FrankRuehl" w:hAnsi="FrankRuehl" w:cs="FrankRuehl"/>
          <w:b/>
          <w:bCs/>
          <w:sz w:val="28"/>
          <w:szCs w:val="28"/>
          <w:u w:val="single"/>
          <w:rtl/>
        </w:rPr>
        <w:t xml:space="preserve"> ל</w:t>
      </w:r>
      <w:hyperlink r:id="rId28" w:history="1">
        <w:r w:rsidR="009C2F46" w:rsidRPr="009C2F46">
          <w:rPr>
            <w:rFonts w:ascii="FrankRuehl" w:hAnsi="FrankRuehl" w:cs="FrankRuehl"/>
            <w:b/>
            <w:bCs/>
            <w:color w:val="0000FF"/>
            <w:sz w:val="28"/>
            <w:szCs w:val="28"/>
            <w:u w:val="single"/>
            <w:rtl/>
          </w:rPr>
          <w:t>חוק העונשין</w:t>
        </w:r>
      </w:hyperlink>
      <w:r>
        <w:rPr>
          <w:rFonts w:ascii="FrankRuehl" w:hAnsi="FrankRuehl" w:cs="FrankRuehl"/>
          <w:b/>
          <w:bCs/>
          <w:sz w:val="28"/>
          <w:szCs w:val="28"/>
          <w:rtl/>
        </w:rPr>
        <w:t xml:space="preserve"> – </w:t>
      </w:r>
      <w:r>
        <w:rPr>
          <w:rFonts w:ascii="FrankRuehl" w:hAnsi="FrankRuehl" w:cs="FrankRuehl"/>
          <w:sz w:val="28"/>
          <w:szCs w:val="28"/>
          <w:rtl/>
        </w:rPr>
        <w:t xml:space="preserve">בין הנסיבות הקשורות בביצוע העבירה יש לשקול את אלה, לעניין קביעת המתחם: שלושת האישומים מעידים על תכנון – הן ברמת הסחר והן ברמת פיזור הסמים שנמצאו; הנאשם אחראי בלעדית למעשיו; לנוכח סוג הסם והכמויות, אין ספק כי הנאשם ביצע את העבירות מבצע כסף; </w:t>
      </w:r>
      <w:r>
        <w:rPr>
          <w:rFonts w:ascii="FrankRuehl" w:hAnsi="FrankRuehl" w:cs="FrankRuehl" w:hint="cs"/>
          <w:sz w:val="28"/>
          <w:szCs w:val="28"/>
          <w:rtl/>
        </w:rPr>
        <w:t>הסמים נמכרו לכל דורש, ובכך יש היבט לחומרה מבחינת הנזק</w:t>
      </w:r>
      <w:r>
        <w:rPr>
          <w:rFonts w:ascii="FrankRuehl" w:hAnsi="FrankRuehl" w:cs="FrankRuehl"/>
          <w:sz w:val="28"/>
          <w:szCs w:val="28"/>
          <w:rtl/>
        </w:rPr>
        <w:t xml:space="preserve">; </w:t>
      </w:r>
      <w:r>
        <w:rPr>
          <w:rFonts w:ascii="FrankRuehl" w:hAnsi="FrankRuehl" w:cs="FrankRuehl" w:hint="cs"/>
          <w:sz w:val="28"/>
          <w:szCs w:val="28"/>
          <w:rtl/>
        </w:rPr>
        <w:t>גם אם נסיבות אישיות ומשבר אישי היו ברקע ביצוע העבירות, לרבות קושי להימנע משימוש עצמי בסמים, הדבר אינו מצדיק את המעשים ואינו מפחית מהפסול שבהם.</w:t>
      </w:r>
    </w:p>
    <w:p w14:paraId="1E034BA4" w14:textId="77777777" w:rsidR="00DA561D" w:rsidRDefault="00DA561D" w:rsidP="00DA561D">
      <w:pPr>
        <w:spacing w:after="160" w:line="360" w:lineRule="auto"/>
        <w:jc w:val="both"/>
        <w:rPr>
          <w:rFonts w:ascii="FrankRuehl" w:hAnsi="FrankRuehl" w:cs="FrankRuehl"/>
          <w:b/>
          <w:bCs/>
          <w:sz w:val="28"/>
          <w:szCs w:val="28"/>
          <w:u w:val="single"/>
        </w:rPr>
      </w:pPr>
    </w:p>
    <w:p w14:paraId="7F799556" w14:textId="77777777" w:rsidR="00DA561D" w:rsidRDefault="00DA561D" w:rsidP="00DA561D">
      <w:pPr>
        <w:pStyle w:val="a9"/>
        <w:spacing w:line="360" w:lineRule="auto"/>
        <w:jc w:val="both"/>
        <w:rPr>
          <w:rFonts w:ascii="FrankRuehl" w:hAnsi="FrankRuehl" w:cs="FrankRuehl"/>
          <w:sz w:val="28"/>
          <w:szCs w:val="28"/>
          <w:rtl/>
        </w:rPr>
      </w:pPr>
      <w:r>
        <w:rPr>
          <w:rFonts w:ascii="FrankRuehl" w:hAnsi="FrankRuehl" w:cs="FrankRuehl"/>
          <w:b/>
          <w:bCs/>
          <w:sz w:val="28"/>
          <w:szCs w:val="28"/>
          <w:u w:val="single"/>
          <w:rtl/>
        </w:rPr>
        <w:t>מדיניות הענישה הנוהגת</w:t>
      </w:r>
      <w:r>
        <w:rPr>
          <w:rFonts w:ascii="FrankRuehl" w:hAnsi="FrankRuehl" w:cs="FrankRuehl"/>
          <w:sz w:val="28"/>
          <w:szCs w:val="28"/>
          <w:rtl/>
        </w:rPr>
        <w:t xml:space="preserve"> –  באשר לתיק העיקרי - הכלל בעבירות סמים הוא מאסר בפועל. יחד עם זאת הפסיקה מגוונת ומנעדה רחב. ב</w:t>
      </w:r>
      <w:hyperlink r:id="rId29" w:history="1">
        <w:r w:rsidR="009C2F46" w:rsidRPr="009C2F46">
          <w:rPr>
            <w:rFonts w:ascii="FrankRuehl" w:hAnsi="FrankRuehl" w:cs="FrankRuehl"/>
            <w:color w:val="0000FF"/>
            <w:sz w:val="28"/>
            <w:szCs w:val="28"/>
            <w:u w:val="single"/>
            <w:rtl/>
          </w:rPr>
          <w:t>רע"פ 5712/16</w:t>
        </w:r>
      </w:hyperlink>
      <w:r>
        <w:rPr>
          <w:rFonts w:ascii="FrankRuehl" w:hAnsi="FrankRuehl" w:cs="FrankRuehl"/>
          <w:sz w:val="28"/>
          <w:szCs w:val="28"/>
          <w:rtl/>
        </w:rPr>
        <w:t xml:space="preserve"> </w:t>
      </w:r>
      <w:r>
        <w:rPr>
          <w:rFonts w:ascii="FrankRuehl" w:hAnsi="FrankRuehl" w:cs="FrankRuehl"/>
          <w:b/>
          <w:bCs/>
          <w:sz w:val="28"/>
          <w:szCs w:val="28"/>
          <w:u w:val="single"/>
          <w:rtl/>
        </w:rPr>
        <w:t>אייזנבך</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17.8.2016) אושר מתחם ענישה שבין 8 ל-24 חודשי מאסר ונגזרו 8 חודשי מאסר בנסיבות של שלושה מקרי סחר אך בתמורה לסכומים גבוהים יותר. מנגד, ברע"פ </w:t>
      </w:r>
      <w:hyperlink r:id="rId30" w:history="1">
        <w:r w:rsidR="000E5C72" w:rsidRPr="000E5C72">
          <w:rPr>
            <w:rFonts w:ascii="FrankRuehl" w:hAnsi="FrankRuehl" w:cs="FrankRuehl"/>
            <w:color w:val="0000FF"/>
            <w:sz w:val="28"/>
            <w:szCs w:val="28"/>
            <w:u w:val="single"/>
            <w:rtl/>
          </w:rPr>
          <w:t xml:space="preserve">6161/16 </w:t>
        </w:r>
      </w:hyperlink>
      <w:r>
        <w:rPr>
          <w:rFonts w:ascii="FrankRuehl" w:hAnsi="FrankRuehl" w:cs="FrankRuehl"/>
          <w:sz w:val="28"/>
          <w:szCs w:val="28"/>
          <w:rtl/>
        </w:rPr>
        <w:t xml:space="preserve"> </w:t>
      </w:r>
      <w:r>
        <w:rPr>
          <w:rFonts w:ascii="FrankRuehl" w:hAnsi="FrankRuehl" w:cs="FrankRuehl"/>
          <w:b/>
          <w:bCs/>
          <w:sz w:val="28"/>
          <w:szCs w:val="28"/>
          <w:u w:val="single"/>
          <w:rtl/>
        </w:rPr>
        <w:t>יזרעאלוב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20.2.2017) נקבע מתחם בין 8 ל-20 חודשי מאסר בנסיבות של סחר בנייס גאי במספר מקרים. בשל תהליך שיקום חרג בית המשפט מן המתחם והטיל 6 חודשי מאסר לריצוי בעבירות שירות. שני המקרים חמורים ממקרנו. ב</w:t>
      </w:r>
      <w:hyperlink r:id="rId31" w:history="1">
        <w:r w:rsidR="009C2F46" w:rsidRPr="009C2F46">
          <w:rPr>
            <w:rFonts w:ascii="FrankRuehl" w:hAnsi="FrankRuehl" w:cs="FrankRuehl"/>
            <w:color w:val="0000FF"/>
            <w:sz w:val="28"/>
            <w:szCs w:val="28"/>
            <w:u w:val="single"/>
            <w:rtl/>
          </w:rPr>
          <w:t>עפ"ג (חיפה) 53142-12-16</w:t>
        </w:r>
      </w:hyperlink>
      <w:r>
        <w:rPr>
          <w:rFonts w:ascii="FrankRuehl" w:hAnsi="FrankRuehl" w:cs="FrankRuehl"/>
          <w:sz w:val="28"/>
          <w:szCs w:val="28"/>
          <w:rtl/>
        </w:rPr>
        <w:t xml:space="preserve"> </w:t>
      </w:r>
      <w:r>
        <w:rPr>
          <w:rFonts w:ascii="FrankRuehl" w:hAnsi="FrankRuehl" w:cs="FrankRuehl"/>
          <w:b/>
          <w:bCs/>
          <w:sz w:val="28"/>
          <w:szCs w:val="28"/>
          <w:u w:val="single"/>
          <w:rtl/>
        </w:rPr>
        <w:t>רחימוב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17.5.2017) נגזרו 6 חודשי עבודות שירות תוך חריגה ממתחם הענישה שבין 13 ל-30 חודשי מאסר, בנסיבות של מכירת 15 גרם קוקאין וחשיש, לנוכח תהליך שיקומי</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נסיבות חמורות ממקרנו</w:t>
      </w:r>
      <w:r>
        <w:rPr>
          <w:rFonts w:ascii="FrankRuehl" w:hAnsi="FrankRuehl" w:cs="FrankRuehl"/>
          <w:sz w:val="28"/>
          <w:szCs w:val="28"/>
          <w:rtl/>
        </w:rPr>
        <w:t>.</w:t>
      </w:r>
    </w:p>
    <w:p w14:paraId="7662FE5F" w14:textId="77777777" w:rsidR="00DA561D" w:rsidRDefault="00DA561D" w:rsidP="00DA561D">
      <w:pPr>
        <w:pStyle w:val="a9"/>
        <w:spacing w:line="360" w:lineRule="auto"/>
        <w:jc w:val="both"/>
        <w:rPr>
          <w:rFonts w:ascii="FrankRuehl" w:hAnsi="FrankRuehl" w:cs="FrankRuehl"/>
          <w:sz w:val="28"/>
          <w:szCs w:val="28"/>
          <w:rtl/>
        </w:rPr>
      </w:pPr>
    </w:p>
    <w:p w14:paraId="4EC585B6" w14:textId="77777777" w:rsidR="00DA561D" w:rsidRDefault="00DA561D" w:rsidP="00DA561D">
      <w:pPr>
        <w:pStyle w:val="a9"/>
        <w:spacing w:line="360" w:lineRule="auto"/>
        <w:jc w:val="both"/>
        <w:rPr>
          <w:rFonts w:ascii="FrankRuehl" w:hAnsi="FrankRuehl" w:cs="FrankRuehl"/>
          <w:sz w:val="28"/>
          <w:szCs w:val="28"/>
          <w:rtl/>
        </w:rPr>
      </w:pPr>
      <w:r>
        <w:rPr>
          <w:rFonts w:ascii="FrankRuehl" w:hAnsi="FrankRuehl" w:cs="FrankRuehl"/>
          <w:sz w:val="28"/>
          <w:szCs w:val="28"/>
          <w:rtl/>
        </w:rPr>
        <w:t xml:space="preserve">באשר לתיק המצורף – מתחם הענישה נע בין קנס כספי ועד לפסילה בפועל </w:t>
      </w:r>
      <w:r>
        <w:rPr>
          <w:rFonts w:ascii="FrankRuehl" w:hAnsi="FrankRuehl" w:cs="FrankRuehl" w:hint="cs"/>
          <w:sz w:val="28"/>
          <w:szCs w:val="28"/>
          <w:rtl/>
        </w:rPr>
        <w:t xml:space="preserve">- </w:t>
      </w:r>
      <w:r>
        <w:rPr>
          <w:rFonts w:ascii="FrankRuehl" w:hAnsi="FrankRuehl" w:cs="FrankRuehl"/>
          <w:sz w:val="28"/>
          <w:szCs w:val="28"/>
          <w:rtl/>
        </w:rPr>
        <w:t>פ"</w:t>
      </w:r>
      <w:r>
        <w:rPr>
          <w:rFonts w:ascii="FrankRuehl" w:hAnsi="FrankRuehl" w:cs="FrankRuehl" w:hint="cs"/>
          <w:sz w:val="28"/>
          <w:szCs w:val="28"/>
          <w:rtl/>
        </w:rPr>
        <w:t>ל</w:t>
      </w:r>
      <w:r>
        <w:rPr>
          <w:rFonts w:ascii="FrankRuehl" w:hAnsi="FrankRuehl" w:cs="FrankRuehl"/>
          <w:sz w:val="28"/>
          <w:szCs w:val="28"/>
          <w:rtl/>
        </w:rPr>
        <w:t xml:space="preserve"> </w:t>
      </w:r>
      <w:hyperlink r:id="rId32" w:history="1">
        <w:r w:rsidR="000E5C72" w:rsidRPr="000E5C72">
          <w:rPr>
            <w:rFonts w:ascii="FrankRuehl" w:hAnsi="FrankRuehl" w:cs="FrankRuehl"/>
            <w:color w:val="0000FF"/>
            <w:sz w:val="28"/>
            <w:szCs w:val="28"/>
            <w:u w:val="single"/>
            <w:rtl/>
          </w:rPr>
          <w:t xml:space="preserve">9034-05-18 </w:t>
        </w:r>
      </w:hyperlink>
      <w:r>
        <w:rPr>
          <w:rFonts w:ascii="FrankRuehl" w:hAnsi="FrankRuehl" w:cs="FrankRuehl"/>
          <w:sz w:val="28"/>
          <w:szCs w:val="28"/>
          <w:rtl/>
        </w:rPr>
        <w:t xml:space="preserve"> </w:t>
      </w:r>
      <w:r>
        <w:rPr>
          <w:rFonts w:ascii="FrankRuehl" w:hAnsi="FrankRuehl" w:cs="FrankRuehl"/>
          <w:b/>
          <w:bCs/>
          <w:sz w:val="28"/>
          <w:szCs w:val="28"/>
          <w:u w:val="single"/>
          <w:rtl/>
        </w:rPr>
        <w:t xml:space="preserve">מ"י </w:t>
      </w:r>
      <w:r>
        <w:rPr>
          <w:rFonts w:ascii="FrankRuehl" w:hAnsi="FrankRuehl" w:cs="FrankRuehl"/>
          <w:sz w:val="28"/>
          <w:szCs w:val="28"/>
          <w:rtl/>
        </w:rPr>
        <w:t xml:space="preserve">נ' </w:t>
      </w:r>
      <w:r>
        <w:rPr>
          <w:rFonts w:ascii="FrankRuehl" w:hAnsi="FrankRuehl" w:cs="FrankRuehl"/>
          <w:b/>
          <w:bCs/>
          <w:sz w:val="28"/>
          <w:szCs w:val="28"/>
          <w:u w:val="single"/>
          <w:rtl/>
        </w:rPr>
        <w:t>זימי</w:t>
      </w:r>
      <w:r>
        <w:rPr>
          <w:rFonts w:ascii="FrankRuehl" w:hAnsi="FrankRuehl" w:cs="FrankRuehl"/>
          <w:sz w:val="28"/>
          <w:szCs w:val="28"/>
          <w:rtl/>
        </w:rPr>
        <w:t xml:space="preserve"> (מיום 13.11.2019).</w:t>
      </w:r>
    </w:p>
    <w:p w14:paraId="0AA7730F" w14:textId="77777777" w:rsidR="00DA561D" w:rsidRDefault="00DA561D" w:rsidP="00DA561D">
      <w:pPr>
        <w:pStyle w:val="a9"/>
        <w:spacing w:line="360" w:lineRule="auto"/>
        <w:jc w:val="both"/>
        <w:rPr>
          <w:rFonts w:ascii="FrankRuehl" w:hAnsi="FrankRuehl" w:cs="FrankRuehl"/>
          <w:sz w:val="28"/>
          <w:szCs w:val="28"/>
          <w:rtl/>
        </w:rPr>
      </w:pPr>
    </w:p>
    <w:p w14:paraId="54F5B50E" w14:textId="77777777" w:rsidR="00DA561D" w:rsidRDefault="00DA561D" w:rsidP="00DA561D">
      <w:pPr>
        <w:pStyle w:val="a9"/>
        <w:spacing w:line="360" w:lineRule="auto"/>
        <w:jc w:val="both"/>
        <w:rPr>
          <w:rFonts w:ascii="FrankRuehl" w:hAnsi="FrankRuehl" w:cs="FrankRuehl"/>
          <w:sz w:val="28"/>
          <w:szCs w:val="28"/>
          <w:rtl/>
        </w:rPr>
      </w:pPr>
      <w:r>
        <w:rPr>
          <w:rFonts w:ascii="FrankRuehl" w:hAnsi="FrankRuehl" w:cs="FrankRuehl"/>
          <w:b/>
          <w:bCs/>
          <w:sz w:val="28"/>
          <w:szCs w:val="28"/>
          <w:u w:val="single"/>
          <w:rtl/>
        </w:rPr>
        <w:t>מתחם הענישה</w:t>
      </w:r>
      <w:r>
        <w:rPr>
          <w:rFonts w:ascii="FrankRuehl" w:hAnsi="FrankRuehl" w:cs="FrankRuehl"/>
          <w:sz w:val="28"/>
          <w:szCs w:val="28"/>
          <w:rtl/>
        </w:rPr>
        <w:t xml:space="preserve"> – </w:t>
      </w:r>
      <w:r>
        <w:rPr>
          <w:rFonts w:ascii="FrankRuehl" w:hAnsi="FrankRuehl" w:cs="FrankRuehl" w:hint="cs"/>
          <w:sz w:val="28"/>
          <w:szCs w:val="28"/>
          <w:rtl/>
        </w:rPr>
        <w:t xml:space="preserve">אשר לתיק העיקרי, קובע מתחם אחד לכלל האישומים בין מאסר קצר שלא יפחת משבועיים  ועד מאסר מותנה ועד 8 חודשי מאסר. סברתי שמתקיים "קשר הדוק" בין האישומים נוכח סוג הסם, שיטת הפעולה וסמיכות </w:t>
      </w:r>
      <w:r w:rsidRPr="00D36040">
        <w:rPr>
          <w:rFonts w:ascii="FrankRuehl" w:hAnsi="FrankRuehl" w:cs="FrankRuehl" w:hint="cs"/>
          <w:sz w:val="28"/>
          <w:szCs w:val="28"/>
          <w:rtl/>
        </w:rPr>
        <w:t xml:space="preserve">הזמנים. </w:t>
      </w:r>
      <w:r w:rsidRPr="00D36040">
        <w:rPr>
          <w:rFonts w:ascii="FrankRuehl" w:hAnsi="FrankRuehl" w:cs="FrankRuehl"/>
          <w:sz w:val="28"/>
          <w:szCs w:val="28"/>
          <w:rtl/>
        </w:rPr>
        <w:t>אשר לתיק המצורף, קובע מתחם שנע בין קנס לבין פסילה.</w:t>
      </w:r>
      <w:r>
        <w:rPr>
          <w:rFonts w:ascii="FrankRuehl" w:hAnsi="FrankRuehl" w:cs="FrankRuehl"/>
          <w:sz w:val="28"/>
          <w:szCs w:val="28"/>
          <w:rtl/>
        </w:rPr>
        <w:t xml:space="preserve"> </w:t>
      </w:r>
    </w:p>
    <w:p w14:paraId="712FB32C" w14:textId="77777777" w:rsidR="00DA561D" w:rsidRDefault="00DA561D" w:rsidP="00DA561D">
      <w:pPr>
        <w:spacing w:after="160" w:line="360" w:lineRule="auto"/>
        <w:jc w:val="both"/>
        <w:rPr>
          <w:rFonts w:ascii="FrankRuehl" w:hAnsi="FrankRuehl" w:cs="FrankRuehl"/>
          <w:b/>
          <w:bCs/>
          <w:sz w:val="28"/>
          <w:szCs w:val="28"/>
          <w:rtl/>
        </w:rPr>
      </w:pPr>
    </w:p>
    <w:p w14:paraId="4DF99E10"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נסיבות שאינן קשורות בביצוע העבירה לפי </w:t>
      </w:r>
      <w:hyperlink r:id="rId33" w:history="1">
        <w:r w:rsidR="0091452B" w:rsidRPr="0091452B">
          <w:rPr>
            <w:rStyle w:val="Hyperlink"/>
            <w:rFonts w:ascii="FrankRuehl" w:hAnsi="FrankRuehl" w:cs="FrankRuehl"/>
            <w:b/>
            <w:bCs/>
            <w:sz w:val="28"/>
            <w:szCs w:val="28"/>
            <w:rtl/>
          </w:rPr>
          <w:t>סעיף 40י"א</w:t>
        </w:r>
      </w:hyperlink>
      <w:r>
        <w:rPr>
          <w:rFonts w:ascii="FrankRuehl" w:hAnsi="FrankRuehl" w:cs="FrankRuehl"/>
          <w:b/>
          <w:bCs/>
          <w:sz w:val="28"/>
          <w:szCs w:val="28"/>
          <w:u w:val="single"/>
          <w:rtl/>
        </w:rPr>
        <w:t xml:space="preserve"> ל</w:t>
      </w:r>
      <w:hyperlink r:id="rId34" w:history="1">
        <w:r w:rsidR="009C2F46" w:rsidRPr="009C2F46">
          <w:rPr>
            <w:rFonts w:ascii="FrankRuehl" w:hAnsi="FrankRuehl" w:cs="FrankRuehl"/>
            <w:b/>
            <w:bCs/>
            <w:color w:val="0000FF"/>
            <w:sz w:val="28"/>
            <w:szCs w:val="28"/>
            <w:u w:val="single"/>
            <w:rtl/>
          </w:rPr>
          <w:t>חוק העונשין</w:t>
        </w:r>
      </w:hyperlink>
      <w:r>
        <w:rPr>
          <w:rFonts w:ascii="FrankRuehl" w:hAnsi="FrankRuehl" w:cs="FrankRuehl"/>
          <w:b/>
          <w:bCs/>
          <w:sz w:val="28"/>
          <w:szCs w:val="28"/>
          <w:rtl/>
        </w:rPr>
        <w:t xml:space="preserve"> – </w:t>
      </w:r>
      <w:r>
        <w:rPr>
          <w:rFonts w:ascii="FrankRuehl" w:hAnsi="FrankRuehl" w:cs="FrankRuehl"/>
          <w:sz w:val="28"/>
          <w:szCs w:val="28"/>
          <w:rtl/>
        </w:rPr>
        <w:t xml:space="preserve">ניתן  לתת משקל לנסיבות הבאות שאינן קשורות בביצוע העבירה, במסגרת גזירת העונש בתוך המתחם: </w:t>
      </w:r>
      <w:r>
        <w:rPr>
          <w:rFonts w:ascii="FrankRuehl" w:hAnsi="FrankRuehl" w:cs="FrankRuehl" w:hint="cs"/>
          <w:sz w:val="28"/>
          <w:szCs w:val="28"/>
          <w:rtl/>
        </w:rPr>
        <w:t xml:space="preserve">הנאשם צעיר לימים, מגיע מרקע לא קל, ולמרות זאת, שמר על רמת תפקוד טובה סיים לימודיו ועבד. הוא קיבל אחריות למעשים, ומסר בדיקות שתן נקיות לכל אורך ההליך. בהמשך אף נרתם לתהליך פרטי מיוזמתו, ונראה שהוא מפיק ממנו תועלת. התהליך הטיפולי בשירות המבחן מוצה לדעת שני הצדדים. הנאשם שהה במעצר ממש כשלושה שבועות ושליחתו למאסר ממושך תחבל, לטעמי בסיכויי שיקומו. לחובתו, העובדה שנפתח לו תיק חדש שגם עניינו סמים, הגם שעומדת לו חזקת החפות. </w:t>
      </w:r>
    </w:p>
    <w:p w14:paraId="7C31A80C"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b/>
          <w:bCs/>
          <w:sz w:val="28"/>
          <w:szCs w:val="28"/>
          <w:u w:val="single"/>
          <w:rtl/>
        </w:rPr>
        <w:t>המיקום במתחם</w:t>
      </w:r>
      <w:r>
        <w:rPr>
          <w:rFonts w:ascii="FrankRuehl" w:hAnsi="FrankRuehl" w:cs="FrankRuehl"/>
          <w:sz w:val="28"/>
          <w:szCs w:val="28"/>
          <w:rtl/>
        </w:rPr>
        <w:t xml:space="preserve"> -  </w:t>
      </w:r>
      <w:r>
        <w:rPr>
          <w:rFonts w:ascii="FrankRuehl" w:hAnsi="FrankRuehl" w:cs="FrankRuehl" w:hint="cs"/>
          <w:sz w:val="28"/>
          <w:szCs w:val="28"/>
          <w:rtl/>
        </w:rPr>
        <w:t>יש למקם את הנאשם בתחילת המתחם תוך מתן משקל רב לכך שלמעשה שהה במעצר ממש תקופה לא מבוטלת.</w:t>
      </w:r>
    </w:p>
    <w:p w14:paraId="1808C534" w14:textId="77777777" w:rsidR="00DA561D" w:rsidRDefault="00DA561D" w:rsidP="00DA561D">
      <w:pPr>
        <w:spacing w:after="160" w:line="360" w:lineRule="auto"/>
        <w:jc w:val="both"/>
        <w:rPr>
          <w:rFonts w:ascii="FrankRuehl" w:hAnsi="FrankRuehl" w:cs="FrankRuehl"/>
          <w:b/>
          <w:bCs/>
          <w:sz w:val="28"/>
          <w:szCs w:val="28"/>
          <w:u w:val="single"/>
          <w:rtl/>
        </w:rPr>
      </w:pPr>
    </w:p>
    <w:p w14:paraId="238224A6" w14:textId="77777777" w:rsidR="00DA561D" w:rsidRDefault="00DA561D" w:rsidP="00DA561D">
      <w:pPr>
        <w:spacing w:after="16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52C4B617" w14:textId="77777777" w:rsidR="00DA561D" w:rsidRDefault="00DA561D" w:rsidP="00DA561D">
      <w:pPr>
        <w:spacing w:after="160" w:line="360" w:lineRule="auto"/>
        <w:jc w:val="both"/>
        <w:rPr>
          <w:rFonts w:ascii="FrankRuehl" w:hAnsi="FrankRuehl" w:cs="FrankRuehl"/>
          <w:sz w:val="28"/>
          <w:szCs w:val="28"/>
          <w:rtl/>
        </w:rPr>
      </w:pPr>
      <w:r>
        <w:rPr>
          <w:rFonts w:ascii="FrankRuehl" w:hAnsi="FrankRuehl" w:cs="FrankRuehl"/>
          <w:sz w:val="28"/>
          <w:szCs w:val="28"/>
          <w:rtl/>
        </w:rPr>
        <w:t>לפיכך, אני מחליט לגזור על הנאשם את העונשים הבאים:</w:t>
      </w:r>
    </w:p>
    <w:p w14:paraId="5F8A7CA0"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 xml:space="preserve">23 ימי מאסר בפועל בניכוי מלא של ימי מעצרו </w:t>
      </w:r>
      <w:r>
        <w:rPr>
          <w:rFonts w:ascii="FrankRuehl" w:hAnsi="FrankRuehl" w:cs="FrankRuehl"/>
          <w:sz w:val="28"/>
          <w:szCs w:val="28"/>
          <w:rtl/>
        </w:rPr>
        <w:t>–</w:t>
      </w:r>
      <w:r>
        <w:rPr>
          <w:rFonts w:ascii="FrankRuehl" w:hAnsi="FrankRuehl" w:cs="FrankRuehl" w:hint="cs"/>
          <w:sz w:val="28"/>
          <w:szCs w:val="28"/>
          <w:rtl/>
        </w:rPr>
        <w:t xml:space="preserve"> הנאשם סיים לרצות את עונשו;</w:t>
      </w:r>
    </w:p>
    <w:p w14:paraId="5EDBF205"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חודש מאסר שלא ירוצה אלא אם יעבור הנאשם כל עבירת עוון לפי פקודת הסמים בתוך שלוש שנים מהיום;</w:t>
      </w:r>
    </w:p>
    <w:p w14:paraId="36E0993C"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6 חודשי מאסר שלא ירוצו אלא אם יעבור הנאשם כל עבירת פשע לפי פקודת הסמים בתוך שלוש שנים מהיום;</w:t>
      </w:r>
    </w:p>
    <w:p w14:paraId="61637075"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sz w:val="28"/>
          <w:szCs w:val="28"/>
          <w:rtl/>
        </w:rPr>
        <w:t xml:space="preserve">קנס בסך 3,000 ₪, אשר יקוזז מההפקדה בתיק </w:t>
      </w:r>
      <w:hyperlink r:id="rId35" w:history="1">
        <w:r w:rsidR="009C2F46" w:rsidRPr="009C2F46">
          <w:rPr>
            <w:rFonts w:ascii="FrankRuehl" w:hAnsi="FrankRuehl" w:cs="FrankRuehl"/>
            <w:color w:val="0000FF"/>
            <w:sz w:val="28"/>
            <w:szCs w:val="28"/>
            <w:u w:val="single"/>
            <w:rtl/>
          </w:rPr>
          <w:t>מ"ת 33359-03-19</w:t>
        </w:r>
      </w:hyperlink>
      <w:r>
        <w:rPr>
          <w:rFonts w:ascii="FrankRuehl" w:hAnsi="FrankRuehl" w:cs="FrankRuehl"/>
          <w:sz w:val="28"/>
          <w:szCs w:val="28"/>
          <w:rtl/>
        </w:rPr>
        <w:t xml:space="preserve">. ככל שלא נותרה יתרה לקיזוז ישולם  הקנס עד ליום </w:t>
      </w:r>
      <w:r>
        <w:rPr>
          <w:rFonts w:ascii="FrankRuehl" w:hAnsi="FrankRuehl" w:cs="FrankRuehl" w:hint="cs"/>
          <w:sz w:val="28"/>
          <w:szCs w:val="28"/>
          <w:rtl/>
        </w:rPr>
        <w:t>1.2.2022</w:t>
      </w:r>
      <w:r>
        <w:rPr>
          <w:rFonts w:ascii="FrankRuehl" w:hAnsi="FrankRuehl" w:cs="FrankRuehl"/>
          <w:sz w:val="28"/>
          <w:szCs w:val="28"/>
          <w:rtl/>
        </w:rPr>
        <w:t>. ככל שתיוותר יתרה, היא תושב לנאשם. הוראה זו גוברת על כל עיקול ככל שקיים</w:t>
      </w:r>
      <w:r>
        <w:rPr>
          <w:rFonts w:ascii="FrankRuehl" w:hAnsi="FrankRuehl" w:cs="FrankRuehl" w:hint="cs"/>
          <w:sz w:val="28"/>
          <w:szCs w:val="28"/>
          <w:rtl/>
        </w:rPr>
        <w:t>;</w:t>
      </w:r>
    </w:p>
    <w:p w14:paraId="3EDE144B"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sz w:val="28"/>
          <w:szCs w:val="28"/>
          <w:rtl/>
        </w:rPr>
        <w:t xml:space="preserve">התחייבות בסך </w:t>
      </w:r>
      <w:r>
        <w:rPr>
          <w:rFonts w:ascii="FrankRuehl" w:hAnsi="FrankRuehl" w:cs="FrankRuehl" w:hint="cs"/>
          <w:sz w:val="28"/>
          <w:szCs w:val="28"/>
          <w:rtl/>
        </w:rPr>
        <w:t xml:space="preserve">5,000 </w:t>
      </w:r>
      <w:r>
        <w:rPr>
          <w:rFonts w:ascii="FrankRuehl" w:hAnsi="FrankRuehl" w:cs="FrankRuehl"/>
          <w:sz w:val="28"/>
          <w:szCs w:val="28"/>
          <w:rtl/>
        </w:rPr>
        <w:t>₪ שלא לעבור כל עביר</w:t>
      </w:r>
      <w:r>
        <w:rPr>
          <w:rFonts w:ascii="FrankRuehl" w:hAnsi="FrankRuehl" w:cs="FrankRuehl" w:hint="cs"/>
          <w:sz w:val="28"/>
          <w:szCs w:val="28"/>
          <w:rtl/>
        </w:rPr>
        <w:t xml:space="preserve">ה </w:t>
      </w:r>
      <w:r>
        <w:rPr>
          <w:rFonts w:ascii="FrankRuehl" w:hAnsi="FrankRuehl" w:cs="FrankRuehl"/>
          <w:sz w:val="28"/>
          <w:szCs w:val="28"/>
          <w:rtl/>
        </w:rPr>
        <w:t>לפי פקודת הסמים לרבות שימוש עצמי, במשך שנתיים מהיום</w:t>
      </w:r>
      <w:r>
        <w:rPr>
          <w:rFonts w:ascii="FrankRuehl" w:hAnsi="FrankRuehl" w:cs="FrankRuehl" w:hint="cs"/>
          <w:sz w:val="28"/>
          <w:szCs w:val="28"/>
          <w:rtl/>
        </w:rPr>
        <w:t>.</w:t>
      </w:r>
      <w:r>
        <w:rPr>
          <w:rFonts w:ascii="FrankRuehl" w:hAnsi="FrankRuehl" w:cs="FrankRuehl"/>
          <w:sz w:val="28"/>
          <w:szCs w:val="28"/>
          <w:rtl/>
        </w:rPr>
        <w:t xml:space="preserve"> הובהר לנאשם שמשמעות ההתחייבות היא, כי אם יעבור את העבירה בתוך התקופה שצוינה, בית המשפט שיגזור את הדין יהא חייב לחלט את ההתחייבות כקנס</w:t>
      </w:r>
      <w:r>
        <w:rPr>
          <w:rFonts w:ascii="FrankRuehl" w:hAnsi="FrankRuehl" w:cs="FrankRuehl" w:hint="cs"/>
          <w:sz w:val="28"/>
          <w:szCs w:val="28"/>
          <w:rtl/>
        </w:rPr>
        <w:t>;</w:t>
      </w:r>
    </w:p>
    <w:p w14:paraId="68BD4847"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לאחר שהנאשם סיים לרצות את עונש המאסר, אין מניעה להטיל עליו צו מבחן, אותו אני מטיל לתקופה של 12 חודשים מהיום. הנאשם הוזהר כי אם לא ישתף פעולה עם שירות המבחן בתקופת המבחן, ניתן יהיה לגזור את דינו מחדש על כל המשתמע מכך;</w:t>
      </w:r>
    </w:p>
    <w:p w14:paraId="408AAD20" w14:textId="77777777" w:rsidR="00DA561D" w:rsidRDefault="00DA561D" w:rsidP="00DA561D">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מכריז על הנאשם סוחר סמים, ומורה על חילוט הכספים שנתפסו. כמו כן מורה על השמדת הסמים והמוצגים בתיק.</w:t>
      </w:r>
    </w:p>
    <w:p w14:paraId="23207C98" w14:textId="77777777" w:rsidR="00DA561D" w:rsidRDefault="00DA561D" w:rsidP="00DA561D">
      <w:pPr>
        <w:rPr>
          <w:rFonts w:ascii="FrankRuehl" w:hAnsi="FrankRuehl" w:cs="FrankRuehl"/>
          <w:sz w:val="28"/>
          <w:szCs w:val="28"/>
          <w:rtl/>
        </w:rPr>
      </w:pPr>
      <w:r>
        <w:rPr>
          <w:rFonts w:ascii="FrankRuehl" w:hAnsi="FrankRuehl" w:cs="FrankRuehl"/>
          <w:sz w:val="28"/>
          <w:szCs w:val="28"/>
          <w:rtl/>
        </w:rPr>
        <w:t>יש לשלוח לממונה וכן לשירות המבחן.</w:t>
      </w:r>
    </w:p>
    <w:p w14:paraId="30589023" w14:textId="77777777" w:rsidR="00DA561D" w:rsidRDefault="00DA561D" w:rsidP="00DA561D">
      <w:pPr>
        <w:rPr>
          <w:rFonts w:ascii="FrankRuehl" w:hAnsi="FrankRuehl" w:cs="FrankRuehl"/>
          <w:sz w:val="28"/>
          <w:szCs w:val="28"/>
          <w:rtl/>
        </w:rPr>
      </w:pPr>
    </w:p>
    <w:p w14:paraId="509E5C0A" w14:textId="77777777" w:rsidR="00DA561D" w:rsidRDefault="00DA561D" w:rsidP="00DA561D">
      <w:pPr>
        <w:rPr>
          <w:rFonts w:ascii="FrankRuehl" w:hAnsi="FrankRuehl" w:cs="FrankRuehl"/>
          <w:sz w:val="28"/>
          <w:szCs w:val="28"/>
          <w:rtl/>
        </w:rPr>
      </w:pPr>
      <w:r>
        <w:rPr>
          <w:rFonts w:ascii="FrankRuehl" w:hAnsi="FrankRuehl" w:cs="FrankRuehl"/>
          <w:sz w:val="28"/>
          <w:szCs w:val="28"/>
          <w:rtl/>
        </w:rPr>
        <w:t xml:space="preserve">זכות ערעור לבית המשפט המחוזי בתוך 45 יום מהיום. </w:t>
      </w:r>
    </w:p>
    <w:p w14:paraId="663DD6DA" w14:textId="77777777" w:rsidR="00DA561D" w:rsidRPr="009C2F46" w:rsidRDefault="009C2F46" w:rsidP="00DA561D">
      <w:pPr>
        <w:rPr>
          <w:rFonts w:ascii="FrankRuehl" w:hAnsi="FrankRuehl" w:cs="FrankRuehl"/>
          <w:color w:val="FFFFFF"/>
          <w:sz w:val="2"/>
          <w:szCs w:val="2"/>
        </w:rPr>
      </w:pPr>
      <w:r w:rsidRPr="009C2F46">
        <w:rPr>
          <w:rFonts w:ascii="FrankRuehl" w:hAnsi="FrankRuehl" w:cs="FrankRuehl"/>
          <w:color w:val="FFFFFF"/>
          <w:sz w:val="2"/>
          <w:szCs w:val="2"/>
          <w:rtl/>
        </w:rPr>
        <w:t>5129371</w:t>
      </w:r>
    </w:p>
    <w:p w14:paraId="6D68669F" w14:textId="77777777" w:rsidR="00DA561D" w:rsidRPr="00F11BF4" w:rsidRDefault="009C2F46" w:rsidP="00DA561D">
      <w:pPr>
        <w:rPr>
          <w:rFonts w:cs="FrankRuehl"/>
          <w:sz w:val="28"/>
          <w:szCs w:val="28"/>
          <w:rtl/>
        </w:rPr>
      </w:pPr>
      <w:bookmarkStart w:id="8" w:name="Nitan"/>
      <w:r w:rsidRPr="009C2F46">
        <w:rPr>
          <w:rFonts w:ascii="Arial" w:hAnsi="Arial"/>
          <w:color w:val="FFFFFF"/>
          <w:sz w:val="2"/>
          <w:szCs w:val="2"/>
          <w:rtl/>
        </w:rPr>
        <w:t>54678313</w:t>
      </w:r>
      <w:r>
        <w:rPr>
          <w:rFonts w:ascii="Arial" w:hAnsi="Arial"/>
          <w:rtl/>
        </w:rPr>
        <w:t xml:space="preserve">ניתן היום,  ל' תשרי תשפ"ב, 06 אוקטובר 2021, במעמד הצדדים. </w:t>
      </w:r>
      <w:bookmarkEnd w:id="8"/>
    </w:p>
    <w:p w14:paraId="5935E483" w14:textId="77777777" w:rsidR="00DA561D" w:rsidRDefault="00DA561D" w:rsidP="009C2F4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8C4E16" w14:textId="77777777" w:rsidR="00DA561D" w:rsidRDefault="00DA561D" w:rsidP="00DA561D">
      <w:pPr>
        <w:jc w:val="center"/>
        <w:rPr>
          <w:rFonts w:ascii="Arial" w:hAnsi="Arial" w:cs="FrankRuehl"/>
          <w:sz w:val="28"/>
          <w:szCs w:val="28"/>
          <w:rtl/>
        </w:rPr>
      </w:pPr>
    </w:p>
    <w:p w14:paraId="389C42F6" w14:textId="77777777" w:rsidR="00DA561D" w:rsidRDefault="00DA561D" w:rsidP="00DA561D">
      <w:pPr>
        <w:rPr>
          <w:rFonts w:cs="FrankRuehl"/>
          <w:sz w:val="28"/>
          <w:szCs w:val="28"/>
          <w:rtl/>
        </w:rPr>
      </w:pPr>
    </w:p>
    <w:p w14:paraId="5DC1AE35" w14:textId="77777777" w:rsidR="00DA561D" w:rsidRPr="0091452B" w:rsidRDefault="0091452B" w:rsidP="00DA561D">
      <w:pPr>
        <w:pStyle w:val="a3"/>
        <w:jc w:val="center"/>
        <w:rPr>
          <w:color w:val="FFFFFF"/>
          <w:sz w:val="2"/>
          <w:szCs w:val="2"/>
          <w:rtl/>
        </w:rPr>
      </w:pPr>
      <w:r w:rsidRPr="0091452B">
        <w:rPr>
          <w:color w:val="FFFFFF"/>
          <w:sz w:val="2"/>
          <w:szCs w:val="2"/>
          <w:rtl/>
        </w:rPr>
        <w:t>5129371</w:t>
      </w:r>
    </w:p>
    <w:p w14:paraId="6A451519" w14:textId="77777777" w:rsidR="00D40747" w:rsidRPr="0091452B" w:rsidRDefault="0091452B" w:rsidP="009C2F46">
      <w:pPr>
        <w:keepNext/>
        <w:rPr>
          <w:rFonts w:ascii="David" w:hAnsi="David"/>
          <w:color w:val="FFFFFF"/>
          <w:sz w:val="2"/>
          <w:szCs w:val="2"/>
          <w:rtl/>
        </w:rPr>
      </w:pPr>
      <w:r w:rsidRPr="0091452B">
        <w:rPr>
          <w:rFonts w:ascii="David" w:hAnsi="David"/>
          <w:color w:val="FFFFFF"/>
          <w:sz w:val="2"/>
          <w:szCs w:val="2"/>
          <w:rtl/>
        </w:rPr>
        <w:t>54678313</w:t>
      </w:r>
    </w:p>
    <w:p w14:paraId="774744DC" w14:textId="77777777" w:rsidR="009C2F46" w:rsidRPr="009C2F46" w:rsidRDefault="009C2F46" w:rsidP="009C2F46">
      <w:pPr>
        <w:keepNext/>
        <w:rPr>
          <w:rFonts w:ascii="David" w:hAnsi="David"/>
          <w:color w:val="000000"/>
          <w:sz w:val="22"/>
          <w:szCs w:val="22"/>
          <w:rtl/>
        </w:rPr>
      </w:pPr>
      <w:r w:rsidRPr="009C2F46">
        <w:rPr>
          <w:rFonts w:ascii="David" w:hAnsi="David"/>
          <w:color w:val="000000"/>
          <w:sz w:val="22"/>
          <w:szCs w:val="22"/>
          <w:rtl/>
        </w:rPr>
        <w:t>דוד שאול גבאי ריכטר 54678313</w:t>
      </w:r>
    </w:p>
    <w:p w14:paraId="04299187" w14:textId="77777777" w:rsidR="009C2F46" w:rsidRDefault="009C2F46" w:rsidP="009C2F46">
      <w:r w:rsidRPr="009C2F46">
        <w:rPr>
          <w:color w:val="000000"/>
          <w:rtl/>
        </w:rPr>
        <w:t>נוסח מסמך זה כפוף לשינויי ניסוח ועריכה</w:t>
      </w:r>
    </w:p>
    <w:p w14:paraId="49C0A735" w14:textId="77777777" w:rsidR="009C2F46" w:rsidRDefault="009C2F46" w:rsidP="009C2F46">
      <w:pPr>
        <w:rPr>
          <w:rtl/>
        </w:rPr>
      </w:pPr>
    </w:p>
    <w:p w14:paraId="7EDB7ACF" w14:textId="77777777" w:rsidR="009C2F46" w:rsidRDefault="009C2F46" w:rsidP="009C2F46">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503603E" w14:textId="77777777" w:rsidR="0091452B" w:rsidRPr="0091452B" w:rsidRDefault="0091452B" w:rsidP="0091452B">
      <w:pPr>
        <w:keepNext/>
        <w:rPr>
          <w:rFonts w:ascii="David" w:hAnsi="David"/>
          <w:color w:val="000000"/>
          <w:sz w:val="22"/>
          <w:szCs w:val="22"/>
          <w:rtl/>
        </w:rPr>
      </w:pPr>
    </w:p>
    <w:sectPr w:rsidR="0091452B" w:rsidRPr="0091452B" w:rsidSect="0091452B">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41670" w14:textId="77777777" w:rsidR="00BC0590" w:rsidRDefault="00BC0590" w:rsidP="00013022">
      <w:r>
        <w:separator/>
      </w:r>
    </w:p>
  </w:endnote>
  <w:endnote w:type="continuationSeparator" w:id="0">
    <w:p w14:paraId="08943D46" w14:textId="77777777" w:rsidR="00BC0590" w:rsidRDefault="00BC0590" w:rsidP="0001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B53" w14:textId="77777777" w:rsidR="0091452B" w:rsidRDefault="0091452B" w:rsidP="009145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7ABB34" w14:textId="77777777" w:rsidR="00271FC3" w:rsidRPr="0091452B" w:rsidRDefault="0091452B" w:rsidP="0091452B">
    <w:pPr>
      <w:pStyle w:val="a5"/>
      <w:pBdr>
        <w:top w:val="single" w:sz="4" w:space="1" w:color="auto"/>
        <w:between w:val="single" w:sz="4" w:space="0" w:color="auto"/>
      </w:pBdr>
      <w:spacing w:after="60"/>
      <w:jc w:val="center"/>
      <w:rPr>
        <w:rFonts w:ascii="FrankRuehl" w:hAnsi="FrankRuehl" w:cs="FrankRuehl"/>
        <w:color w:val="000000"/>
      </w:rPr>
    </w:pPr>
    <w:r w:rsidRPr="0091452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C692" w14:textId="77777777" w:rsidR="0091452B" w:rsidRDefault="0091452B" w:rsidP="0091452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183C">
      <w:rPr>
        <w:rFonts w:ascii="FrankRuehl" w:hAnsi="FrankRuehl" w:cs="FrankRuehl"/>
        <w:noProof/>
        <w:rtl/>
      </w:rPr>
      <w:t>1</w:t>
    </w:r>
    <w:r>
      <w:rPr>
        <w:rFonts w:ascii="FrankRuehl" w:hAnsi="FrankRuehl" w:cs="FrankRuehl"/>
        <w:rtl/>
      </w:rPr>
      <w:fldChar w:fldCharType="end"/>
    </w:r>
  </w:p>
  <w:p w14:paraId="4B1FB2FE" w14:textId="77777777" w:rsidR="00271FC3" w:rsidRPr="0091452B" w:rsidRDefault="0091452B" w:rsidP="0091452B">
    <w:pPr>
      <w:pStyle w:val="a5"/>
      <w:pBdr>
        <w:top w:val="single" w:sz="4" w:space="1" w:color="auto"/>
        <w:between w:val="single" w:sz="4" w:space="0" w:color="auto"/>
      </w:pBdr>
      <w:spacing w:after="60"/>
      <w:jc w:val="center"/>
      <w:rPr>
        <w:rFonts w:ascii="FrankRuehl" w:hAnsi="FrankRuehl" w:cs="FrankRuehl"/>
        <w:color w:val="000000"/>
      </w:rPr>
    </w:pPr>
    <w:r w:rsidRPr="0091452B">
      <w:rPr>
        <w:rFonts w:ascii="FrankRuehl" w:hAnsi="FrankRuehl" w:cs="FrankRuehl"/>
        <w:color w:val="000000"/>
      </w:rPr>
      <w:pict w14:anchorId="60F96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BE6B8" w14:textId="77777777" w:rsidR="00BC0590" w:rsidRDefault="00BC0590" w:rsidP="00013022">
      <w:r>
        <w:separator/>
      </w:r>
    </w:p>
  </w:footnote>
  <w:footnote w:type="continuationSeparator" w:id="0">
    <w:p w14:paraId="2A08B089" w14:textId="77777777" w:rsidR="00BC0590" w:rsidRDefault="00BC0590" w:rsidP="00013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7BC49" w14:textId="77777777" w:rsidR="009C2F46" w:rsidRPr="0091452B" w:rsidRDefault="0091452B" w:rsidP="009145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33331-03-19</w:t>
    </w:r>
    <w:r>
      <w:rPr>
        <w:rFonts w:ascii="David" w:hAnsi="David"/>
        <w:color w:val="000000"/>
        <w:sz w:val="22"/>
        <w:szCs w:val="22"/>
        <w:rtl/>
      </w:rPr>
      <w:tab/>
      <w:t xml:space="preserve"> מדינת ישראל נ' אפרים ברדי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41F6" w14:textId="77777777" w:rsidR="009C2F46" w:rsidRPr="0091452B" w:rsidRDefault="0091452B" w:rsidP="009145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33331-03-19</w:t>
    </w:r>
    <w:r>
      <w:rPr>
        <w:rFonts w:ascii="David" w:hAnsi="David"/>
        <w:color w:val="000000"/>
        <w:sz w:val="22"/>
        <w:szCs w:val="22"/>
        <w:rtl/>
      </w:rPr>
      <w:tab/>
      <w:t xml:space="preserve"> מדינת ישראל נ' אפרים ברדי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45489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561D"/>
    <w:rsid w:val="00013022"/>
    <w:rsid w:val="000E5C72"/>
    <w:rsid w:val="00117808"/>
    <w:rsid w:val="001B5A3B"/>
    <w:rsid w:val="00271FC3"/>
    <w:rsid w:val="0040183C"/>
    <w:rsid w:val="005A69EF"/>
    <w:rsid w:val="00653548"/>
    <w:rsid w:val="007645B2"/>
    <w:rsid w:val="007C4914"/>
    <w:rsid w:val="008E7FBF"/>
    <w:rsid w:val="0091452B"/>
    <w:rsid w:val="009C2F46"/>
    <w:rsid w:val="00BC0590"/>
    <w:rsid w:val="00D371DB"/>
    <w:rsid w:val="00D40747"/>
    <w:rsid w:val="00DA5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CD806A"/>
  <w15:chartTrackingRefBased/>
  <w15:docId w15:val="{BCFA9C99-3F31-433F-8B20-153704A1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56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561D"/>
    <w:pPr>
      <w:tabs>
        <w:tab w:val="center" w:pos="4153"/>
        <w:tab w:val="right" w:pos="8306"/>
      </w:tabs>
    </w:pPr>
  </w:style>
  <w:style w:type="character" w:customStyle="1" w:styleId="a4">
    <w:name w:val="כותרת עליונה תו"/>
    <w:link w:val="a3"/>
    <w:rsid w:val="00DA561D"/>
    <w:rPr>
      <w:rFonts w:ascii="Times New Roman" w:eastAsia="Times New Roman" w:hAnsi="Times New Roman" w:cs="David"/>
      <w:sz w:val="24"/>
      <w:szCs w:val="24"/>
    </w:rPr>
  </w:style>
  <w:style w:type="paragraph" w:styleId="a5">
    <w:name w:val="footer"/>
    <w:basedOn w:val="a"/>
    <w:link w:val="a6"/>
    <w:rsid w:val="00DA561D"/>
    <w:pPr>
      <w:tabs>
        <w:tab w:val="center" w:pos="4153"/>
        <w:tab w:val="right" w:pos="8306"/>
      </w:tabs>
    </w:pPr>
  </w:style>
  <w:style w:type="character" w:customStyle="1" w:styleId="a6">
    <w:name w:val="כותרת תחתונה תו"/>
    <w:link w:val="a5"/>
    <w:rsid w:val="00DA561D"/>
    <w:rPr>
      <w:rFonts w:ascii="Times New Roman" w:eastAsia="Times New Roman" w:hAnsi="Times New Roman" w:cs="David"/>
      <w:sz w:val="24"/>
      <w:szCs w:val="24"/>
    </w:rPr>
  </w:style>
  <w:style w:type="table" w:styleId="a7">
    <w:name w:val="Table Grid"/>
    <w:basedOn w:val="a1"/>
    <w:rsid w:val="00DA56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A561D"/>
  </w:style>
  <w:style w:type="paragraph" w:styleId="a9">
    <w:name w:val="footnote text"/>
    <w:basedOn w:val="a"/>
    <w:link w:val="aa"/>
    <w:rsid w:val="00DA561D"/>
    <w:rPr>
      <w:sz w:val="20"/>
      <w:szCs w:val="20"/>
    </w:rPr>
  </w:style>
  <w:style w:type="character" w:customStyle="1" w:styleId="aa">
    <w:name w:val="טקסט הערת שוליים תו"/>
    <w:link w:val="a9"/>
    <w:rsid w:val="00DA561D"/>
    <w:rPr>
      <w:rFonts w:ascii="Times New Roman" w:eastAsia="Times New Roman" w:hAnsi="Times New Roman" w:cs="David"/>
      <w:sz w:val="20"/>
      <w:szCs w:val="20"/>
    </w:rPr>
  </w:style>
  <w:style w:type="character" w:styleId="Hyperlink">
    <w:name w:val="Hyperlink"/>
    <w:rsid w:val="009C2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28.b.1.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3827604" TargetMode="External"/><Relationship Id="rId39" Type="http://schemas.openxmlformats.org/officeDocument/2006/relationships/footer" Target="footer1.xm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19a" TargetMode="External"/><Relationship Id="rId29" Type="http://schemas.openxmlformats.org/officeDocument/2006/relationships/hyperlink" Target="http://www.nevo.co.il/case/2147747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4274" TargetMode="External"/><Relationship Id="rId32" Type="http://schemas.openxmlformats.org/officeDocument/2006/relationships/hyperlink" Target="http://www.nevo.co.il/case/2417209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4274/28.b.1.a"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182707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957869"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21477656" TargetMode="External"/><Relationship Id="rId35" Type="http://schemas.openxmlformats.org/officeDocument/2006/relationships/hyperlink" Target="http://www.nevo.co.il/case/25536532"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4274" TargetMode="External"/><Relationship Id="rId17" Type="http://schemas.openxmlformats.org/officeDocument/2006/relationships/hyperlink" Target="http://www.nevo.co.il/case/25536508" TargetMode="External"/><Relationship Id="rId25" Type="http://schemas.openxmlformats.org/officeDocument/2006/relationships/hyperlink" Target="http://www.nevo.co.il/case/5896323"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1861</Words>
  <Characters>9308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11147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3276919</vt:i4>
      </vt:variant>
      <vt:variant>
        <vt:i4>84</vt:i4>
      </vt:variant>
      <vt:variant>
        <vt:i4>0</vt:i4>
      </vt:variant>
      <vt:variant>
        <vt:i4>5</vt:i4>
      </vt:variant>
      <vt:variant>
        <vt:lpwstr>http://www.nevo.co.il/case/25536532</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3670135</vt:i4>
      </vt:variant>
      <vt:variant>
        <vt:i4>75</vt:i4>
      </vt:variant>
      <vt:variant>
        <vt:i4>0</vt:i4>
      </vt:variant>
      <vt:variant>
        <vt:i4>5</vt:i4>
      </vt:variant>
      <vt:variant>
        <vt:lpwstr>http://www.nevo.co.il/case/24172093</vt:lpwstr>
      </vt:variant>
      <vt:variant>
        <vt:lpwstr/>
      </vt:variant>
      <vt:variant>
        <vt:i4>3801207</vt:i4>
      </vt:variant>
      <vt:variant>
        <vt:i4>72</vt:i4>
      </vt:variant>
      <vt:variant>
        <vt:i4>0</vt:i4>
      </vt:variant>
      <vt:variant>
        <vt:i4>5</vt:i4>
      </vt:variant>
      <vt:variant>
        <vt:lpwstr>http://www.nevo.co.il/case/21827077</vt:lpwstr>
      </vt:variant>
      <vt:variant>
        <vt:lpwstr/>
      </vt:variant>
      <vt:variant>
        <vt:i4>3407988</vt:i4>
      </vt:variant>
      <vt:variant>
        <vt:i4>69</vt:i4>
      </vt:variant>
      <vt:variant>
        <vt:i4>0</vt:i4>
      </vt:variant>
      <vt:variant>
        <vt:i4>5</vt:i4>
      </vt:variant>
      <vt:variant>
        <vt:lpwstr>http://www.nevo.co.il/case/21477656</vt:lpwstr>
      </vt:variant>
      <vt:variant>
        <vt:lpwstr/>
      </vt:variant>
      <vt:variant>
        <vt:i4>3539062</vt:i4>
      </vt:variant>
      <vt:variant>
        <vt:i4>66</vt:i4>
      </vt:variant>
      <vt:variant>
        <vt:i4>0</vt:i4>
      </vt:variant>
      <vt:variant>
        <vt:i4>5</vt:i4>
      </vt:variant>
      <vt:variant>
        <vt:lpwstr>http://www.nevo.co.il/case/21477472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3932280</vt:i4>
      </vt:variant>
      <vt:variant>
        <vt:i4>54</vt:i4>
      </vt:variant>
      <vt:variant>
        <vt:i4>0</vt:i4>
      </vt:variant>
      <vt:variant>
        <vt:i4>5</vt:i4>
      </vt:variant>
      <vt:variant>
        <vt:lpwstr>http://www.nevo.co.il/case/5896323</vt:lpwstr>
      </vt:variant>
      <vt:variant>
        <vt:lpwstr/>
      </vt:variant>
      <vt:variant>
        <vt:i4>7929957</vt:i4>
      </vt:variant>
      <vt:variant>
        <vt:i4>51</vt:i4>
      </vt:variant>
      <vt:variant>
        <vt:i4>0</vt:i4>
      </vt:variant>
      <vt:variant>
        <vt:i4>5</vt:i4>
      </vt:variant>
      <vt:variant>
        <vt:lpwstr>http://www.nevo.co.il/law/74274</vt:lpwstr>
      </vt:variant>
      <vt:variant>
        <vt:lpwstr/>
      </vt:variant>
      <vt:variant>
        <vt:i4>6029389</vt:i4>
      </vt:variant>
      <vt:variant>
        <vt:i4>48</vt:i4>
      </vt:variant>
      <vt:variant>
        <vt:i4>0</vt:i4>
      </vt:variant>
      <vt:variant>
        <vt:i4>5</vt:i4>
      </vt:variant>
      <vt:variant>
        <vt:lpwstr>http://www.nevo.co.il/law/74274/28.b.1.a</vt:lpwstr>
      </vt:variant>
      <vt:variant>
        <vt:lpwstr/>
      </vt:variant>
      <vt:variant>
        <vt:i4>3801212</vt:i4>
      </vt:variant>
      <vt:variant>
        <vt:i4>45</vt:i4>
      </vt:variant>
      <vt:variant>
        <vt:i4>0</vt:i4>
      </vt:variant>
      <vt:variant>
        <vt:i4>5</vt:i4>
      </vt:variant>
      <vt:variant>
        <vt:lpwstr>http://www.nevo.co.il/case/25957869</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3211383</vt:i4>
      </vt:variant>
      <vt:variant>
        <vt:i4>30</vt:i4>
      </vt:variant>
      <vt:variant>
        <vt:i4>0</vt:i4>
      </vt:variant>
      <vt:variant>
        <vt:i4>5</vt:i4>
      </vt:variant>
      <vt:variant>
        <vt:lpwstr>http://www.nevo.co.il/case/25536508</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6029389</vt:i4>
      </vt:variant>
      <vt:variant>
        <vt:i4>18</vt:i4>
      </vt:variant>
      <vt:variant>
        <vt:i4>0</vt:i4>
      </vt:variant>
      <vt:variant>
        <vt:i4>5</vt:i4>
      </vt:variant>
      <vt:variant>
        <vt:lpwstr>http://www.nevo.co.il/law/74274/28.b.1.a</vt:lpwstr>
      </vt:variant>
      <vt:variant>
        <vt:lpwstr/>
      </vt:variant>
      <vt:variant>
        <vt:i4>7929957</vt:i4>
      </vt:variant>
      <vt:variant>
        <vt:i4>15</vt:i4>
      </vt:variant>
      <vt:variant>
        <vt:i4>0</vt:i4>
      </vt:variant>
      <vt:variant>
        <vt:i4>5</vt:i4>
      </vt:variant>
      <vt:variant>
        <vt:lpwstr>http://www.nevo.co.il/law/74274</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33331</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אפרים ברדי</vt:lpwstr>
  </property>
  <property fmtid="{D5CDD505-2E9C-101B-9397-08002B2CF9AE}" pid="10" name="LAWYER">
    <vt:lpwstr>מיכאל עירוני;מאיר לוברבאום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20211006</vt:lpwstr>
  </property>
  <property fmtid="{D5CDD505-2E9C-101B-9397-08002B2CF9AE}" pid="14" name="TYPE_N_DATE">
    <vt:lpwstr>38020211006</vt:lpwstr>
  </property>
  <property fmtid="{D5CDD505-2E9C-101B-9397-08002B2CF9AE}" pid="15" name="WORDNUMPAGES">
    <vt:lpwstr>7</vt:lpwstr>
  </property>
  <property fmtid="{D5CDD505-2E9C-101B-9397-08002B2CF9AE}" pid="16" name="TYPE_ABS_DATE">
    <vt:lpwstr>380020211006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25536508;25957869;5896323;23827604;21477472;21477656;21827077;24172093;25536532</vt:lpwstr>
  </property>
  <property fmtid="{D5CDD505-2E9C-101B-9397-08002B2CF9AE}" pid="36" name="LAWLISTTMP1">
    <vt:lpwstr>4216/007.a;007.c;013;019a</vt:lpwstr>
  </property>
  <property fmtid="{D5CDD505-2E9C-101B-9397-08002B2CF9AE}" pid="37" name="LAWLISTTMP2">
    <vt:lpwstr>74274/028.b.1.a</vt:lpwstr>
  </property>
  <property fmtid="{D5CDD505-2E9C-101B-9397-08002B2CF9AE}" pid="38" name="LAWLISTTMP3">
    <vt:lpwstr>70301/040i;40ja</vt:lpwstr>
  </property>
</Properties>
</file>