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2"/>
        <w:gridCol w:w="3659"/>
      </w:tblGrid>
      <w:tr w:rsidR="00021334" w:rsidRPr="00067B8F" w14:paraId="14961438" w14:textId="77777777" w:rsidTr="005E6AC5">
        <w:trPr>
          <w:trHeight w:hRule="exact" w:val="418"/>
          <w:jc w:val="center"/>
        </w:trPr>
        <w:tc>
          <w:tcPr>
            <w:tcW w:w="8721" w:type="dxa"/>
            <w:gridSpan w:val="2"/>
          </w:tcPr>
          <w:p w14:paraId="1AFA6F8C" w14:textId="77777777" w:rsidR="00021334" w:rsidRPr="00067B8F" w:rsidRDefault="00021334" w:rsidP="00D23C33">
            <w:pPr>
              <w:pStyle w:val="a3"/>
              <w:jc w:val="center"/>
              <w:rPr>
                <w:rFonts w:ascii="Tahoma" w:hAnsi="Tahoma" w:cs="FrankRuehl"/>
                <w:b/>
                <w:bCs/>
                <w:color w:val="000080"/>
                <w:sz w:val="28"/>
                <w:szCs w:val="28"/>
                <w:rtl/>
              </w:rPr>
            </w:pPr>
            <w:bookmarkStart w:id="0" w:name="LastJudge"/>
            <w:r w:rsidRPr="00067B8F">
              <w:rPr>
                <w:rFonts w:ascii="Tahoma" w:hAnsi="Tahoma" w:cs="FrankRuehl"/>
                <w:b/>
                <w:bCs/>
                <w:color w:val="000080"/>
                <w:sz w:val="28"/>
                <w:szCs w:val="28"/>
                <w:rtl/>
              </w:rPr>
              <w:t>בית משפט השלום בירושלים</w:t>
            </w:r>
          </w:p>
        </w:tc>
      </w:tr>
      <w:tr w:rsidR="00021334" w:rsidRPr="00067B8F" w14:paraId="356900E6" w14:textId="77777777" w:rsidTr="005E6AC5">
        <w:trPr>
          <w:trHeight w:val="337"/>
          <w:jc w:val="center"/>
        </w:trPr>
        <w:tc>
          <w:tcPr>
            <w:tcW w:w="5062" w:type="dxa"/>
          </w:tcPr>
          <w:p w14:paraId="5C927153" w14:textId="77777777" w:rsidR="00021334" w:rsidRPr="00067B8F" w:rsidRDefault="00021334" w:rsidP="00D23C33">
            <w:pPr>
              <w:rPr>
                <w:rFonts w:cs="FrankRuehl"/>
                <w:b/>
                <w:bCs/>
                <w:sz w:val="28"/>
                <w:szCs w:val="28"/>
                <w:rtl/>
              </w:rPr>
            </w:pPr>
            <w:r w:rsidRPr="00067B8F">
              <w:rPr>
                <w:rFonts w:cs="FrankRuehl"/>
                <w:b/>
                <w:bCs/>
                <w:sz w:val="28"/>
                <w:szCs w:val="28"/>
                <w:rtl/>
              </w:rPr>
              <w:t>ת"פ</w:t>
            </w:r>
            <w:r w:rsidRPr="00067B8F">
              <w:rPr>
                <w:rFonts w:cs="FrankRuehl" w:hint="cs"/>
                <w:b/>
                <w:bCs/>
                <w:sz w:val="28"/>
                <w:szCs w:val="28"/>
                <w:rtl/>
              </w:rPr>
              <w:t xml:space="preserve"> </w:t>
            </w:r>
            <w:r w:rsidRPr="00067B8F">
              <w:rPr>
                <w:rFonts w:cs="FrankRuehl"/>
                <w:b/>
                <w:bCs/>
                <w:sz w:val="28"/>
                <w:szCs w:val="28"/>
                <w:rtl/>
              </w:rPr>
              <w:t>38478-03-19</w:t>
            </w:r>
            <w:r w:rsidRPr="00067B8F">
              <w:rPr>
                <w:rFonts w:cs="FrankRuehl" w:hint="cs"/>
                <w:b/>
                <w:bCs/>
                <w:sz w:val="28"/>
                <w:szCs w:val="28"/>
                <w:rtl/>
              </w:rPr>
              <w:t xml:space="preserve"> </w:t>
            </w:r>
            <w:r w:rsidRPr="00067B8F">
              <w:rPr>
                <w:rFonts w:cs="FrankRuehl"/>
                <w:b/>
                <w:bCs/>
                <w:sz w:val="28"/>
                <w:szCs w:val="28"/>
                <w:rtl/>
              </w:rPr>
              <w:t>מדינת ישראל נ' בדיחי(אחר/נוסף)</w:t>
            </w:r>
          </w:p>
          <w:p w14:paraId="791253D7" w14:textId="77777777" w:rsidR="00021334" w:rsidRPr="00067B8F" w:rsidRDefault="00021334" w:rsidP="00D23C33">
            <w:pPr>
              <w:pStyle w:val="a3"/>
              <w:rPr>
                <w:rFonts w:cs="FrankRuehl"/>
                <w:b/>
                <w:bCs/>
                <w:sz w:val="28"/>
                <w:szCs w:val="28"/>
                <w:rtl/>
              </w:rPr>
            </w:pPr>
          </w:p>
        </w:tc>
        <w:tc>
          <w:tcPr>
            <w:tcW w:w="3659" w:type="dxa"/>
          </w:tcPr>
          <w:p w14:paraId="4F276560" w14:textId="77777777" w:rsidR="00021334" w:rsidRPr="00067B8F" w:rsidRDefault="00021334" w:rsidP="00D23C33">
            <w:pPr>
              <w:pStyle w:val="a3"/>
              <w:jc w:val="right"/>
              <w:rPr>
                <w:rFonts w:cs="FrankRuehl"/>
                <w:sz w:val="28"/>
                <w:szCs w:val="28"/>
                <w:rtl/>
              </w:rPr>
            </w:pPr>
          </w:p>
        </w:tc>
      </w:tr>
    </w:tbl>
    <w:p w14:paraId="1854360C" w14:textId="77777777" w:rsidR="00021334" w:rsidRPr="00067B8F" w:rsidRDefault="00021334" w:rsidP="00021334">
      <w:pPr>
        <w:pStyle w:val="a3"/>
        <w:rPr>
          <w:rtl/>
        </w:rPr>
      </w:pPr>
      <w:r w:rsidRPr="00067B8F">
        <w:rPr>
          <w:rFonts w:hint="cs"/>
          <w:rtl/>
        </w:rPr>
        <w:t xml:space="preserve"> </w:t>
      </w:r>
    </w:p>
    <w:p w14:paraId="71AA3091" w14:textId="77777777" w:rsidR="00021334" w:rsidRPr="00067B8F" w:rsidRDefault="00021334" w:rsidP="00021334">
      <w:pPr>
        <w:rPr>
          <w:rtl/>
        </w:rPr>
      </w:pPr>
    </w:p>
    <w:p w14:paraId="29160C16" w14:textId="77777777" w:rsidR="00021334" w:rsidRPr="00067B8F" w:rsidRDefault="00021334" w:rsidP="0002133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021334" w:rsidRPr="00067B8F" w14:paraId="381F78C2" w14:textId="77777777" w:rsidTr="00021334">
        <w:trPr>
          <w:trHeight w:val="295"/>
          <w:jc w:val="center"/>
        </w:trPr>
        <w:tc>
          <w:tcPr>
            <w:tcW w:w="923" w:type="dxa"/>
            <w:tcBorders>
              <w:top w:val="nil"/>
              <w:left w:val="nil"/>
              <w:bottom w:val="nil"/>
              <w:right w:val="nil"/>
            </w:tcBorders>
            <w:shd w:val="clear" w:color="auto" w:fill="auto"/>
          </w:tcPr>
          <w:p w14:paraId="4DDA6090" w14:textId="77777777" w:rsidR="00021334" w:rsidRPr="00067B8F" w:rsidRDefault="00021334" w:rsidP="00021334">
            <w:pPr>
              <w:jc w:val="both"/>
              <w:rPr>
                <w:rFonts w:ascii="Arial" w:hAnsi="Arial" w:cs="FrankRuehl"/>
                <w:sz w:val="28"/>
                <w:szCs w:val="28"/>
              </w:rPr>
            </w:pPr>
            <w:r w:rsidRPr="00067B8F">
              <w:rPr>
                <w:rFonts w:ascii="Arial" w:hAnsi="Arial" w:cs="FrankRuehl" w:hint="cs"/>
                <w:sz w:val="28"/>
                <w:szCs w:val="28"/>
                <w:rtl/>
              </w:rPr>
              <w:t>ב</w:t>
            </w:r>
            <w:r w:rsidRPr="00067B8F">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4DB75379" w14:textId="77777777" w:rsidR="00021334" w:rsidRPr="00067B8F" w:rsidRDefault="00021334" w:rsidP="00D23C33">
            <w:pPr>
              <w:rPr>
                <w:rFonts w:ascii="Arial" w:hAnsi="Arial" w:cs="FrankRuehl"/>
                <w:b/>
                <w:bCs/>
                <w:rtl/>
              </w:rPr>
            </w:pPr>
            <w:r w:rsidRPr="00067B8F">
              <w:rPr>
                <w:rFonts w:ascii="Arial" w:hAnsi="Arial" w:cs="FrankRuehl" w:hint="cs"/>
                <w:b/>
                <w:bCs/>
                <w:rtl/>
              </w:rPr>
              <w:t>כבוד ה</w:t>
            </w:r>
            <w:r w:rsidRPr="00067B8F">
              <w:rPr>
                <w:rFonts w:ascii="Arial" w:hAnsi="Arial" w:cs="FrankRuehl"/>
                <w:b/>
                <w:bCs/>
                <w:rtl/>
              </w:rPr>
              <w:t>שופט</w:t>
            </w:r>
            <w:r w:rsidRPr="00067B8F">
              <w:rPr>
                <w:rFonts w:ascii="Arial" w:hAnsi="Arial" w:cs="FrankRuehl" w:hint="cs"/>
                <w:b/>
                <w:bCs/>
                <w:rtl/>
              </w:rPr>
              <w:t xml:space="preserve">  </w:t>
            </w:r>
            <w:r w:rsidRPr="00067B8F">
              <w:rPr>
                <w:rFonts w:ascii="Arial" w:hAnsi="Arial" w:cs="FrankRuehl"/>
                <w:b/>
                <w:bCs/>
                <w:rtl/>
              </w:rPr>
              <w:t>דוד שאול גבאי ריכטר</w:t>
            </w:r>
          </w:p>
          <w:p w14:paraId="0D0A16A9" w14:textId="77777777" w:rsidR="00021334" w:rsidRPr="00067B8F" w:rsidRDefault="00021334" w:rsidP="00D23C33">
            <w:pPr>
              <w:rPr>
                <w:rFonts w:cs="FrankRuehl"/>
                <w:rtl/>
              </w:rPr>
            </w:pPr>
          </w:p>
          <w:p w14:paraId="571412BB" w14:textId="77777777" w:rsidR="00021334" w:rsidRPr="00067B8F" w:rsidRDefault="00021334" w:rsidP="00021334">
            <w:pPr>
              <w:jc w:val="both"/>
              <w:rPr>
                <w:rFonts w:ascii="Arial" w:hAnsi="Arial" w:cs="FrankRuehl"/>
                <w:sz w:val="28"/>
                <w:szCs w:val="28"/>
              </w:rPr>
            </w:pPr>
          </w:p>
        </w:tc>
      </w:tr>
      <w:tr w:rsidR="00021334" w:rsidRPr="00067B8F" w14:paraId="6EF09525" w14:textId="77777777" w:rsidTr="00021334">
        <w:trPr>
          <w:trHeight w:val="355"/>
          <w:jc w:val="center"/>
        </w:trPr>
        <w:tc>
          <w:tcPr>
            <w:tcW w:w="923" w:type="dxa"/>
            <w:tcBorders>
              <w:top w:val="nil"/>
              <w:left w:val="nil"/>
              <w:bottom w:val="nil"/>
              <w:right w:val="nil"/>
            </w:tcBorders>
            <w:shd w:val="clear" w:color="auto" w:fill="auto"/>
          </w:tcPr>
          <w:p w14:paraId="2A6888BD" w14:textId="77777777" w:rsidR="00021334" w:rsidRPr="00067B8F" w:rsidRDefault="00021334" w:rsidP="00021334">
            <w:pPr>
              <w:jc w:val="both"/>
              <w:rPr>
                <w:rFonts w:ascii="Arial" w:hAnsi="Arial" w:cs="FrankRuehl"/>
                <w:b/>
                <w:bCs/>
                <w:sz w:val="28"/>
                <w:szCs w:val="28"/>
              </w:rPr>
            </w:pPr>
            <w:bookmarkStart w:id="1" w:name="FirstAppellant"/>
            <w:r w:rsidRPr="00067B8F">
              <w:rPr>
                <w:rFonts w:ascii="Arial" w:hAnsi="Arial" w:cs="FrankRuehl" w:hint="cs"/>
                <w:b/>
                <w:bCs/>
                <w:sz w:val="28"/>
                <w:szCs w:val="28"/>
                <w:rtl/>
              </w:rPr>
              <w:t>בעניין:</w:t>
            </w:r>
          </w:p>
        </w:tc>
        <w:tc>
          <w:tcPr>
            <w:tcW w:w="4126" w:type="dxa"/>
            <w:tcBorders>
              <w:top w:val="nil"/>
              <w:left w:val="nil"/>
              <w:bottom w:val="nil"/>
              <w:right w:val="nil"/>
            </w:tcBorders>
            <w:shd w:val="clear" w:color="auto" w:fill="auto"/>
          </w:tcPr>
          <w:p w14:paraId="07528179" w14:textId="77777777" w:rsidR="00021334" w:rsidRPr="00067B8F" w:rsidRDefault="00021334" w:rsidP="00D23C33">
            <w:pPr>
              <w:rPr>
                <w:rFonts w:cs="FrankRuehl"/>
                <w:b/>
                <w:bCs/>
                <w:sz w:val="28"/>
                <w:szCs w:val="28"/>
              </w:rPr>
            </w:pPr>
            <w:r w:rsidRPr="00067B8F">
              <w:rPr>
                <w:rFonts w:ascii="Arial" w:hAnsi="Arial" w:cs="FrankRuehl"/>
                <w:b/>
                <w:bCs/>
                <w:sz w:val="28"/>
                <w:szCs w:val="28"/>
                <w:rtl/>
              </w:rPr>
              <w:t>מדינת ישראל</w:t>
            </w:r>
          </w:p>
        </w:tc>
        <w:tc>
          <w:tcPr>
            <w:tcW w:w="3771" w:type="dxa"/>
            <w:tcBorders>
              <w:top w:val="nil"/>
              <w:left w:val="nil"/>
              <w:bottom w:val="nil"/>
              <w:right w:val="nil"/>
            </w:tcBorders>
            <w:shd w:val="clear" w:color="auto" w:fill="auto"/>
          </w:tcPr>
          <w:p w14:paraId="033DA506" w14:textId="77777777" w:rsidR="00021334" w:rsidRPr="00067B8F" w:rsidRDefault="00021334" w:rsidP="00021334">
            <w:pPr>
              <w:jc w:val="both"/>
              <w:rPr>
                <w:rFonts w:ascii="Arial" w:hAnsi="Arial" w:cs="FrankRuehl"/>
                <w:b/>
                <w:bCs/>
                <w:sz w:val="28"/>
                <w:szCs w:val="28"/>
              </w:rPr>
            </w:pPr>
          </w:p>
        </w:tc>
      </w:tr>
      <w:bookmarkEnd w:id="1"/>
      <w:tr w:rsidR="00021334" w:rsidRPr="00067B8F" w14:paraId="302C47D7" w14:textId="77777777" w:rsidTr="00021334">
        <w:trPr>
          <w:trHeight w:val="355"/>
          <w:jc w:val="center"/>
        </w:trPr>
        <w:tc>
          <w:tcPr>
            <w:tcW w:w="923" w:type="dxa"/>
            <w:tcBorders>
              <w:top w:val="nil"/>
              <w:left w:val="nil"/>
              <w:bottom w:val="nil"/>
              <w:right w:val="nil"/>
            </w:tcBorders>
            <w:shd w:val="clear" w:color="auto" w:fill="auto"/>
          </w:tcPr>
          <w:p w14:paraId="1E968E9A" w14:textId="77777777" w:rsidR="00021334" w:rsidRPr="00067B8F" w:rsidRDefault="00021334" w:rsidP="00021334">
            <w:pPr>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10E9728E" w14:textId="77777777" w:rsidR="00021334" w:rsidRPr="00067B8F" w:rsidRDefault="00021334" w:rsidP="00021334">
            <w:pPr>
              <w:jc w:val="both"/>
              <w:rPr>
                <w:rFonts w:cs="FrankRuehl"/>
                <w:b/>
                <w:bCs/>
                <w:sz w:val="28"/>
                <w:szCs w:val="28"/>
                <w:rtl/>
              </w:rPr>
            </w:pPr>
            <w:r w:rsidRPr="00067B8F">
              <w:rPr>
                <w:rFonts w:cs="FrankRuehl" w:hint="cs"/>
                <w:b/>
                <w:bCs/>
                <w:sz w:val="28"/>
                <w:szCs w:val="28"/>
                <w:rtl/>
              </w:rPr>
              <w:t>תביעות ירושלים</w:t>
            </w:r>
          </w:p>
        </w:tc>
        <w:tc>
          <w:tcPr>
            <w:tcW w:w="3771" w:type="dxa"/>
            <w:tcBorders>
              <w:top w:val="nil"/>
              <w:left w:val="nil"/>
              <w:bottom w:val="nil"/>
              <w:right w:val="nil"/>
            </w:tcBorders>
            <w:shd w:val="clear" w:color="auto" w:fill="auto"/>
          </w:tcPr>
          <w:p w14:paraId="66DC656F" w14:textId="77777777" w:rsidR="00021334" w:rsidRPr="00067B8F" w:rsidRDefault="00021334" w:rsidP="00021334">
            <w:pPr>
              <w:jc w:val="right"/>
              <w:rPr>
                <w:rFonts w:ascii="Arial" w:hAnsi="Arial" w:cs="FrankRuehl"/>
                <w:b/>
                <w:bCs/>
                <w:sz w:val="28"/>
                <w:szCs w:val="28"/>
                <w:rtl/>
              </w:rPr>
            </w:pPr>
            <w:r w:rsidRPr="00067B8F">
              <w:rPr>
                <w:rFonts w:ascii="Arial" w:hAnsi="Arial" w:cs="FrankRuehl" w:hint="cs"/>
                <w:b/>
                <w:bCs/>
                <w:sz w:val="28"/>
                <w:szCs w:val="28"/>
                <w:rtl/>
              </w:rPr>
              <w:t>ה</w:t>
            </w:r>
            <w:r w:rsidRPr="00067B8F">
              <w:rPr>
                <w:rFonts w:ascii="Arial" w:hAnsi="Arial" w:cs="FrankRuehl"/>
                <w:b/>
                <w:bCs/>
                <w:sz w:val="28"/>
                <w:szCs w:val="28"/>
                <w:rtl/>
              </w:rPr>
              <w:t>מאשימה</w:t>
            </w:r>
          </w:p>
        </w:tc>
      </w:tr>
      <w:tr w:rsidR="00021334" w:rsidRPr="00067B8F" w14:paraId="722DA794" w14:textId="77777777" w:rsidTr="00021334">
        <w:trPr>
          <w:trHeight w:val="355"/>
          <w:jc w:val="center"/>
        </w:trPr>
        <w:tc>
          <w:tcPr>
            <w:tcW w:w="923" w:type="dxa"/>
            <w:tcBorders>
              <w:top w:val="nil"/>
              <w:left w:val="nil"/>
              <w:bottom w:val="nil"/>
              <w:right w:val="nil"/>
            </w:tcBorders>
            <w:shd w:val="clear" w:color="auto" w:fill="auto"/>
          </w:tcPr>
          <w:p w14:paraId="2DCCC7E4" w14:textId="77777777" w:rsidR="00021334" w:rsidRPr="00067B8F" w:rsidRDefault="00021334" w:rsidP="00021334">
            <w:pPr>
              <w:jc w:val="both"/>
              <w:rPr>
                <w:rFonts w:ascii="Arial" w:hAnsi="Arial" w:cs="FrankRuehl"/>
                <w:b/>
                <w:bCs/>
                <w:sz w:val="28"/>
                <w:szCs w:val="28"/>
                <w:rtl/>
              </w:rPr>
            </w:pPr>
          </w:p>
        </w:tc>
        <w:tc>
          <w:tcPr>
            <w:tcW w:w="7897" w:type="dxa"/>
            <w:gridSpan w:val="2"/>
            <w:tcBorders>
              <w:top w:val="nil"/>
              <w:left w:val="nil"/>
              <w:bottom w:val="nil"/>
              <w:right w:val="nil"/>
            </w:tcBorders>
            <w:shd w:val="clear" w:color="auto" w:fill="auto"/>
          </w:tcPr>
          <w:p w14:paraId="241D45EE" w14:textId="77777777" w:rsidR="00021334" w:rsidRPr="00067B8F" w:rsidRDefault="00021334" w:rsidP="00021334">
            <w:pPr>
              <w:jc w:val="center"/>
              <w:rPr>
                <w:rFonts w:ascii="Arial" w:hAnsi="Arial" w:cs="FrankRuehl"/>
                <w:b/>
                <w:bCs/>
                <w:sz w:val="28"/>
                <w:szCs w:val="28"/>
                <w:rtl/>
              </w:rPr>
            </w:pPr>
          </w:p>
          <w:p w14:paraId="1210759C" w14:textId="77777777" w:rsidR="00021334" w:rsidRPr="00067B8F" w:rsidRDefault="00021334" w:rsidP="00021334">
            <w:pPr>
              <w:jc w:val="center"/>
              <w:rPr>
                <w:rFonts w:ascii="Arial" w:hAnsi="Arial" w:cs="FrankRuehl"/>
                <w:b/>
                <w:bCs/>
                <w:sz w:val="28"/>
                <w:szCs w:val="28"/>
                <w:rtl/>
              </w:rPr>
            </w:pPr>
            <w:r w:rsidRPr="00067B8F">
              <w:rPr>
                <w:rFonts w:ascii="Arial" w:hAnsi="Arial" w:cs="FrankRuehl"/>
                <w:b/>
                <w:bCs/>
                <w:sz w:val="28"/>
                <w:szCs w:val="28"/>
                <w:rtl/>
              </w:rPr>
              <w:t>נגד</w:t>
            </w:r>
          </w:p>
          <w:p w14:paraId="1C7C935A" w14:textId="77777777" w:rsidR="00021334" w:rsidRPr="00067B8F" w:rsidRDefault="00021334" w:rsidP="00021334">
            <w:pPr>
              <w:jc w:val="both"/>
              <w:rPr>
                <w:rFonts w:ascii="Arial" w:hAnsi="Arial" w:cs="FrankRuehl"/>
                <w:b/>
                <w:bCs/>
                <w:sz w:val="28"/>
                <w:szCs w:val="28"/>
              </w:rPr>
            </w:pPr>
          </w:p>
        </w:tc>
      </w:tr>
      <w:tr w:rsidR="00021334" w:rsidRPr="00067B8F" w14:paraId="64BE1552" w14:textId="77777777" w:rsidTr="00021334">
        <w:trPr>
          <w:trHeight w:val="355"/>
          <w:jc w:val="center"/>
        </w:trPr>
        <w:tc>
          <w:tcPr>
            <w:tcW w:w="923" w:type="dxa"/>
            <w:tcBorders>
              <w:top w:val="nil"/>
              <w:left w:val="nil"/>
              <w:bottom w:val="nil"/>
              <w:right w:val="nil"/>
            </w:tcBorders>
            <w:shd w:val="clear" w:color="auto" w:fill="auto"/>
          </w:tcPr>
          <w:p w14:paraId="5C82C855" w14:textId="77777777" w:rsidR="00021334" w:rsidRPr="00067B8F" w:rsidRDefault="00021334" w:rsidP="00D23C33">
            <w:pPr>
              <w:rPr>
                <w:rFonts w:ascii="Arial" w:hAnsi="Arial" w:cs="FrankRuehl"/>
                <w:b/>
                <w:bCs/>
                <w:sz w:val="28"/>
                <w:szCs w:val="28"/>
                <w:rtl/>
              </w:rPr>
            </w:pPr>
          </w:p>
        </w:tc>
        <w:tc>
          <w:tcPr>
            <w:tcW w:w="4126" w:type="dxa"/>
            <w:tcBorders>
              <w:top w:val="nil"/>
              <w:left w:val="nil"/>
              <w:bottom w:val="nil"/>
              <w:right w:val="nil"/>
            </w:tcBorders>
            <w:shd w:val="clear" w:color="auto" w:fill="auto"/>
          </w:tcPr>
          <w:p w14:paraId="204C508E" w14:textId="77777777" w:rsidR="00021334" w:rsidRPr="00067B8F" w:rsidRDefault="00021334" w:rsidP="00D23C33">
            <w:pPr>
              <w:rPr>
                <w:rFonts w:cs="FrankRuehl"/>
                <w:b/>
                <w:bCs/>
                <w:sz w:val="28"/>
                <w:szCs w:val="28"/>
                <w:rtl/>
              </w:rPr>
            </w:pPr>
            <w:r w:rsidRPr="00067B8F">
              <w:rPr>
                <w:rFonts w:ascii="Arial" w:hAnsi="Arial" w:cs="FrankRuehl"/>
                <w:b/>
                <w:bCs/>
                <w:sz w:val="28"/>
                <w:szCs w:val="28"/>
                <w:rtl/>
              </w:rPr>
              <w:t xml:space="preserve">איתי בדיחי </w:t>
            </w:r>
            <w:r w:rsidRPr="00067B8F">
              <w:rPr>
                <w:rFonts w:ascii="Arial" w:hAnsi="Arial" w:cs="FrankRuehl" w:hint="cs"/>
                <w:b/>
                <w:bCs/>
                <w:sz w:val="28"/>
                <w:szCs w:val="28"/>
                <w:rtl/>
              </w:rPr>
              <w:t xml:space="preserve"> </w:t>
            </w:r>
          </w:p>
        </w:tc>
        <w:tc>
          <w:tcPr>
            <w:tcW w:w="3771" w:type="dxa"/>
            <w:tcBorders>
              <w:top w:val="nil"/>
              <w:left w:val="nil"/>
              <w:bottom w:val="nil"/>
              <w:right w:val="nil"/>
            </w:tcBorders>
            <w:shd w:val="clear" w:color="auto" w:fill="auto"/>
          </w:tcPr>
          <w:p w14:paraId="2ABB0BBD" w14:textId="77777777" w:rsidR="00021334" w:rsidRPr="00067B8F" w:rsidRDefault="00021334" w:rsidP="00021334">
            <w:pPr>
              <w:jc w:val="right"/>
              <w:rPr>
                <w:rFonts w:ascii="Arial" w:hAnsi="Arial" w:cs="FrankRuehl"/>
                <w:b/>
                <w:bCs/>
                <w:sz w:val="28"/>
                <w:szCs w:val="28"/>
              </w:rPr>
            </w:pPr>
          </w:p>
        </w:tc>
      </w:tr>
      <w:tr w:rsidR="00021334" w:rsidRPr="00067B8F" w14:paraId="69202CD8" w14:textId="77777777" w:rsidTr="00021334">
        <w:trPr>
          <w:trHeight w:val="355"/>
          <w:jc w:val="center"/>
        </w:trPr>
        <w:tc>
          <w:tcPr>
            <w:tcW w:w="923" w:type="dxa"/>
            <w:tcBorders>
              <w:top w:val="nil"/>
              <w:left w:val="nil"/>
              <w:bottom w:val="nil"/>
              <w:right w:val="nil"/>
            </w:tcBorders>
            <w:shd w:val="clear" w:color="auto" w:fill="auto"/>
          </w:tcPr>
          <w:p w14:paraId="6B44C573" w14:textId="77777777" w:rsidR="00021334" w:rsidRPr="00067B8F" w:rsidRDefault="00021334" w:rsidP="00021334">
            <w:pPr>
              <w:jc w:val="both"/>
              <w:rPr>
                <w:rFonts w:ascii="Arial" w:hAnsi="Arial" w:cs="FrankRuehl"/>
                <w:b/>
                <w:bCs/>
                <w:sz w:val="28"/>
                <w:szCs w:val="28"/>
                <w:rtl/>
              </w:rPr>
            </w:pPr>
            <w:bookmarkStart w:id="2" w:name="FirstLawyer"/>
          </w:p>
        </w:tc>
        <w:tc>
          <w:tcPr>
            <w:tcW w:w="4126" w:type="dxa"/>
            <w:tcBorders>
              <w:top w:val="nil"/>
              <w:left w:val="nil"/>
              <w:bottom w:val="nil"/>
              <w:right w:val="nil"/>
            </w:tcBorders>
            <w:shd w:val="clear" w:color="auto" w:fill="auto"/>
          </w:tcPr>
          <w:p w14:paraId="4857C4BD" w14:textId="77777777" w:rsidR="00021334" w:rsidRPr="00067B8F" w:rsidRDefault="00021334" w:rsidP="00021334">
            <w:pPr>
              <w:jc w:val="both"/>
              <w:rPr>
                <w:rFonts w:cs="FrankRuehl"/>
                <w:b/>
                <w:bCs/>
                <w:sz w:val="28"/>
                <w:szCs w:val="28"/>
                <w:rtl/>
              </w:rPr>
            </w:pPr>
            <w:r w:rsidRPr="00067B8F">
              <w:rPr>
                <w:rFonts w:cs="FrankRuehl" w:hint="cs"/>
                <w:b/>
                <w:bCs/>
                <w:sz w:val="28"/>
                <w:szCs w:val="28"/>
                <w:rtl/>
              </w:rPr>
              <w:t>ע"י ב"כ עו"ד ליאור כהנא</w:t>
            </w:r>
          </w:p>
        </w:tc>
        <w:tc>
          <w:tcPr>
            <w:tcW w:w="3771" w:type="dxa"/>
            <w:tcBorders>
              <w:top w:val="nil"/>
              <w:left w:val="nil"/>
              <w:bottom w:val="nil"/>
              <w:right w:val="nil"/>
            </w:tcBorders>
            <w:shd w:val="clear" w:color="auto" w:fill="auto"/>
          </w:tcPr>
          <w:p w14:paraId="6A235927" w14:textId="77777777" w:rsidR="00021334" w:rsidRPr="00067B8F" w:rsidRDefault="00021334" w:rsidP="00021334">
            <w:pPr>
              <w:jc w:val="right"/>
              <w:rPr>
                <w:rFonts w:ascii="Arial" w:hAnsi="Arial" w:cs="FrankRuehl"/>
                <w:b/>
                <w:bCs/>
                <w:sz w:val="28"/>
                <w:szCs w:val="28"/>
              </w:rPr>
            </w:pPr>
            <w:r w:rsidRPr="00067B8F">
              <w:rPr>
                <w:rFonts w:ascii="Arial" w:hAnsi="Arial" w:cs="FrankRuehl" w:hint="cs"/>
                <w:b/>
                <w:bCs/>
                <w:sz w:val="28"/>
                <w:szCs w:val="28"/>
                <w:rtl/>
              </w:rPr>
              <w:t>ה</w:t>
            </w:r>
            <w:r w:rsidRPr="00067B8F">
              <w:rPr>
                <w:rFonts w:ascii="Arial" w:hAnsi="Arial" w:cs="FrankRuehl"/>
                <w:b/>
                <w:bCs/>
                <w:sz w:val="28"/>
                <w:szCs w:val="28"/>
                <w:rtl/>
              </w:rPr>
              <w:t>נאשם</w:t>
            </w:r>
          </w:p>
        </w:tc>
      </w:tr>
    </w:tbl>
    <w:p w14:paraId="12654818" w14:textId="77777777" w:rsidR="005E6AC5" w:rsidRDefault="005E6AC5" w:rsidP="00021334">
      <w:pPr>
        <w:rPr>
          <w:sz w:val="28"/>
          <w:szCs w:val="28"/>
          <w:rtl/>
        </w:rPr>
      </w:pPr>
      <w:bookmarkStart w:id="3" w:name="LawTable"/>
      <w:bookmarkEnd w:id="2"/>
      <w:bookmarkEnd w:id="3"/>
    </w:p>
    <w:p w14:paraId="528B6A3A" w14:textId="77777777" w:rsidR="005E6AC5" w:rsidRPr="005E6AC5" w:rsidRDefault="005E6AC5" w:rsidP="005E6AC5">
      <w:pPr>
        <w:spacing w:after="120" w:line="240" w:lineRule="exact"/>
        <w:ind w:left="283" w:hanging="283"/>
        <w:jc w:val="both"/>
        <w:rPr>
          <w:rFonts w:ascii="FrankRuehl" w:hAnsi="FrankRuehl" w:cs="FrankRuehl"/>
          <w:rtl/>
        </w:rPr>
      </w:pPr>
    </w:p>
    <w:p w14:paraId="49772509" w14:textId="77777777" w:rsidR="005E6AC5" w:rsidRPr="005E6AC5" w:rsidRDefault="005E6AC5" w:rsidP="005E6AC5">
      <w:pPr>
        <w:spacing w:after="120" w:line="240" w:lineRule="exact"/>
        <w:ind w:left="283" w:hanging="283"/>
        <w:jc w:val="both"/>
        <w:rPr>
          <w:rFonts w:ascii="FrankRuehl" w:hAnsi="FrankRuehl" w:cs="FrankRuehl"/>
          <w:rtl/>
        </w:rPr>
      </w:pPr>
      <w:r w:rsidRPr="005E6AC5">
        <w:rPr>
          <w:rFonts w:ascii="FrankRuehl" w:hAnsi="FrankRuehl" w:cs="FrankRuehl"/>
          <w:rtl/>
        </w:rPr>
        <w:t xml:space="preserve">חקיקה שאוזכרה: </w:t>
      </w:r>
    </w:p>
    <w:p w14:paraId="7AD4AEAC" w14:textId="77777777" w:rsidR="005E6AC5" w:rsidRPr="005E6AC5" w:rsidRDefault="005E6AC5" w:rsidP="005E6AC5">
      <w:pPr>
        <w:spacing w:after="120" w:line="240" w:lineRule="exact"/>
        <w:ind w:left="283" w:hanging="283"/>
        <w:jc w:val="both"/>
        <w:rPr>
          <w:rFonts w:ascii="FrankRuehl" w:hAnsi="FrankRuehl" w:cs="FrankRuehl"/>
          <w:rtl/>
        </w:rPr>
      </w:pPr>
      <w:hyperlink r:id="rId7" w:history="1">
        <w:r w:rsidRPr="005E6AC5">
          <w:rPr>
            <w:rFonts w:ascii="FrankRuehl" w:hAnsi="FrankRuehl" w:cs="FrankRuehl"/>
            <w:color w:val="0000FF"/>
            <w:u w:val="single"/>
            <w:rtl/>
          </w:rPr>
          <w:t>פקודת הסמים המסוכנים [נוסח חדש], תשל"ג-1973</w:t>
        </w:r>
      </w:hyperlink>
      <w:r w:rsidRPr="005E6AC5">
        <w:rPr>
          <w:rFonts w:ascii="FrankRuehl" w:hAnsi="FrankRuehl" w:cs="FrankRuehl"/>
          <w:rtl/>
        </w:rPr>
        <w:t xml:space="preserve">: סע'  </w:t>
      </w:r>
      <w:hyperlink r:id="rId8" w:history="1">
        <w:r w:rsidRPr="005E6AC5">
          <w:rPr>
            <w:rFonts w:ascii="FrankRuehl" w:hAnsi="FrankRuehl" w:cs="FrankRuehl"/>
            <w:color w:val="0000FF"/>
            <w:u w:val="single"/>
            <w:rtl/>
          </w:rPr>
          <w:t>7.א.</w:t>
        </w:r>
      </w:hyperlink>
      <w:r w:rsidRPr="005E6AC5">
        <w:rPr>
          <w:rFonts w:ascii="FrankRuehl" w:hAnsi="FrankRuehl" w:cs="FrankRuehl"/>
          <w:rtl/>
        </w:rPr>
        <w:t xml:space="preserve">, </w:t>
      </w:r>
      <w:hyperlink r:id="rId9" w:history="1">
        <w:r w:rsidRPr="005E6AC5">
          <w:rPr>
            <w:rFonts w:ascii="FrankRuehl" w:hAnsi="FrankRuehl" w:cs="FrankRuehl"/>
            <w:color w:val="0000FF"/>
            <w:u w:val="single"/>
            <w:rtl/>
          </w:rPr>
          <w:t>7.ג</w:t>
        </w:r>
      </w:hyperlink>
      <w:r w:rsidRPr="005E6AC5">
        <w:rPr>
          <w:rFonts w:ascii="FrankRuehl" w:hAnsi="FrankRuehl" w:cs="FrankRuehl"/>
          <w:rtl/>
        </w:rPr>
        <w:t xml:space="preserve">, </w:t>
      </w:r>
      <w:hyperlink r:id="rId10" w:history="1">
        <w:r w:rsidRPr="005E6AC5">
          <w:rPr>
            <w:rFonts w:ascii="FrankRuehl" w:hAnsi="FrankRuehl" w:cs="FrankRuehl"/>
            <w:color w:val="0000FF"/>
            <w:u w:val="single"/>
            <w:rtl/>
          </w:rPr>
          <w:t>13</w:t>
        </w:r>
      </w:hyperlink>
      <w:r w:rsidRPr="005E6AC5">
        <w:rPr>
          <w:rFonts w:ascii="FrankRuehl" w:hAnsi="FrankRuehl" w:cs="FrankRuehl"/>
          <w:rtl/>
        </w:rPr>
        <w:t xml:space="preserve">, </w:t>
      </w:r>
      <w:hyperlink r:id="rId11" w:history="1">
        <w:r w:rsidRPr="005E6AC5">
          <w:rPr>
            <w:rFonts w:ascii="FrankRuehl" w:hAnsi="FrankRuehl" w:cs="FrankRuehl"/>
            <w:color w:val="0000FF"/>
            <w:u w:val="single"/>
            <w:rtl/>
          </w:rPr>
          <w:t>19.א</w:t>
        </w:r>
      </w:hyperlink>
    </w:p>
    <w:p w14:paraId="4C3DE59C" w14:textId="77777777" w:rsidR="005E6AC5" w:rsidRPr="005E6AC5" w:rsidRDefault="005E6AC5" w:rsidP="005E6AC5">
      <w:pPr>
        <w:spacing w:after="120" w:line="240" w:lineRule="exact"/>
        <w:ind w:left="283" w:hanging="283"/>
        <w:jc w:val="both"/>
        <w:rPr>
          <w:rFonts w:ascii="FrankRuehl" w:hAnsi="FrankRuehl" w:cs="FrankRuehl"/>
          <w:rtl/>
        </w:rPr>
      </w:pPr>
      <w:hyperlink r:id="rId12" w:history="1">
        <w:r w:rsidRPr="005E6AC5">
          <w:rPr>
            <w:rFonts w:ascii="FrankRuehl" w:hAnsi="FrankRuehl" w:cs="FrankRuehl"/>
            <w:color w:val="0000FF"/>
            <w:u w:val="single"/>
            <w:rtl/>
          </w:rPr>
          <w:t>חוק העונשין, תשל"ז-1977</w:t>
        </w:r>
      </w:hyperlink>
      <w:r w:rsidRPr="005E6AC5">
        <w:rPr>
          <w:rFonts w:ascii="FrankRuehl" w:hAnsi="FrankRuehl" w:cs="FrankRuehl"/>
          <w:rtl/>
        </w:rPr>
        <w:t xml:space="preserve">: סע'  </w:t>
      </w:r>
      <w:hyperlink r:id="rId13" w:history="1">
        <w:r w:rsidRPr="005E6AC5">
          <w:rPr>
            <w:rFonts w:ascii="FrankRuehl" w:hAnsi="FrankRuehl" w:cs="FrankRuehl"/>
            <w:color w:val="0000FF"/>
            <w:u w:val="single"/>
            <w:rtl/>
          </w:rPr>
          <w:t>25</w:t>
        </w:r>
      </w:hyperlink>
      <w:r w:rsidRPr="005E6AC5">
        <w:rPr>
          <w:rFonts w:ascii="FrankRuehl" w:hAnsi="FrankRuehl" w:cs="FrankRuehl"/>
          <w:rtl/>
        </w:rPr>
        <w:t xml:space="preserve">, </w:t>
      </w:r>
      <w:hyperlink r:id="rId14" w:history="1">
        <w:r w:rsidRPr="005E6AC5">
          <w:rPr>
            <w:rFonts w:ascii="FrankRuehl" w:hAnsi="FrankRuehl" w:cs="FrankRuehl"/>
            <w:color w:val="0000FF"/>
            <w:u w:val="single"/>
            <w:rtl/>
          </w:rPr>
          <w:t>40ט'</w:t>
        </w:r>
      </w:hyperlink>
      <w:r w:rsidRPr="005E6AC5">
        <w:rPr>
          <w:rFonts w:ascii="FrankRuehl" w:hAnsi="FrankRuehl" w:cs="FrankRuehl"/>
          <w:rtl/>
        </w:rPr>
        <w:t xml:space="preserve">, </w:t>
      </w:r>
      <w:hyperlink r:id="rId15" w:history="1">
        <w:r w:rsidRPr="005E6AC5">
          <w:rPr>
            <w:rFonts w:ascii="FrankRuehl" w:hAnsi="FrankRuehl" w:cs="FrankRuehl"/>
            <w:color w:val="0000FF"/>
            <w:u w:val="single"/>
            <w:rtl/>
          </w:rPr>
          <w:t>40יא</w:t>
        </w:r>
      </w:hyperlink>
    </w:p>
    <w:p w14:paraId="7D9E6583" w14:textId="77777777" w:rsidR="005E6AC5" w:rsidRPr="005E6AC5" w:rsidRDefault="005E6AC5" w:rsidP="005E6AC5">
      <w:pPr>
        <w:spacing w:after="120" w:line="240" w:lineRule="exact"/>
        <w:ind w:left="283" w:hanging="283"/>
        <w:jc w:val="both"/>
        <w:rPr>
          <w:rFonts w:ascii="FrankRuehl" w:hAnsi="FrankRuehl" w:cs="FrankRuehl"/>
          <w:rtl/>
        </w:rPr>
      </w:pPr>
    </w:p>
    <w:p w14:paraId="40A95C9C" w14:textId="77777777" w:rsidR="005E6AC5" w:rsidRPr="005E6AC5" w:rsidRDefault="005E6AC5" w:rsidP="00021334">
      <w:pPr>
        <w:rPr>
          <w:sz w:val="28"/>
          <w:szCs w:val="28"/>
          <w:rtl/>
        </w:rPr>
      </w:pPr>
      <w:bookmarkStart w:id="4" w:name="LawTable_End"/>
      <w:bookmarkEnd w:id="4"/>
    </w:p>
    <w:p w14:paraId="3C5296A0" w14:textId="77777777" w:rsidR="00067B8F" w:rsidRPr="00067B8F" w:rsidRDefault="00067B8F" w:rsidP="00021334">
      <w:pPr>
        <w:rPr>
          <w:sz w:val="28"/>
          <w:szCs w:val="28"/>
          <w:rtl/>
        </w:rPr>
      </w:pPr>
    </w:p>
    <w:p w14:paraId="47695CAE" w14:textId="77777777" w:rsidR="00067B8F" w:rsidRPr="00067B8F" w:rsidRDefault="00067B8F" w:rsidP="00021334">
      <w:pPr>
        <w:rPr>
          <w:b/>
          <w:bCs/>
          <w:sz w:val="28"/>
          <w:szCs w:val="28"/>
          <w:rtl/>
        </w:rPr>
      </w:pPr>
    </w:p>
    <w:p w14:paraId="30154FE9" w14:textId="77777777" w:rsidR="00021334" w:rsidRPr="00067B8F" w:rsidRDefault="00021334" w:rsidP="00021334">
      <w:pPr>
        <w:rPr>
          <w:b/>
          <w:bCs/>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21334" w14:paraId="6382E81D" w14:textId="77777777" w:rsidTr="00021334">
        <w:trPr>
          <w:trHeight w:val="355"/>
          <w:jc w:val="center"/>
        </w:trPr>
        <w:tc>
          <w:tcPr>
            <w:tcW w:w="8820" w:type="dxa"/>
            <w:tcBorders>
              <w:top w:val="nil"/>
              <w:left w:val="nil"/>
              <w:bottom w:val="nil"/>
              <w:right w:val="nil"/>
            </w:tcBorders>
            <w:shd w:val="clear" w:color="auto" w:fill="auto"/>
          </w:tcPr>
          <w:p w14:paraId="3CA7692C" w14:textId="77777777" w:rsidR="00067B8F" w:rsidRPr="00067B8F" w:rsidRDefault="00067B8F" w:rsidP="00067B8F">
            <w:pPr>
              <w:jc w:val="center"/>
              <w:rPr>
                <w:rFonts w:ascii="Arial" w:hAnsi="Arial" w:cs="FrankRuehl"/>
                <w:b/>
                <w:bCs/>
                <w:sz w:val="32"/>
                <w:szCs w:val="32"/>
                <w:u w:val="single"/>
                <w:rtl/>
              </w:rPr>
            </w:pPr>
            <w:bookmarkStart w:id="5" w:name="PsakDin" w:colFirst="0" w:colLast="0"/>
            <w:bookmarkEnd w:id="0"/>
            <w:r w:rsidRPr="00067B8F">
              <w:rPr>
                <w:rFonts w:ascii="Arial" w:hAnsi="Arial" w:cs="FrankRuehl"/>
                <w:b/>
                <w:bCs/>
                <w:sz w:val="32"/>
                <w:szCs w:val="32"/>
                <w:u w:val="single"/>
                <w:rtl/>
              </w:rPr>
              <w:t>גזר דין</w:t>
            </w:r>
          </w:p>
          <w:p w14:paraId="7D7A9A6B" w14:textId="77777777" w:rsidR="00021334" w:rsidRPr="00067B8F" w:rsidRDefault="00021334" w:rsidP="00067B8F">
            <w:pPr>
              <w:jc w:val="center"/>
              <w:rPr>
                <w:rFonts w:ascii="Arial" w:hAnsi="Arial" w:cs="FrankRuehl"/>
                <w:bCs/>
                <w:sz w:val="32"/>
                <w:szCs w:val="32"/>
                <w:u w:val="single"/>
                <w:rtl/>
              </w:rPr>
            </w:pPr>
          </w:p>
        </w:tc>
      </w:tr>
      <w:bookmarkEnd w:id="5"/>
    </w:tbl>
    <w:p w14:paraId="300F9A72" w14:textId="77777777" w:rsidR="00021334" w:rsidRPr="00B05847" w:rsidRDefault="00021334" w:rsidP="00021334">
      <w:pPr>
        <w:rPr>
          <w:rFonts w:ascii="Arial" w:hAnsi="Arial"/>
          <w:rtl/>
        </w:rPr>
      </w:pPr>
    </w:p>
    <w:p w14:paraId="61A4CF32" w14:textId="77777777" w:rsidR="00021334" w:rsidRPr="00B05847" w:rsidRDefault="00021334" w:rsidP="00021334">
      <w:pPr>
        <w:rPr>
          <w:rFonts w:ascii="Arial" w:hAnsi="Arial"/>
          <w:rtl/>
        </w:rPr>
      </w:pPr>
    </w:p>
    <w:p w14:paraId="0AAD8B75" w14:textId="77777777" w:rsidR="00021334" w:rsidRPr="008D7551" w:rsidRDefault="00021334" w:rsidP="00021334">
      <w:pPr>
        <w:spacing w:line="360" w:lineRule="auto"/>
        <w:jc w:val="both"/>
        <w:rPr>
          <w:rFonts w:cs="FrankRuehl"/>
          <w:b/>
          <w:bCs/>
          <w:sz w:val="28"/>
          <w:szCs w:val="28"/>
          <w:u w:val="single"/>
          <w:rtl/>
        </w:rPr>
      </w:pPr>
      <w:r w:rsidRPr="008D7551">
        <w:rPr>
          <w:rFonts w:cs="FrankRuehl" w:hint="cs"/>
          <w:b/>
          <w:bCs/>
          <w:sz w:val="28"/>
          <w:szCs w:val="28"/>
          <w:u w:val="single"/>
          <w:rtl/>
        </w:rPr>
        <w:t>כתב האישום המתוקן</w:t>
      </w:r>
    </w:p>
    <w:p w14:paraId="3ECBB642" w14:textId="77777777" w:rsidR="00021334" w:rsidRPr="008D7551" w:rsidRDefault="00021334" w:rsidP="00021334">
      <w:pPr>
        <w:spacing w:line="360" w:lineRule="auto"/>
        <w:jc w:val="both"/>
        <w:rPr>
          <w:rFonts w:cs="FrankRuehl"/>
          <w:sz w:val="28"/>
          <w:szCs w:val="28"/>
          <w:rtl/>
        </w:rPr>
      </w:pPr>
      <w:bookmarkStart w:id="6" w:name="ABSTRACT_START"/>
      <w:bookmarkEnd w:id="6"/>
      <w:r w:rsidRPr="008D7551">
        <w:rPr>
          <w:rFonts w:cs="FrankRuehl" w:hint="cs"/>
          <w:sz w:val="28"/>
          <w:szCs w:val="28"/>
          <w:rtl/>
        </w:rPr>
        <w:t>הנאשם הורשע ע"פ הודאתו בביצוע עבירות סמים, וזאת במסגרת כתב אישום מתוקן אגב הסכמה דיונית, ללא הסכמה עונשית.</w:t>
      </w:r>
    </w:p>
    <w:p w14:paraId="281BE901" w14:textId="77777777" w:rsidR="00021334" w:rsidRPr="008D7551" w:rsidRDefault="00021334" w:rsidP="00021334">
      <w:pPr>
        <w:spacing w:line="360" w:lineRule="auto"/>
        <w:jc w:val="both"/>
        <w:rPr>
          <w:rFonts w:cs="FrankRuehl"/>
          <w:sz w:val="28"/>
          <w:szCs w:val="28"/>
          <w:rtl/>
        </w:rPr>
      </w:pPr>
    </w:p>
    <w:p w14:paraId="51C69BD6" w14:textId="77777777" w:rsidR="00021334" w:rsidRPr="008D7551" w:rsidRDefault="00021334" w:rsidP="00021334">
      <w:pPr>
        <w:spacing w:line="360" w:lineRule="auto"/>
        <w:jc w:val="both"/>
        <w:rPr>
          <w:rFonts w:cs="FrankRuehl"/>
          <w:sz w:val="28"/>
          <w:szCs w:val="28"/>
          <w:rtl/>
        </w:rPr>
      </w:pPr>
      <w:r w:rsidRPr="008D7551">
        <w:rPr>
          <w:rFonts w:cs="FrankRuehl" w:hint="cs"/>
          <w:b/>
          <w:bCs/>
          <w:sz w:val="28"/>
          <w:szCs w:val="28"/>
          <w:rtl/>
        </w:rPr>
        <w:t>באישום הראשון</w:t>
      </w:r>
      <w:r w:rsidRPr="008D7551">
        <w:rPr>
          <w:rFonts w:cs="FrankRuehl" w:hint="cs"/>
          <w:sz w:val="28"/>
          <w:szCs w:val="28"/>
          <w:rtl/>
        </w:rPr>
        <w:t xml:space="preserve"> מצוין</w:t>
      </w:r>
      <w:r>
        <w:rPr>
          <w:rFonts w:cs="FrankRuehl" w:hint="cs"/>
          <w:sz w:val="28"/>
          <w:szCs w:val="28"/>
          <w:rtl/>
        </w:rPr>
        <w:t xml:space="preserve">, </w:t>
      </w:r>
      <w:r w:rsidRPr="008D7551">
        <w:rPr>
          <w:rFonts w:cs="FrankRuehl" w:hint="cs"/>
          <w:sz w:val="28"/>
          <w:szCs w:val="28"/>
          <w:rtl/>
        </w:rPr>
        <w:t xml:space="preserve"> כי ביום 7.3.2019 הנאשם סחר במבשרת ציון בסם מסוג קנבוס במשקל 5 גרם תמורת 350 ₪ כשהגיע למקום ברכבו. לאחר מכן התכוון להגיע לגבעון החדש לסחור בסם באותו אופן, אלא שנעצר ע"י שוטרים כשברכב נמצאו כרטיסי </w:t>
      </w:r>
      <w:r w:rsidRPr="008D7551">
        <w:rPr>
          <w:rFonts w:cs="FrankRuehl"/>
          <w:sz w:val="28"/>
          <w:szCs w:val="28"/>
        </w:rPr>
        <w:t>sim</w:t>
      </w:r>
      <w:r w:rsidRPr="008D7551">
        <w:rPr>
          <w:rFonts w:cs="FrankRuehl" w:hint="cs"/>
          <w:sz w:val="28"/>
          <w:szCs w:val="28"/>
          <w:rtl/>
        </w:rPr>
        <w:t xml:space="preserve">, מזומן בסך 4,320 ₪ ו-20 דולר, 143.77 גרם קנביס מחולק ל-16 שקיות ושקית נוספת המכילה 3.59 גרם קנביס. בגין כל </w:t>
      </w:r>
      <w:r w:rsidRPr="008D7551">
        <w:rPr>
          <w:rFonts w:cs="FrankRuehl" w:hint="cs"/>
          <w:sz w:val="28"/>
          <w:szCs w:val="28"/>
          <w:rtl/>
        </w:rPr>
        <w:lastRenderedPageBreak/>
        <w:t xml:space="preserve">אלה הודה הנאשם והורשע בעבירות של סחר בסם, לפי סעיפים </w:t>
      </w:r>
      <w:hyperlink r:id="rId16" w:history="1">
        <w:r w:rsidR="005E6AC5" w:rsidRPr="005E6AC5">
          <w:rPr>
            <w:rFonts w:cs="FrankRuehl"/>
            <w:color w:val="0000FF"/>
            <w:sz w:val="28"/>
            <w:szCs w:val="28"/>
            <w:u w:val="single"/>
            <w:rtl/>
          </w:rPr>
          <w:t>13 + 19א</w:t>
        </w:r>
      </w:hyperlink>
      <w:r w:rsidRPr="008D7551">
        <w:rPr>
          <w:rFonts w:cs="FrankRuehl" w:hint="cs"/>
          <w:sz w:val="28"/>
          <w:szCs w:val="28"/>
          <w:rtl/>
        </w:rPr>
        <w:t xml:space="preserve"> לפקודת הסמים, ניסיון </w:t>
      </w:r>
      <w:bookmarkStart w:id="7" w:name="ABSTRACT_END"/>
      <w:bookmarkEnd w:id="7"/>
      <w:r w:rsidRPr="008D7551">
        <w:rPr>
          <w:rFonts w:cs="FrankRuehl" w:hint="cs"/>
          <w:sz w:val="28"/>
          <w:szCs w:val="28"/>
          <w:rtl/>
        </w:rPr>
        <w:t xml:space="preserve">סחר, לפי </w:t>
      </w:r>
      <w:hyperlink r:id="rId17" w:history="1">
        <w:r w:rsidR="005E6AC5" w:rsidRPr="005E6AC5">
          <w:rPr>
            <w:rFonts w:cs="FrankRuehl"/>
            <w:color w:val="0000FF"/>
            <w:sz w:val="28"/>
            <w:szCs w:val="28"/>
            <w:u w:val="single"/>
            <w:rtl/>
          </w:rPr>
          <w:t>סעיפים 25</w:t>
        </w:r>
      </w:hyperlink>
      <w:r w:rsidRPr="008D7551">
        <w:rPr>
          <w:rFonts w:cs="FrankRuehl" w:hint="cs"/>
          <w:sz w:val="28"/>
          <w:szCs w:val="28"/>
          <w:rtl/>
        </w:rPr>
        <w:t xml:space="preserve"> ל</w:t>
      </w:r>
      <w:hyperlink r:id="rId18" w:history="1">
        <w:r w:rsidR="00067B8F" w:rsidRPr="00067B8F">
          <w:rPr>
            <w:rFonts w:cs="FrankRuehl"/>
            <w:color w:val="0000FF"/>
            <w:sz w:val="28"/>
            <w:szCs w:val="28"/>
            <w:u w:val="single"/>
            <w:rtl/>
          </w:rPr>
          <w:t>חוק העונשין</w:t>
        </w:r>
      </w:hyperlink>
      <w:r w:rsidRPr="008D7551">
        <w:rPr>
          <w:rFonts w:cs="FrankRuehl" w:hint="cs"/>
          <w:sz w:val="28"/>
          <w:szCs w:val="28"/>
          <w:rtl/>
        </w:rPr>
        <w:t xml:space="preserve">, התשל"ז-1977 (להלן </w:t>
      </w:r>
      <w:r w:rsidRPr="008D7551">
        <w:rPr>
          <w:rFonts w:cs="FrankRuehl"/>
          <w:sz w:val="28"/>
          <w:szCs w:val="28"/>
          <w:rtl/>
        </w:rPr>
        <w:t>–</w:t>
      </w:r>
      <w:r w:rsidRPr="008D7551">
        <w:rPr>
          <w:rFonts w:cs="FrankRuehl" w:hint="cs"/>
          <w:sz w:val="28"/>
          <w:szCs w:val="28"/>
          <w:rtl/>
        </w:rPr>
        <w:t xml:space="preserve"> חוק העונשין) + 13 + 19א לפקודת הסמים, ובהחזקת סמים שלא לצריכה עצמית, לפי סעיפים </w:t>
      </w:r>
      <w:hyperlink r:id="rId19" w:history="1">
        <w:r w:rsidR="005E6AC5" w:rsidRPr="005E6AC5">
          <w:rPr>
            <w:rFonts w:cs="FrankRuehl"/>
            <w:color w:val="0000FF"/>
            <w:sz w:val="28"/>
            <w:szCs w:val="28"/>
            <w:u w:val="single"/>
            <w:rtl/>
          </w:rPr>
          <w:t>7(א) +(ג)</w:t>
        </w:r>
      </w:hyperlink>
      <w:r w:rsidRPr="008D7551">
        <w:rPr>
          <w:rFonts w:cs="FrankRuehl" w:hint="cs"/>
          <w:sz w:val="28"/>
          <w:szCs w:val="28"/>
          <w:rtl/>
        </w:rPr>
        <w:t xml:space="preserve"> רישא לפקודת הסמים.</w:t>
      </w:r>
    </w:p>
    <w:p w14:paraId="4B553DBA" w14:textId="77777777" w:rsidR="00021334" w:rsidRDefault="00021334" w:rsidP="00021334">
      <w:pPr>
        <w:spacing w:line="360" w:lineRule="auto"/>
        <w:jc w:val="both"/>
        <w:rPr>
          <w:rFonts w:cs="FrankRuehl"/>
          <w:sz w:val="28"/>
          <w:szCs w:val="28"/>
          <w:rtl/>
        </w:rPr>
      </w:pPr>
    </w:p>
    <w:p w14:paraId="202DF25F" w14:textId="77777777" w:rsidR="00021334" w:rsidRPr="008D7551" w:rsidRDefault="00021334" w:rsidP="00021334">
      <w:pPr>
        <w:spacing w:line="360" w:lineRule="auto"/>
        <w:jc w:val="both"/>
        <w:rPr>
          <w:rFonts w:cs="FrankRuehl"/>
          <w:sz w:val="28"/>
          <w:szCs w:val="28"/>
          <w:rtl/>
        </w:rPr>
      </w:pPr>
      <w:r w:rsidRPr="008D7551">
        <w:rPr>
          <w:rFonts w:cs="FrankRuehl" w:hint="cs"/>
          <w:b/>
          <w:bCs/>
          <w:sz w:val="28"/>
          <w:szCs w:val="28"/>
          <w:rtl/>
        </w:rPr>
        <w:t>באישום השני</w:t>
      </w:r>
      <w:r w:rsidRPr="008D7551">
        <w:rPr>
          <w:rFonts w:cs="FrankRuehl" w:hint="cs"/>
          <w:sz w:val="28"/>
          <w:szCs w:val="28"/>
          <w:rtl/>
        </w:rPr>
        <w:t xml:space="preserve"> מתואר כי באותו יום בשעה מוקדמת יותר, סחר בסם בירושלים, עת מכר 3 גרם קנבוס תמורת 250 ₪.</w:t>
      </w:r>
    </w:p>
    <w:p w14:paraId="1DB7EC46" w14:textId="77777777" w:rsidR="00021334" w:rsidRDefault="00021334" w:rsidP="00021334">
      <w:pPr>
        <w:spacing w:line="360" w:lineRule="auto"/>
        <w:jc w:val="both"/>
        <w:rPr>
          <w:rFonts w:cs="FrankRuehl"/>
          <w:sz w:val="28"/>
          <w:szCs w:val="28"/>
          <w:rtl/>
        </w:rPr>
      </w:pPr>
    </w:p>
    <w:p w14:paraId="33EFF107" w14:textId="77777777" w:rsidR="00021334" w:rsidRPr="008D7551" w:rsidRDefault="00021334" w:rsidP="00021334">
      <w:pPr>
        <w:spacing w:line="360" w:lineRule="auto"/>
        <w:jc w:val="both"/>
        <w:rPr>
          <w:rFonts w:cs="FrankRuehl"/>
          <w:sz w:val="28"/>
          <w:szCs w:val="28"/>
          <w:rtl/>
        </w:rPr>
      </w:pPr>
      <w:r w:rsidRPr="008D7551">
        <w:rPr>
          <w:rFonts w:cs="FrankRuehl" w:hint="cs"/>
          <w:b/>
          <w:bCs/>
          <w:sz w:val="28"/>
          <w:szCs w:val="28"/>
          <w:rtl/>
        </w:rPr>
        <w:t>באישום השלישי</w:t>
      </w:r>
      <w:r w:rsidRPr="008D7551">
        <w:rPr>
          <w:rFonts w:cs="FrankRuehl" w:hint="cs"/>
          <w:sz w:val="28"/>
          <w:szCs w:val="28"/>
          <w:rtl/>
        </w:rPr>
        <w:t xml:space="preserve"> מתואר, כי באותו יום מוקדם יותר בירושלים, סחר הנאשם ב-3 גרם קנבוס תמורת 300 ₪, כשמתוך התמורה קיבל 20 דולר.</w:t>
      </w:r>
    </w:p>
    <w:p w14:paraId="16FE6AD8" w14:textId="77777777" w:rsidR="00021334" w:rsidRDefault="00021334" w:rsidP="00021334">
      <w:pPr>
        <w:spacing w:line="360" w:lineRule="auto"/>
        <w:jc w:val="both"/>
        <w:rPr>
          <w:rFonts w:cs="FrankRuehl"/>
          <w:sz w:val="28"/>
          <w:szCs w:val="28"/>
          <w:rtl/>
        </w:rPr>
      </w:pPr>
    </w:p>
    <w:p w14:paraId="39559704" w14:textId="77777777" w:rsidR="00021334" w:rsidRPr="008D7551" w:rsidRDefault="00021334" w:rsidP="00021334">
      <w:pPr>
        <w:spacing w:line="360" w:lineRule="auto"/>
        <w:jc w:val="both"/>
        <w:rPr>
          <w:rFonts w:cs="FrankRuehl"/>
          <w:sz w:val="28"/>
          <w:szCs w:val="28"/>
          <w:rtl/>
        </w:rPr>
      </w:pPr>
      <w:r w:rsidRPr="008D7551">
        <w:rPr>
          <w:rFonts w:cs="FrankRuehl" w:hint="cs"/>
          <w:b/>
          <w:bCs/>
          <w:sz w:val="28"/>
          <w:szCs w:val="28"/>
          <w:rtl/>
        </w:rPr>
        <w:t>באישום הרביעי</w:t>
      </w:r>
      <w:r w:rsidRPr="008D7551">
        <w:rPr>
          <w:rFonts w:cs="FrankRuehl" w:hint="cs"/>
          <w:sz w:val="28"/>
          <w:szCs w:val="28"/>
          <w:rtl/>
        </w:rPr>
        <w:t xml:space="preserve"> מתואר, כי באותו יום מוקדם יותר בירושלים, סחר הנאשם ב-5 גרם קנביס תמורת 400 ₪.</w:t>
      </w:r>
    </w:p>
    <w:p w14:paraId="238F5749" w14:textId="77777777" w:rsidR="00021334" w:rsidRDefault="00021334" w:rsidP="00021334">
      <w:pPr>
        <w:spacing w:line="360" w:lineRule="auto"/>
        <w:jc w:val="both"/>
        <w:rPr>
          <w:rFonts w:cs="FrankRuehl"/>
          <w:sz w:val="28"/>
          <w:szCs w:val="28"/>
          <w:rtl/>
        </w:rPr>
      </w:pPr>
    </w:p>
    <w:p w14:paraId="4D145566" w14:textId="77777777" w:rsidR="00021334" w:rsidRPr="008D7551" w:rsidRDefault="00021334" w:rsidP="00021334">
      <w:pPr>
        <w:spacing w:line="360" w:lineRule="auto"/>
        <w:jc w:val="both"/>
        <w:rPr>
          <w:rFonts w:cs="FrankRuehl"/>
          <w:sz w:val="28"/>
          <w:szCs w:val="28"/>
          <w:rtl/>
        </w:rPr>
      </w:pPr>
      <w:r w:rsidRPr="008D7551">
        <w:rPr>
          <w:rFonts w:cs="FrankRuehl" w:hint="cs"/>
          <w:b/>
          <w:bCs/>
          <w:sz w:val="28"/>
          <w:szCs w:val="28"/>
          <w:rtl/>
        </w:rPr>
        <w:t>באישום החמישי</w:t>
      </w:r>
      <w:r w:rsidRPr="008D7551">
        <w:rPr>
          <w:rFonts w:cs="FrankRuehl" w:hint="cs"/>
          <w:sz w:val="28"/>
          <w:szCs w:val="28"/>
          <w:rtl/>
        </w:rPr>
        <w:t xml:space="preserve"> מתואר, כי מוקדם יותר באותו יום, במעלה אדומים, סחר הנאשם ב-10 גרם קנביס תמורת 550 ₪.</w:t>
      </w:r>
    </w:p>
    <w:p w14:paraId="201D07A4" w14:textId="77777777" w:rsidR="00021334" w:rsidRDefault="00021334" w:rsidP="00021334">
      <w:pPr>
        <w:spacing w:line="360" w:lineRule="auto"/>
        <w:jc w:val="both"/>
        <w:rPr>
          <w:rFonts w:cs="FrankRuehl"/>
          <w:sz w:val="28"/>
          <w:szCs w:val="28"/>
          <w:rtl/>
        </w:rPr>
      </w:pPr>
    </w:p>
    <w:p w14:paraId="14BAF366" w14:textId="77777777" w:rsidR="00021334" w:rsidRPr="008D7551" w:rsidRDefault="00021334" w:rsidP="00021334">
      <w:pPr>
        <w:spacing w:line="360" w:lineRule="auto"/>
        <w:jc w:val="both"/>
        <w:rPr>
          <w:rFonts w:cs="FrankRuehl"/>
          <w:sz w:val="28"/>
          <w:szCs w:val="28"/>
          <w:rtl/>
        </w:rPr>
      </w:pPr>
      <w:r w:rsidRPr="008D7551">
        <w:rPr>
          <w:rFonts w:cs="FrankRuehl" w:hint="cs"/>
          <w:b/>
          <w:bCs/>
          <w:sz w:val="28"/>
          <w:szCs w:val="28"/>
          <w:rtl/>
        </w:rPr>
        <w:t>באישום השישי</w:t>
      </w:r>
      <w:r w:rsidRPr="008D7551">
        <w:rPr>
          <w:rFonts w:cs="FrankRuehl" w:hint="cs"/>
          <w:sz w:val="28"/>
          <w:szCs w:val="28"/>
          <w:rtl/>
        </w:rPr>
        <w:t xml:space="preserve"> מתואר, כי באותו יום בירושלים, סחר הנאשם ב-10 גרם קנביס תמורת 500 ₪. </w:t>
      </w:r>
    </w:p>
    <w:p w14:paraId="63185B35" w14:textId="77777777" w:rsidR="00021334" w:rsidRDefault="00021334" w:rsidP="00021334">
      <w:pPr>
        <w:spacing w:line="360" w:lineRule="auto"/>
        <w:jc w:val="both"/>
        <w:rPr>
          <w:rFonts w:cs="FrankRuehl"/>
          <w:sz w:val="28"/>
          <w:szCs w:val="28"/>
          <w:rtl/>
        </w:rPr>
      </w:pPr>
    </w:p>
    <w:p w14:paraId="386FE136" w14:textId="77777777" w:rsidR="00021334" w:rsidRPr="008D7551" w:rsidRDefault="00021334" w:rsidP="00021334">
      <w:pPr>
        <w:spacing w:line="360" w:lineRule="auto"/>
        <w:jc w:val="both"/>
        <w:rPr>
          <w:rFonts w:cs="FrankRuehl"/>
          <w:sz w:val="28"/>
          <w:szCs w:val="28"/>
          <w:rtl/>
        </w:rPr>
      </w:pPr>
      <w:r w:rsidRPr="008D7551">
        <w:rPr>
          <w:rFonts w:cs="FrankRuehl" w:hint="cs"/>
          <w:b/>
          <w:bCs/>
          <w:sz w:val="28"/>
          <w:szCs w:val="28"/>
          <w:rtl/>
        </w:rPr>
        <w:t>באישום התשיעי</w:t>
      </w:r>
      <w:r w:rsidRPr="008D7551">
        <w:rPr>
          <w:rFonts w:cs="FrankRuehl" w:hint="cs"/>
          <w:sz w:val="28"/>
          <w:szCs w:val="28"/>
          <w:rtl/>
        </w:rPr>
        <w:t xml:space="preserve"> מתואר, כי באותו יום, בין שעות הצהריים לעבר, סחר הנאשם בחמש הזדמנויות שונות בסם מסוג קנביס במשקל משתנה שבין 5 ל-10 גרם, תמורה כוללת של 4,200 ₪.</w:t>
      </w:r>
    </w:p>
    <w:p w14:paraId="371FB01B" w14:textId="77777777" w:rsidR="00021334" w:rsidRPr="008D7551" w:rsidRDefault="00021334" w:rsidP="00021334">
      <w:pPr>
        <w:spacing w:line="360" w:lineRule="auto"/>
        <w:jc w:val="both"/>
        <w:rPr>
          <w:rFonts w:cs="FrankRuehl"/>
          <w:sz w:val="28"/>
          <w:szCs w:val="28"/>
          <w:rtl/>
        </w:rPr>
      </w:pPr>
    </w:p>
    <w:p w14:paraId="55B3CD54" w14:textId="77777777" w:rsidR="00021334" w:rsidRPr="008D7551" w:rsidRDefault="00021334" w:rsidP="00021334">
      <w:pPr>
        <w:spacing w:line="360" w:lineRule="auto"/>
        <w:jc w:val="both"/>
        <w:rPr>
          <w:rFonts w:cs="FrankRuehl"/>
          <w:b/>
          <w:bCs/>
          <w:sz w:val="28"/>
          <w:szCs w:val="28"/>
          <w:u w:val="single"/>
          <w:rtl/>
        </w:rPr>
      </w:pPr>
      <w:r w:rsidRPr="008D7551">
        <w:rPr>
          <w:rFonts w:cs="FrankRuehl" w:hint="cs"/>
          <w:b/>
          <w:bCs/>
          <w:sz w:val="28"/>
          <w:szCs w:val="28"/>
          <w:u w:val="single"/>
          <w:rtl/>
        </w:rPr>
        <w:t>מהלך הדיון</w:t>
      </w:r>
    </w:p>
    <w:p w14:paraId="6DD90154" w14:textId="77777777" w:rsidR="00021334" w:rsidRPr="008D7551" w:rsidRDefault="00021334" w:rsidP="00021334">
      <w:pPr>
        <w:spacing w:line="360" w:lineRule="auto"/>
        <w:jc w:val="both"/>
        <w:rPr>
          <w:rFonts w:cs="FrankRuehl"/>
          <w:sz w:val="28"/>
          <w:szCs w:val="28"/>
          <w:rtl/>
        </w:rPr>
      </w:pPr>
      <w:r w:rsidRPr="008D7551">
        <w:rPr>
          <w:rFonts w:cs="FrankRuehl" w:hint="cs"/>
          <w:sz w:val="28"/>
          <w:szCs w:val="28"/>
          <w:rtl/>
        </w:rPr>
        <w:t>הנאשם היה עצור במסגרת תיק מעצר הימים בין התאריכים 7.3.2019 עד 13.3.2019, עת שוחרר בהחלטה שאושרה בבית המשפט המחוזי (</w:t>
      </w:r>
      <w:hyperlink r:id="rId20" w:history="1">
        <w:r w:rsidR="00067B8F" w:rsidRPr="00067B8F">
          <w:rPr>
            <w:rFonts w:cs="FrankRuehl"/>
            <w:color w:val="0000FF"/>
            <w:sz w:val="28"/>
            <w:szCs w:val="28"/>
            <w:u w:val="single"/>
            <w:rtl/>
          </w:rPr>
          <w:t>עמ"י 31423-03-19</w:t>
        </w:r>
      </w:hyperlink>
      <w:r w:rsidRPr="008D7551">
        <w:rPr>
          <w:rFonts w:cs="FrankRuehl" w:hint="cs"/>
          <w:sz w:val="28"/>
          <w:szCs w:val="28"/>
          <w:rtl/>
        </w:rPr>
        <w:t>).</w:t>
      </w:r>
    </w:p>
    <w:p w14:paraId="3914F059" w14:textId="77777777" w:rsidR="00021334" w:rsidRPr="008D7551" w:rsidRDefault="00021334" w:rsidP="00021334">
      <w:pPr>
        <w:spacing w:line="360" w:lineRule="auto"/>
        <w:jc w:val="both"/>
        <w:rPr>
          <w:rFonts w:cs="FrankRuehl"/>
          <w:sz w:val="28"/>
          <w:szCs w:val="28"/>
          <w:rtl/>
        </w:rPr>
      </w:pPr>
      <w:r w:rsidRPr="008D7551">
        <w:rPr>
          <w:rFonts w:cs="FrankRuehl" w:hint="cs"/>
          <w:sz w:val="28"/>
          <w:szCs w:val="28"/>
          <w:rtl/>
        </w:rPr>
        <w:t xml:space="preserve">הנאשם שהה בתנאים מגבילים, שולב בטיפול בשירות המבחן ומסר בדיקות שתן שנמצאו נקיות. התנאים הוקלו ברבות הזמן ובהיעדר הפרות של התנאים. </w:t>
      </w:r>
    </w:p>
    <w:p w14:paraId="7355517B" w14:textId="77777777" w:rsidR="00021334" w:rsidRPr="008D7551" w:rsidRDefault="00021334" w:rsidP="00021334">
      <w:pPr>
        <w:spacing w:line="360" w:lineRule="auto"/>
        <w:jc w:val="both"/>
        <w:rPr>
          <w:rFonts w:cs="FrankRuehl"/>
          <w:sz w:val="28"/>
          <w:szCs w:val="28"/>
          <w:rtl/>
        </w:rPr>
      </w:pPr>
    </w:p>
    <w:p w14:paraId="2B23E301" w14:textId="77777777" w:rsidR="00021334" w:rsidRPr="008D7551" w:rsidRDefault="00021334" w:rsidP="00021334">
      <w:pPr>
        <w:spacing w:line="360" w:lineRule="auto"/>
        <w:jc w:val="both"/>
        <w:rPr>
          <w:rFonts w:cs="FrankRuehl"/>
          <w:b/>
          <w:bCs/>
          <w:sz w:val="28"/>
          <w:szCs w:val="28"/>
          <w:u w:val="single"/>
          <w:rtl/>
        </w:rPr>
      </w:pPr>
      <w:r w:rsidRPr="008D7551">
        <w:rPr>
          <w:rFonts w:cs="FrankRuehl" w:hint="cs"/>
          <w:b/>
          <w:bCs/>
          <w:sz w:val="28"/>
          <w:szCs w:val="28"/>
          <w:u w:val="single"/>
          <w:rtl/>
        </w:rPr>
        <w:t>תסקיר שירות המבחן</w:t>
      </w:r>
    </w:p>
    <w:p w14:paraId="1AC87901" w14:textId="77777777" w:rsidR="00021334" w:rsidRPr="008D7551" w:rsidRDefault="00021334" w:rsidP="00021334">
      <w:pPr>
        <w:spacing w:line="360" w:lineRule="auto"/>
        <w:jc w:val="both"/>
        <w:rPr>
          <w:rFonts w:cs="FrankRuehl"/>
          <w:sz w:val="28"/>
          <w:szCs w:val="28"/>
          <w:rtl/>
        </w:rPr>
      </w:pPr>
      <w:r w:rsidRPr="008D7551">
        <w:rPr>
          <w:rFonts w:cs="FrankRuehl" w:hint="cs"/>
          <w:sz w:val="28"/>
          <w:szCs w:val="28"/>
          <w:rtl/>
        </w:rPr>
        <w:t xml:space="preserve">שירות המבחן ערך תסקיר בעניינו של הנאשם. מדובר בנאשם </w:t>
      </w:r>
      <w:r>
        <w:rPr>
          <w:rFonts w:cs="FrankRuehl" w:hint="cs"/>
          <w:sz w:val="28"/>
          <w:szCs w:val="28"/>
          <w:rtl/>
        </w:rPr>
        <w:t>כ</w:t>
      </w:r>
      <w:r w:rsidRPr="008D7551">
        <w:rPr>
          <w:rFonts w:cs="FrankRuehl" w:hint="cs"/>
          <w:sz w:val="28"/>
          <w:szCs w:val="28"/>
          <w:rtl/>
        </w:rPr>
        <w:t xml:space="preserve">בן 21, רווק המתגורר עם הוריו בצפון הארץ. הנאשם סובל מתסמונת "טורט" שלכל אורך חייו הקשתה על תפקודו ושילובו </w:t>
      </w:r>
      <w:r w:rsidRPr="008D7551">
        <w:rPr>
          <w:rFonts w:cs="FrankRuehl" w:hint="cs"/>
          <w:sz w:val="28"/>
          <w:szCs w:val="28"/>
          <w:rtl/>
        </w:rPr>
        <w:lastRenderedPageBreak/>
        <w:t>החברתי. יחד עם זאת, סיים מסגרות לימוד עד כתה י"א, והתגייס לצבא, שם שירת למרות כל הקשיים, במשך שנה ו-8 חודשים. הנאשם עבד תקופה קצרה לאחר שחרורו, אך לא התמיד בעבודה.</w:t>
      </w:r>
    </w:p>
    <w:p w14:paraId="17D6D476" w14:textId="77777777" w:rsidR="00021334" w:rsidRPr="008D7551" w:rsidRDefault="00021334" w:rsidP="00021334">
      <w:pPr>
        <w:spacing w:line="360" w:lineRule="auto"/>
        <w:jc w:val="both"/>
        <w:rPr>
          <w:rFonts w:cs="FrankRuehl"/>
          <w:sz w:val="28"/>
          <w:szCs w:val="28"/>
          <w:rtl/>
        </w:rPr>
      </w:pPr>
      <w:r w:rsidRPr="008D7551">
        <w:rPr>
          <w:rFonts w:cs="FrankRuehl" w:hint="cs"/>
          <w:sz w:val="28"/>
          <w:szCs w:val="28"/>
          <w:rtl/>
        </w:rPr>
        <w:t>שירות המבחן עמד על מאפייניו של הנאשם לרבות דרך התמודדותו עם קשייו. יצוין, כי הנאשם ביצע את המעשים המיוחסים לו, משום שסבר שבכך יוכל לסייע למצוקה הכלכלית שבה מצויים הוריו. שירות המבחן סבור</w:t>
      </w:r>
      <w:r>
        <w:rPr>
          <w:rFonts w:cs="FrankRuehl" w:hint="cs"/>
          <w:sz w:val="28"/>
          <w:szCs w:val="28"/>
          <w:rtl/>
        </w:rPr>
        <w:t>,</w:t>
      </w:r>
      <w:r w:rsidRPr="008D7551">
        <w:rPr>
          <w:rFonts w:cs="FrankRuehl" w:hint="cs"/>
          <w:sz w:val="28"/>
          <w:szCs w:val="28"/>
          <w:rtl/>
        </w:rPr>
        <w:t xml:space="preserve"> כי הנאשם נטל אחריות למעשים, באופן ראשוני, ומכיר בחומרתם אך לא לעומק. הוא החל לצרוך אלכוהול בסוף שנות העשרה שלו, ואף החל להשתמש בסמים באותה תקופה, כשהשימוש הלך והחמיר. הדבר סייע לו, לדבריו, עם מצוקתו הרפואית. הנאשם הפסיק להשתמש בסמים מאז המעצר</w:t>
      </w:r>
      <w:r>
        <w:rPr>
          <w:rFonts w:cs="FrankRuehl" w:hint="cs"/>
          <w:sz w:val="28"/>
          <w:szCs w:val="28"/>
          <w:rtl/>
        </w:rPr>
        <w:t>,</w:t>
      </w:r>
      <w:r w:rsidRPr="008D7551">
        <w:rPr>
          <w:rFonts w:cs="FrankRuehl" w:hint="cs"/>
          <w:sz w:val="28"/>
          <w:szCs w:val="28"/>
          <w:rtl/>
        </w:rPr>
        <w:t xml:space="preserve"> וכל בדיקות השתן שמסר היו תקינות וללא שרידי סם. הוא השתלב בטיפול</w:t>
      </w:r>
      <w:r>
        <w:rPr>
          <w:rFonts w:cs="FrankRuehl" w:hint="cs"/>
          <w:sz w:val="28"/>
          <w:szCs w:val="28"/>
          <w:rtl/>
        </w:rPr>
        <w:t>,</w:t>
      </w:r>
      <w:r w:rsidRPr="008D7551">
        <w:rPr>
          <w:rFonts w:cs="FrankRuehl" w:hint="cs"/>
          <w:sz w:val="28"/>
          <w:szCs w:val="28"/>
          <w:rtl/>
        </w:rPr>
        <w:t xml:space="preserve"> אך מידת שיתוף הפעולה שלו </w:t>
      </w:r>
      <w:r>
        <w:rPr>
          <w:rFonts w:cs="FrankRuehl" w:hint="cs"/>
          <w:sz w:val="28"/>
          <w:szCs w:val="28"/>
          <w:rtl/>
        </w:rPr>
        <w:t xml:space="preserve">היתה </w:t>
      </w:r>
      <w:r w:rsidRPr="008D7551">
        <w:rPr>
          <w:rFonts w:cs="FrankRuehl" w:hint="cs"/>
          <w:sz w:val="28"/>
          <w:szCs w:val="28"/>
          <w:rtl/>
        </w:rPr>
        <w:t xml:space="preserve">חלקית, ונגזרת במידה רבה, ממגבלותיו כתוצאה ממצבו הבריאותי. שירות המבחן עמד על אופיו של הנאשם, על הסיכויים והסיכונים הכרוכים במצבו. שירות המבחן לא בא בהמלצה טיפולית שיקומית, אך סבר כי העבירות בוצעו שלא על רקע מאפיינים עברייניים מושרשים, אלא בשל חולשת אופי וקושי התמודדות עם מצבים מורכבים. שירות המבחן המליץ על ענישה שאינה כוללת מאסר בפועל, שעלולה להביא להחמרה במצבו של הנאשם. </w:t>
      </w:r>
    </w:p>
    <w:p w14:paraId="27A17614" w14:textId="77777777" w:rsidR="00021334" w:rsidRPr="008D7551" w:rsidRDefault="00021334" w:rsidP="00021334">
      <w:pPr>
        <w:spacing w:line="360" w:lineRule="auto"/>
        <w:jc w:val="both"/>
        <w:rPr>
          <w:rFonts w:cs="FrankRuehl"/>
          <w:sz w:val="28"/>
          <w:szCs w:val="28"/>
          <w:rtl/>
        </w:rPr>
      </w:pPr>
    </w:p>
    <w:p w14:paraId="783BB47B" w14:textId="77777777" w:rsidR="00021334" w:rsidRPr="008D7551" w:rsidRDefault="00021334" w:rsidP="00021334">
      <w:pPr>
        <w:spacing w:line="360" w:lineRule="auto"/>
        <w:jc w:val="both"/>
        <w:rPr>
          <w:rFonts w:cs="FrankRuehl"/>
          <w:b/>
          <w:bCs/>
          <w:sz w:val="28"/>
          <w:szCs w:val="28"/>
          <w:u w:val="single"/>
          <w:rtl/>
        </w:rPr>
      </w:pPr>
      <w:r w:rsidRPr="008D7551">
        <w:rPr>
          <w:rFonts w:cs="FrankRuehl" w:hint="cs"/>
          <w:b/>
          <w:bCs/>
          <w:sz w:val="28"/>
          <w:szCs w:val="28"/>
          <w:u w:val="single"/>
          <w:rtl/>
        </w:rPr>
        <w:t>חוות דעת הממונה על עבודות שירות</w:t>
      </w:r>
    </w:p>
    <w:p w14:paraId="2587BD02" w14:textId="77777777" w:rsidR="00021334" w:rsidRPr="008D7551" w:rsidRDefault="00021334" w:rsidP="00021334">
      <w:pPr>
        <w:spacing w:line="360" w:lineRule="auto"/>
        <w:jc w:val="both"/>
        <w:rPr>
          <w:rFonts w:cs="FrankRuehl"/>
          <w:sz w:val="28"/>
          <w:szCs w:val="28"/>
          <w:rtl/>
        </w:rPr>
      </w:pPr>
      <w:r w:rsidRPr="008D7551">
        <w:rPr>
          <w:rFonts w:cs="FrankRuehl" w:hint="cs"/>
          <w:sz w:val="28"/>
          <w:szCs w:val="28"/>
          <w:rtl/>
        </w:rPr>
        <w:t xml:space="preserve">הממונה מצא כי הנאשם כשיר לבצע עבודות שירות. </w:t>
      </w:r>
    </w:p>
    <w:p w14:paraId="636AC5F9" w14:textId="77777777" w:rsidR="00021334" w:rsidRPr="008D7551" w:rsidRDefault="00021334" w:rsidP="00021334">
      <w:pPr>
        <w:spacing w:line="360" w:lineRule="auto"/>
        <w:jc w:val="both"/>
        <w:rPr>
          <w:rFonts w:cs="FrankRuehl"/>
          <w:sz w:val="28"/>
          <w:szCs w:val="28"/>
          <w:rtl/>
        </w:rPr>
      </w:pPr>
    </w:p>
    <w:p w14:paraId="1239CFE8" w14:textId="77777777" w:rsidR="00021334" w:rsidRPr="008D7551" w:rsidRDefault="00021334" w:rsidP="00021334">
      <w:pPr>
        <w:spacing w:line="360" w:lineRule="auto"/>
        <w:jc w:val="both"/>
        <w:rPr>
          <w:rFonts w:cs="FrankRuehl"/>
          <w:b/>
          <w:bCs/>
          <w:sz w:val="28"/>
          <w:szCs w:val="28"/>
          <w:u w:val="single"/>
          <w:rtl/>
        </w:rPr>
      </w:pPr>
      <w:r w:rsidRPr="008D7551">
        <w:rPr>
          <w:rFonts w:cs="FrankRuehl" w:hint="cs"/>
          <w:b/>
          <w:bCs/>
          <w:sz w:val="28"/>
          <w:szCs w:val="28"/>
          <w:u w:val="single"/>
          <w:rtl/>
        </w:rPr>
        <w:t>טיעונים לעונש</w:t>
      </w:r>
    </w:p>
    <w:p w14:paraId="4EE9A0B7" w14:textId="77777777" w:rsidR="00021334" w:rsidRPr="008D7551" w:rsidRDefault="00021334" w:rsidP="00021334">
      <w:pPr>
        <w:spacing w:line="360" w:lineRule="auto"/>
        <w:jc w:val="both"/>
        <w:rPr>
          <w:rFonts w:cs="FrankRuehl"/>
          <w:sz w:val="28"/>
          <w:szCs w:val="28"/>
          <w:rtl/>
        </w:rPr>
      </w:pPr>
      <w:r w:rsidRPr="008D7551">
        <w:rPr>
          <w:rFonts w:cs="FrankRuehl" w:hint="cs"/>
          <w:sz w:val="28"/>
          <w:szCs w:val="28"/>
          <w:rtl/>
        </w:rPr>
        <w:t xml:space="preserve">הצדדים לא הגיעו להסכמה עונשית. </w:t>
      </w:r>
    </w:p>
    <w:p w14:paraId="73C7777A" w14:textId="77777777" w:rsidR="00021334" w:rsidRPr="008D7551" w:rsidRDefault="00021334" w:rsidP="00021334">
      <w:pPr>
        <w:spacing w:line="360" w:lineRule="auto"/>
        <w:jc w:val="both"/>
        <w:rPr>
          <w:rFonts w:cs="FrankRuehl"/>
          <w:sz w:val="28"/>
          <w:szCs w:val="28"/>
        </w:rPr>
      </w:pPr>
      <w:r w:rsidRPr="008D7551">
        <w:rPr>
          <w:rFonts w:cs="FrankRuehl" w:hint="cs"/>
          <w:sz w:val="28"/>
          <w:szCs w:val="28"/>
          <w:rtl/>
        </w:rPr>
        <w:t>מחד, המאשימה טוענת כי יש להטיל על הנאשם עונש שלא יפחת מ-24 חודשי מאסר וענישה נלווית לנוכח חומרת המעשים. מאידך, הסניגור טוען</w:t>
      </w:r>
      <w:r>
        <w:rPr>
          <w:rFonts w:cs="FrankRuehl" w:hint="cs"/>
          <w:sz w:val="28"/>
          <w:szCs w:val="28"/>
          <w:rtl/>
        </w:rPr>
        <w:t>,</w:t>
      </w:r>
      <w:r w:rsidRPr="008D7551">
        <w:rPr>
          <w:rFonts w:cs="FrankRuehl" w:hint="cs"/>
          <w:sz w:val="28"/>
          <w:szCs w:val="28"/>
          <w:rtl/>
        </w:rPr>
        <w:t xml:space="preserve"> כי ניתן להסתפק בעונש של מאסר לריצוי בעבודות שירות, תוך שהדגיש את מאפייניו של הנאשם, את שיתוף הפעולה שלו עם רשויות האכיפה ושירות המבחן</w:t>
      </w:r>
      <w:r>
        <w:rPr>
          <w:rFonts w:cs="FrankRuehl" w:hint="cs"/>
          <w:sz w:val="28"/>
          <w:szCs w:val="28"/>
          <w:rtl/>
        </w:rPr>
        <w:t>,</w:t>
      </w:r>
      <w:r w:rsidRPr="008D7551">
        <w:rPr>
          <w:rFonts w:cs="FrankRuehl" w:hint="cs"/>
          <w:sz w:val="28"/>
          <w:szCs w:val="28"/>
          <w:rtl/>
        </w:rPr>
        <w:t xml:space="preserve"> ומצבו בכללותו. </w:t>
      </w:r>
    </w:p>
    <w:p w14:paraId="463F6BD8" w14:textId="77777777" w:rsidR="00021334" w:rsidRPr="008D7551" w:rsidRDefault="00021334" w:rsidP="00021334">
      <w:pPr>
        <w:spacing w:line="360" w:lineRule="auto"/>
        <w:jc w:val="both"/>
        <w:rPr>
          <w:rFonts w:cs="FrankRuehl"/>
          <w:b/>
          <w:bCs/>
          <w:sz w:val="28"/>
          <w:szCs w:val="28"/>
          <w:u w:val="single"/>
          <w:rtl/>
        </w:rPr>
      </w:pPr>
    </w:p>
    <w:p w14:paraId="0A19264C" w14:textId="77777777" w:rsidR="00021334" w:rsidRPr="008D7551" w:rsidRDefault="00021334" w:rsidP="00021334">
      <w:pPr>
        <w:spacing w:line="360" w:lineRule="auto"/>
        <w:jc w:val="both"/>
        <w:rPr>
          <w:rFonts w:cs="FrankRuehl"/>
          <w:b/>
          <w:bCs/>
          <w:sz w:val="28"/>
          <w:szCs w:val="28"/>
          <w:u w:val="single"/>
          <w:rtl/>
        </w:rPr>
      </w:pPr>
      <w:r w:rsidRPr="008D7551">
        <w:rPr>
          <w:rFonts w:cs="FrankRuehl" w:hint="cs"/>
          <w:b/>
          <w:bCs/>
          <w:sz w:val="28"/>
          <w:szCs w:val="28"/>
          <w:u w:val="single"/>
          <w:rtl/>
        </w:rPr>
        <w:t xml:space="preserve">קביעת מתחם הענישה </w:t>
      </w:r>
      <w:r w:rsidRPr="008D7551">
        <w:rPr>
          <w:rFonts w:cs="FrankRuehl" w:hint="cs"/>
          <w:sz w:val="28"/>
          <w:szCs w:val="28"/>
          <w:rtl/>
        </w:rPr>
        <w:t xml:space="preserve">– מתחם הענישה צריך להתייחס לעקרון ההלימה, הנוגע ליחס לערך החברתי המוגן, מידת הפגיעה בו, מדיניות הענישה הנוהגת ונסיבות ביצוע העבירה. </w:t>
      </w:r>
    </w:p>
    <w:p w14:paraId="01DEE983" w14:textId="77777777" w:rsidR="00021334" w:rsidRPr="008D7551" w:rsidRDefault="00021334" w:rsidP="00021334">
      <w:pPr>
        <w:spacing w:line="360" w:lineRule="auto"/>
        <w:jc w:val="both"/>
        <w:rPr>
          <w:rFonts w:cs="FrankRuehl"/>
          <w:b/>
          <w:bCs/>
          <w:sz w:val="28"/>
          <w:szCs w:val="28"/>
          <w:u w:val="single"/>
          <w:rtl/>
        </w:rPr>
      </w:pPr>
    </w:p>
    <w:p w14:paraId="5FB0E708" w14:textId="77777777" w:rsidR="00021334" w:rsidRPr="008D7551" w:rsidRDefault="00021334" w:rsidP="00021334">
      <w:pPr>
        <w:spacing w:line="360" w:lineRule="auto"/>
        <w:jc w:val="both"/>
        <w:rPr>
          <w:rFonts w:cs="FrankRuehl"/>
          <w:sz w:val="28"/>
          <w:szCs w:val="28"/>
          <w:rtl/>
        </w:rPr>
      </w:pPr>
      <w:r w:rsidRPr="008D7551">
        <w:rPr>
          <w:rFonts w:cs="FrankRuehl" w:hint="cs"/>
          <w:b/>
          <w:bCs/>
          <w:sz w:val="28"/>
          <w:szCs w:val="28"/>
          <w:u w:val="single"/>
          <w:rtl/>
        </w:rPr>
        <w:t xml:space="preserve">אשר לערך המוגן </w:t>
      </w:r>
      <w:r w:rsidRPr="008D7551">
        <w:rPr>
          <w:rFonts w:cs="FrankRuehl" w:hint="cs"/>
          <w:sz w:val="28"/>
          <w:szCs w:val="28"/>
          <w:rtl/>
        </w:rPr>
        <w:t xml:space="preserve">– </w:t>
      </w:r>
      <w:r w:rsidRPr="008D7551">
        <w:rPr>
          <w:rFonts w:cs="FrankRuehl" w:hint="cs"/>
          <w:b/>
          <w:bCs/>
          <w:sz w:val="28"/>
          <w:szCs w:val="28"/>
          <w:rtl/>
        </w:rPr>
        <w:t xml:space="preserve"> </w:t>
      </w:r>
      <w:r w:rsidRPr="008D7551">
        <w:rPr>
          <w:rFonts w:cs="FrankRuehl" w:hint="cs"/>
          <w:sz w:val="28"/>
          <w:szCs w:val="28"/>
          <w:rtl/>
        </w:rPr>
        <w:t>סחר בסמים פוגע במרקם החיים החברתי ופגיעתו קשה בכל רובדי החיים. הפצת סמים קלה בדרך של שימוש במדיה מחשבית, הפ</w:t>
      </w:r>
      <w:r>
        <w:rPr>
          <w:rFonts w:cs="FrankRuehl" w:hint="cs"/>
          <w:sz w:val="28"/>
          <w:szCs w:val="28"/>
          <w:rtl/>
        </w:rPr>
        <w:t>כה</w:t>
      </w:r>
      <w:r w:rsidRPr="008D7551">
        <w:rPr>
          <w:rFonts w:cs="FrankRuehl" w:hint="cs"/>
          <w:sz w:val="28"/>
          <w:szCs w:val="28"/>
          <w:rtl/>
        </w:rPr>
        <w:t xml:space="preserve"> לרעה חולה, ועל כך הרחיב בית המשפט</w:t>
      </w:r>
      <w:r w:rsidRPr="008D7551">
        <w:rPr>
          <w:rFonts w:cs="FrankRuehl" w:hint="cs"/>
          <w:b/>
          <w:bCs/>
          <w:sz w:val="28"/>
          <w:szCs w:val="28"/>
          <w:rtl/>
        </w:rPr>
        <w:t xml:space="preserve"> </w:t>
      </w:r>
      <w:r w:rsidRPr="008D7551">
        <w:rPr>
          <w:rFonts w:cs="FrankRuehl" w:hint="cs"/>
          <w:sz w:val="28"/>
          <w:szCs w:val="28"/>
          <w:rtl/>
        </w:rPr>
        <w:t>ב</w:t>
      </w:r>
      <w:hyperlink r:id="rId21" w:history="1">
        <w:r w:rsidR="00067B8F" w:rsidRPr="00067B8F">
          <w:rPr>
            <w:rFonts w:cs="FrankRuehl"/>
            <w:color w:val="0000FF"/>
            <w:sz w:val="28"/>
            <w:szCs w:val="28"/>
            <w:u w:val="single"/>
            <w:rtl/>
          </w:rPr>
          <w:t>ע"פ 2596/18</w:t>
        </w:r>
      </w:hyperlink>
      <w:r w:rsidRPr="008D7551">
        <w:rPr>
          <w:rFonts w:cs="FrankRuehl" w:hint="cs"/>
          <w:sz w:val="28"/>
          <w:szCs w:val="28"/>
          <w:rtl/>
        </w:rPr>
        <w:t xml:space="preserve"> </w:t>
      </w:r>
      <w:r w:rsidRPr="008D7551">
        <w:rPr>
          <w:rFonts w:cs="FrankRuehl" w:hint="cs"/>
          <w:b/>
          <w:bCs/>
          <w:sz w:val="28"/>
          <w:szCs w:val="28"/>
          <w:u w:val="single"/>
          <w:rtl/>
        </w:rPr>
        <w:t>זנזורי</w:t>
      </w:r>
      <w:r w:rsidRPr="008D7551">
        <w:rPr>
          <w:rFonts w:cs="FrankRuehl" w:hint="cs"/>
          <w:sz w:val="28"/>
          <w:szCs w:val="28"/>
          <w:rtl/>
        </w:rPr>
        <w:t xml:space="preserve"> נ' </w:t>
      </w:r>
      <w:r w:rsidRPr="008D7551">
        <w:rPr>
          <w:rFonts w:cs="FrankRuehl" w:hint="cs"/>
          <w:b/>
          <w:bCs/>
          <w:sz w:val="28"/>
          <w:szCs w:val="28"/>
          <w:u w:val="single"/>
          <w:rtl/>
        </w:rPr>
        <w:t>מ"י</w:t>
      </w:r>
      <w:r w:rsidRPr="008D7551">
        <w:rPr>
          <w:rFonts w:cs="FrankRuehl" w:hint="cs"/>
          <w:sz w:val="28"/>
          <w:szCs w:val="28"/>
          <w:rtl/>
        </w:rPr>
        <w:t xml:space="preserve"> (מיום 12.8.2018). </w:t>
      </w:r>
    </w:p>
    <w:p w14:paraId="209C10B3" w14:textId="77777777" w:rsidR="00021334" w:rsidRPr="008D7551" w:rsidRDefault="00021334" w:rsidP="00021334">
      <w:pPr>
        <w:spacing w:line="360" w:lineRule="auto"/>
        <w:jc w:val="both"/>
        <w:rPr>
          <w:rFonts w:cs="FrankRuehl"/>
          <w:b/>
          <w:bCs/>
          <w:sz w:val="28"/>
          <w:szCs w:val="28"/>
          <w:u w:val="single"/>
          <w:rtl/>
        </w:rPr>
      </w:pPr>
    </w:p>
    <w:p w14:paraId="1E397800" w14:textId="77777777" w:rsidR="00021334" w:rsidRPr="008D7551" w:rsidRDefault="00021334" w:rsidP="00021334">
      <w:pPr>
        <w:spacing w:line="360" w:lineRule="auto"/>
        <w:jc w:val="both"/>
        <w:rPr>
          <w:rFonts w:cs="FrankRuehl"/>
          <w:sz w:val="28"/>
          <w:szCs w:val="28"/>
          <w:rtl/>
        </w:rPr>
      </w:pPr>
      <w:r w:rsidRPr="008D7551">
        <w:rPr>
          <w:rFonts w:cs="FrankRuehl" w:hint="cs"/>
          <w:b/>
          <w:bCs/>
          <w:sz w:val="28"/>
          <w:szCs w:val="28"/>
          <w:u w:val="single"/>
          <w:rtl/>
        </w:rPr>
        <w:t xml:space="preserve">נסיבות הקשורות בביצוע העבירה, לפי </w:t>
      </w:r>
      <w:hyperlink r:id="rId22" w:history="1">
        <w:r w:rsidR="005E6AC5" w:rsidRPr="005E6AC5">
          <w:rPr>
            <w:rFonts w:cs="FrankRuehl"/>
            <w:b/>
            <w:bCs/>
            <w:color w:val="0000FF"/>
            <w:sz w:val="28"/>
            <w:szCs w:val="28"/>
            <w:u w:val="single"/>
            <w:rtl/>
          </w:rPr>
          <w:t>סעיף 40ט'</w:t>
        </w:r>
      </w:hyperlink>
      <w:r w:rsidRPr="008D7551">
        <w:rPr>
          <w:rFonts w:cs="FrankRuehl" w:hint="cs"/>
          <w:b/>
          <w:bCs/>
          <w:sz w:val="28"/>
          <w:szCs w:val="28"/>
          <w:u w:val="single"/>
          <w:rtl/>
        </w:rPr>
        <w:t xml:space="preserve"> ל</w:t>
      </w:r>
      <w:hyperlink r:id="rId23" w:history="1">
        <w:r w:rsidR="00067B8F" w:rsidRPr="00067B8F">
          <w:rPr>
            <w:rFonts w:cs="FrankRuehl"/>
            <w:b/>
            <w:bCs/>
            <w:color w:val="0000FF"/>
            <w:sz w:val="28"/>
            <w:szCs w:val="28"/>
            <w:u w:val="single"/>
            <w:rtl/>
          </w:rPr>
          <w:t>חוק העונשין</w:t>
        </w:r>
      </w:hyperlink>
      <w:r w:rsidRPr="008D7551">
        <w:rPr>
          <w:rFonts w:cs="FrankRuehl" w:hint="cs"/>
          <w:b/>
          <w:bCs/>
          <w:sz w:val="28"/>
          <w:szCs w:val="28"/>
          <w:rtl/>
        </w:rPr>
        <w:t xml:space="preserve"> – </w:t>
      </w:r>
      <w:r w:rsidRPr="008D7551">
        <w:rPr>
          <w:rFonts w:cs="FrankRuehl" w:hint="cs"/>
          <w:sz w:val="28"/>
          <w:szCs w:val="28"/>
          <w:rtl/>
        </w:rPr>
        <w:t>בין הנסיבות הקשורות בביצוע העבירה יש לשקול את אלה, לעניין קביעת המתחם: מדובר בעבירה מתוכננת שהתבצעה לאורך יום שלם בעסקאות רבות, ואלמלא היה נעצר הנאשם, היה ממשיך בשלו; הדברים בוצעו מתוך מטרה כלכלית, אך לא מבצע כסף; הנאשם צריך היה להימנע מהמעשים בהיותו אדם בגיר, ומצב</w:t>
      </w:r>
      <w:r>
        <w:rPr>
          <w:rFonts w:cs="FrankRuehl" w:hint="cs"/>
          <w:sz w:val="28"/>
          <w:szCs w:val="28"/>
          <w:rtl/>
        </w:rPr>
        <w:t>ו</w:t>
      </w:r>
      <w:r w:rsidRPr="008D7551">
        <w:rPr>
          <w:rFonts w:cs="FrankRuehl" w:hint="cs"/>
          <w:sz w:val="28"/>
          <w:szCs w:val="28"/>
          <w:rtl/>
        </w:rPr>
        <w:t xml:space="preserve"> הנפשי/קוגנטיבי</w:t>
      </w:r>
      <w:r>
        <w:rPr>
          <w:rFonts w:cs="FrankRuehl" w:hint="cs"/>
          <w:sz w:val="28"/>
          <w:szCs w:val="28"/>
          <w:rtl/>
        </w:rPr>
        <w:t xml:space="preserve"> </w:t>
      </w:r>
      <w:r w:rsidRPr="008D7551">
        <w:rPr>
          <w:rFonts w:cs="FrankRuehl" w:hint="cs"/>
          <w:sz w:val="28"/>
          <w:szCs w:val="28"/>
          <w:rtl/>
        </w:rPr>
        <w:t>אינו מהווה תירוץ או נסיבה מקילה בביצוע המעשים; הנזק שנגרם בפועל רב, שכן מדובר בקליינטים שונים בתפוצה רחבה; הנזק הפוטנציאלי רב אף יותר אלמלא נתפס הנאשם.</w:t>
      </w:r>
    </w:p>
    <w:p w14:paraId="1DBD4ABB" w14:textId="77777777" w:rsidR="00021334" w:rsidRPr="008D7551" w:rsidRDefault="00021334" w:rsidP="00021334">
      <w:pPr>
        <w:spacing w:line="360" w:lineRule="auto"/>
        <w:jc w:val="both"/>
        <w:rPr>
          <w:rFonts w:cs="FrankRuehl"/>
          <w:sz w:val="28"/>
          <w:szCs w:val="28"/>
          <w:rtl/>
        </w:rPr>
      </w:pPr>
    </w:p>
    <w:p w14:paraId="01E89A4A" w14:textId="77777777" w:rsidR="00021334" w:rsidRPr="008D7551" w:rsidRDefault="00021334" w:rsidP="00021334">
      <w:pPr>
        <w:spacing w:line="360" w:lineRule="auto"/>
        <w:jc w:val="both"/>
        <w:rPr>
          <w:rFonts w:cs="FrankRuehl"/>
          <w:sz w:val="28"/>
          <w:szCs w:val="28"/>
          <w:rtl/>
        </w:rPr>
      </w:pPr>
    </w:p>
    <w:p w14:paraId="5373BEC1" w14:textId="77777777" w:rsidR="00021334" w:rsidRPr="008D7551" w:rsidRDefault="00021334" w:rsidP="00021334">
      <w:pPr>
        <w:spacing w:line="360" w:lineRule="auto"/>
        <w:jc w:val="both"/>
        <w:rPr>
          <w:rFonts w:cs="FrankRuehl"/>
          <w:sz w:val="28"/>
          <w:szCs w:val="28"/>
          <w:u w:val="single"/>
          <w:rtl/>
        </w:rPr>
      </w:pPr>
      <w:r w:rsidRPr="008D7551">
        <w:rPr>
          <w:rFonts w:cs="FrankRuehl" w:hint="cs"/>
          <w:b/>
          <w:bCs/>
          <w:sz w:val="28"/>
          <w:szCs w:val="28"/>
          <w:u w:val="single"/>
          <w:rtl/>
        </w:rPr>
        <w:t>מדיניות הענישה הנוהגת</w:t>
      </w:r>
      <w:r w:rsidRPr="008D7551">
        <w:rPr>
          <w:rFonts w:cs="FrankRuehl" w:hint="cs"/>
          <w:b/>
          <w:bCs/>
          <w:sz w:val="28"/>
          <w:szCs w:val="28"/>
          <w:rtl/>
        </w:rPr>
        <w:t xml:space="preserve"> – </w:t>
      </w:r>
      <w:r w:rsidRPr="008D7551">
        <w:rPr>
          <w:rFonts w:cs="FrankRuehl" w:hint="cs"/>
          <w:sz w:val="28"/>
          <w:szCs w:val="28"/>
          <w:rtl/>
        </w:rPr>
        <w:t>מפנה לסקירת הפסיקה ב</w:t>
      </w:r>
      <w:hyperlink r:id="rId24" w:history="1">
        <w:r w:rsidR="00067B8F" w:rsidRPr="00067B8F">
          <w:rPr>
            <w:rFonts w:cs="FrankRuehl"/>
            <w:color w:val="0000FF"/>
            <w:sz w:val="28"/>
            <w:szCs w:val="28"/>
            <w:u w:val="single"/>
            <w:rtl/>
          </w:rPr>
          <w:t>ת"פ 53375-03-18</w:t>
        </w:r>
      </w:hyperlink>
      <w:r w:rsidRPr="008D7551">
        <w:rPr>
          <w:rFonts w:cs="FrankRuehl" w:hint="cs"/>
          <w:sz w:val="28"/>
          <w:szCs w:val="28"/>
          <w:rtl/>
        </w:rPr>
        <w:t xml:space="preserve"> </w:t>
      </w:r>
      <w:r w:rsidRPr="00682903">
        <w:rPr>
          <w:rFonts w:cs="FrankRuehl" w:hint="cs"/>
          <w:b/>
          <w:bCs/>
          <w:sz w:val="28"/>
          <w:szCs w:val="28"/>
          <w:u w:val="single"/>
          <w:rtl/>
        </w:rPr>
        <w:t>מ"י</w:t>
      </w:r>
      <w:r w:rsidRPr="008D7551">
        <w:rPr>
          <w:rFonts w:cs="FrankRuehl" w:hint="cs"/>
          <w:sz w:val="28"/>
          <w:szCs w:val="28"/>
          <w:rtl/>
        </w:rPr>
        <w:t xml:space="preserve"> נ' </w:t>
      </w:r>
      <w:r w:rsidRPr="00682903">
        <w:rPr>
          <w:rFonts w:cs="FrankRuehl" w:hint="cs"/>
          <w:b/>
          <w:bCs/>
          <w:sz w:val="28"/>
          <w:szCs w:val="28"/>
          <w:u w:val="single"/>
          <w:rtl/>
        </w:rPr>
        <w:t>כהן ואח'</w:t>
      </w:r>
      <w:r w:rsidRPr="008D7551">
        <w:rPr>
          <w:rFonts w:cs="FrankRuehl" w:hint="cs"/>
          <w:sz w:val="28"/>
          <w:szCs w:val="28"/>
          <w:rtl/>
        </w:rPr>
        <w:t xml:space="preserve"> (מיום 25.9.2019). </w:t>
      </w:r>
    </w:p>
    <w:p w14:paraId="1A69E2F6" w14:textId="77777777" w:rsidR="00021334" w:rsidRPr="008D7551" w:rsidRDefault="00021334" w:rsidP="00021334">
      <w:pPr>
        <w:spacing w:line="360" w:lineRule="auto"/>
        <w:jc w:val="both"/>
        <w:rPr>
          <w:rFonts w:cs="FrankRuehl"/>
          <w:b/>
          <w:bCs/>
          <w:sz w:val="28"/>
          <w:szCs w:val="28"/>
          <w:u w:val="single"/>
          <w:rtl/>
        </w:rPr>
      </w:pPr>
    </w:p>
    <w:p w14:paraId="6B34B09C" w14:textId="77777777" w:rsidR="00021334" w:rsidRPr="008D7551" w:rsidRDefault="00021334" w:rsidP="00021334">
      <w:pPr>
        <w:spacing w:line="360" w:lineRule="auto"/>
        <w:jc w:val="both"/>
        <w:rPr>
          <w:rFonts w:cs="FrankRuehl"/>
          <w:sz w:val="28"/>
          <w:szCs w:val="28"/>
          <w:rtl/>
        </w:rPr>
      </w:pPr>
      <w:r w:rsidRPr="008D7551">
        <w:rPr>
          <w:rFonts w:cs="FrankRuehl" w:hint="cs"/>
          <w:b/>
          <w:bCs/>
          <w:sz w:val="28"/>
          <w:szCs w:val="28"/>
          <w:u w:val="single"/>
          <w:rtl/>
        </w:rPr>
        <w:t>מתחם הענישה</w:t>
      </w:r>
      <w:r w:rsidRPr="008D7551">
        <w:rPr>
          <w:rFonts w:cs="FrankRuehl" w:hint="cs"/>
          <w:sz w:val="28"/>
          <w:szCs w:val="28"/>
          <w:rtl/>
        </w:rPr>
        <w:t xml:space="preserve"> – לפיכך, מתחם הענישה צריך לעמוד על 6 חודשי מאסר ל-24 חודשי מאסר. </w:t>
      </w:r>
    </w:p>
    <w:p w14:paraId="5F68482E" w14:textId="77777777" w:rsidR="00021334" w:rsidRPr="008D7551" w:rsidRDefault="00021334" w:rsidP="00021334">
      <w:pPr>
        <w:spacing w:line="360" w:lineRule="auto"/>
        <w:jc w:val="both"/>
        <w:rPr>
          <w:rFonts w:cs="FrankRuehl"/>
          <w:sz w:val="28"/>
          <w:szCs w:val="28"/>
          <w:rtl/>
        </w:rPr>
      </w:pPr>
      <w:r w:rsidRPr="008D7551">
        <w:rPr>
          <w:rFonts w:cs="FrankRuehl" w:hint="cs"/>
          <w:sz w:val="28"/>
          <w:szCs w:val="28"/>
          <w:rtl/>
        </w:rPr>
        <w:t xml:space="preserve">אני קובע מתחם ענישה אחד לגבי מכלול המעשים, שכן מדובר במסכת אחת, שהוצאה לפועל ביום אחד באיזור גיאוגרפי מוגדר (ירושלים רבתי) גם אם </w:t>
      </w:r>
      <w:r>
        <w:rPr>
          <w:rFonts w:cs="FrankRuehl" w:hint="cs"/>
          <w:sz w:val="28"/>
          <w:szCs w:val="28"/>
          <w:rtl/>
        </w:rPr>
        <w:t>נרחב</w:t>
      </w:r>
      <w:r w:rsidRPr="008D7551">
        <w:rPr>
          <w:rFonts w:cs="FrankRuehl" w:hint="cs"/>
          <w:sz w:val="28"/>
          <w:szCs w:val="28"/>
          <w:rtl/>
        </w:rPr>
        <w:t>. אני סבור</w:t>
      </w:r>
      <w:r>
        <w:rPr>
          <w:rFonts w:cs="FrankRuehl" w:hint="cs"/>
          <w:sz w:val="28"/>
          <w:szCs w:val="28"/>
          <w:rtl/>
        </w:rPr>
        <w:t>,</w:t>
      </w:r>
      <w:r w:rsidRPr="008D7551">
        <w:rPr>
          <w:rFonts w:cs="FrankRuehl" w:hint="cs"/>
          <w:sz w:val="28"/>
          <w:szCs w:val="28"/>
          <w:rtl/>
        </w:rPr>
        <w:t xml:space="preserve"> כי מתקיים מבחן הקשר ההדוק, לנוכח טיב הסם, ותוכנית עבריינית אחת שהוצאה לפועל באותו יום. ר': </w:t>
      </w:r>
      <w:hyperlink r:id="rId25" w:history="1">
        <w:r w:rsidR="00067B8F" w:rsidRPr="00067B8F">
          <w:rPr>
            <w:rFonts w:cs="FrankRuehl"/>
            <w:color w:val="0000FF"/>
            <w:sz w:val="28"/>
            <w:szCs w:val="28"/>
            <w:u w:val="single"/>
            <w:rtl/>
          </w:rPr>
          <w:t>ע"פ 4910/13</w:t>
        </w:r>
      </w:hyperlink>
      <w:r w:rsidRPr="008D7551">
        <w:rPr>
          <w:rFonts w:cs="FrankRuehl" w:hint="cs"/>
          <w:sz w:val="28"/>
          <w:szCs w:val="28"/>
          <w:rtl/>
        </w:rPr>
        <w:t xml:space="preserve"> </w:t>
      </w:r>
      <w:r w:rsidRPr="008D7551">
        <w:rPr>
          <w:rFonts w:cs="FrankRuehl" w:hint="cs"/>
          <w:b/>
          <w:bCs/>
          <w:sz w:val="28"/>
          <w:szCs w:val="28"/>
          <w:u w:val="single"/>
          <w:rtl/>
        </w:rPr>
        <w:t xml:space="preserve">בני ג'אבר </w:t>
      </w:r>
      <w:r w:rsidRPr="008D7551">
        <w:rPr>
          <w:rFonts w:cs="FrankRuehl" w:hint="cs"/>
          <w:sz w:val="28"/>
          <w:szCs w:val="28"/>
          <w:rtl/>
        </w:rPr>
        <w:t xml:space="preserve"> נ' </w:t>
      </w:r>
      <w:r w:rsidRPr="008D7551">
        <w:rPr>
          <w:rFonts w:cs="FrankRuehl" w:hint="cs"/>
          <w:b/>
          <w:bCs/>
          <w:sz w:val="28"/>
          <w:szCs w:val="28"/>
          <w:u w:val="single"/>
          <w:rtl/>
        </w:rPr>
        <w:t>מ"י</w:t>
      </w:r>
      <w:r w:rsidRPr="008D7551">
        <w:rPr>
          <w:rFonts w:cs="FrankRuehl" w:hint="cs"/>
          <w:sz w:val="28"/>
          <w:szCs w:val="28"/>
          <w:rtl/>
        </w:rPr>
        <w:t xml:space="preserve"> (מיום 29.10.2014) </w:t>
      </w:r>
    </w:p>
    <w:p w14:paraId="3EA60220" w14:textId="77777777" w:rsidR="00021334" w:rsidRPr="008D7551" w:rsidRDefault="00021334" w:rsidP="00021334">
      <w:pPr>
        <w:spacing w:line="360" w:lineRule="auto"/>
        <w:jc w:val="both"/>
        <w:rPr>
          <w:rFonts w:cs="FrankRuehl"/>
          <w:b/>
          <w:bCs/>
          <w:sz w:val="28"/>
          <w:szCs w:val="28"/>
          <w:rtl/>
        </w:rPr>
      </w:pPr>
    </w:p>
    <w:p w14:paraId="01AC514F" w14:textId="77777777" w:rsidR="00021334" w:rsidRPr="008D7551" w:rsidRDefault="00021334" w:rsidP="00021334">
      <w:pPr>
        <w:spacing w:line="360" w:lineRule="auto"/>
        <w:jc w:val="both"/>
        <w:rPr>
          <w:rFonts w:cs="FrankRuehl"/>
          <w:sz w:val="28"/>
          <w:szCs w:val="28"/>
          <w:rtl/>
        </w:rPr>
      </w:pPr>
      <w:r w:rsidRPr="008D7551">
        <w:rPr>
          <w:rFonts w:cs="FrankRuehl" w:hint="cs"/>
          <w:b/>
          <w:bCs/>
          <w:sz w:val="28"/>
          <w:szCs w:val="28"/>
          <w:u w:val="single"/>
          <w:rtl/>
        </w:rPr>
        <w:t xml:space="preserve">נסיבות שאינן קשורות בביצוע העבירה לפי </w:t>
      </w:r>
      <w:hyperlink r:id="rId26" w:history="1">
        <w:r w:rsidR="005E6AC5" w:rsidRPr="005E6AC5">
          <w:rPr>
            <w:rFonts w:cs="FrankRuehl"/>
            <w:b/>
            <w:bCs/>
            <w:color w:val="0000FF"/>
            <w:sz w:val="28"/>
            <w:szCs w:val="28"/>
            <w:u w:val="single"/>
            <w:rtl/>
          </w:rPr>
          <w:t>סעיף 40י"א</w:t>
        </w:r>
      </w:hyperlink>
      <w:r w:rsidRPr="008D7551">
        <w:rPr>
          <w:rFonts w:cs="FrankRuehl" w:hint="cs"/>
          <w:b/>
          <w:bCs/>
          <w:sz w:val="28"/>
          <w:szCs w:val="28"/>
          <w:u w:val="single"/>
          <w:rtl/>
        </w:rPr>
        <w:t xml:space="preserve"> ל</w:t>
      </w:r>
      <w:hyperlink r:id="rId27" w:history="1">
        <w:r w:rsidR="00067B8F" w:rsidRPr="00067B8F">
          <w:rPr>
            <w:rFonts w:cs="FrankRuehl"/>
            <w:b/>
            <w:bCs/>
            <w:color w:val="0000FF"/>
            <w:sz w:val="28"/>
            <w:szCs w:val="28"/>
            <w:u w:val="single"/>
            <w:rtl/>
          </w:rPr>
          <w:t>חוק העונשין</w:t>
        </w:r>
      </w:hyperlink>
      <w:r w:rsidRPr="008D7551">
        <w:rPr>
          <w:rFonts w:cs="FrankRuehl" w:hint="cs"/>
          <w:b/>
          <w:bCs/>
          <w:sz w:val="28"/>
          <w:szCs w:val="28"/>
          <w:rtl/>
        </w:rPr>
        <w:t xml:space="preserve"> – </w:t>
      </w:r>
      <w:r w:rsidRPr="008D7551">
        <w:rPr>
          <w:rFonts w:cs="FrankRuehl" w:hint="cs"/>
          <w:sz w:val="28"/>
          <w:szCs w:val="28"/>
          <w:rtl/>
        </w:rPr>
        <w:t>ניתן  לתת משקל לנסיבות הבאות שאינן קשורות בביצוע העבירה, במסגרת גזירת העונש בתוך המתחם: הנאשם צעיר ללא עבר פלילי; נסיבותיו האישיות אינן פשוטות</w:t>
      </w:r>
      <w:r>
        <w:rPr>
          <w:rFonts w:cs="FrankRuehl" w:hint="cs"/>
          <w:sz w:val="28"/>
          <w:szCs w:val="28"/>
          <w:rtl/>
        </w:rPr>
        <w:t>,</w:t>
      </w:r>
      <w:r w:rsidRPr="008D7551">
        <w:rPr>
          <w:rFonts w:cs="FrankRuehl" w:hint="cs"/>
          <w:sz w:val="28"/>
          <w:szCs w:val="28"/>
          <w:rtl/>
        </w:rPr>
        <w:t xml:space="preserve"> והוא מתמודד עם תסמונת "טורט" שהשפעתה על חייו קשה ביותר, לכל אורך חייו. למרות זאת, שרד את מערכות החינוך עד כתה י"א ובהמשך אף שירת שירות צבאי למשך תקופה ארוכה, ועשה מאמצים בתחום; הנאשם נטל אחריות למעשיו כבר מתחילת הדרך; הנאשם שהה במעצר ממש מספר ימים ואחר כך שהה בתנאים מגבילים שהוקלו, ככל שהתמיד בטיפול ולא הפר את התנאים.</w:t>
      </w:r>
    </w:p>
    <w:p w14:paraId="4AB7E258" w14:textId="77777777" w:rsidR="00021334" w:rsidRPr="008D7551" w:rsidRDefault="00021334" w:rsidP="00021334">
      <w:pPr>
        <w:spacing w:line="360" w:lineRule="auto"/>
        <w:jc w:val="both"/>
        <w:rPr>
          <w:rFonts w:cs="FrankRuehl"/>
          <w:sz w:val="28"/>
          <w:szCs w:val="28"/>
          <w:rtl/>
        </w:rPr>
      </w:pPr>
    </w:p>
    <w:p w14:paraId="0B732EFA" w14:textId="77777777" w:rsidR="00021334" w:rsidRPr="008D7551" w:rsidRDefault="00021334" w:rsidP="00021334">
      <w:pPr>
        <w:spacing w:line="360" w:lineRule="auto"/>
        <w:jc w:val="both"/>
        <w:rPr>
          <w:rFonts w:cs="FrankRuehl"/>
          <w:sz w:val="28"/>
          <w:szCs w:val="28"/>
          <w:rtl/>
        </w:rPr>
      </w:pPr>
    </w:p>
    <w:p w14:paraId="5CDDF19A" w14:textId="77777777" w:rsidR="00021334" w:rsidRPr="008D7551" w:rsidRDefault="00021334" w:rsidP="00021334">
      <w:pPr>
        <w:spacing w:line="360" w:lineRule="auto"/>
        <w:jc w:val="both"/>
        <w:rPr>
          <w:rFonts w:cs="FrankRuehl"/>
          <w:sz w:val="28"/>
          <w:szCs w:val="28"/>
          <w:rtl/>
        </w:rPr>
      </w:pPr>
      <w:r w:rsidRPr="008D7551">
        <w:rPr>
          <w:rFonts w:cs="FrankRuehl" w:hint="cs"/>
          <w:b/>
          <w:bCs/>
          <w:sz w:val="28"/>
          <w:szCs w:val="28"/>
          <w:u w:val="single"/>
          <w:rtl/>
        </w:rPr>
        <w:t>המיקום במתחם</w:t>
      </w:r>
      <w:r w:rsidRPr="008D7551">
        <w:rPr>
          <w:rFonts w:cs="FrankRuehl" w:hint="cs"/>
          <w:sz w:val="28"/>
          <w:szCs w:val="28"/>
          <w:rtl/>
        </w:rPr>
        <w:t xml:space="preserve"> -  יש למקם את הנאשם בתחתית המתחם לנוכח הנסיבות שמניתי.</w:t>
      </w:r>
    </w:p>
    <w:p w14:paraId="498A9768" w14:textId="77777777" w:rsidR="00021334" w:rsidRPr="008D7551" w:rsidRDefault="00021334" w:rsidP="00021334">
      <w:pPr>
        <w:spacing w:line="360" w:lineRule="auto"/>
        <w:jc w:val="both"/>
        <w:rPr>
          <w:rFonts w:cs="FrankRuehl"/>
          <w:b/>
          <w:bCs/>
          <w:sz w:val="28"/>
          <w:szCs w:val="28"/>
          <w:u w:val="single"/>
          <w:rtl/>
        </w:rPr>
      </w:pPr>
    </w:p>
    <w:p w14:paraId="64DF5149" w14:textId="77777777" w:rsidR="00021334" w:rsidRPr="008D7551" w:rsidRDefault="00021334" w:rsidP="00021334">
      <w:pPr>
        <w:spacing w:line="360" w:lineRule="auto"/>
        <w:jc w:val="both"/>
        <w:rPr>
          <w:rFonts w:cs="FrankRuehl"/>
          <w:b/>
          <w:bCs/>
          <w:sz w:val="28"/>
          <w:szCs w:val="28"/>
          <w:u w:val="single"/>
          <w:rtl/>
        </w:rPr>
      </w:pPr>
      <w:r w:rsidRPr="008D7551">
        <w:rPr>
          <w:rFonts w:cs="FrankRuehl" w:hint="cs"/>
          <w:b/>
          <w:bCs/>
          <w:sz w:val="28"/>
          <w:szCs w:val="28"/>
          <w:u w:val="single"/>
          <w:rtl/>
        </w:rPr>
        <w:t>גזירת הדין</w:t>
      </w:r>
    </w:p>
    <w:p w14:paraId="663E5BEC" w14:textId="77777777" w:rsidR="00021334" w:rsidRPr="008D7551" w:rsidRDefault="00021334" w:rsidP="00021334">
      <w:pPr>
        <w:spacing w:line="360" w:lineRule="auto"/>
        <w:jc w:val="both"/>
        <w:rPr>
          <w:rFonts w:cs="FrankRuehl"/>
          <w:sz w:val="28"/>
          <w:szCs w:val="28"/>
          <w:rtl/>
        </w:rPr>
      </w:pPr>
      <w:r w:rsidRPr="008D7551">
        <w:rPr>
          <w:rFonts w:cs="FrankRuehl" w:hint="cs"/>
          <w:sz w:val="28"/>
          <w:szCs w:val="28"/>
          <w:rtl/>
        </w:rPr>
        <w:t>לפיכך, אני מחליט לגזור על הנאשם את העונשים הבאים:</w:t>
      </w:r>
    </w:p>
    <w:p w14:paraId="015956FD" w14:textId="77777777" w:rsidR="00021334" w:rsidRPr="008D7551" w:rsidRDefault="00021334" w:rsidP="00021334">
      <w:pPr>
        <w:numPr>
          <w:ilvl w:val="0"/>
          <w:numId w:val="1"/>
        </w:numPr>
        <w:spacing w:after="160" w:line="360" w:lineRule="auto"/>
        <w:contextualSpacing/>
        <w:jc w:val="both"/>
        <w:rPr>
          <w:rFonts w:cs="FrankRuehl"/>
          <w:sz w:val="28"/>
          <w:szCs w:val="28"/>
          <w:rtl/>
        </w:rPr>
      </w:pPr>
      <w:r w:rsidRPr="008D7551">
        <w:rPr>
          <w:rFonts w:cs="FrankRuehl" w:hint="cs"/>
          <w:sz w:val="28"/>
          <w:szCs w:val="28"/>
          <w:rtl/>
        </w:rPr>
        <w:t>6 חודשי מאסר, אשר ירוצו בעבודות שירות, החל מיום   1.1.2020 , אשר ירוצו במרכז לקשיש ביוקנעם, וזאת על פי חוות דעת הממונה על עבודות השירות. על הנאשם להתייצב ביום זה עד לשעה 08:00 במשרד הממונה על עבודות שירות בטבריה לתחילת ריצוי עונשו. מובהר בזה כי הפרת הוראות הממונה ואי עמידה בכללים הנוגעים לריצוי עבודות השירות עלולים להביא להפקעת העבודות ולהמרת העונש בעונש מאסר של ממש;</w:t>
      </w:r>
    </w:p>
    <w:p w14:paraId="5B6ACAC0" w14:textId="77777777" w:rsidR="00021334" w:rsidRPr="008D7551" w:rsidRDefault="00021334" w:rsidP="00021334">
      <w:pPr>
        <w:numPr>
          <w:ilvl w:val="0"/>
          <w:numId w:val="1"/>
        </w:numPr>
        <w:spacing w:after="160" w:line="360" w:lineRule="auto"/>
        <w:contextualSpacing/>
        <w:jc w:val="both"/>
        <w:rPr>
          <w:rFonts w:cs="FrankRuehl"/>
          <w:sz w:val="28"/>
          <w:szCs w:val="28"/>
        </w:rPr>
      </w:pPr>
      <w:r w:rsidRPr="008D7551">
        <w:rPr>
          <w:rFonts w:cs="FrankRuehl" w:hint="cs"/>
          <w:sz w:val="28"/>
          <w:szCs w:val="28"/>
          <w:rtl/>
        </w:rPr>
        <w:t>6 חודשי מאסר, שלא ירוצו אלא אם יעבור הנאשם כל עבירת סמים לפי פקודת הסמים למעט שימוש עצמי והחזקת כלים לשימוש עצמי, בתוך שנתיים מהיום;</w:t>
      </w:r>
    </w:p>
    <w:p w14:paraId="2AF1135A" w14:textId="77777777" w:rsidR="00021334" w:rsidRDefault="00021334" w:rsidP="00021334">
      <w:pPr>
        <w:numPr>
          <w:ilvl w:val="0"/>
          <w:numId w:val="1"/>
        </w:numPr>
        <w:spacing w:after="160" w:line="360" w:lineRule="auto"/>
        <w:contextualSpacing/>
        <w:jc w:val="both"/>
        <w:rPr>
          <w:rFonts w:cs="FrankRuehl"/>
          <w:sz w:val="28"/>
          <w:szCs w:val="28"/>
        </w:rPr>
      </w:pPr>
      <w:r w:rsidRPr="008D7551">
        <w:rPr>
          <w:rFonts w:cs="FrankRuehl" w:hint="cs"/>
          <w:sz w:val="28"/>
          <w:szCs w:val="28"/>
          <w:rtl/>
        </w:rPr>
        <w:t>חודש מאסר שלא ירוצה, אלא אם יעבור הנאשם כל עבירה של שימוש עצמי והחזקת כלים לשימוש עצמי בסמים בתוך שנתיים מהיום;</w:t>
      </w:r>
    </w:p>
    <w:p w14:paraId="7D801C56" w14:textId="77777777" w:rsidR="00021334" w:rsidRPr="008D7551" w:rsidRDefault="00021334" w:rsidP="00021334">
      <w:pPr>
        <w:numPr>
          <w:ilvl w:val="0"/>
          <w:numId w:val="1"/>
        </w:numPr>
        <w:spacing w:after="160" w:line="360" w:lineRule="auto"/>
        <w:contextualSpacing/>
        <w:jc w:val="both"/>
        <w:rPr>
          <w:rFonts w:cs="FrankRuehl"/>
          <w:sz w:val="28"/>
          <w:szCs w:val="28"/>
        </w:rPr>
      </w:pPr>
      <w:r w:rsidRPr="008D7551">
        <w:rPr>
          <w:rFonts w:cs="FrankRuehl" w:hint="cs"/>
          <w:sz w:val="28"/>
          <w:szCs w:val="28"/>
          <w:rtl/>
        </w:rPr>
        <w:t>5 חודשי פסילה מלהחזיק או מלקבל רישיון נהיגה, וזאת על-תנאי למשך שנתיים מהיום, בכל עבירה לפי פקודת הסמים לרבות שימוש עצמי והחזקת כלים לשימוש עצמי.</w:t>
      </w:r>
    </w:p>
    <w:p w14:paraId="36CC1BBC" w14:textId="77777777" w:rsidR="00021334" w:rsidRPr="008D7551" w:rsidRDefault="00021334" w:rsidP="00021334">
      <w:pPr>
        <w:numPr>
          <w:ilvl w:val="0"/>
          <w:numId w:val="1"/>
        </w:numPr>
        <w:spacing w:after="160" w:line="360" w:lineRule="auto"/>
        <w:contextualSpacing/>
        <w:jc w:val="both"/>
        <w:rPr>
          <w:rFonts w:cs="FrankRuehl"/>
          <w:sz w:val="28"/>
          <w:szCs w:val="28"/>
        </w:rPr>
      </w:pPr>
      <w:r w:rsidRPr="008D7551">
        <w:rPr>
          <w:rFonts w:cs="FrankRuehl" w:hint="cs"/>
          <w:sz w:val="28"/>
          <w:szCs w:val="28"/>
          <w:rtl/>
        </w:rPr>
        <w:t xml:space="preserve">קנס בסך 2,000 ₪ או שבוע מאסר תמורתו אם לא ישולם. הסכום יקוזז במלואו מההפקדה בתיק המעצר. יתרת הסכום ככל שתיוותר תשולם עד ליום 1.2.2020 בתשלום אחד. ככל שתיוותר יתרת זכות תוחזר לנאשם. </w:t>
      </w:r>
    </w:p>
    <w:p w14:paraId="4F50C4F3" w14:textId="77777777" w:rsidR="00021334" w:rsidRPr="008D7551" w:rsidRDefault="00021334" w:rsidP="00021334">
      <w:pPr>
        <w:spacing w:after="160" w:line="360" w:lineRule="auto"/>
        <w:contextualSpacing/>
        <w:jc w:val="both"/>
        <w:rPr>
          <w:rFonts w:cs="FrankRuehl"/>
          <w:sz w:val="28"/>
          <w:szCs w:val="28"/>
          <w:rtl/>
        </w:rPr>
      </w:pPr>
    </w:p>
    <w:p w14:paraId="68A08D52" w14:textId="77777777" w:rsidR="00021334" w:rsidRPr="008D7551" w:rsidRDefault="00021334" w:rsidP="00021334">
      <w:pPr>
        <w:spacing w:after="160" w:line="360" w:lineRule="auto"/>
        <w:contextualSpacing/>
        <w:jc w:val="both"/>
        <w:rPr>
          <w:rFonts w:cs="FrankRuehl"/>
          <w:sz w:val="28"/>
          <w:szCs w:val="28"/>
        </w:rPr>
      </w:pPr>
      <w:r w:rsidRPr="008D7551">
        <w:rPr>
          <w:rFonts w:cs="FrankRuehl" w:hint="cs"/>
          <w:sz w:val="28"/>
          <w:szCs w:val="28"/>
          <w:rtl/>
        </w:rPr>
        <w:t>מורה על חילוט הכספים שנתפסו, השמדת הסמים ויתר המוצגים לרבות הטלפון.</w:t>
      </w:r>
      <w:r>
        <w:rPr>
          <w:rFonts w:cs="FrankRuehl" w:hint="cs"/>
          <w:sz w:val="28"/>
          <w:szCs w:val="28"/>
          <w:rtl/>
        </w:rPr>
        <w:t xml:space="preserve"> לא מצאתי להורות על חילוט הרכב לנוכח נסיבותיו של הנאשם.</w:t>
      </w:r>
    </w:p>
    <w:p w14:paraId="725A63F8" w14:textId="77777777" w:rsidR="00021334" w:rsidRPr="00682903" w:rsidRDefault="00021334" w:rsidP="00021334">
      <w:pPr>
        <w:spacing w:line="360" w:lineRule="auto"/>
        <w:jc w:val="both"/>
        <w:rPr>
          <w:rFonts w:ascii="FrankRuehl" w:hAnsi="FrankRuehl" w:cs="FrankRuehl"/>
          <w:sz w:val="28"/>
          <w:szCs w:val="28"/>
          <w:rtl/>
        </w:rPr>
      </w:pPr>
    </w:p>
    <w:p w14:paraId="10BA117D" w14:textId="77777777" w:rsidR="00021334" w:rsidRPr="008D7551" w:rsidRDefault="00021334" w:rsidP="00021334">
      <w:pPr>
        <w:spacing w:line="360" w:lineRule="auto"/>
        <w:jc w:val="both"/>
        <w:rPr>
          <w:rFonts w:ascii="FrankRuehl" w:hAnsi="FrankRuehl" w:cs="FrankRuehl"/>
          <w:sz w:val="28"/>
          <w:szCs w:val="28"/>
        </w:rPr>
      </w:pPr>
      <w:r w:rsidRPr="008D7551">
        <w:rPr>
          <w:rFonts w:ascii="FrankRuehl" w:hAnsi="FrankRuehl" w:cs="FrankRuehl" w:hint="cs"/>
          <w:sz w:val="28"/>
          <w:szCs w:val="28"/>
          <w:rtl/>
        </w:rPr>
        <w:t>יש לשלוח לשירות המבחן ולממונה על עבודות שירות.</w:t>
      </w:r>
    </w:p>
    <w:p w14:paraId="4D3DAD92" w14:textId="77777777" w:rsidR="00021334" w:rsidRPr="00067B8F" w:rsidRDefault="00067B8F" w:rsidP="00021334">
      <w:pPr>
        <w:spacing w:line="360" w:lineRule="auto"/>
        <w:jc w:val="both"/>
        <w:rPr>
          <w:rFonts w:ascii="FrankRuehl" w:hAnsi="FrankRuehl" w:cs="FrankRuehl"/>
          <w:color w:val="FFFFFF"/>
          <w:sz w:val="2"/>
          <w:szCs w:val="2"/>
          <w:rtl/>
        </w:rPr>
      </w:pPr>
      <w:r w:rsidRPr="00067B8F">
        <w:rPr>
          <w:rFonts w:ascii="FrankRuehl" w:hAnsi="FrankRuehl" w:cs="FrankRuehl"/>
          <w:color w:val="FFFFFF"/>
          <w:sz w:val="2"/>
          <w:szCs w:val="2"/>
          <w:rtl/>
        </w:rPr>
        <w:t>5129371</w:t>
      </w:r>
    </w:p>
    <w:p w14:paraId="5238869D" w14:textId="77777777" w:rsidR="00021334" w:rsidRPr="008D7551" w:rsidRDefault="00067B8F" w:rsidP="00021334">
      <w:pPr>
        <w:spacing w:line="360" w:lineRule="auto"/>
        <w:jc w:val="both"/>
        <w:rPr>
          <w:rFonts w:ascii="FrankRuehl" w:hAnsi="FrankRuehl" w:cs="FrankRuehl"/>
          <w:sz w:val="28"/>
          <w:szCs w:val="28"/>
          <w:rtl/>
        </w:rPr>
      </w:pPr>
      <w:r w:rsidRPr="00067B8F">
        <w:rPr>
          <w:rFonts w:ascii="FrankRuehl" w:hAnsi="FrankRuehl" w:cs="FrankRuehl"/>
          <w:color w:val="FFFFFF"/>
          <w:sz w:val="2"/>
          <w:szCs w:val="2"/>
          <w:rtl/>
        </w:rPr>
        <w:t>54678313</w:t>
      </w:r>
      <w:r w:rsidR="00021334" w:rsidRPr="008D7551">
        <w:rPr>
          <w:rFonts w:ascii="FrankRuehl" w:hAnsi="FrankRuehl" w:cs="FrankRuehl" w:hint="cs"/>
          <w:sz w:val="28"/>
          <w:szCs w:val="28"/>
          <w:rtl/>
        </w:rPr>
        <w:t>זכות ערעור כחוק לבית המשפט המחוזי בירושלים בתוך 45 יום מהיום.</w:t>
      </w:r>
    </w:p>
    <w:p w14:paraId="5D91274D" w14:textId="77777777" w:rsidR="00021334" w:rsidRPr="008D7551" w:rsidRDefault="00021334" w:rsidP="00021334">
      <w:pPr>
        <w:spacing w:line="360" w:lineRule="auto"/>
        <w:jc w:val="both"/>
        <w:rPr>
          <w:rFonts w:cs="FrankRuehl"/>
          <w:sz w:val="28"/>
          <w:szCs w:val="28"/>
          <w:rtl/>
        </w:rPr>
      </w:pPr>
    </w:p>
    <w:p w14:paraId="249D8EE3" w14:textId="77777777" w:rsidR="00021334" w:rsidRPr="008D7551" w:rsidRDefault="00067B8F" w:rsidP="00021334">
      <w:pPr>
        <w:spacing w:line="360" w:lineRule="auto"/>
        <w:jc w:val="both"/>
        <w:rPr>
          <w:rFonts w:cs="FrankRuehl"/>
          <w:sz w:val="28"/>
          <w:szCs w:val="28"/>
          <w:rtl/>
        </w:rPr>
      </w:pPr>
      <w:bookmarkStart w:id="8" w:name="Nitan"/>
      <w:r>
        <w:rPr>
          <w:rFonts w:ascii="Arial" w:hAnsi="Arial" w:cs="FrankRuehl"/>
          <w:sz w:val="28"/>
          <w:szCs w:val="28"/>
          <w:rtl/>
        </w:rPr>
        <w:t xml:space="preserve">ניתן היום,  ה' חשוון תש"פ, 03 נובמבר 2019, במעמד הצדדים. </w:t>
      </w:r>
      <w:bookmarkEnd w:id="8"/>
    </w:p>
    <w:p w14:paraId="4B7F731B" w14:textId="77777777" w:rsidR="00021334" w:rsidRPr="008D7551" w:rsidRDefault="00021334" w:rsidP="00067B8F">
      <w:pPr>
        <w:spacing w:line="360" w:lineRule="auto"/>
        <w:jc w:val="both"/>
      </w:pPr>
      <w:r w:rsidRPr="008D7551">
        <w:rPr>
          <w:rFonts w:cs="FrankRuehl" w:hint="cs"/>
          <w:sz w:val="28"/>
          <w:szCs w:val="28"/>
          <w:rtl/>
        </w:rPr>
        <w:t xml:space="preserve">   </w:t>
      </w:r>
      <w:r w:rsidRPr="008D7551">
        <w:rPr>
          <w:rFonts w:cs="FrankRuehl" w:hint="cs"/>
          <w:sz w:val="28"/>
          <w:szCs w:val="28"/>
          <w:rtl/>
        </w:rPr>
        <w:tab/>
      </w:r>
      <w:r w:rsidRPr="008D7551">
        <w:rPr>
          <w:rFonts w:cs="FrankRuehl" w:hint="cs"/>
          <w:sz w:val="28"/>
          <w:szCs w:val="28"/>
          <w:rtl/>
        </w:rPr>
        <w:tab/>
      </w:r>
      <w:r w:rsidRPr="008D7551">
        <w:rPr>
          <w:rFonts w:cs="FrankRuehl" w:hint="cs"/>
          <w:sz w:val="28"/>
          <w:szCs w:val="28"/>
          <w:rtl/>
        </w:rPr>
        <w:tab/>
      </w:r>
      <w:r w:rsidRPr="008D7551">
        <w:rPr>
          <w:rFonts w:cs="FrankRuehl" w:hint="cs"/>
          <w:sz w:val="28"/>
          <w:szCs w:val="28"/>
          <w:rtl/>
        </w:rPr>
        <w:tab/>
      </w:r>
      <w:r w:rsidRPr="008D7551">
        <w:rPr>
          <w:rFonts w:cs="FrankRuehl" w:hint="cs"/>
          <w:sz w:val="28"/>
          <w:szCs w:val="28"/>
          <w:rtl/>
        </w:rPr>
        <w:tab/>
      </w:r>
    </w:p>
    <w:p w14:paraId="736FA813" w14:textId="77777777" w:rsidR="00021334" w:rsidRPr="008D7551" w:rsidRDefault="00021334" w:rsidP="00021334">
      <w:pPr>
        <w:spacing w:line="360" w:lineRule="auto"/>
        <w:jc w:val="both"/>
        <w:rPr>
          <w:rFonts w:ascii="Arial" w:hAnsi="Arial" w:cs="FrankRuehl"/>
          <w:sz w:val="28"/>
          <w:szCs w:val="28"/>
          <w:rtl/>
        </w:rPr>
      </w:pPr>
    </w:p>
    <w:p w14:paraId="1D8FD5DE" w14:textId="77777777" w:rsidR="000C54D5" w:rsidRPr="00067B8F" w:rsidRDefault="000C54D5" w:rsidP="00067B8F">
      <w:pPr>
        <w:keepNext/>
        <w:rPr>
          <w:rFonts w:ascii="David" w:hAnsi="David"/>
          <w:color w:val="000000"/>
          <w:sz w:val="22"/>
          <w:szCs w:val="22"/>
          <w:rtl/>
        </w:rPr>
      </w:pPr>
    </w:p>
    <w:p w14:paraId="320C6DF5" w14:textId="77777777" w:rsidR="00067B8F" w:rsidRPr="00067B8F" w:rsidRDefault="00067B8F" w:rsidP="00067B8F">
      <w:pPr>
        <w:keepNext/>
        <w:rPr>
          <w:rFonts w:ascii="David" w:hAnsi="David"/>
          <w:color w:val="000000"/>
          <w:sz w:val="22"/>
          <w:szCs w:val="22"/>
          <w:rtl/>
        </w:rPr>
      </w:pPr>
      <w:r w:rsidRPr="00067B8F">
        <w:rPr>
          <w:rFonts w:ascii="David" w:hAnsi="David"/>
          <w:color w:val="000000"/>
          <w:sz w:val="22"/>
          <w:szCs w:val="22"/>
          <w:rtl/>
        </w:rPr>
        <w:t>דוד שאול גבאי ריכטר 54678313</w:t>
      </w:r>
    </w:p>
    <w:p w14:paraId="21E30E59" w14:textId="77777777" w:rsidR="00067B8F" w:rsidRDefault="00067B8F" w:rsidP="00067B8F">
      <w:r w:rsidRPr="00067B8F">
        <w:rPr>
          <w:color w:val="000000"/>
          <w:rtl/>
        </w:rPr>
        <w:t>נוסח מסמך זה כפוף לשינויי ניסוח ועריכה</w:t>
      </w:r>
    </w:p>
    <w:p w14:paraId="1EAA249B" w14:textId="77777777" w:rsidR="00067B8F" w:rsidRDefault="00067B8F" w:rsidP="00067B8F">
      <w:pPr>
        <w:rPr>
          <w:rtl/>
        </w:rPr>
      </w:pPr>
    </w:p>
    <w:p w14:paraId="004B1199" w14:textId="77777777" w:rsidR="00067B8F" w:rsidRDefault="00067B8F" w:rsidP="00067B8F">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5AEED267" w14:textId="77777777" w:rsidR="00067B8F" w:rsidRPr="00067B8F" w:rsidRDefault="00067B8F" w:rsidP="00067B8F">
      <w:pPr>
        <w:jc w:val="center"/>
        <w:rPr>
          <w:color w:val="0000FF"/>
          <w:u w:val="single"/>
        </w:rPr>
      </w:pPr>
    </w:p>
    <w:sectPr w:rsidR="00067B8F" w:rsidRPr="00067B8F" w:rsidSect="00067B8F">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B44762" w14:textId="77777777" w:rsidR="00F916A8" w:rsidRDefault="00F916A8" w:rsidP="00FF22CA">
      <w:r>
        <w:separator/>
      </w:r>
    </w:p>
  </w:endnote>
  <w:endnote w:type="continuationSeparator" w:id="0">
    <w:p w14:paraId="68368210" w14:textId="77777777" w:rsidR="00F916A8" w:rsidRDefault="00F916A8" w:rsidP="00FF2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124626" w14:textId="77777777" w:rsidR="00067B8F" w:rsidRDefault="00067B8F" w:rsidP="00067B8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01A142A" w14:textId="77777777" w:rsidR="00D23C33" w:rsidRPr="00067B8F" w:rsidRDefault="00067B8F" w:rsidP="00067B8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4ADAB" w14:textId="77777777" w:rsidR="00067B8F" w:rsidRDefault="00067B8F" w:rsidP="00067B8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C2F91">
      <w:rPr>
        <w:rFonts w:ascii="FrankRuehl" w:hAnsi="FrankRuehl" w:cs="FrankRuehl"/>
        <w:noProof/>
        <w:rtl/>
      </w:rPr>
      <w:t>1</w:t>
    </w:r>
    <w:r>
      <w:rPr>
        <w:rFonts w:ascii="FrankRuehl" w:hAnsi="FrankRuehl" w:cs="FrankRuehl"/>
        <w:rtl/>
      </w:rPr>
      <w:fldChar w:fldCharType="end"/>
    </w:r>
  </w:p>
  <w:p w14:paraId="4E87355D" w14:textId="77777777" w:rsidR="00D23C33" w:rsidRPr="00067B8F" w:rsidRDefault="00067B8F" w:rsidP="00067B8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BB812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9A75B3" w14:textId="77777777" w:rsidR="00F916A8" w:rsidRDefault="00F916A8" w:rsidP="00FF22CA">
      <w:r>
        <w:separator/>
      </w:r>
    </w:p>
  </w:footnote>
  <w:footnote w:type="continuationSeparator" w:id="0">
    <w:p w14:paraId="58D2C85A" w14:textId="77777777" w:rsidR="00F916A8" w:rsidRDefault="00F916A8" w:rsidP="00FF22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13C53" w14:textId="77777777" w:rsidR="00067B8F" w:rsidRPr="00067B8F" w:rsidRDefault="00067B8F" w:rsidP="00067B8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38478-03-19</w:t>
    </w:r>
    <w:r>
      <w:rPr>
        <w:rFonts w:ascii="David" w:hAnsi="David"/>
        <w:color w:val="000000"/>
        <w:sz w:val="22"/>
        <w:szCs w:val="22"/>
        <w:rtl/>
      </w:rPr>
      <w:tab/>
      <w:t xml:space="preserve"> מדינת ישראל נ' איתי בדיחי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1D0B6" w14:textId="77777777" w:rsidR="00067B8F" w:rsidRPr="00067B8F" w:rsidRDefault="00067B8F" w:rsidP="00067B8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38478-03-19</w:t>
    </w:r>
    <w:r>
      <w:rPr>
        <w:rFonts w:ascii="David" w:hAnsi="David"/>
        <w:color w:val="000000"/>
        <w:sz w:val="22"/>
        <w:szCs w:val="22"/>
        <w:rtl/>
      </w:rPr>
      <w:tab/>
      <w:t xml:space="preserve"> מדינת ישראל נ' איתי בדיחי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5B689C"/>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2467619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21334"/>
    <w:rsid w:val="00021334"/>
    <w:rsid w:val="00067B8F"/>
    <w:rsid w:val="000C54D5"/>
    <w:rsid w:val="00381020"/>
    <w:rsid w:val="005E6AC5"/>
    <w:rsid w:val="00BC7A77"/>
    <w:rsid w:val="00CC2F91"/>
    <w:rsid w:val="00D23C33"/>
    <w:rsid w:val="00DA75C9"/>
    <w:rsid w:val="00F916A8"/>
    <w:rsid w:val="00FF22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726E407"/>
  <w15:chartTrackingRefBased/>
  <w15:docId w15:val="{6B51827B-E3DB-4BA1-948D-0E9235BFA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2133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21334"/>
    <w:pPr>
      <w:tabs>
        <w:tab w:val="center" w:pos="4153"/>
        <w:tab w:val="right" w:pos="8306"/>
      </w:tabs>
    </w:pPr>
  </w:style>
  <w:style w:type="character" w:customStyle="1" w:styleId="a4">
    <w:name w:val="כותרת עליונה תו"/>
    <w:link w:val="a3"/>
    <w:rsid w:val="00021334"/>
    <w:rPr>
      <w:rFonts w:ascii="Times New Roman" w:eastAsia="Times New Roman" w:hAnsi="Times New Roman" w:cs="David"/>
      <w:sz w:val="24"/>
      <w:szCs w:val="24"/>
    </w:rPr>
  </w:style>
  <w:style w:type="paragraph" w:styleId="a5">
    <w:name w:val="footer"/>
    <w:basedOn w:val="a"/>
    <w:link w:val="a6"/>
    <w:rsid w:val="00021334"/>
    <w:pPr>
      <w:tabs>
        <w:tab w:val="center" w:pos="4153"/>
        <w:tab w:val="right" w:pos="8306"/>
      </w:tabs>
    </w:pPr>
  </w:style>
  <w:style w:type="character" w:customStyle="1" w:styleId="a6">
    <w:name w:val="כותרת תחתונה תו"/>
    <w:link w:val="a5"/>
    <w:rsid w:val="00021334"/>
    <w:rPr>
      <w:rFonts w:ascii="Times New Roman" w:eastAsia="Times New Roman" w:hAnsi="Times New Roman" w:cs="David"/>
      <w:sz w:val="24"/>
      <w:szCs w:val="24"/>
    </w:rPr>
  </w:style>
  <w:style w:type="table" w:styleId="a7">
    <w:name w:val="Table Grid"/>
    <w:basedOn w:val="a1"/>
    <w:rsid w:val="0002133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21334"/>
  </w:style>
  <w:style w:type="character" w:styleId="Hyperlink">
    <w:name w:val="Hyperlink"/>
    <w:rsid w:val="00067B8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5"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0301/40ja" TargetMode="External"/><Relationship Id="rId3" Type="http://schemas.openxmlformats.org/officeDocument/2006/relationships/settings" Target="settings.xml"/><Relationship Id="rId21" Type="http://schemas.openxmlformats.org/officeDocument/2006/relationships/hyperlink" Target="http://www.nevo.co.il/case/23827604" TargetMode="External"/><Relationship Id="rId34" Type="http://schemas.openxmlformats.org/officeDocument/2006/relationships/theme" Target="theme/theme1.xm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01/25" TargetMode="External"/><Relationship Id="rId25" Type="http://schemas.openxmlformats.org/officeDocument/2006/relationships/hyperlink" Target="http://www.nevo.co.il/case/13093721"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4216/13;19.a" TargetMode="External"/><Relationship Id="rId20" Type="http://schemas.openxmlformats.org/officeDocument/2006/relationships/hyperlink" Target="http://www.nevo.co.il/case/25534517"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23814688"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40ja" TargetMode="External"/><Relationship Id="rId23" Type="http://schemas.openxmlformats.org/officeDocument/2006/relationships/hyperlink" Target="http://www.nevo.co.il/law/70301"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4216/13" TargetMode="External"/><Relationship Id="rId19" Type="http://schemas.openxmlformats.org/officeDocument/2006/relationships/hyperlink" Target="http://www.nevo.co.il/law/4216/7.a.;7.c"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i" TargetMode="External"/><Relationship Id="rId22" Type="http://schemas.openxmlformats.org/officeDocument/2006/relationships/hyperlink" Target="http://www.nevo.co.il/law/70301/40i" TargetMode="External"/><Relationship Id="rId27" Type="http://schemas.openxmlformats.org/officeDocument/2006/relationships/hyperlink" Target="http://www.nevo.co.il/law/70301" TargetMode="External"/><Relationship Id="rId30" Type="http://schemas.openxmlformats.org/officeDocument/2006/relationships/header" Target="header2.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1364</Words>
  <Characters>6822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8170</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7995492</vt:i4>
      </vt:variant>
      <vt:variant>
        <vt:i4>60</vt:i4>
      </vt:variant>
      <vt:variant>
        <vt:i4>0</vt:i4>
      </vt:variant>
      <vt:variant>
        <vt:i4>5</vt:i4>
      </vt:variant>
      <vt:variant>
        <vt:lpwstr>http://www.nevo.co.il/law/70301</vt:lpwstr>
      </vt:variant>
      <vt:variant>
        <vt:lpwstr/>
      </vt:variant>
      <vt:variant>
        <vt:i4>262155</vt:i4>
      </vt:variant>
      <vt:variant>
        <vt:i4>57</vt:i4>
      </vt:variant>
      <vt:variant>
        <vt:i4>0</vt:i4>
      </vt:variant>
      <vt:variant>
        <vt:i4>5</vt:i4>
      </vt:variant>
      <vt:variant>
        <vt:lpwstr>http://www.nevo.co.il/law/70301/40ja</vt:lpwstr>
      </vt:variant>
      <vt:variant>
        <vt:lpwstr/>
      </vt:variant>
      <vt:variant>
        <vt:i4>3145849</vt:i4>
      </vt:variant>
      <vt:variant>
        <vt:i4>54</vt:i4>
      </vt:variant>
      <vt:variant>
        <vt:i4>0</vt:i4>
      </vt:variant>
      <vt:variant>
        <vt:i4>5</vt:i4>
      </vt:variant>
      <vt:variant>
        <vt:lpwstr>http://www.nevo.co.il/case/13093721</vt:lpwstr>
      </vt:variant>
      <vt:variant>
        <vt:lpwstr/>
      </vt:variant>
      <vt:variant>
        <vt:i4>3539056</vt:i4>
      </vt:variant>
      <vt:variant>
        <vt:i4>51</vt:i4>
      </vt:variant>
      <vt:variant>
        <vt:i4>0</vt:i4>
      </vt:variant>
      <vt:variant>
        <vt:i4>5</vt:i4>
      </vt:variant>
      <vt:variant>
        <vt:lpwstr>http://www.nevo.co.il/case/23814688</vt:lpwstr>
      </vt:variant>
      <vt:variant>
        <vt:lpwstr/>
      </vt:variant>
      <vt:variant>
        <vt:i4>7995492</vt:i4>
      </vt:variant>
      <vt:variant>
        <vt:i4>48</vt:i4>
      </vt:variant>
      <vt:variant>
        <vt:i4>0</vt:i4>
      </vt:variant>
      <vt:variant>
        <vt:i4>5</vt:i4>
      </vt:variant>
      <vt:variant>
        <vt:lpwstr>http://www.nevo.co.il/law/70301</vt:lpwstr>
      </vt:variant>
      <vt:variant>
        <vt:lpwstr/>
      </vt:variant>
      <vt:variant>
        <vt:i4>6619233</vt:i4>
      </vt:variant>
      <vt:variant>
        <vt:i4>45</vt:i4>
      </vt:variant>
      <vt:variant>
        <vt:i4>0</vt:i4>
      </vt:variant>
      <vt:variant>
        <vt:i4>5</vt:i4>
      </vt:variant>
      <vt:variant>
        <vt:lpwstr>http://www.nevo.co.il/law/70301/40i</vt:lpwstr>
      </vt:variant>
      <vt:variant>
        <vt:lpwstr/>
      </vt:variant>
      <vt:variant>
        <vt:i4>3997811</vt:i4>
      </vt:variant>
      <vt:variant>
        <vt:i4>42</vt:i4>
      </vt:variant>
      <vt:variant>
        <vt:i4>0</vt:i4>
      </vt:variant>
      <vt:variant>
        <vt:i4>5</vt:i4>
      </vt:variant>
      <vt:variant>
        <vt:lpwstr>http://www.nevo.co.il/case/23827604</vt:lpwstr>
      </vt:variant>
      <vt:variant>
        <vt:lpwstr/>
      </vt:variant>
      <vt:variant>
        <vt:i4>3276919</vt:i4>
      </vt:variant>
      <vt:variant>
        <vt:i4>39</vt:i4>
      </vt:variant>
      <vt:variant>
        <vt:i4>0</vt:i4>
      </vt:variant>
      <vt:variant>
        <vt:i4>5</vt:i4>
      </vt:variant>
      <vt:variant>
        <vt:lpwstr>http://www.nevo.co.il/case/25534517</vt:lpwstr>
      </vt:variant>
      <vt:variant>
        <vt:lpwstr/>
      </vt:variant>
      <vt:variant>
        <vt:i4>3997821</vt:i4>
      </vt:variant>
      <vt:variant>
        <vt:i4>36</vt:i4>
      </vt:variant>
      <vt:variant>
        <vt:i4>0</vt:i4>
      </vt:variant>
      <vt:variant>
        <vt:i4>5</vt:i4>
      </vt:variant>
      <vt:variant>
        <vt:lpwstr>http://www.nevo.co.il/law/4216/7.a.;7.c</vt:lpwstr>
      </vt:variant>
      <vt:variant>
        <vt:lpwstr/>
      </vt:variant>
      <vt:variant>
        <vt:i4>7995492</vt:i4>
      </vt:variant>
      <vt:variant>
        <vt:i4>33</vt:i4>
      </vt:variant>
      <vt:variant>
        <vt:i4>0</vt:i4>
      </vt:variant>
      <vt:variant>
        <vt:i4>5</vt:i4>
      </vt:variant>
      <vt:variant>
        <vt:lpwstr>http://www.nevo.co.il/law/70301</vt:lpwstr>
      </vt:variant>
      <vt:variant>
        <vt:lpwstr/>
      </vt:variant>
      <vt:variant>
        <vt:i4>6291559</vt:i4>
      </vt:variant>
      <vt:variant>
        <vt:i4>30</vt:i4>
      </vt:variant>
      <vt:variant>
        <vt:i4>0</vt:i4>
      </vt:variant>
      <vt:variant>
        <vt:i4>5</vt:i4>
      </vt:variant>
      <vt:variant>
        <vt:lpwstr>http://www.nevo.co.il/law/70301/25</vt:lpwstr>
      </vt:variant>
      <vt:variant>
        <vt:lpwstr/>
      </vt:variant>
      <vt:variant>
        <vt:i4>2883686</vt:i4>
      </vt:variant>
      <vt:variant>
        <vt:i4>27</vt:i4>
      </vt:variant>
      <vt:variant>
        <vt:i4>0</vt:i4>
      </vt:variant>
      <vt:variant>
        <vt:i4>5</vt:i4>
      </vt:variant>
      <vt:variant>
        <vt:lpwstr>http://www.nevo.co.il/law/4216/13;19.a</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6291559</vt:i4>
      </vt:variant>
      <vt:variant>
        <vt:i4>18</vt:i4>
      </vt:variant>
      <vt:variant>
        <vt:i4>0</vt:i4>
      </vt:variant>
      <vt:variant>
        <vt:i4>5</vt:i4>
      </vt:variant>
      <vt:variant>
        <vt:lpwstr>http://www.nevo.co.il/law/70301/25</vt:lpwstr>
      </vt:variant>
      <vt:variant>
        <vt:lpwstr/>
      </vt:variant>
      <vt:variant>
        <vt:i4>7995492</vt:i4>
      </vt:variant>
      <vt:variant>
        <vt:i4>15</vt:i4>
      </vt:variant>
      <vt:variant>
        <vt:i4>0</vt:i4>
      </vt:variant>
      <vt:variant>
        <vt:i4>5</vt:i4>
      </vt:variant>
      <vt:variant>
        <vt:lpwstr>http://www.nevo.co.il/law/70301</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2025-04-23T00:06:00Z</dcterms:created>
  <dcterms:modified xsi:type="dcterms:W3CDTF">2025-04-23T00:06:00Z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38478</vt:lpwstr>
  </property>
  <property fmtid="{D5CDD505-2E9C-101B-9397-08002B2CF9AE}" pid="6" name="NEWPARTB">
    <vt:lpwstr>03</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איתי בדיחי</vt:lpwstr>
  </property>
  <property fmtid="{D5CDD505-2E9C-101B-9397-08002B2CF9AE}" pid="10" name="LAWYER">
    <vt:lpwstr>ליאור כהנא</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20191103</vt:lpwstr>
  </property>
  <property fmtid="{D5CDD505-2E9C-101B-9397-08002B2CF9AE}" pid="14" name="TYPE_N_DATE">
    <vt:lpwstr>38020191103</vt:lpwstr>
  </property>
  <property fmtid="{D5CDD505-2E9C-101B-9397-08002B2CF9AE}" pid="15" name="CASESLISTTMP1">
    <vt:lpwstr>25534517;23827604;23814688;13093721</vt:lpwstr>
  </property>
  <property fmtid="{D5CDD505-2E9C-101B-9397-08002B2CF9AE}" pid="16" name="WORDNUMPAGES">
    <vt:lpwstr>6</vt:lpwstr>
  </property>
  <property fmtid="{D5CDD505-2E9C-101B-9397-08002B2CF9AE}" pid="17" name="TYPE_ABS_DATE">
    <vt:lpwstr>380020191103</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4216/013;019.a;007.a;007.c</vt:lpwstr>
  </property>
  <property fmtid="{D5CDD505-2E9C-101B-9397-08002B2CF9AE}" pid="37" name="LAWLISTTMP2">
    <vt:lpwstr>70301/025;040i;40ja</vt:lpwstr>
  </property>
</Properties>
</file>