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953D01" w:rsidRPr="00D97193" w14:paraId="07306AAE" w14:textId="77777777" w:rsidTr="006C6BCD">
        <w:trPr>
          <w:trHeight w:hRule="exact" w:val="418"/>
          <w:jc w:val="center"/>
        </w:trPr>
        <w:tc>
          <w:tcPr>
            <w:tcW w:w="8721" w:type="dxa"/>
            <w:gridSpan w:val="2"/>
          </w:tcPr>
          <w:p w14:paraId="19EBD3FE" w14:textId="77777777" w:rsidR="00953D01" w:rsidRPr="00D97193" w:rsidRDefault="00953D01" w:rsidP="0097325E">
            <w:pPr>
              <w:pStyle w:val="a3"/>
              <w:jc w:val="center"/>
              <w:rPr>
                <w:rFonts w:ascii="Tahoma" w:hAnsi="Tahoma" w:cs="Tahoma"/>
                <w:color w:val="000080"/>
                <w:rtl/>
              </w:rPr>
            </w:pPr>
            <w:bookmarkStart w:id="0" w:name="LastJudge"/>
            <w:r w:rsidRPr="00D97193">
              <w:rPr>
                <w:rFonts w:ascii="Tahoma" w:hAnsi="Tahoma" w:cs="Tahoma"/>
                <w:b/>
                <w:bCs/>
                <w:color w:val="000080"/>
                <w:rtl/>
              </w:rPr>
              <w:t>בית משפט השלום בנצרת</w:t>
            </w:r>
          </w:p>
        </w:tc>
      </w:tr>
      <w:tr w:rsidR="00953D01" w:rsidRPr="00D97193" w14:paraId="46790126" w14:textId="77777777" w:rsidTr="006C6BCD">
        <w:trPr>
          <w:trHeight w:val="337"/>
          <w:jc w:val="center"/>
        </w:trPr>
        <w:tc>
          <w:tcPr>
            <w:tcW w:w="5060" w:type="dxa"/>
          </w:tcPr>
          <w:p w14:paraId="6779398D" w14:textId="77777777" w:rsidR="00953D01" w:rsidRPr="00D97193" w:rsidRDefault="00953D01" w:rsidP="0097325E">
            <w:pPr>
              <w:rPr>
                <w:rFonts w:ascii="David" w:hAnsi="David"/>
                <w:b/>
                <w:bCs/>
                <w:sz w:val="26"/>
                <w:szCs w:val="26"/>
                <w:rtl/>
              </w:rPr>
            </w:pPr>
            <w:r w:rsidRPr="00D97193">
              <w:rPr>
                <w:rFonts w:ascii="David" w:hAnsi="David"/>
                <w:b/>
                <w:bCs/>
                <w:sz w:val="26"/>
                <w:szCs w:val="26"/>
                <w:rtl/>
              </w:rPr>
              <w:t>ת"פ 46894-03-19 מדינת ישראל נ' ג'ומעה(עציר)</w:t>
            </w:r>
          </w:p>
        </w:tc>
        <w:tc>
          <w:tcPr>
            <w:tcW w:w="3661" w:type="dxa"/>
          </w:tcPr>
          <w:p w14:paraId="30A1B3BC" w14:textId="77777777" w:rsidR="00953D01" w:rsidRPr="00D97193" w:rsidRDefault="00953D01" w:rsidP="0097325E">
            <w:pPr>
              <w:pStyle w:val="a3"/>
              <w:jc w:val="right"/>
              <w:rPr>
                <w:rFonts w:cs="FrankRuehl"/>
                <w:sz w:val="28"/>
                <w:szCs w:val="28"/>
                <w:rtl/>
              </w:rPr>
            </w:pPr>
          </w:p>
        </w:tc>
      </w:tr>
    </w:tbl>
    <w:p w14:paraId="2B2DDE15" w14:textId="77777777" w:rsidR="00953D01" w:rsidRPr="00D97193" w:rsidRDefault="00953D01" w:rsidP="00953D01">
      <w:pPr>
        <w:pStyle w:val="a3"/>
        <w:rPr>
          <w:rtl/>
        </w:rPr>
      </w:pPr>
      <w:r w:rsidRPr="00D97193">
        <w:rPr>
          <w:rFonts w:hint="cs"/>
          <w:rtl/>
        </w:rPr>
        <w:t xml:space="preserve"> </w:t>
      </w:r>
    </w:p>
    <w:p w14:paraId="19AD85DA" w14:textId="77777777" w:rsidR="00953D01" w:rsidRPr="00D97193" w:rsidRDefault="00953D01" w:rsidP="00953D01">
      <w:pPr>
        <w:rPr>
          <w:rtl/>
        </w:rPr>
      </w:pPr>
    </w:p>
    <w:p w14:paraId="30F4B4D8" w14:textId="77777777" w:rsidR="00953D01" w:rsidRPr="00D97193" w:rsidRDefault="00953D01" w:rsidP="00953D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53D01" w:rsidRPr="00D97193" w14:paraId="3F9FFA95" w14:textId="77777777" w:rsidTr="00953D01">
        <w:trPr>
          <w:trHeight w:val="295"/>
          <w:jc w:val="center"/>
        </w:trPr>
        <w:tc>
          <w:tcPr>
            <w:tcW w:w="923" w:type="dxa"/>
            <w:tcBorders>
              <w:top w:val="nil"/>
              <w:left w:val="nil"/>
              <w:bottom w:val="nil"/>
              <w:right w:val="nil"/>
            </w:tcBorders>
            <w:shd w:val="clear" w:color="auto" w:fill="auto"/>
          </w:tcPr>
          <w:p w14:paraId="36CA823C" w14:textId="77777777" w:rsidR="00953D01" w:rsidRPr="00D97193" w:rsidRDefault="00953D01" w:rsidP="00953D01">
            <w:pPr>
              <w:jc w:val="both"/>
              <w:rPr>
                <w:rFonts w:ascii="David" w:hAnsi="David"/>
                <w:b/>
                <w:bCs/>
                <w:sz w:val="26"/>
                <w:szCs w:val="26"/>
              </w:rPr>
            </w:pPr>
            <w:r w:rsidRPr="00D9719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1F30161" w14:textId="77777777" w:rsidR="00953D01" w:rsidRPr="00D97193" w:rsidRDefault="00953D01" w:rsidP="0097325E">
            <w:pPr>
              <w:rPr>
                <w:rFonts w:ascii="David" w:hAnsi="David"/>
                <w:b/>
                <w:bCs/>
                <w:sz w:val="26"/>
                <w:szCs w:val="26"/>
                <w:rtl/>
              </w:rPr>
            </w:pPr>
            <w:r w:rsidRPr="00D97193">
              <w:rPr>
                <w:rFonts w:ascii="David" w:hAnsi="David"/>
                <w:b/>
                <w:bCs/>
                <w:sz w:val="26"/>
                <w:szCs w:val="26"/>
                <w:rtl/>
              </w:rPr>
              <w:t>כבוד השופטת  רות שפילברג כהן</w:t>
            </w:r>
          </w:p>
          <w:p w14:paraId="3288A7F4" w14:textId="77777777" w:rsidR="00953D01" w:rsidRPr="00D97193" w:rsidRDefault="00953D01" w:rsidP="00953D01">
            <w:pPr>
              <w:jc w:val="both"/>
              <w:rPr>
                <w:rFonts w:ascii="David" w:hAnsi="David"/>
                <w:b/>
                <w:bCs/>
                <w:sz w:val="26"/>
                <w:szCs w:val="26"/>
              </w:rPr>
            </w:pPr>
          </w:p>
        </w:tc>
      </w:tr>
      <w:tr w:rsidR="00953D01" w:rsidRPr="00D97193" w14:paraId="24020F64" w14:textId="77777777" w:rsidTr="00953D01">
        <w:trPr>
          <w:trHeight w:val="355"/>
          <w:jc w:val="center"/>
        </w:trPr>
        <w:tc>
          <w:tcPr>
            <w:tcW w:w="923" w:type="dxa"/>
            <w:tcBorders>
              <w:top w:val="nil"/>
              <w:left w:val="nil"/>
              <w:bottom w:val="nil"/>
              <w:right w:val="nil"/>
            </w:tcBorders>
            <w:shd w:val="clear" w:color="auto" w:fill="auto"/>
          </w:tcPr>
          <w:p w14:paraId="775CEFC8" w14:textId="77777777" w:rsidR="00953D01" w:rsidRPr="00D97193" w:rsidRDefault="00953D01" w:rsidP="00953D01">
            <w:pPr>
              <w:jc w:val="both"/>
              <w:rPr>
                <w:rFonts w:ascii="David" w:hAnsi="David"/>
                <w:b/>
                <w:bCs/>
                <w:sz w:val="26"/>
                <w:szCs w:val="26"/>
              </w:rPr>
            </w:pPr>
            <w:bookmarkStart w:id="1" w:name="FirstAppellant"/>
            <w:r w:rsidRPr="00D97193">
              <w:rPr>
                <w:rFonts w:ascii="David" w:hAnsi="David"/>
                <w:b/>
                <w:bCs/>
                <w:sz w:val="26"/>
                <w:szCs w:val="26"/>
                <w:rtl/>
              </w:rPr>
              <w:t>בעניין:</w:t>
            </w:r>
          </w:p>
        </w:tc>
        <w:tc>
          <w:tcPr>
            <w:tcW w:w="4126" w:type="dxa"/>
            <w:tcBorders>
              <w:top w:val="nil"/>
              <w:left w:val="nil"/>
              <w:bottom w:val="nil"/>
              <w:right w:val="nil"/>
            </w:tcBorders>
            <w:shd w:val="clear" w:color="auto" w:fill="auto"/>
          </w:tcPr>
          <w:p w14:paraId="4367BAB3" w14:textId="77777777" w:rsidR="00953D01" w:rsidRPr="00D97193" w:rsidRDefault="00953D01" w:rsidP="0097325E">
            <w:pPr>
              <w:rPr>
                <w:rFonts w:ascii="David" w:hAnsi="David"/>
                <w:b/>
                <w:bCs/>
                <w:sz w:val="26"/>
                <w:szCs w:val="26"/>
              </w:rPr>
            </w:pPr>
            <w:r w:rsidRPr="00D97193">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D72465B" w14:textId="77777777" w:rsidR="00953D01" w:rsidRPr="00D97193" w:rsidRDefault="00953D01" w:rsidP="00953D01">
            <w:pPr>
              <w:jc w:val="both"/>
              <w:rPr>
                <w:rFonts w:ascii="David" w:hAnsi="David"/>
                <w:b/>
                <w:bCs/>
                <w:sz w:val="26"/>
                <w:szCs w:val="26"/>
              </w:rPr>
            </w:pPr>
          </w:p>
        </w:tc>
      </w:tr>
      <w:bookmarkEnd w:id="1"/>
      <w:tr w:rsidR="00953D01" w:rsidRPr="00D97193" w14:paraId="4DBFB352" w14:textId="77777777" w:rsidTr="00953D01">
        <w:trPr>
          <w:trHeight w:val="355"/>
          <w:jc w:val="center"/>
        </w:trPr>
        <w:tc>
          <w:tcPr>
            <w:tcW w:w="923" w:type="dxa"/>
            <w:tcBorders>
              <w:top w:val="nil"/>
              <w:left w:val="nil"/>
              <w:bottom w:val="nil"/>
              <w:right w:val="nil"/>
            </w:tcBorders>
            <w:shd w:val="clear" w:color="auto" w:fill="auto"/>
          </w:tcPr>
          <w:p w14:paraId="7E152C64" w14:textId="77777777" w:rsidR="00953D01" w:rsidRPr="00D97193" w:rsidRDefault="00953D01" w:rsidP="00953D01">
            <w:pPr>
              <w:jc w:val="both"/>
              <w:rPr>
                <w:rFonts w:ascii="David" w:hAnsi="David"/>
                <w:b/>
                <w:bCs/>
                <w:sz w:val="26"/>
                <w:szCs w:val="26"/>
                <w:rtl/>
              </w:rPr>
            </w:pPr>
          </w:p>
        </w:tc>
        <w:tc>
          <w:tcPr>
            <w:tcW w:w="4126" w:type="dxa"/>
            <w:tcBorders>
              <w:top w:val="nil"/>
              <w:left w:val="nil"/>
              <w:bottom w:val="nil"/>
              <w:right w:val="nil"/>
            </w:tcBorders>
            <w:shd w:val="clear" w:color="auto" w:fill="auto"/>
          </w:tcPr>
          <w:p w14:paraId="0D54F9F5" w14:textId="77777777" w:rsidR="00953D01" w:rsidRPr="00D97193" w:rsidRDefault="00953D01" w:rsidP="00953D01">
            <w:pPr>
              <w:jc w:val="both"/>
              <w:rPr>
                <w:rFonts w:ascii="David" w:hAnsi="David"/>
                <w:b/>
                <w:bCs/>
                <w:sz w:val="26"/>
                <w:szCs w:val="26"/>
                <w:rtl/>
              </w:rPr>
            </w:pPr>
          </w:p>
        </w:tc>
        <w:tc>
          <w:tcPr>
            <w:tcW w:w="3771" w:type="dxa"/>
            <w:tcBorders>
              <w:top w:val="nil"/>
              <w:left w:val="nil"/>
              <w:bottom w:val="nil"/>
              <w:right w:val="nil"/>
            </w:tcBorders>
            <w:shd w:val="clear" w:color="auto" w:fill="auto"/>
          </w:tcPr>
          <w:p w14:paraId="1005E8C6" w14:textId="77777777" w:rsidR="00953D01" w:rsidRPr="00D97193" w:rsidRDefault="00953D01" w:rsidP="00953D01">
            <w:pPr>
              <w:jc w:val="right"/>
              <w:rPr>
                <w:rFonts w:ascii="David" w:hAnsi="David"/>
                <w:b/>
                <w:bCs/>
                <w:sz w:val="26"/>
                <w:szCs w:val="26"/>
                <w:rtl/>
              </w:rPr>
            </w:pPr>
            <w:r w:rsidRPr="00D97193">
              <w:rPr>
                <w:rFonts w:ascii="David" w:hAnsi="David"/>
                <w:b/>
                <w:bCs/>
                <w:sz w:val="26"/>
                <w:szCs w:val="26"/>
                <w:rtl/>
              </w:rPr>
              <w:t>המאשימה</w:t>
            </w:r>
          </w:p>
        </w:tc>
      </w:tr>
      <w:tr w:rsidR="00953D01" w:rsidRPr="00D97193" w14:paraId="3EEDDE8F" w14:textId="77777777" w:rsidTr="00953D01">
        <w:trPr>
          <w:trHeight w:val="355"/>
          <w:jc w:val="center"/>
        </w:trPr>
        <w:tc>
          <w:tcPr>
            <w:tcW w:w="923" w:type="dxa"/>
            <w:tcBorders>
              <w:top w:val="nil"/>
              <w:left w:val="nil"/>
              <w:bottom w:val="nil"/>
              <w:right w:val="nil"/>
            </w:tcBorders>
            <w:shd w:val="clear" w:color="auto" w:fill="auto"/>
          </w:tcPr>
          <w:p w14:paraId="4E4F1DE4" w14:textId="77777777" w:rsidR="00953D01" w:rsidRPr="00D97193" w:rsidRDefault="00953D01" w:rsidP="00953D0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C3A8A25" w14:textId="77777777" w:rsidR="00953D01" w:rsidRPr="00D97193" w:rsidRDefault="00953D01" w:rsidP="00953D01">
            <w:pPr>
              <w:jc w:val="center"/>
              <w:rPr>
                <w:rFonts w:ascii="David" w:hAnsi="David"/>
                <w:b/>
                <w:bCs/>
                <w:sz w:val="26"/>
                <w:szCs w:val="26"/>
                <w:rtl/>
              </w:rPr>
            </w:pPr>
          </w:p>
          <w:p w14:paraId="7CD290DE" w14:textId="77777777" w:rsidR="00953D01" w:rsidRPr="00D97193" w:rsidRDefault="00953D01" w:rsidP="00953D01">
            <w:pPr>
              <w:jc w:val="center"/>
              <w:rPr>
                <w:rFonts w:ascii="David" w:hAnsi="David"/>
                <w:b/>
                <w:bCs/>
                <w:sz w:val="26"/>
                <w:szCs w:val="26"/>
                <w:rtl/>
              </w:rPr>
            </w:pPr>
            <w:r w:rsidRPr="00D97193">
              <w:rPr>
                <w:rFonts w:ascii="David" w:hAnsi="David"/>
                <w:b/>
                <w:bCs/>
                <w:sz w:val="26"/>
                <w:szCs w:val="26"/>
                <w:rtl/>
              </w:rPr>
              <w:t>נגד</w:t>
            </w:r>
          </w:p>
          <w:p w14:paraId="350C9646" w14:textId="77777777" w:rsidR="00953D01" w:rsidRPr="00D97193" w:rsidRDefault="00953D01" w:rsidP="00953D01">
            <w:pPr>
              <w:jc w:val="both"/>
              <w:rPr>
                <w:rFonts w:ascii="David" w:hAnsi="David"/>
                <w:b/>
                <w:bCs/>
                <w:sz w:val="26"/>
                <w:szCs w:val="26"/>
              </w:rPr>
            </w:pPr>
          </w:p>
        </w:tc>
      </w:tr>
      <w:tr w:rsidR="00953D01" w:rsidRPr="00D97193" w14:paraId="2A5680C9" w14:textId="77777777" w:rsidTr="00953D01">
        <w:trPr>
          <w:trHeight w:val="355"/>
          <w:jc w:val="center"/>
        </w:trPr>
        <w:tc>
          <w:tcPr>
            <w:tcW w:w="923" w:type="dxa"/>
            <w:tcBorders>
              <w:top w:val="nil"/>
              <w:left w:val="nil"/>
              <w:bottom w:val="nil"/>
              <w:right w:val="nil"/>
            </w:tcBorders>
            <w:shd w:val="clear" w:color="auto" w:fill="auto"/>
          </w:tcPr>
          <w:p w14:paraId="467FF9B4" w14:textId="77777777" w:rsidR="00953D01" w:rsidRPr="00D97193" w:rsidRDefault="00953D01" w:rsidP="0097325E">
            <w:pPr>
              <w:rPr>
                <w:rFonts w:ascii="David" w:hAnsi="David"/>
                <w:b/>
                <w:bCs/>
                <w:sz w:val="26"/>
                <w:szCs w:val="26"/>
                <w:rtl/>
              </w:rPr>
            </w:pPr>
          </w:p>
        </w:tc>
        <w:tc>
          <w:tcPr>
            <w:tcW w:w="4126" w:type="dxa"/>
            <w:tcBorders>
              <w:top w:val="nil"/>
              <w:left w:val="nil"/>
              <w:bottom w:val="nil"/>
              <w:right w:val="nil"/>
            </w:tcBorders>
            <w:shd w:val="clear" w:color="auto" w:fill="auto"/>
          </w:tcPr>
          <w:p w14:paraId="369B3B7E" w14:textId="77777777" w:rsidR="00953D01" w:rsidRPr="00D97193" w:rsidRDefault="00953D01" w:rsidP="0097325E">
            <w:pPr>
              <w:rPr>
                <w:rFonts w:ascii="David" w:hAnsi="David"/>
                <w:b/>
                <w:bCs/>
                <w:sz w:val="26"/>
                <w:szCs w:val="26"/>
                <w:rtl/>
              </w:rPr>
            </w:pPr>
            <w:r w:rsidRPr="00D97193">
              <w:rPr>
                <w:rFonts w:ascii="David" w:hAnsi="David"/>
                <w:b/>
                <w:bCs/>
                <w:sz w:val="26"/>
                <w:szCs w:val="26"/>
                <w:rtl/>
              </w:rPr>
              <w:t>קאסם ג'ומעה</w:t>
            </w:r>
          </w:p>
        </w:tc>
        <w:tc>
          <w:tcPr>
            <w:tcW w:w="3771" w:type="dxa"/>
            <w:tcBorders>
              <w:top w:val="nil"/>
              <w:left w:val="nil"/>
              <w:bottom w:val="nil"/>
              <w:right w:val="nil"/>
            </w:tcBorders>
            <w:shd w:val="clear" w:color="auto" w:fill="auto"/>
          </w:tcPr>
          <w:p w14:paraId="7C462716" w14:textId="77777777" w:rsidR="00953D01" w:rsidRPr="00D97193" w:rsidRDefault="00953D01" w:rsidP="00953D01">
            <w:pPr>
              <w:jc w:val="right"/>
              <w:rPr>
                <w:rFonts w:ascii="David" w:hAnsi="David"/>
                <w:b/>
                <w:bCs/>
                <w:sz w:val="26"/>
                <w:szCs w:val="26"/>
              </w:rPr>
            </w:pPr>
          </w:p>
        </w:tc>
      </w:tr>
      <w:tr w:rsidR="00953D01" w:rsidRPr="00D97193" w14:paraId="7DD8BC06" w14:textId="77777777" w:rsidTr="00953D01">
        <w:trPr>
          <w:trHeight w:val="355"/>
          <w:jc w:val="center"/>
        </w:trPr>
        <w:tc>
          <w:tcPr>
            <w:tcW w:w="923" w:type="dxa"/>
            <w:tcBorders>
              <w:top w:val="nil"/>
              <w:left w:val="nil"/>
              <w:bottom w:val="nil"/>
              <w:right w:val="nil"/>
            </w:tcBorders>
            <w:shd w:val="clear" w:color="auto" w:fill="auto"/>
          </w:tcPr>
          <w:p w14:paraId="53977A5B" w14:textId="77777777" w:rsidR="00953D01" w:rsidRPr="00D97193" w:rsidRDefault="00953D01" w:rsidP="00953D01">
            <w:pPr>
              <w:jc w:val="both"/>
              <w:rPr>
                <w:rFonts w:ascii="David" w:hAnsi="David"/>
                <w:b/>
                <w:bCs/>
                <w:sz w:val="26"/>
                <w:szCs w:val="26"/>
                <w:rtl/>
              </w:rPr>
            </w:pPr>
          </w:p>
        </w:tc>
        <w:tc>
          <w:tcPr>
            <w:tcW w:w="4126" w:type="dxa"/>
            <w:tcBorders>
              <w:top w:val="nil"/>
              <w:left w:val="nil"/>
              <w:bottom w:val="nil"/>
              <w:right w:val="nil"/>
            </w:tcBorders>
            <w:shd w:val="clear" w:color="auto" w:fill="auto"/>
          </w:tcPr>
          <w:p w14:paraId="753DDF01" w14:textId="77777777" w:rsidR="00953D01" w:rsidRPr="00D97193" w:rsidRDefault="00953D01" w:rsidP="00953D01">
            <w:pPr>
              <w:jc w:val="both"/>
              <w:rPr>
                <w:rFonts w:ascii="David" w:hAnsi="David"/>
                <w:b/>
                <w:bCs/>
                <w:sz w:val="26"/>
                <w:szCs w:val="26"/>
                <w:rtl/>
              </w:rPr>
            </w:pPr>
          </w:p>
        </w:tc>
        <w:tc>
          <w:tcPr>
            <w:tcW w:w="3771" w:type="dxa"/>
            <w:tcBorders>
              <w:top w:val="nil"/>
              <w:left w:val="nil"/>
              <w:bottom w:val="nil"/>
              <w:right w:val="nil"/>
            </w:tcBorders>
            <w:shd w:val="clear" w:color="auto" w:fill="auto"/>
          </w:tcPr>
          <w:p w14:paraId="61A1236B" w14:textId="77777777" w:rsidR="00953D01" w:rsidRPr="00D97193" w:rsidRDefault="00953D01" w:rsidP="00953D01">
            <w:pPr>
              <w:jc w:val="right"/>
              <w:rPr>
                <w:rFonts w:ascii="David" w:hAnsi="David"/>
                <w:b/>
                <w:bCs/>
                <w:sz w:val="26"/>
                <w:szCs w:val="26"/>
              </w:rPr>
            </w:pPr>
            <w:r w:rsidRPr="00D97193">
              <w:rPr>
                <w:rFonts w:ascii="David" w:hAnsi="David"/>
                <w:b/>
                <w:bCs/>
                <w:sz w:val="26"/>
                <w:szCs w:val="26"/>
                <w:rtl/>
              </w:rPr>
              <w:t>הנאשם</w:t>
            </w:r>
          </w:p>
        </w:tc>
      </w:tr>
    </w:tbl>
    <w:p w14:paraId="7EB2318E" w14:textId="77777777" w:rsidR="006C6BCD" w:rsidRDefault="006C6BCD" w:rsidP="00953D01">
      <w:pPr>
        <w:rPr>
          <w:rFonts w:ascii="David" w:hAnsi="David"/>
          <w:sz w:val="26"/>
          <w:szCs w:val="26"/>
          <w:rtl/>
        </w:rPr>
      </w:pPr>
      <w:bookmarkStart w:id="2" w:name="LawTable"/>
      <w:bookmarkEnd w:id="2"/>
    </w:p>
    <w:p w14:paraId="15240CB3" w14:textId="77777777" w:rsidR="006C6BCD" w:rsidRPr="006C6BCD" w:rsidRDefault="006C6BCD" w:rsidP="006C6BCD">
      <w:pPr>
        <w:spacing w:after="120" w:line="240" w:lineRule="exact"/>
        <w:ind w:left="283" w:hanging="283"/>
        <w:jc w:val="both"/>
        <w:rPr>
          <w:rFonts w:ascii="FrankRuehl" w:hAnsi="FrankRuehl" w:cs="FrankRuehl"/>
          <w:rtl/>
        </w:rPr>
      </w:pPr>
    </w:p>
    <w:p w14:paraId="2307E919" w14:textId="77777777" w:rsidR="006C6BCD" w:rsidRPr="006C6BCD" w:rsidRDefault="006C6BCD" w:rsidP="006C6BCD">
      <w:pPr>
        <w:spacing w:after="120" w:line="240" w:lineRule="exact"/>
        <w:ind w:left="283" w:hanging="283"/>
        <w:jc w:val="both"/>
        <w:rPr>
          <w:rFonts w:ascii="FrankRuehl" w:hAnsi="FrankRuehl" w:cs="FrankRuehl"/>
          <w:rtl/>
        </w:rPr>
      </w:pPr>
      <w:r w:rsidRPr="006C6BCD">
        <w:rPr>
          <w:rFonts w:ascii="FrankRuehl" w:hAnsi="FrankRuehl" w:cs="FrankRuehl"/>
          <w:rtl/>
        </w:rPr>
        <w:t xml:space="preserve">חקיקה שאוזכרה: </w:t>
      </w:r>
    </w:p>
    <w:p w14:paraId="01863529" w14:textId="77777777" w:rsidR="006C6BCD" w:rsidRPr="006C6BCD" w:rsidRDefault="006C6BCD" w:rsidP="006C6BCD">
      <w:pPr>
        <w:spacing w:after="120" w:line="240" w:lineRule="exact"/>
        <w:ind w:left="283" w:hanging="283"/>
        <w:jc w:val="both"/>
        <w:rPr>
          <w:rFonts w:ascii="FrankRuehl" w:hAnsi="FrankRuehl" w:cs="FrankRuehl"/>
          <w:rtl/>
        </w:rPr>
      </w:pPr>
      <w:hyperlink r:id="rId6" w:history="1">
        <w:r w:rsidRPr="006C6BCD">
          <w:rPr>
            <w:rFonts w:ascii="FrankRuehl" w:hAnsi="FrankRuehl" w:cs="FrankRuehl"/>
            <w:color w:val="0000FF"/>
            <w:u w:val="single"/>
            <w:rtl/>
          </w:rPr>
          <w:t>פקודת הסמים המסוכנים [נוסח חדש], תשל"ג-1973</w:t>
        </w:r>
      </w:hyperlink>
      <w:r w:rsidRPr="006C6BCD">
        <w:rPr>
          <w:rFonts w:ascii="FrankRuehl" w:hAnsi="FrankRuehl" w:cs="FrankRuehl"/>
          <w:rtl/>
        </w:rPr>
        <w:t xml:space="preserve">: סע'  </w:t>
      </w:r>
      <w:hyperlink r:id="rId7" w:history="1">
        <w:r w:rsidRPr="006C6BCD">
          <w:rPr>
            <w:rFonts w:ascii="FrankRuehl" w:hAnsi="FrankRuehl" w:cs="FrankRuehl"/>
            <w:color w:val="0000FF"/>
            <w:u w:val="single"/>
            <w:rtl/>
          </w:rPr>
          <w:t>7.א.</w:t>
        </w:r>
      </w:hyperlink>
      <w:r w:rsidRPr="006C6BCD">
        <w:rPr>
          <w:rFonts w:ascii="FrankRuehl" w:hAnsi="FrankRuehl" w:cs="FrankRuehl"/>
          <w:rtl/>
        </w:rPr>
        <w:t xml:space="preserve">, </w:t>
      </w:r>
      <w:hyperlink r:id="rId8" w:history="1">
        <w:r w:rsidRPr="006C6BCD">
          <w:rPr>
            <w:rFonts w:ascii="FrankRuehl" w:hAnsi="FrankRuehl" w:cs="FrankRuehl"/>
            <w:color w:val="0000FF"/>
            <w:u w:val="single"/>
            <w:rtl/>
          </w:rPr>
          <w:t>7.ג</w:t>
        </w:r>
      </w:hyperlink>
      <w:r w:rsidRPr="006C6BCD">
        <w:rPr>
          <w:rFonts w:ascii="FrankRuehl" w:hAnsi="FrankRuehl" w:cs="FrankRuehl"/>
          <w:rtl/>
        </w:rPr>
        <w:t xml:space="preserve">, </w:t>
      </w:r>
      <w:hyperlink r:id="rId9" w:history="1">
        <w:r w:rsidRPr="006C6BCD">
          <w:rPr>
            <w:rFonts w:ascii="FrankRuehl" w:hAnsi="FrankRuehl" w:cs="FrankRuehl"/>
            <w:color w:val="0000FF"/>
            <w:u w:val="single"/>
            <w:rtl/>
          </w:rPr>
          <w:t>31(3)</w:t>
        </w:r>
      </w:hyperlink>
      <w:r w:rsidRPr="006C6BCD">
        <w:rPr>
          <w:rFonts w:ascii="FrankRuehl" w:hAnsi="FrankRuehl" w:cs="FrankRuehl"/>
          <w:rtl/>
        </w:rPr>
        <w:t xml:space="preserve">, </w:t>
      </w:r>
      <w:hyperlink r:id="rId10" w:history="1">
        <w:r w:rsidRPr="006C6BCD">
          <w:rPr>
            <w:rFonts w:ascii="FrankRuehl" w:hAnsi="FrankRuehl" w:cs="FrankRuehl"/>
            <w:color w:val="0000FF"/>
            <w:u w:val="single"/>
            <w:rtl/>
          </w:rPr>
          <w:t>31(6)</w:t>
        </w:r>
      </w:hyperlink>
      <w:r w:rsidRPr="006C6BCD">
        <w:rPr>
          <w:rFonts w:ascii="FrankRuehl" w:hAnsi="FrankRuehl" w:cs="FrankRuehl"/>
          <w:rtl/>
        </w:rPr>
        <w:t xml:space="preserve">, </w:t>
      </w:r>
      <w:hyperlink r:id="rId11" w:history="1">
        <w:r w:rsidRPr="006C6BCD">
          <w:rPr>
            <w:rFonts w:ascii="FrankRuehl" w:hAnsi="FrankRuehl" w:cs="FrankRuehl"/>
            <w:color w:val="0000FF"/>
            <w:u w:val="single"/>
            <w:rtl/>
          </w:rPr>
          <w:t>36א'</w:t>
        </w:r>
      </w:hyperlink>
      <w:r w:rsidRPr="006C6BCD">
        <w:rPr>
          <w:rFonts w:ascii="FrankRuehl" w:hAnsi="FrankRuehl" w:cs="FrankRuehl"/>
          <w:rtl/>
        </w:rPr>
        <w:t xml:space="preserve">, </w:t>
      </w:r>
      <w:hyperlink r:id="rId12" w:history="1">
        <w:r w:rsidRPr="006C6BCD">
          <w:rPr>
            <w:rFonts w:ascii="FrankRuehl" w:hAnsi="FrankRuehl" w:cs="FrankRuehl"/>
            <w:color w:val="0000FF"/>
            <w:u w:val="single"/>
            <w:rtl/>
          </w:rPr>
          <w:t>36א(ב)</w:t>
        </w:r>
      </w:hyperlink>
    </w:p>
    <w:p w14:paraId="14B2078A" w14:textId="77777777" w:rsidR="006C6BCD" w:rsidRPr="006C6BCD" w:rsidRDefault="006C6BCD" w:rsidP="006C6BCD">
      <w:pPr>
        <w:spacing w:after="120" w:line="240" w:lineRule="exact"/>
        <w:ind w:left="283" w:hanging="283"/>
        <w:jc w:val="both"/>
        <w:rPr>
          <w:rFonts w:ascii="FrankRuehl" w:hAnsi="FrankRuehl" w:cs="FrankRuehl"/>
          <w:rtl/>
        </w:rPr>
      </w:pPr>
      <w:hyperlink r:id="rId13" w:history="1">
        <w:r w:rsidRPr="006C6BCD">
          <w:rPr>
            <w:rFonts w:ascii="FrankRuehl" w:hAnsi="FrankRuehl" w:cs="FrankRuehl"/>
            <w:color w:val="0000FF"/>
            <w:u w:val="single"/>
            <w:rtl/>
          </w:rPr>
          <w:t>חוק העונשין, תשל"ז-1977</w:t>
        </w:r>
      </w:hyperlink>
      <w:r w:rsidRPr="006C6BCD">
        <w:rPr>
          <w:rFonts w:ascii="FrankRuehl" w:hAnsi="FrankRuehl" w:cs="FrankRuehl"/>
          <w:rtl/>
        </w:rPr>
        <w:t xml:space="preserve">: סע'  </w:t>
      </w:r>
      <w:hyperlink r:id="rId14" w:history="1">
        <w:r w:rsidRPr="006C6BCD">
          <w:rPr>
            <w:rFonts w:ascii="FrankRuehl" w:hAnsi="FrankRuehl" w:cs="FrankRuehl"/>
            <w:color w:val="0000FF"/>
            <w:u w:val="single"/>
            <w:rtl/>
          </w:rPr>
          <w:t>275</w:t>
        </w:r>
      </w:hyperlink>
    </w:p>
    <w:p w14:paraId="0CD801F8" w14:textId="77777777" w:rsidR="006C6BCD" w:rsidRPr="006C6BCD" w:rsidRDefault="006C6BCD" w:rsidP="006C6BCD">
      <w:pPr>
        <w:spacing w:after="120" w:line="240" w:lineRule="exact"/>
        <w:ind w:left="283" w:hanging="283"/>
        <w:jc w:val="both"/>
        <w:rPr>
          <w:rFonts w:ascii="FrankRuehl" w:hAnsi="FrankRuehl" w:cs="FrankRuehl"/>
          <w:rtl/>
        </w:rPr>
      </w:pPr>
      <w:hyperlink r:id="rId15" w:history="1">
        <w:r w:rsidRPr="006C6BCD">
          <w:rPr>
            <w:rFonts w:ascii="FrankRuehl" w:hAnsi="FrankRuehl" w:cs="FrankRuehl"/>
            <w:color w:val="0000FF"/>
            <w:u w:val="single"/>
            <w:rtl/>
          </w:rPr>
          <w:t>פקודת התעבורה [נוסח חדש]</w:t>
        </w:r>
      </w:hyperlink>
      <w:r w:rsidRPr="006C6BCD">
        <w:rPr>
          <w:rFonts w:ascii="FrankRuehl" w:hAnsi="FrankRuehl" w:cs="FrankRuehl"/>
          <w:rtl/>
        </w:rPr>
        <w:t xml:space="preserve">: סע'  </w:t>
      </w:r>
      <w:hyperlink r:id="rId16" w:history="1">
        <w:r w:rsidRPr="006C6BCD">
          <w:rPr>
            <w:rFonts w:ascii="FrankRuehl" w:hAnsi="FrankRuehl" w:cs="FrankRuehl"/>
            <w:color w:val="0000FF"/>
            <w:u w:val="single"/>
            <w:rtl/>
          </w:rPr>
          <w:t>10.א.</w:t>
        </w:r>
      </w:hyperlink>
      <w:r w:rsidRPr="006C6BCD">
        <w:rPr>
          <w:rFonts w:ascii="FrankRuehl" w:hAnsi="FrankRuehl" w:cs="FrankRuehl"/>
          <w:rtl/>
        </w:rPr>
        <w:t xml:space="preserve">, </w:t>
      </w:r>
      <w:hyperlink r:id="rId17" w:history="1">
        <w:r w:rsidRPr="006C6BCD">
          <w:rPr>
            <w:rFonts w:ascii="FrankRuehl" w:hAnsi="FrankRuehl" w:cs="FrankRuehl"/>
            <w:color w:val="0000FF"/>
            <w:u w:val="single"/>
            <w:rtl/>
          </w:rPr>
          <w:t>67</w:t>
        </w:r>
      </w:hyperlink>
    </w:p>
    <w:p w14:paraId="55D034FC" w14:textId="77777777" w:rsidR="006C6BCD" w:rsidRPr="006C6BCD" w:rsidRDefault="006C6BCD" w:rsidP="006C6BCD">
      <w:pPr>
        <w:spacing w:after="120" w:line="240" w:lineRule="exact"/>
        <w:ind w:left="283" w:hanging="283"/>
        <w:jc w:val="both"/>
        <w:rPr>
          <w:rFonts w:ascii="FrankRuehl" w:hAnsi="FrankRuehl" w:cs="FrankRuehl"/>
          <w:rtl/>
        </w:rPr>
      </w:pPr>
      <w:hyperlink r:id="rId18" w:history="1">
        <w:r w:rsidRPr="006C6BCD">
          <w:rPr>
            <w:rFonts w:ascii="FrankRuehl" w:hAnsi="FrankRuehl" w:cs="FrankRuehl"/>
            <w:color w:val="0000FF"/>
            <w:u w:val="single"/>
            <w:rtl/>
          </w:rPr>
          <w:t>תקנות התעבורה, תשכ"א-1961 - לא מרובדות</w:t>
        </w:r>
      </w:hyperlink>
      <w:r w:rsidRPr="006C6BCD">
        <w:rPr>
          <w:rFonts w:ascii="FrankRuehl" w:hAnsi="FrankRuehl" w:cs="FrankRuehl"/>
          <w:rtl/>
        </w:rPr>
        <w:t xml:space="preserve">: סע'  </w:t>
      </w:r>
      <w:hyperlink r:id="rId19" w:history="1">
        <w:r w:rsidRPr="006C6BCD">
          <w:rPr>
            <w:rFonts w:ascii="FrankRuehl" w:hAnsi="FrankRuehl" w:cs="FrankRuehl"/>
            <w:color w:val="0000FF"/>
            <w:u w:val="single"/>
            <w:rtl/>
          </w:rPr>
          <w:t>36(ג)</w:t>
        </w:r>
      </w:hyperlink>
    </w:p>
    <w:p w14:paraId="2F8D9E59" w14:textId="77777777" w:rsidR="006C6BCD" w:rsidRPr="006C6BCD" w:rsidRDefault="006C6BCD" w:rsidP="006C6BCD">
      <w:pPr>
        <w:spacing w:after="120" w:line="240" w:lineRule="exact"/>
        <w:ind w:left="283" w:hanging="283"/>
        <w:jc w:val="both"/>
        <w:rPr>
          <w:rFonts w:ascii="FrankRuehl" w:hAnsi="FrankRuehl" w:cs="FrankRuehl"/>
          <w:rtl/>
        </w:rPr>
      </w:pPr>
    </w:p>
    <w:p w14:paraId="6700829D" w14:textId="77777777" w:rsidR="006C6BCD" w:rsidRPr="006C6BCD" w:rsidRDefault="006C6BCD" w:rsidP="00953D01">
      <w:pPr>
        <w:rPr>
          <w:rFonts w:ascii="David" w:hAnsi="David"/>
          <w:sz w:val="26"/>
          <w:szCs w:val="26"/>
          <w:rtl/>
        </w:rPr>
      </w:pPr>
      <w:bookmarkStart w:id="3" w:name="LawTable_End"/>
      <w:bookmarkEnd w:id="3"/>
    </w:p>
    <w:p w14:paraId="199FA96A" w14:textId="77777777" w:rsidR="00D97193" w:rsidRPr="00D97193" w:rsidRDefault="00D97193" w:rsidP="00953D01">
      <w:pPr>
        <w:rPr>
          <w:rFonts w:ascii="David" w:hAnsi="David"/>
          <w:sz w:val="26"/>
          <w:szCs w:val="26"/>
          <w:rtl/>
        </w:rPr>
      </w:pPr>
    </w:p>
    <w:p w14:paraId="1D32FBF6" w14:textId="77777777" w:rsidR="00D97193" w:rsidRPr="00D97193" w:rsidRDefault="00D97193" w:rsidP="00953D01">
      <w:pPr>
        <w:rPr>
          <w:rFonts w:ascii="David" w:hAnsi="David"/>
          <w:b/>
          <w:bCs/>
          <w:sz w:val="26"/>
          <w:szCs w:val="26"/>
          <w:rtl/>
        </w:rPr>
      </w:pPr>
    </w:p>
    <w:p w14:paraId="47F8C58A" w14:textId="77777777" w:rsidR="00953D01" w:rsidRPr="00D97193" w:rsidRDefault="00953D01" w:rsidP="00953D01">
      <w:pPr>
        <w:rPr>
          <w:rFonts w:ascii="David" w:hAnsi="David"/>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3D01" w14:paraId="4D998A3B" w14:textId="77777777" w:rsidTr="00953D01">
        <w:trPr>
          <w:trHeight w:val="355"/>
          <w:jc w:val="center"/>
        </w:trPr>
        <w:tc>
          <w:tcPr>
            <w:tcW w:w="8820" w:type="dxa"/>
            <w:tcBorders>
              <w:top w:val="nil"/>
              <w:left w:val="nil"/>
              <w:bottom w:val="nil"/>
              <w:right w:val="nil"/>
            </w:tcBorders>
            <w:shd w:val="clear" w:color="auto" w:fill="auto"/>
          </w:tcPr>
          <w:p w14:paraId="2DBF0950" w14:textId="77777777" w:rsidR="00D97193" w:rsidRPr="00D97193" w:rsidRDefault="00D97193" w:rsidP="00D97193">
            <w:pPr>
              <w:jc w:val="center"/>
              <w:rPr>
                <w:rFonts w:ascii="David" w:hAnsi="David"/>
                <w:b/>
                <w:bCs/>
                <w:sz w:val="28"/>
                <w:szCs w:val="28"/>
                <w:u w:val="single"/>
                <w:rtl/>
              </w:rPr>
            </w:pPr>
            <w:bookmarkStart w:id="4" w:name="PsakDin" w:colFirst="0" w:colLast="0"/>
            <w:bookmarkEnd w:id="0"/>
            <w:r w:rsidRPr="00D97193">
              <w:rPr>
                <w:rFonts w:ascii="David" w:hAnsi="David"/>
                <w:b/>
                <w:bCs/>
                <w:sz w:val="28"/>
                <w:szCs w:val="28"/>
                <w:u w:val="single"/>
                <w:rtl/>
              </w:rPr>
              <w:t>גזר-דין</w:t>
            </w:r>
          </w:p>
          <w:p w14:paraId="14D51529" w14:textId="77777777" w:rsidR="00953D01" w:rsidRPr="00D97193" w:rsidRDefault="00953D01" w:rsidP="00D97193">
            <w:pPr>
              <w:jc w:val="center"/>
              <w:rPr>
                <w:rFonts w:ascii="David" w:hAnsi="David"/>
                <w:bCs/>
                <w:sz w:val="28"/>
                <w:szCs w:val="28"/>
                <w:u w:val="single"/>
                <w:rtl/>
              </w:rPr>
            </w:pPr>
          </w:p>
        </w:tc>
      </w:tr>
      <w:bookmarkEnd w:id="4"/>
    </w:tbl>
    <w:p w14:paraId="1658C617" w14:textId="77777777" w:rsidR="00953D01" w:rsidRPr="00B05847" w:rsidRDefault="00953D01" w:rsidP="00953D01">
      <w:pPr>
        <w:rPr>
          <w:rFonts w:ascii="Arial" w:hAnsi="Arial"/>
          <w:rtl/>
        </w:rPr>
      </w:pPr>
    </w:p>
    <w:p w14:paraId="66B40CDC" w14:textId="77777777" w:rsidR="00953D01" w:rsidRPr="00B05847" w:rsidRDefault="00953D01" w:rsidP="00953D01">
      <w:pPr>
        <w:rPr>
          <w:rFonts w:ascii="Arial" w:hAnsi="Arial"/>
          <w:rtl/>
        </w:rPr>
      </w:pPr>
    </w:p>
    <w:p w14:paraId="245E5014" w14:textId="77777777" w:rsidR="00953D01" w:rsidRDefault="00953D01" w:rsidP="00953D01">
      <w:pPr>
        <w:rPr>
          <w:b/>
          <w:bCs/>
          <w:u w:val="single"/>
        </w:rPr>
      </w:pPr>
      <w:r>
        <w:rPr>
          <w:rFonts w:hint="cs"/>
          <w:b/>
          <w:bCs/>
          <w:u w:val="single"/>
          <w:rtl/>
        </w:rPr>
        <w:t>כתב אישום ורקע</w:t>
      </w:r>
    </w:p>
    <w:p w14:paraId="5132E848" w14:textId="77777777" w:rsidR="00953D01" w:rsidRDefault="00953D01" w:rsidP="00953D01">
      <w:pPr>
        <w:rPr>
          <w:b/>
          <w:bCs/>
          <w:u w:val="single"/>
        </w:rPr>
      </w:pPr>
    </w:p>
    <w:p w14:paraId="2905E3E8" w14:textId="77777777" w:rsidR="00953D01" w:rsidRDefault="00953D01" w:rsidP="00953D01">
      <w:pPr>
        <w:rPr>
          <w:rFonts w:ascii="Arial" w:hAnsi="Arial"/>
          <w:rtl/>
        </w:rPr>
      </w:pPr>
    </w:p>
    <w:p w14:paraId="6204F546" w14:textId="77777777" w:rsidR="00953D01" w:rsidRDefault="00953D01" w:rsidP="00953D01">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הורשע בהתאם להודאתו, ובמסגרת הסדר טיעון, בעבירות של </w:t>
      </w:r>
      <w:r>
        <w:rPr>
          <w:rFonts w:hint="cs"/>
          <w:b/>
          <w:bCs/>
          <w:rtl/>
        </w:rPr>
        <w:t>החזקת סם מסוכן שלא לצריכה עצמית</w:t>
      </w:r>
      <w:r>
        <w:rPr>
          <w:rFonts w:hint="cs"/>
          <w:rtl/>
        </w:rPr>
        <w:t xml:space="preserve"> בהתאם </w:t>
      </w:r>
      <w:hyperlink r:id="rId20" w:history="1">
        <w:r w:rsidR="006C6BCD" w:rsidRPr="006C6BCD">
          <w:rPr>
            <w:color w:val="0000FF"/>
            <w:u w:val="single"/>
            <w:rtl/>
          </w:rPr>
          <w:t>לסעיף 7(א)+(ג)</w:t>
        </w:r>
      </w:hyperlink>
      <w:r>
        <w:rPr>
          <w:rFonts w:hint="cs"/>
          <w:rtl/>
        </w:rPr>
        <w:t xml:space="preserve"> רישא ל</w:t>
      </w:r>
      <w:hyperlink r:id="rId21" w:history="1">
        <w:r w:rsidR="00D97193" w:rsidRPr="00D97193">
          <w:rPr>
            <w:color w:val="0000FF"/>
            <w:u w:val="single"/>
            <w:rtl/>
          </w:rPr>
          <w:t>פקודת הסמים המסוכנים</w:t>
        </w:r>
      </w:hyperlink>
      <w:r>
        <w:rPr>
          <w:rFonts w:hint="cs"/>
          <w:rtl/>
        </w:rPr>
        <w:t xml:space="preserve"> [נוסח חדש], תשל"ג- 1973, </w:t>
      </w:r>
      <w:r>
        <w:rPr>
          <w:rFonts w:hint="cs"/>
          <w:b/>
          <w:bCs/>
          <w:rtl/>
        </w:rPr>
        <w:t>בהפרעה לשוטר במילוי תפקידו</w:t>
      </w:r>
      <w:r>
        <w:rPr>
          <w:rFonts w:hint="cs"/>
          <w:rtl/>
        </w:rPr>
        <w:t xml:space="preserve"> בהתאם </w:t>
      </w:r>
      <w:hyperlink r:id="rId22" w:history="1">
        <w:r w:rsidR="006C6BCD" w:rsidRPr="006C6BCD">
          <w:rPr>
            <w:color w:val="0000FF"/>
            <w:u w:val="single"/>
            <w:rtl/>
          </w:rPr>
          <w:t>לסעיף 275</w:t>
        </w:r>
      </w:hyperlink>
      <w:r>
        <w:rPr>
          <w:rFonts w:hint="cs"/>
          <w:rtl/>
        </w:rPr>
        <w:t xml:space="preserve"> ל</w:t>
      </w:r>
      <w:hyperlink r:id="rId23" w:history="1">
        <w:r w:rsidR="00D97193" w:rsidRPr="00D97193">
          <w:rPr>
            <w:color w:val="0000FF"/>
            <w:u w:val="single"/>
            <w:rtl/>
          </w:rPr>
          <w:t>חוק העונשין</w:t>
        </w:r>
      </w:hyperlink>
      <w:r>
        <w:rPr>
          <w:rFonts w:hint="cs"/>
          <w:rtl/>
        </w:rPr>
        <w:t xml:space="preserve">, תשל"ז- 1977, </w:t>
      </w:r>
      <w:r>
        <w:rPr>
          <w:rFonts w:hint="cs"/>
          <w:b/>
          <w:bCs/>
          <w:rtl/>
        </w:rPr>
        <w:t>בנהיגה ללא רישיון ובזמן פסילה</w:t>
      </w:r>
      <w:r>
        <w:rPr>
          <w:rFonts w:hint="cs"/>
          <w:rtl/>
        </w:rPr>
        <w:t xml:space="preserve"> בהתאם לסעיף </w:t>
      </w:r>
      <w:hyperlink r:id="rId24" w:history="1">
        <w:r w:rsidR="006C6BCD" w:rsidRPr="006C6BCD">
          <w:rPr>
            <w:color w:val="0000FF"/>
            <w:u w:val="single"/>
            <w:rtl/>
          </w:rPr>
          <w:t>10(א)+(67)</w:t>
        </w:r>
      </w:hyperlink>
      <w:r>
        <w:rPr>
          <w:rFonts w:hint="cs"/>
          <w:rtl/>
        </w:rPr>
        <w:t xml:space="preserve"> ל</w:t>
      </w:r>
      <w:hyperlink r:id="rId25" w:history="1">
        <w:r w:rsidR="00D97193" w:rsidRPr="00D97193">
          <w:rPr>
            <w:color w:val="0000FF"/>
            <w:u w:val="single"/>
            <w:rtl/>
          </w:rPr>
          <w:t>פקו</w:t>
        </w:r>
        <w:r w:rsidR="00D97193" w:rsidRPr="00D97193">
          <w:rPr>
            <w:color w:val="0000FF"/>
            <w:u w:val="single"/>
            <w:rtl/>
          </w:rPr>
          <w:t>ד</w:t>
        </w:r>
        <w:r w:rsidR="00D97193" w:rsidRPr="00D97193">
          <w:rPr>
            <w:color w:val="0000FF"/>
            <w:u w:val="single"/>
            <w:rtl/>
          </w:rPr>
          <w:t>ת התעבורה</w:t>
        </w:r>
      </w:hyperlink>
      <w:r>
        <w:rPr>
          <w:rFonts w:hint="cs"/>
          <w:rtl/>
        </w:rPr>
        <w:t xml:space="preserve"> [נוסח חדש], תשכ"א-1961 </w:t>
      </w:r>
      <w:r>
        <w:rPr>
          <w:rFonts w:hint="cs"/>
          <w:b/>
          <w:bCs/>
          <w:rtl/>
        </w:rPr>
        <w:t>ובחציית קו הפרדה רצוף</w:t>
      </w:r>
      <w:r>
        <w:rPr>
          <w:rFonts w:hint="cs"/>
          <w:rtl/>
        </w:rPr>
        <w:t xml:space="preserve"> בהתאם </w:t>
      </w:r>
      <w:hyperlink r:id="rId26" w:history="1">
        <w:r w:rsidR="006C6BCD" w:rsidRPr="006C6BCD">
          <w:rPr>
            <w:color w:val="0000FF"/>
            <w:u w:val="single"/>
            <w:rtl/>
          </w:rPr>
          <w:t>לסעיף 36(ג)</w:t>
        </w:r>
      </w:hyperlink>
      <w:r>
        <w:rPr>
          <w:rFonts w:hint="cs"/>
          <w:rtl/>
        </w:rPr>
        <w:t xml:space="preserve"> ל</w:t>
      </w:r>
      <w:hyperlink r:id="rId27" w:history="1">
        <w:r w:rsidR="00D97193" w:rsidRPr="00D97193">
          <w:rPr>
            <w:color w:val="0000FF"/>
            <w:u w:val="single"/>
            <w:rtl/>
          </w:rPr>
          <w:t>תקנות התעבורה</w:t>
        </w:r>
      </w:hyperlink>
      <w:r>
        <w:rPr>
          <w:rFonts w:hint="cs"/>
          <w:rtl/>
        </w:rPr>
        <w:t xml:space="preserve">, תשכ"א- 1961. </w:t>
      </w:r>
    </w:p>
    <w:p w14:paraId="73426EE5" w14:textId="77777777" w:rsidR="00953D01" w:rsidRDefault="00953D01" w:rsidP="00953D01">
      <w:pPr>
        <w:spacing w:line="360" w:lineRule="auto"/>
        <w:jc w:val="both"/>
        <w:rPr>
          <w:rFonts w:ascii="David" w:hAnsi="David"/>
          <w:rtl/>
        </w:rPr>
      </w:pPr>
    </w:p>
    <w:p w14:paraId="56A539AE" w14:textId="77777777" w:rsidR="00953D01" w:rsidRDefault="00953D01" w:rsidP="00953D01">
      <w:pPr>
        <w:spacing w:line="360" w:lineRule="auto"/>
        <w:ind w:left="720"/>
        <w:jc w:val="both"/>
        <w:rPr>
          <w:rtl/>
        </w:rPr>
      </w:pPr>
      <w:bookmarkStart w:id="6" w:name="ABSTRACT_END"/>
      <w:bookmarkEnd w:id="6"/>
      <w:r>
        <w:rPr>
          <w:rFonts w:hint="cs"/>
          <w:rtl/>
        </w:rPr>
        <w:lastRenderedPageBreak/>
        <w:t xml:space="preserve">בהתאם לכתב האישום המתוקן, נהג הנאשם באופנוע בכביש 60 בשעות הערב של יום 6.3.19 מכיוון כללי עפולה לכיוון כביש מס' 73 וזאת כשהוא פסול מלנהוג ברכב וכשמעולם לא הוציא רישיון נהיגה על אופנוע, ואף ללא פוליסת ביטוח ברת-תוקף. </w:t>
      </w:r>
    </w:p>
    <w:p w14:paraId="1BA2B708" w14:textId="77777777" w:rsidR="00953D01" w:rsidRDefault="00953D01" w:rsidP="00953D01">
      <w:pPr>
        <w:spacing w:line="360" w:lineRule="auto"/>
        <w:ind w:left="720"/>
        <w:jc w:val="both"/>
        <w:rPr>
          <w:rtl/>
        </w:rPr>
      </w:pPr>
      <w:r>
        <w:rPr>
          <w:rFonts w:hint="cs"/>
          <w:rtl/>
        </w:rPr>
        <w:t xml:space="preserve">במהלך הנסיעה בכביש 73 בדרכו חזרה לכיוון כביש 60, חצה הנאשם בנהיגתו קו הפרדה רצוף. </w:t>
      </w:r>
    </w:p>
    <w:p w14:paraId="4C547A2F" w14:textId="77777777" w:rsidR="00953D01" w:rsidRDefault="00953D01" w:rsidP="00953D01">
      <w:pPr>
        <w:spacing w:line="360" w:lineRule="auto"/>
        <w:ind w:left="720"/>
        <w:jc w:val="both"/>
        <w:rPr>
          <w:rtl/>
        </w:rPr>
      </w:pPr>
      <w:r>
        <w:rPr>
          <w:rFonts w:hint="cs"/>
          <w:rtl/>
        </w:rPr>
        <w:t xml:space="preserve">בהמשך, בעודו נוהג בכביש 60 לכיוון עפולה, הבחין הנאשם במחסום משטרתי בהמשך הכביש, או אז זרק הנאשם מכיס מעילו, לכיוון שול הדרך חבילה ובה סם מסוג קוקאין במשקל כולל של כ- 25 ג', וזאת בכוונה להכשיל שוטר ממלא תפקיד. </w:t>
      </w:r>
    </w:p>
    <w:p w14:paraId="5FE03377" w14:textId="77777777" w:rsidR="00953D01" w:rsidRDefault="00953D01" w:rsidP="00953D01">
      <w:pPr>
        <w:spacing w:line="360" w:lineRule="auto"/>
        <w:ind w:left="720"/>
        <w:jc w:val="both"/>
        <w:rPr>
          <w:rtl/>
        </w:rPr>
      </w:pPr>
    </w:p>
    <w:p w14:paraId="372346A1" w14:textId="77777777" w:rsidR="00953D01" w:rsidRDefault="00953D01" w:rsidP="00953D01">
      <w:pPr>
        <w:spacing w:line="360" w:lineRule="auto"/>
        <w:ind w:left="720" w:hanging="720"/>
        <w:jc w:val="both"/>
        <w:rPr>
          <w:rtl/>
        </w:rPr>
      </w:pPr>
      <w:r>
        <w:rPr>
          <w:rFonts w:hint="cs"/>
          <w:rtl/>
        </w:rPr>
        <w:t>2.</w:t>
      </w:r>
      <w:r>
        <w:rPr>
          <w:rFonts w:hint="cs"/>
          <w:rtl/>
        </w:rPr>
        <w:tab/>
        <w:t xml:space="preserve">בכתב האישום ציינה המאשימה כי בדעתה לבקש את חילוטם של האופנוע ושל שלושה מכשירי טלפון לטובת אוצר המדינה וזאת לאחר שבית המשפט התבקש להכריז על הנאשם כי הינו "סוחר סמים" בהתאם להוראותיו של </w:t>
      </w:r>
      <w:hyperlink r:id="rId28" w:history="1">
        <w:r w:rsidR="006C6BCD" w:rsidRPr="006C6BCD">
          <w:rPr>
            <w:color w:val="0000FF"/>
            <w:u w:val="single"/>
            <w:rtl/>
          </w:rPr>
          <w:t>סעיף 36א'</w:t>
        </w:r>
      </w:hyperlink>
      <w:r>
        <w:rPr>
          <w:rFonts w:hint="cs"/>
          <w:rtl/>
        </w:rPr>
        <w:t xml:space="preserve"> ל</w:t>
      </w:r>
      <w:hyperlink r:id="rId29" w:history="1">
        <w:r w:rsidR="00D97193" w:rsidRPr="00D97193">
          <w:rPr>
            <w:color w:val="0000FF"/>
            <w:u w:val="single"/>
            <w:rtl/>
          </w:rPr>
          <w:t>פקודת הסמים המסוכנים</w:t>
        </w:r>
      </w:hyperlink>
      <w:r>
        <w:rPr>
          <w:rFonts w:hint="cs"/>
          <w:rtl/>
        </w:rPr>
        <w:t xml:space="preserve">. </w:t>
      </w:r>
    </w:p>
    <w:p w14:paraId="5F5965A1" w14:textId="77777777" w:rsidR="00953D01" w:rsidRDefault="00953D01" w:rsidP="00953D01">
      <w:pPr>
        <w:spacing w:line="360" w:lineRule="auto"/>
        <w:ind w:left="720" w:hanging="720"/>
        <w:jc w:val="both"/>
        <w:rPr>
          <w:rtl/>
        </w:rPr>
      </w:pPr>
    </w:p>
    <w:p w14:paraId="039CB4D9" w14:textId="77777777" w:rsidR="00953D01" w:rsidRDefault="00953D01" w:rsidP="00953D01">
      <w:pPr>
        <w:spacing w:line="360" w:lineRule="auto"/>
        <w:ind w:left="720" w:hanging="720"/>
        <w:jc w:val="both"/>
        <w:rPr>
          <w:rtl/>
        </w:rPr>
      </w:pPr>
      <w:r>
        <w:rPr>
          <w:rFonts w:hint="cs"/>
          <w:rtl/>
        </w:rPr>
        <w:t>3.</w:t>
      </w:r>
      <w:r>
        <w:rPr>
          <w:rFonts w:hint="cs"/>
          <w:rtl/>
        </w:rPr>
        <w:tab/>
        <w:t xml:space="preserve">ביום 10.9.19 הציגו הצדדים הסדר טיעון, במסגרתו תוקן כתב האישום לנוסחו שפורט לעיל. באותו מועד הוגש הסכם הסדר טיעון ובו פורט כי הצדדים מסכימים לכך שהתביעה תעתור ל- 16 חודשי מאסר בפועל, ואילו ההגנה תהיה חופשית בטיעוניה לעניין משך רכיב המאסר בפועל, הצדדים יטענו לעניין המאסר המותנה, בית המשפט יטיל קנס על-פי שיקול דעתו, פסילת רישיון נהיגה ופסילה על תנאי. עוד הוסכם בהסדר הטיעון הכתוב שהוגש וסומן ת/1, כי האופנוע המוזכר בכתב האישום יחולט וכן יחולטו שלושה מכשירי טלפון. באותו מועד הודה הנאשם והורשע ונקבעה ישיבה לטיעונים לעונש. </w:t>
      </w:r>
    </w:p>
    <w:p w14:paraId="2DD296C4" w14:textId="77777777" w:rsidR="00953D01" w:rsidRDefault="00953D01" w:rsidP="00953D01">
      <w:pPr>
        <w:spacing w:line="360" w:lineRule="auto"/>
        <w:ind w:left="720" w:hanging="720"/>
        <w:jc w:val="both"/>
        <w:rPr>
          <w:rtl/>
        </w:rPr>
      </w:pPr>
    </w:p>
    <w:p w14:paraId="02EE9DF2" w14:textId="77777777" w:rsidR="00953D01" w:rsidRDefault="00953D01" w:rsidP="00953D01">
      <w:pPr>
        <w:spacing w:line="360" w:lineRule="auto"/>
        <w:ind w:left="720" w:hanging="720"/>
        <w:jc w:val="both"/>
        <w:rPr>
          <w:rtl/>
        </w:rPr>
      </w:pPr>
      <w:r>
        <w:rPr>
          <w:rFonts w:hint="cs"/>
          <w:rtl/>
        </w:rPr>
        <w:t>4.</w:t>
      </w:r>
      <w:r>
        <w:rPr>
          <w:rFonts w:hint="cs"/>
          <w:rtl/>
        </w:rPr>
        <w:tab/>
        <w:t>ביום 19.9.19 ביקש ב"כ הנאשם דחייה נוספת כדי לבוא בדברים עם המאשימה כדי להגיע להסכמות סופיות ולייתר מחלוקות שנותרו גם לאחר גיבוש הסדר הטיעון, ואולם ההסכם נותר כפי שהוצג.</w:t>
      </w:r>
    </w:p>
    <w:p w14:paraId="172DFDFF" w14:textId="77777777" w:rsidR="00953D01" w:rsidRDefault="00953D01" w:rsidP="00953D01">
      <w:pPr>
        <w:spacing w:line="360" w:lineRule="auto"/>
        <w:ind w:left="720" w:hanging="720"/>
        <w:jc w:val="both"/>
        <w:rPr>
          <w:rtl/>
        </w:rPr>
      </w:pPr>
    </w:p>
    <w:p w14:paraId="5A75D224" w14:textId="77777777" w:rsidR="00953D01" w:rsidRDefault="00953D01" w:rsidP="00953D01">
      <w:pPr>
        <w:spacing w:line="360" w:lineRule="auto"/>
        <w:ind w:left="720"/>
        <w:jc w:val="both"/>
        <w:rPr>
          <w:rtl/>
        </w:rPr>
      </w:pPr>
      <w:r>
        <w:rPr>
          <w:rFonts w:hint="cs"/>
          <w:rtl/>
        </w:rPr>
        <w:t xml:space="preserve">ביום 28.10.19 טענו הצדדים לעונש. </w:t>
      </w:r>
    </w:p>
    <w:p w14:paraId="750B89E3" w14:textId="77777777" w:rsidR="00953D01" w:rsidRDefault="00953D01" w:rsidP="00953D01">
      <w:pPr>
        <w:spacing w:line="360" w:lineRule="auto"/>
        <w:jc w:val="both"/>
        <w:rPr>
          <w:rtl/>
        </w:rPr>
      </w:pPr>
    </w:p>
    <w:p w14:paraId="56B5CF5C" w14:textId="77777777" w:rsidR="00953D01" w:rsidRDefault="00953D01" w:rsidP="00953D01">
      <w:pPr>
        <w:spacing w:line="360" w:lineRule="auto"/>
        <w:jc w:val="both"/>
        <w:rPr>
          <w:b/>
          <w:bCs/>
          <w:u w:val="single"/>
          <w:rtl/>
        </w:rPr>
      </w:pPr>
      <w:r>
        <w:rPr>
          <w:rFonts w:hint="cs"/>
          <w:b/>
          <w:bCs/>
          <w:u w:val="single"/>
          <w:rtl/>
        </w:rPr>
        <w:t>טיעוני הצדדים לעונש</w:t>
      </w:r>
    </w:p>
    <w:p w14:paraId="17E0ED0B" w14:textId="77777777" w:rsidR="00953D01" w:rsidRDefault="00953D01" w:rsidP="00953D01">
      <w:pPr>
        <w:spacing w:line="360" w:lineRule="auto"/>
        <w:jc w:val="both"/>
        <w:rPr>
          <w:b/>
          <w:bCs/>
          <w:u w:val="single"/>
          <w:rtl/>
        </w:rPr>
      </w:pPr>
    </w:p>
    <w:p w14:paraId="2AF272B3" w14:textId="77777777" w:rsidR="00953D01" w:rsidRDefault="00953D01" w:rsidP="00953D01">
      <w:pPr>
        <w:spacing w:line="360" w:lineRule="auto"/>
        <w:ind w:left="720"/>
        <w:jc w:val="both"/>
        <w:rPr>
          <w:u w:val="single"/>
          <w:rtl/>
        </w:rPr>
      </w:pPr>
      <w:r>
        <w:rPr>
          <w:rFonts w:hint="cs"/>
          <w:u w:val="single"/>
          <w:rtl/>
        </w:rPr>
        <w:t>טיעוני המאשימה</w:t>
      </w:r>
    </w:p>
    <w:p w14:paraId="3226FD3E" w14:textId="77777777" w:rsidR="00953D01" w:rsidRDefault="00953D01" w:rsidP="00953D01">
      <w:pPr>
        <w:spacing w:line="360" w:lineRule="auto"/>
        <w:ind w:left="720" w:hanging="720"/>
        <w:jc w:val="both"/>
        <w:rPr>
          <w:rtl/>
        </w:rPr>
      </w:pPr>
      <w:r>
        <w:rPr>
          <w:rFonts w:hint="cs"/>
          <w:rtl/>
        </w:rPr>
        <w:t>5.</w:t>
      </w:r>
      <w:r>
        <w:rPr>
          <w:rFonts w:hint="cs"/>
          <w:rtl/>
        </w:rPr>
        <w:tab/>
        <w:t xml:space="preserve">ב"כ המאשימה התייחס לכך שמדובר בסם מסוג קוקאין בכמות נכבדת. התובע הדגיש כי העונש המקסימלי הקבוע לצד עבירת החזקת סמים שלא לצריכה עצמית זהה לעונש שנקבע לעבירת סחר בסמים. התובע הפנה לפסיקה שבה נקבע מתחם ענישה הנע בין 15 עד 36 חודשי מאסר בפועל לגבי עבירות סמים דומות. נטען כי עבירת הסמים שביצע הנאשם פגעה במידה בינונית בערכים המוגנים. בנוסף הודגשה החומרה שיש בעבירת הנהיגה בפסילה </w:t>
      </w:r>
      <w:r>
        <w:rPr>
          <w:rFonts w:hint="cs"/>
          <w:rtl/>
        </w:rPr>
        <w:lastRenderedPageBreak/>
        <w:t xml:space="preserve">וללא רישיון נהיגה ספציפי באופנוע. באשר להצבת העונש במתחם העונש, הפנה התובע לעברו הפלילי והתעבורתי של הנאשם, שהינו משמעותי, ולפיכך טען כי העתירה ל- 16 חודשי מאסר בפועל, אליה התחייבה המאשימה בגדר הסדר הטיעון, מכוונת לתחתיתו של המתחם העונשי ויש לקבלה ולגזור על הנאשם 16 חודשי מאסר כמבוקש. </w:t>
      </w:r>
    </w:p>
    <w:p w14:paraId="1CCE008D" w14:textId="77777777" w:rsidR="00953D01" w:rsidRDefault="00953D01" w:rsidP="00953D01">
      <w:pPr>
        <w:spacing w:line="360" w:lineRule="auto"/>
        <w:ind w:left="720" w:hanging="720"/>
        <w:jc w:val="both"/>
        <w:rPr>
          <w:rtl/>
        </w:rPr>
      </w:pPr>
    </w:p>
    <w:p w14:paraId="25F7F093" w14:textId="77777777" w:rsidR="00953D01" w:rsidRDefault="00953D01" w:rsidP="00953D01">
      <w:pPr>
        <w:spacing w:line="360" w:lineRule="auto"/>
        <w:ind w:left="720" w:hanging="720"/>
        <w:jc w:val="both"/>
        <w:rPr>
          <w:rtl/>
        </w:rPr>
      </w:pPr>
      <w:r>
        <w:rPr>
          <w:rFonts w:hint="cs"/>
          <w:rtl/>
        </w:rPr>
        <w:t>6.</w:t>
      </w:r>
      <w:r>
        <w:rPr>
          <w:rFonts w:hint="cs"/>
          <w:rtl/>
        </w:rPr>
        <w:tab/>
        <w:t xml:space="preserve">ב"כ המאשימה ביקש להכריז על הנאשם "סוחר סמים". צוין כי הרשעת הנאשם בנסיבות כתב האישום עונה על התנאים להכרזתו כ"סוחר סמים" כמבוקש. נטען, כי משנתפס הנאשם מחזיק סמים בכמות גדולה כמו כאן, קמה חזקה עובדתית לפיה ניתן לראותו כמי שהיה אמור להפיק רווח מעיסוקו בסמים וכי די בכך כדי לענות על הדרישות כאמור. </w:t>
      </w:r>
    </w:p>
    <w:p w14:paraId="33D4F897" w14:textId="77777777" w:rsidR="00953D01" w:rsidRDefault="00953D01" w:rsidP="00953D01">
      <w:pPr>
        <w:spacing w:line="360" w:lineRule="auto"/>
        <w:ind w:left="720" w:hanging="720"/>
        <w:jc w:val="both"/>
        <w:rPr>
          <w:rtl/>
        </w:rPr>
      </w:pPr>
    </w:p>
    <w:p w14:paraId="0C5193BF" w14:textId="77777777" w:rsidR="00953D01" w:rsidRDefault="00953D01" w:rsidP="00953D01">
      <w:pPr>
        <w:spacing w:line="360" w:lineRule="auto"/>
        <w:ind w:left="720"/>
        <w:jc w:val="both"/>
        <w:rPr>
          <w:u w:val="single"/>
          <w:rtl/>
        </w:rPr>
      </w:pPr>
      <w:r>
        <w:rPr>
          <w:rFonts w:hint="cs"/>
          <w:u w:val="single"/>
          <w:rtl/>
        </w:rPr>
        <w:t>טיעוני ב"כ הנאשם</w:t>
      </w:r>
    </w:p>
    <w:p w14:paraId="309DC687" w14:textId="77777777" w:rsidR="00953D01" w:rsidRDefault="00953D01" w:rsidP="00953D01">
      <w:pPr>
        <w:spacing w:line="360" w:lineRule="auto"/>
        <w:ind w:left="720" w:hanging="720"/>
        <w:jc w:val="both"/>
        <w:rPr>
          <w:rtl/>
        </w:rPr>
      </w:pPr>
      <w:r>
        <w:rPr>
          <w:rFonts w:hint="cs"/>
          <w:rtl/>
        </w:rPr>
        <w:t>7.</w:t>
      </w:r>
      <w:r>
        <w:rPr>
          <w:rFonts w:hint="cs"/>
          <w:rtl/>
        </w:rPr>
        <w:tab/>
        <w:t xml:space="preserve">ב"כ הנאשם חלק על המתחם העונשי שנטען בטיעוני התובע וטען כי מתחם העונש יכול לנוע בין מספר חודשי מאסר ועד חודשי מאסר רבים ( כך דבריו). הסנגור הפנה לפסיקה בה נגזרו עונשים קלים מאלה המבוקשים כאן בנסיבות שהיו על-פי הטענה דומות. בהמשך לדברים אלה ביקש הסנגור להסתפק בימי המעצר. באשר לנהיגה בזמן פסילה וללא רישיון אופנוע – נטען כי מדובר בעבירה שניתן לתקן על-ידי הוצאת רישיון. הודגש כי מדובר בהסדר טיעון שחסך זמן רב ושהושג לאחר הליך ארוך של גישור בתיק שבו קשיים ראייתיים ותקלות בתעודת חסיון. </w:t>
      </w:r>
    </w:p>
    <w:p w14:paraId="2FD5EF1A" w14:textId="77777777" w:rsidR="00953D01" w:rsidRDefault="00953D01" w:rsidP="00953D01">
      <w:pPr>
        <w:spacing w:line="360" w:lineRule="auto"/>
        <w:ind w:left="720" w:hanging="720"/>
        <w:jc w:val="both"/>
        <w:rPr>
          <w:rtl/>
        </w:rPr>
      </w:pPr>
    </w:p>
    <w:p w14:paraId="3D428BEA" w14:textId="77777777" w:rsidR="00953D01" w:rsidRDefault="00953D01" w:rsidP="00953D01">
      <w:pPr>
        <w:spacing w:line="360" w:lineRule="auto"/>
        <w:ind w:left="720" w:hanging="720"/>
        <w:jc w:val="both"/>
        <w:rPr>
          <w:rtl/>
        </w:rPr>
      </w:pPr>
      <w:r>
        <w:rPr>
          <w:rFonts w:hint="cs"/>
          <w:rtl/>
        </w:rPr>
        <w:t>8.</w:t>
      </w:r>
      <w:r>
        <w:rPr>
          <w:rFonts w:hint="cs"/>
          <w:rtl/>
        </w:rPr>
        <w:tab/>
        <w:t xml:space="preserve">הסנגור ביקש להימנע מלהכריז על הנאשם "סוחר סמים". בעניין זה נטען כי קיים חוסר ברמת ההוכחה שבה על המאשימה לעמוד באשר לכך שהנאשם הפיק רווח מעסקת סמים או היה אמור להפיק רווח מהעסקה. נטען, כי עם ההודעה על הסדר הטיעון, אין בפני בית המשפט  אלא את כתב האישום כדי ללמד על נסיבות הפרשה וכי מעובדות כתב האישום אין ללמוד על כוונה להפיק רווח. הסנגור הפנה לכך שהסם מסוג קוקאין לא היה מחולק, אלא נתפס בחבילה אחת, וזאת כדי להדגיש על העדרן של נסיבות מחמירות המלמדות על סחר. עוד צוין כי נפקותה של ההכרזה הינה למעשה בחילוט האופנוע שמצוי ממילא בבעלותו של אדם אחר. בהמשך לטיעונים אלה נטען כי אין לחלט את האופנוע, אף לא את מכשירי הטלפון שנתפסו. </w:t>
      </w:r>
    </w:p>
    <w:p w14:paraId="3CFE772F" w14:textId="77777777" w:rsidR="00953D01" w:rsidRDefault="00953D01" w:rsidP="00953D01">
      <w:pPr>
        <w:spacing w:line="360" w:lineRule="auto"/>
        <w:ind w:left="720" w:hanging="720"/>
        <w:jc w:val="both"/>
        <w:rPr>
          <w:rtl/>
        </w:rPr>
      </w:pPr>
    </w:p>
    <w:p w14:paraId="092F247D" w14:textId="77777777" w:rsidR="00953D01" w:rsidRDefault="00953D01" w:rsidP="00953D01">
      <w:pPr>
        <w:spacing w:line="360" w:lineRule="auto"/>
        <w:ind w:left="720" w:hanging="720"/>
        <w:jc w:val="both"/>
        <w:rPr>
          <w:u w:val="single"/>
          <w:rtl/>
        </w:rPr>
      </w:pPr>
      <w:r>
        <w:rPr>
          <w:rFonts w:hint="cs"/>
          <w:rtl/>
        </w:rPr>
        <w:tab/>
      </w:r>
      <w:r>
        <w:rPr>
          <w:rFonts w:hint="cs"/>
          <w:u w:val="single"/>
          <w:rtl/>
        </w:rPr>
        <w:t>דברי הנאשם</w:t>
      </w:r>
    </w:p>
    <w:p w14:paraId="70977DCA" w14:textId="77777777" w:rsidR="00953D01" w:rsidRDefault="00953D01" w:rsidP="00953D01">
      <w:pPr>
        <w:spacing w:line="360" w:lineRule="auto"/>
        <w:ind w:left="720" w:hanging="720"/>
        <w:jc w:val="both"/>
        <w:rPr>
          <w:rtl/>
        </w:rPr>
      </w:pPr>
      <w:r>
        <w:rPr>
          <w:rFonts w:hint="cs"/>
          <w:rtl/>
        </w:rPr>
        <w:t>9.</w:t>
      </w:r>
      <w:r>
        <w:rPr>
          <w:rFonts w:hint="cs"/>
          <w:rtl/>
        </w:rPr>
        <w:tab/>
        <w:t xml:space="preserve">הנאשם בדבריו מסר כי הוא מצטער על המעשה. </w:t>
      </w:r>
    </w:p>
    <w:p w14:paraId="7EC198ED" w14:textId="77777777" w:rsidR="00953D01" w:rsidRDefault="00953D01" w:rsidP="00953D01">
      <w:pPr>
        <w:spacing w:line="360" w:lineRule="auto"/>
        <w:ind w:left="720" w:hanging="720"/>
        <w:jc w:val="both"/>
        <w:rPr>
          <w:rtl/>
        </w:rPr>
      </w:pPr>
    </w:p>
    <w:p w14:paraId="6414C7B0" w14:textId="77777777" w:rsidR="00953D01" w:rsidRDefault="00953D01" w:rsidP="00953D01">
      <w:pPr>
        <w:spacing w:line="360" w:lineRule="auto"/>
        <w:ind w:left="720" w:hanging="720"/>
        <w:jc w:val="both"/>
        <w:rPr>
          <w:rtl/>
        </w:rPr>
      </w:pPr>
      <w:r>
        <w:rPr>
          <w:rFonts w:hint="cs"/>
          <w:b/>
          <w:bCs/>
          <w:u w:val="single"/>
          <w:rtl/>
        </w:rPr>
        <w:t xml:space="preserve">מתחם הענישה ההולם </w:t>
      </w:r>
    </w:p>
    <w:p w14:paraId="0C3D9411" w14:textId="77777777" w:rsidR="00953D01" w:rsidRDefault="00953D01" w:rsidP="00953D01">
      <w:pPr>
        <w:spacing w:line="360" w:lineRule="auto"/>
        <w:ind w:left="720" w:hanging="720"/>
        <w:jc w:val="both"/>
        <w:rPr>
          <w:rtl/>
        </w:rPr>
      </w:pPr>
    </w:p>
    <w:p w14:paraId="3165FD95" w14:textId="77777777" w:rsidR="00953D01" w:rsidRDefault="00953D01" w:rsidP="00953D01">
      <w:pPr>
        <w:spacing w:line="360" w:lineRule="auto"/>
        <w:ind w:left="720" w:hanging="720"/>
        <w:jc w:val="both"/>
        <w:rPr>
          <w:rtl/>
        </w:rPr>
      </w:pPr>
      <w:r>
        <w:rPr>
          <w:rFonts w:hint="cs"/>
          <w:rtl/>
        </w:rPr>
        <w:t>10.</w:t>
      </w:r>
      <w:r>
        <w:rPr>
          <w:rFonts w:hint="cs"/>
          <w:rtl/>
        </w:rPr>
        <w:tab/>
        <w:t xml:space="preserve">מדובר בכמות סמים מסחרית מסוג קוקאין אשר הנאשם החזיק על גופו. פקודת הסמים קובעת, </w:t>
      </w:r>
      <w:hyperlink r:id="rId30" w:history="1">
        <w:r w:rsidR="006C6BCD" w:rsidRPr="006C6BCD">
          <w:rPr>
            <w:color w:val="0000FF"/>
            <w:u w:val="single"/>
            <w:rtl/>
          </w:rPr>
          <w:t>בסעיף 31(3)</w:t>
        </w:r>
      </w:hyperlink>
      <w:r>
        <w:rPr>
          <w:rFonts w:hint="cs"/>
          <w:rtl/>
        </w:rPr>
        <w:t xml:space="preserve"> מהי הכמות שהיא על-פי חזקה לצריכה עצמית ומפנה לשם כך לתוספת השנייה לפקודה. בהתאם לתוספת השנייה "מנת קוקאין" לצריכה עצמית הינה במשקל של 0.3 גרם. בהתאם לחזקה זו החזיק הנאשם בקוקאין שניתן להפיק ממנו מעל 80 מנות של סם מסוכן מסוג קוקאין. מדובר בסם שערכו אלפי שקלים. </w:t>
      </w:r>
    </w:p>
    <w:p w14:paraId="30BE19D1" w14:textId="77777777" w:rsidR="00953D01" w:rsidRDefault="00953D01" w:rsidP="00953D01">
      <w:pPr>
        <w:spacing w:line="360" w:lineRule="auto"/>
        <w:ind w:left="720" w:hanging="720"/>
        <w:jc w:val="both"/>
        <w:rPr>
          <w:rtl/>
        </w:rPr>
      </w:pPr>
      <w:r>
        <w:rPr>
          <w:rFonts w:hint="cs"/>
          <w:rtl/>
        </w:rPr>
        <w:t>11.</w:t>
      </w:r>
      <w:r>
        <w:rPr>
          <w:rFonts w:hint="cs"/>
          <w:rtl/>
        </w:rPr>
        <w:tab/>
        <w:t xml:space="preserve">הערך החברתי המוגן בעבירות הסמים הינו בראש ובראשונה בריאות הציבור ובריאותם של המשתמשים בפועל ומעגל המשתמשים הפוטנציאלי בסמים המסוכנים. בנוסף פוגעות עבירות הסמים בערכים מוגנים נוספים שהינם שמירה על רכוש הציבור ועל בטחונו של הציבור שכן הקשר בין שימוש בסמים לבין קשת רחבה של עבירות רכוש ואלימות הינו קשר מוכח ידוע וברור. </w:t>
      </w:r>
    </w:p>
    <w:p w14:paraId="07F134DB" w14:textId="77777777" w:rsidR="00953D01" w:rsidRDefault="00953D01" w:rsidP="00953D01">
      <w:pPr>
        <w:spacing w:line="360" w:lineRule="auto"/>
        <w:ind w:left="720" w:hanging="720"/>
        <w:jc w:val="both"/>
        <w:rPr>
          <w:rtl/>
        </w:rPr>
      </w:pPr>
    </w:p>
    <w:p w14:paraId="4B856570" w14:textId="77777777" w:rsidR="00953D01" w:rsidRDefault="00953D01" w:rsidP="00953D01">
      <w:pPr>
        <w:spacing w:line="360" w:lineRule="auto"/>
        <w:ind w:left="720"/>
        <w:contextualSpacing/>
        <w:jc w:val="both"/>
        <w:rPr>
          <w:rtl/>
        </w:rPr>
      </w:pPr>
      <w:r>
        <w:rPr>
          <w:rFonts w:hint="cs"/>
          <w:rtl/>
        </w:rPr>
        <w:t>בית המשפט העליון התייחס בהחלטות רבות לחומרתן של עבירות סמים ולתפקיד המוטל על בתי המשפט במלחמה בנגע הסמים. ראו לעניין זה את הדברים שנאמרו ב</w:t>
      </w:r>
      <w:hyperlink r:id="rId31" w:history="1">
        <w:r w:rsidR="00D97193" w:rsidRPr="00D97193">
          <w:rPr>
            <w:color w:val="0000FF"/>
            <w:u w:val="single"/>
            <w:rtl/>
          </w:rPr>
          <w:t>ע"פ 972/11</w:t>
        </w:r>
      </w:hyperlink>
      <w:r>
        <w:rPr>
          <w:rFonts w:hint="cs"/>
          <w:rtl/>
        </w:rPr>
        <w:t xml:space="preserve"> </w:t>
      </w:r>
      <w:r>
        <w:rPr>
          <w:rFonts w:hint="cs"/>
          <w:b/>
          <w:bCs/>
          <w:rtl/>
        </w:rPr>
        <w:t>מדינת ישראל נגד יניב יונה [פורסם בנבו] (04.07.12)</w:t>
      </w:r>
      <w:r>
        <w:rPr>
          <w:rFonts w:hint="cs"/>
          <w:rtl/>
        </w:rPr>
        <w:t>:</w:t>
      </w:r>
    </w:p>
    <w:p w14:paraId="57915626" w14:textId="77777777" w:rsidR="00953D01" w:rsidRDefault="00953D01" w:rsidP="00953D01">
      <w:pPr>
        <w:spacing w:line="360" w:lineRule="auto"/>
        <w:ind w:left="1440" w:right="794"/>
        <w:jc w:val="both"/>
        <w:rPr>
          <w:b/>
          <w:bCs/>
          <w:rtl/>
        </w:rPr>
      </w:pPr>
      <w:r>
        <w:rPr>
          <w:rFonts w:hint="cs"/>
          <w:rtl/>
        </w:rPr>
        <w:t>"</w:t>
      </w: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7DA2CF2F" w14:textId="77777777" w:rsidR="00953D01" w:rsidRDefault="00953D01" w:rsidP="00953D01">
      <w:pPr>
        <w:spacing w:line="360" w:lineRule="auto"/>
        <w:ind w:right="794"/>
        <w:jc w:val="both"/>
        <w:rPr>
          <w:b/>
          <w:bCs/>
        </w:rPr>
      </w:pPr>
    </w:p>
    <w:p w14:paraId="69F3470A" w14:textId="77777777" w:rsidR="00953D01" w:rsidRDefault="00953D01" w:rsidP="00953D01">
      <w:pPr>
        <w:spacing w:line="360" w:lineRule="auto"/>
        <w:ind w:left="720"/>
        <w:jc w:val="both"/>
      </w:pPr>
      <w:r>
        <w:rPr>
          <w:rFonts w:hint="cs"/>
          <w:rtl/>
        </w:rPr>
        <w:t>עוד ראה בעניין זה את הדברים שנאמרו ב</w:t>
      </w:r>
      <w:hyperlink r:id="rId32" w:history="1">
        <w:r w:rsidR="00D97193" w:rsidRPr="00D97193">
          <w:rPr>
            <w:color w:val="0000FF"/>
            <w:u w:val="single"/>
            <w:rtl/>
          </w:rPr>
          <w:t>רע"פ 2557/12</w:t>
        </w:r>
      </w:hyperlink>
      <w:r>
        <w:rPr>
          <w:rFonts w:hint="cs"/>
          <w:rtl/>
        </w:rPr>
        <w:t xml:space="preserve"> </w:t>
      </w:r>
      <w:r>
        <w:rPr>
          <w:rFonts w:hint="cs"/>
          <w:b/>
          <w:bCs/>
          <w:rtl/>
        </w:rPr>
        <w:t>תמם פרדי נגד מדינת ישראל [פורסם בנבו] (05.04.12)</w:t>
      </w:r>
      <w:r>
        <w:rPr>
          <w:rFonts w:hint="cs"/>
          <w:rtl/>
        </w:rPr>
        <w:t xml:space="preserve">: </w:t>
      </w:r>
    </w:p>
    <w:p w14:paraId="34F94C56" w14:textId="77777777" w:rsidR="00953D01" w:rsidRDefault="00953D01" w:rsidP="00953D01">
      <w:pPr>
        <w:spacing w:line="360" w:lineRule="auto"/>
        <w:jc w:val="both"/>
        <w:rPr>
          <w:rtl/>
        </w:rPr>
      </w:pPr>
    </w:p>
    <w:p w14:paraId="5AF242D4" w14:textId="77777777" w:rsidR="00953D01" w:rsidRDefault="00953D01" w:rsidP="00953D01">
      <w:pPr>
        <w:spacing w:line="360" w:lineRule="auto"/>
        <w:ind w:left="1440" w:right="850"/>
        <w:jc w:val="both"/>
        <w:rPr>
          <w:b/>
          <w:bCs/>
          <w:rtl/>
        </w:rPr>
      </w:pPr>
      <w:r>
        <w:rPr>
          <w:rFonts w:hint="cs"/>
          <w:b/>
          <w:bCs/>
          <w:rtl/>
        </w:rPr>
        <w:t xml:space="preserve">"עמדנו לא אחת על חומרתן של עבירות הפצת סמים והחשיבות בהרתעה אפקטיבית: </w:t>
      </w:r>
    </w:p>
    <w:p w14:paraId="1AFA92B7" w14:textId="77777777" w:rsidR="00953D01" w:rsidRDefault="00953D01" w:rsidP="00953D01">
      <w:pPr>
        <w:spacing w:line="360" w:lineRule="auto"/>
        <w:ind w:left="1440" w:right="851"/>
        <w:jc w:val="both"/>
        <w:rPr>
          <w:b/>
          <w:bCs/>
          <w:rtl/>
        </w:rPr>
      </w:pPr>
      <w:r>
        <w:rPr>
          <w:rFonts w:hint="cs"/>
          <w:b/>
          <w:bCs/>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33" w:history="1">
        <w:r w:rsidR="00D97193" w:rsidRPr="00D97193">
          <w:rPr>
            <w:b/>
            <w:bCs/>
            <w:color w:val="0000FF"/>
            <w:u w:val="single"/>
            <w:rtl/>
          </w:rPr>
          <w:t>ע"פ 4998/95 מדינת ישראל נ' אוקטביו, פ"ד נא</w:t>
        </w:r>
      </w:hyperlink>
      <w:r>
        <w:rPr>
          <w:rFonts w:hint="cs"/>
          <w:b/>
          <w:bCs/>
          <w:rtl/>
        </w:rPr>
        <w:t>(3) 769, 787 השופט כתארו אז - מ' חשין)" (</w:t>
      </w:r>
      <w:hyperlink r:id="rId34" w:history="1">
        <w:r w:rsidR="00D97193" w:rsidRPr="00D97193">
          <w:rPr>
            <w:b/>
            <w:bCs/>
            <w:color w:val="0000FF"/>
            <w:u w:val="single"/>
            <w:rtl/>
          </w:rPr>
          <w:t>רע"פ 1720/11</w:t>
        </w:r>
      </w:hyperlink>
      <w:r w:rsidR="00D97193">
        <w:rPr>
          <w:rFonts w:hint="cs"/>
          <w:b/>
          <w:bCs/>
          <w:rtl/>
        </w:rPr>
        <w:t xml:space="preserve"> </w:t>
      </w:r>
      <w:r>
        <w:rPr>
          <w:rFonts w:hint="cs"/>
          <w:b/>
          <w:bCs/>
          <w:rtl/>
        </w:rPr>
        <w:t xml:space="preserve"> גליק נ' מדינת ישראל (לא פורסם) [פורסם בנבו] פסקה ז')."</w:t>
      </w:r>
    </w:p>
    <w:p w14:paraId="19DB25D6" w14:textId="77777777" w:rsidR="00953D01" w:rsidRDefault="00953D01" w:rsidP="00953D01">
      <w:pPr>
        <w:spacing w:line="360" w:lineRule="auto"/>
        <w:ind w:left="720" w:hanging="720"/>
        <w:jc w:val="both"/>
        <w:rPr>
          <w:rtl/>
        </w:rPr>
      </w:pPr>
    </w:p>
    <w:p w14:paraId="074754CB" w14:textId="77777777" w:rsidR="00953D01" w:rsidRDefault="00953D01" w:rsidP="00953D01">
      <w:pPr>
        <w:spacing w:line="360" w:lineRule="auto"/>
        <w:ind w:left="720" w:hanging="720"/>
        <w:jc w:val="both"/>
        <w:rPr>
          <w:rFonts w:ascii="David" w:hAnsi="David"/>
          <w:rtl/>
        </w:rPr>
      </w:pPr>
      <w:r>
        <w:rPr>
          <w:rFonts w:hint="cs"/>
          <w:rtl/>
        </w:rPr>
        <w:t>12.</w:t>
      </w:r>
      <w:r>
        <w:rPr>
          <w:rFonts w:hint="cs"/>
          <w:rtl/>
        </w:rPr>
        <w:tab/>
        <w:t>סם מסוג קוקאין מסווג למשפחת הסמים הקשים ואין מחלוקת על כך שמידת ההתמכרות לסם זה גבוהה, מחירו יקר ומכאן תפקידו כמחולל פשיעה, בעבירות רכוש ואלימות ידוע ומרכזי, בשל העבירות, אשר המכורים לסם עלולים לבצע כדי להשיג את הסם היקר לצריכתם. איני רואה נסיבה מיוחדת לקולא, בכך שכמות הסם הנכבדה לא חולקה למנות, ובכך אין רבותא לנוכח הכמות המסחרית, אם כי אין לשלול אפשרות לפיה הנאשם שימש חולייה בעבריינות שבה מעורבים נוספים.</w:t>
      </w:r>
    </w:p>
    <w:p w14:paraId="568C9F40" w14:textId="77777777" w:rsidR="00953D01" w:rsidRDefault="00953D01" w:rsidP="00953D01">
      <w:pPr>
        <w:spacing w:line="360" w:lineRule="auto"/>
        <w:ind w:left="720" w:hanging="720"/>
        <w:jc w:val="both"/>
        <w:rPr>
          <w:rtl/>
        </w:rPr>
      </w:pPr>
    </w:p>
    <w:p w14:paraId="6BC63A3B" w14:textId="77777777" w:rsidR="00953D01" w:rsidRDefault="00953D01" w:rsidP="00953D01">
      <w:pPr>
        <w:spacing w:line="360" w:lineRule="auto"/>
        <w:ind w:left="720" w:hanging="720"/>
        <w:jc w:val="both"/>
        <w:rPr>
          <w:rtl/>
        </w:rPr>
      </w:pPr>
      <w:r>
        <w:rPr>
          <w:rFonts w:hint="cs"/>
          <w:rtl/>
        </w:rPr>
        <w:t>13.</w:t>
      </w:r>
      <w:r>
        <w:rPr>
          <w:rFonts w:hint="cs"/>
          <w:rtl/>
        </w:rPr>
        <w:tab/>
        <w:t xml:space="preserve">הנאשם, לא זו בלבד שהחזיק בסם הקשה בכמות גדולה, אף עשה זאת תוך שהוא נוהג על אופנוע בלא שהוא מחזיק ברישיון נהיגה לאופנוע, ובעת שרישיון הנהיגה שלו (לנהיגה ברכב מנועי רגיל) פסול. נהיגה בפסילה, ללא רישיון מתאים, וללא ביטוח הינה עבירה הפוגעת בביטחונם של משתמשי הדרך ומסכנת את הציבור. הנאשם אף ביצע עבירת נהיגה בוטה, המעמידה בסיכון את משתמשי הדרך, בכך שעבר עם האופנוע קו הפרדה. עבירות התעבורה פוגעות גם באינטרס הציבורי שעניינו ציות לחוק שכן הנאשם זלזל בבוטות בהחלטה שיפוטית שפסלה את רישיון הנהיגה שלו. </w:t>
      </w:r>
    </w:p>
    <w:p w14:paraId="2EB4DD6D" w14:textId="77777777" w:rsidR="00953D01" w:rsidRDefault="00953D01" w:rsidP="00953D01">
      <w:pPr>
        <w:spacing w:line="360" w:lineRule="auto"/>
        <w:jc w:val="both"/>
        <w:rPr>
          <w:rtl/>
        </w:rPr>
      </w:pPr>
    </w:p>
    <w:p w14:paraId="6B9F58F7" w14:textId="77777777" w:rsidR="00953D01" w:rsidRDefault="00953D01" w:rsidP="00953D01">
      <w:pPr>
        <w:spacing w:line="360" w:lineRule="auto"/>
        <w:ind w:left="720" w:hanging="720"/>
        <w:jc w:val="both"/>
        <w:rPr>
          <w:rtl/>
        </w:rPr>
      </w:pPr>
      <w:r>
        <w:rPr>
          <w:rFonts w:hint="cs"/>
          <w:rtl/>
        </w:rPr>
        <w:t>14.</w:t>
      </w:r>
      <w:r>
        <w:rPr>
          <w:rFonts w:hint="cs"/>
          <w:rtl/>
        </w:rPr>
        <w:tab/>
        <w:t xml:space="preserve">הנאשם אף הפריע לשוטר במילוי תפקידו, בכך שכשראה את המחסום המשטרתי השליך את חבילת הסמים בה החזיק. התנהגות זו מהווה נסיבה נוספת שיש בה להביא לתפיסה מחמירה באשר לעבירות שבוצעו. </w:t>
      </w:r>
    </w:p>
    <w:p w14:paraId="5B24E8AD" w14:textId="77777777" w:rsidR="00953D01" w:rsidRDefault="00953D01" w:rsidP="00953D01">
      <w:pPr>
        <w:spacing w:line="360" w:lineRule="auto"/>
        <w:ind w:left="720" w:hanging="720"/>
        <w:jc w:val="both"/>
        <w:rPr>
          <w:rtl/>
        </w:rPr>
      </w:pPr>
      <w:r>
        <w:rPr>
          <w:rFonts w:hint="cs"/>
          <w:rtl/>
        </w:rPr>
        <w:t>15.</w:t>
      </w:r>
      <w:r>
        <w:rPr>
          <w:rFonts w:hint="cs"/>
          <w:rtl/>
        </w:rPr>
        <w:tab/>
        <w:t xml:space="preserve">ב"כ המאשימה טען כי מדובר בפגיעה בינונית בערכים החברתיים שנפגעו. טענה זו מקובלת עלי. הערכים המוגנים על-ידי פקודת הסמים נפגעים משמעותית בהחזקת סמים בכמות כה גדולה, תוך ביצוע עבירות תעבורה מתריסות, שבראשן נהיגה בפסילה, ובנסיבות האמורות. אמנם בעבירות שבהן מבוצע סחר בסמים, תיתכן פגיעה גבוהה יותר בערכים המוגנים, מאשר כאן, משבוצעה עבירת החזקת סמים שלא לצריכה עצמית, בניגוד לעבירת סחר בסמים. במקרה של סחר בסמים, עניין הפגיעה בערכים המוגנים ייקבע על-פי הנסיבות, זהות הצרכנים, היקף העסקאות וכיוצ"ב. ואולם גם בעבירה הנוכחית, קיימת חומרה שלא נסתרה בעצם החזקתה של כמות סמים כה גדולה, אשר המחוקק קבע לגביה עונש מאסר מקסימלי הזהה לעונש שננקב לצד עבירת הסחר בסמים. </w:t>
      </w:r>
    </w:p>
    <w:p w14:paraId="31FF12E2" w14:textId="77777777" w:rsidR="00953D01" w:rsidRDefault="00953D01" w:rsidP="00953D01">
      <w:pPr>
        <w:spacing w:line="360" w:lineRule="auto"/>
        <w:jc w:val="both"/>
        <w:rPr>
          <w:rtl/>
        </w:rPr>
      </w:pPr>
    </w:p>
    <w:p w14:paraId="2184405F" w14:textId="77777777" w:rsidR="00953D01" w:rsidRDefault="00953D01" w:rsidP="00953D01">
      <w:pPr>
        <w:spacing w:line="360" w:lineRule="auto"/>
        <w:ind w:left="720" w:hanging="720"/>
        <w:jc w:val="both"/>
        <w:rPr>
          <w:rtl/>
        </w:rPr>
      </w:pPr>
      <w:r>
        <w:rPr>
          <w:rFonts w:hint="cs"/>
          <w:rtl/>
        </w:rPr>
        <w:t>16.</w:t>
      </w:r>
      <w:r>
        <w:rPr>
          <w:rFonts w:hint="cs"/>
          <w:rtl/>
        </w:rPr>
        <w:tab/>
        <w:t>מדיניות הענישה של עבריינים שביצעו עבירות סמים דומות, ולגבי סוג הסם האמור, מכוונת ברוב רובם של המקרים למאסרים משמעותיים בפועל. המאשימה תמכה את טענתה לגבי מתחם העונש בהחלטות של בית המשפט העליון וראה לדוגמא את פסקי הדין וההחלטות הבאות:</w:t>
      </w:r>
    </w:p>
    <w:p w14:paraId="69A62EF0" w14:textId="77777777" w:rsidR="00953D01" w:rsidRDefault="00953D01" w:rsidP="00953D01">
      <w:pPr>
        <w:spacing w:line="360" w:lineRule="auto"/>
        <w:ind w:left="720" w:hanging="720"/>
        <w:jc w:val="both"/>
        <w:rPr>
          <w:rtl/>
        </w:rPr>
      </w:pPr>
    </w:p>
    <w:p w14:paraId="27639065" w14:textId="77777777" w:rsidR="00953D01" w:rsidRDefault="00953D01" w:rsidP="00953D01">
      <w:pPr>
        <w:spacing w:line="360" w:lineRule="auto"/>
        <w:ind w:left="1440" w:hanging="720"/>
        <w:jc w:val="both"/>
        <w:rPr>
          <w:rtl/>
        </w:rPr>
      </w:pPr>
      <w:r>
        <w:rPr>
          <w:rFonts w:hint="cs"/>
          <w:rtl/>
        </w:rPr>
        <w:t>א.</w:t>
      </w:r>
      <w:r>
        <w:rPr>
          <w:rFonts w:hint="cs"/>
          <w:rtl/>
        </w:rPr>
        <w:tab/>
        <w:t>ב</w:t>
      </w:r>
      <w:hyperlink r:id="rId35" w:history="1">
        <w:r w:rsidR="00D97193" w:rsidRPr="00D97193">
          <w:rPr>
            <w:color w:val="0000FF"/>
            <w:u w:val="single"/>
            <w:rtl/>
          </w:rPr>
          <w:t>רע"פ 894/16</w:t>
        </w:r>
      </w:hyperlink>
      <w:r>
        <w:rPr>
          <w:rFonts w:hint="cs"/>
          <w:b/>
          <w:bCs/>
          <w:rtl/>
        </w:rPr>
        <w:t xml:space="preserve"> שלום פרץ נ' מדינת ישראל</w:t>
      </w:r>
      <w:r>
        <w:rPr>
          <w:rFonts w:hint="cs"/>
          <w:rtl/>
        </w:rPr>
        <w:t xml:space="preserve"> (10.2.16) נדחתה בקשת רשות ערעור של המבקש שנשפט ל-</w:t>
      </w:r>
      <w:r>
        <w:rPr>
          <w:rFonts w:hint="cs"/>
          <w:b/>
          <w:bCs/>
          <w:rtl/>
        </w:rPr>
        <w:t xml:space="preserve"> 15 חודשי מאסר בפועל </w:t>
      </w:r>
      <w:r>
        <w:rPr>
          <w:rFonts w:hint="cs"/>
          <w:rtl/>
        </w:rPr>
        <w:t xml:space="preserve">ולענישה נלווית בגין החזקת כ- 31 ג' של סם מסוג קוקאין בביתו. באותו עניין אישר בית המשפט העליון את החלטות בית משפט השלום ובית המשפט המחוזי כי </w:t>
      </w:r>
      <w:r>
        <w:rPr>
          <w:rFonts w:hint="cs"/>
          <w:b/>
          <w:bCs/>
          <w:rtl/>
        </w:rPr>
        <w:t>מתחם העונש נע בין 15 ל- 36 חודשי מאסר בפועל</w:t>
      </w:r>
      <w:r>
        <w:rPr>
          <w:rFonts w:hint="cs"/>
          <w:rtl/>
        </w:rPr>
        <w:t xml:space="preserve">. המבקש במקרה זה היה אדם נעדר כל עבר פלילי. </w:t>
      </w:r>
    </w:p>
    <w:p w14:paraId="31A7390D" w14:textId="77777777" w:rsidR="00953D01" w:rsidRDefault="00953D01" w:rsidP="00953D01">
      <w:pPr>
        <w:spacing w:line="360" w:lineRule="auto"/>
        <w:ind w:left="720" w:hanging="720"/>
        <w:jc w:val="both"/>
        <w:rPr>
          <w:rtl/>
        </w:rPr>
      </w:pPr>
      <w:r>
        <w:rPr>
          <w:rFonts w:hint="cs"/>
          <w:rtl/>
        </w:rPr>
        <w:t xml:space="preserve"> </w:t>
      </w:r>
    </w:p>
    <w:p w14:paraId="774470B3" w14:textId="77777777" w:rsidR="00953D01" w:rsidRDefault="00953D01" w:rsidP="00953D01">
      <w:pPr>
        <w:spacing w:line="360" w:lineRule="auto"/>
        <w:ind w:left="1440" w:hanging="720"/>
        <w:jc w:val="both"/>
        <w:rPr>
          <w:rtl/>
        </w:rPr>
      </w:pPr>
      <w:r>
        <w:rPr>
          <w:rFonts w:hint="cs"/>
          <w:rtl/>
        </w:rPr>
        <w:t>ב.</w:t>
      </w:r>
      <w:r>
        <w:rPr>
          <w:rFonts w:hint="cs"/>
          <w:rtl/>
        </w:rPr>
        <w:tab/>
        <w:t>ב</w:t>
      </w:r>
      <w:hyperlink r:id="rId36" w:history="1">
        <w:r w:rsidR="00D97193" w:rsidRPr="00D97193">
          <w:rPr>
            <w:color w:val="0000FF"/>
            <w:u w:val="single"/>
            <w:rtl/>
          </w:rPr>
          <w:t>רע"פ 2472/15</w:t>
        </w:r>
      </w:hyperlink>
      <w:r>
        <w:rPr>
          <w:rFonts w:hint="cs"/>
          <w:rtl/>
        </w:rPr>
        <w:t xml:space="preserve"> </w:t>
      </w:r>
      <w:r>
        <w:rPr>
          <w:rFonts w:hint="cs"/>
          <w:b/>
          <w:bCs/>
          <w:rtl/>
        </w:rPr>
        <w:t>יאן שוורצמן נ' מדינת ישראל</w:t>
      </w:r>
      <w:r>
        <w:rPr>
          <w:rFonts w:hint="cs"/>
          <w:rtl/>
        </w:rPr>
        <w:t xml:space="preserve"> (21.5.15) נדחתה בקשת רשות ערעור של המבקש שנשפט ל</w:t>
      </w:r>
      <w:r>
        <w:rPr>
          <w:rFonts w:hint="cs"/>
          <w:b/>
          <w:bCs/>
          <w:rtl/>
        </w:rPr>
        <w:t>- 24 חודשי מאסר בפועל</w:t>
      </w:r>
      <w:r>
        <w:rPr>
          <w:rFonts w:hint="cs"/>
          <w:rtl/>
        </w:rPr>
        <w:t xml:space="preserve"> וענישה נלווית. העונש האמור הוטל על אותו מבקש על-ידי בית המשפט המחוזי שהחמיר את עונשו של בית משפט השלום. העבירה אותה ביצע המבקש הינה החזקת סמים מסוג קוקאין במשקל כולל של 1.4 גרם וכן סם מסוג הרואין במשקל של כ- 17 גרם אשר נמצאו על גופו בעת שנעצר בתחנה המרכזית החדשה של תל אביב. גזר הדין כלל הפעלת מאסר מותנה של 4 חודשים. </w:t>
      </w:r>
    </w:p>
    <w:p w14:paraId="17A48016" w14:textId="77777777" w:rsidR="00953D01" w:rsidRDefault="00953D01" w:rsidP="00953D01">
      <w:pPr>
        <w:spacing w:line="360" w:lineRule="auto"/>
        <w:ind w:left="720" w:hanging="720"/>
        <w:jc w:val="both"/>
        <w:rPr>
          <w:rtl/>
        </w:rPr>
      </w:pPr>
    </w:p>
    <w:p w14:paraId="1CD2859D" w14:textId="77777777" w:rsidR="00953D01" w:rsidRDefault="00953D01" w:rsidP="00953D01">
      <w:pPr>
        <w:spacing w:line="360" w:lineRule="auto"/>
        <w:ind w:left="1440" w:hanging="720"/>
        <w:jc w:val="both"/>
        <w:rPr>
          <w:rtl/>
        </w:rPr>
      </w:pPr>
      <w:r>
        <w:rPr>
          <w:rFonts w:hint="cs"/>
          <w:rtl/>
        </w:rPr>
        <w:t>ג.</w:t>
      </w:r>
      <w:r>
        <w:rPr>
          <w:rFonts w:hint="cs"/>
          <w:rtl/>
        </w:rPr>
        <w:tab/>
        <w:t>ב</w:t>
      </w:r>
      <w:hyperlink r:id="rId37" w:history="1">
        <w:r w:rsidR="00D97193" w:rsidRPr="00D97193">
          <w:rPr>
            <w:color w:val="0000FF"/>
            <w:u w:val="single"/>
            <w:rtl/>
          </w:rPr>
          <w:t>ע"פ 9910/17</w:t>
        </w:r>
      </w:hyperlink>
      <w:r>
        <w:rPr>
          <w:rFonts w:hint="cs"/>
          <w:rtl/>
        </w:rPr>
        <w:t xml:space="preserve"> </w:t>
      </w:r>
      <w:r>
        <w:rPr>
          <w:rFonts w:hint="cs"/>
          <w:b/>
          <w:bCs/>
          <w:rtl/>
        </w:rPr>
        <w:t>גריפולינה ואח' נ' מדינת ישראל</w:t>
      </w:r>
      <w:r>
        <w:rPr>
          <w:rFonts w:hint="cs"/>
          <w:rtl/>
        </w:rPr>
        <w:t xml:space="preserve"> (3.5.18) נדחה ערעורם של המבקשים לגבי עונש של </w:t>
      </w:r>
      <w:r>
        <w:rPr>
          <w:rFonts w:hint="cs"/>
          <w:b/>
          <w:bCs/>
          <w:rtl/>
        </w:rPr>
        <w:t xml:space="preserve">24 חודשי מאסר בפועל </w:t>
      </w:r>
      <w:r>
        <w:rPr>
          <w:rFonts w:hint="cs"/>
          <w:rtl/>
        </w:rPr>
        <w:t xml:space="preserve">וענישה נלווית בגין החזקת סמים ממספר סוגים בהם הרואין העולה על 40 גרם וקוקאין העולה על 21 גרם בדירה בחיפה. מתחם הענישה שקבע בית המשפט המחוזי, </w:t>
      </w:r>
      <w:r>
        <w:rPr>
          <w:rFonts w:hint="cs"/>
          <w:b/>
          <w:bCs/>
          <w:rtl/>
        </w:rPr>
        <w:t>15 עד 36 חודשי מאסר</w:t>
      </w:r>
      <w:r>
        <w:rPr>
          <w:rFonts w:hint="cs"/>
          <w:rtl/>
        </w:rPr>
        <w:t xml:space="preserve"> אושר על-ידי בית המשפט העליון אשר, כאמור לעיל דחה את הערעור. </w:t>
      </w:r>
    </w:p>
    <w:p w14:paraId="535CA5A9" w14:textId="77777777" w:rsidR="00953D01" w:rsidRDefault="00953D01" w:rsidP="00953D01">
      <w:pPr>
        <w:spacing w:line="360" w:lineRule="auto"/>
        <w:ind w:left="720" w:hanging="720"/>
        <w:jc w:val="both"/>
        <w:rPr>
          <w:rtl/>
        </w:rPr>
      </w:pPr>
    </w:p>
    <w:p w14:paraId="244C2521" w14:textId="77777777" w:rsidR="00953D01" w:rsidRDefault="00953D01" w:rsidP="00953D01">
      <w:pPr>
        <w:spacing w:line="360" w:lineRule="auto"/>
        <w:ind w:left="1440" w:hanging="720"/>
        <w:jc w:val="both"/>
        <w:rPr>
          <w:rtl/>
        </w:rPr>
      </w:pPr>
      <w:r>
        <w:rPr>
          <w:rFonts w:hint="cs"/>
          <w:rtl/>
        </w:rPr>
        <w:t xml:space="preserve">ד. </w:t>
      </w:r>
      <w:r>
        <w:rPr>
          <w:rFonts w:hint="cs"/>
          <w:rtl/>
        </w:rPr>
        <w:tab/>
        <w:t>ב</w:t>
      </w:r>
      <w:hyperlink r:id="rId38" w:history="1">
        <w:r w:rsidR="00D97193" w:rsidRPr="00D97193">
          <w:rPr>
            <w:color w:val="0000FF"/>
            <w:u w:val="single"/>
            <w:rtl/>
          </w:rPr>
          <w:t>רע"פ 8235/13</w:t>
        </w:r>
      </w:hyperlink>
      <w:r>
        <w:rPr>
          <w:rFonts w:hint="cs"/>
          <w:rtl/>
        </w:rPr>
        <w:t xml:space="preserve"> </w:t>
      </w:r>
      <w:r>
        <w:rPr>
          <w:rFonts w:hint="cs"/>
          <w:b/>
          <w:bCs/>
          <w:rtl/>
        </w:rPr>
        <w:t>חוסאם סייאח נ' מדינת ישראל</w:t>
      </w:r>
      <w:r>
        <w:rPr>
          <w:rFonts w:hint="cs"/>
          <w:rtl/>
        </w:rPr>
        <w:t xml:space="preserve"> (8.1.14) נדחתה רשות ערעור של המבקש אשר החזיק בסם מסוג הרואין במשקל של כ- 39 גרם. אותו מבקש זרק את שקית הסמים כדי להימלט מהשוטרים והתנגד למעצר. מדובר במבקש בעל עבר פלילי מכביד, ועליו הוטל מאסר של </w:t>
      </w:r>
      <w:r>
        <w:rPr>
          <w:rFonts w:hint="cs"/>
          <w:b/>
          <w:bCs/>
          <w:rtl/>
        </w:rPr>
        <w:t>42 חודשי מאסר בפועל</w:t>
      </w:r>
      <w:r>
        <w:rPr>
          <w:rFonts w:hint="cs"/>
          <w:rtl/>
        </w:rPr>
        <w:t xml:space="preserve"> כולל הפעלת מאסרים מותנים.</w:t>
      </w:r>
    </w:p>
    <w:p w14:paraId="18392993" w14:textId="77777777" w:rsidR="00953D01" w:rsidRDefault="00953D01" w:rsidP="00953D01">
      <w:pPr>
        <w:spacing w:line="360" w:lineRule="auto"/>
        <w:ind w:left="1440" w:hanging="720"/>
        <w:jc w:val="both"/>
        <w:rPr>
          <w:rtl/>
        </w:rPr>
      </w:pPr>
    </w:p>
    <w:p w14:paraId="63FCA3EC" w14:textId="77777777" w:rsidR="00953D01" w:rsidRDefault="00953D01" w:rsidP="00953D01">
      <w:pPr>
        <w:spacing w:line="360" w:lineRule="auto"/>
        <w:ind w:left="1440" w:hanging="720"/>
        <w:jc w:val="both"/>
        <w:rPr>
          <w:rtl/>
        </w:rPr>
      </w:pPr>
      <w:r>
        <w:rPr>
          <w:rFonts w:hint="cs"/>
          <w:rtl/>
        </w:rPr>
        <w:t>ה.</w:t>
      </w:r>
      <w:r>
        <w:rPr>
          <w:rFonts w:hint="cs"/>
          <w:rtl/>
        </w:rPr>
        <w:tab/>
        <w:t>ב</w:t>
      </w:r>
      <w:hyperlink r:id="rId39" w:history="1">
        <w:r w:rsidR="00D97193" w:rsidRPr="00D97193">
          <w:rPr>
            <w:color w:val="0000FF"/>
            <w:u w:val="single"/>
            <w:rtl/>
          </w:rPr>
          <w:t>עפ"ג (מחוזי לוד) 62489-07-17</w:t>
        </w:r>
      </w:hyperlink>
      <w:r>
        <w:rPr>
          <w:rFonts w:hint="cs"/>
          <w:rtl/>
        </w:rPr>
        <w:t xml:space="preserve"> </w:t>
      </w:r>
      <w:r>
        <w:rPr>
          <w:rFonts w:hint="cs"/>
          <w:b/>
          <w:bCs/>
          <w:rtl/>
        </w:rPr>
        <w:t xml:space="preserve">מחמד אבו דקה נ' מ"י </w:t>
      </w:r>
      <w:r>
        <w:rPr>
          <w:rFonts w:hint="cs"/>
          <w:rtl/>
        </w:rPr>
        <w:t xml:space="preserve">(31.12.17), נדחה ערעורו של נאשם, אשר נמצא מחזיק כ-30 ג' קוקאין מחולק למנות, ואשר נשפט </w:t>
      </w:r>
      <w:r>
        <w:rPr>
          <w:rFonts w:hint="cs"/>
          <w:b/>
          <w:bCs/>
          <w:rtl/>
        </w:rPr>
        <w:t>ל-15 חודשי מאסר.</w:t>
      </w:r>
      <w:r>
        <w:rPr>
          <w:rFonts w:hint="cs"/>
          <w:rtl/>
        </w:rPr>
        <w:t xml:space="preserve"> ביהמ"ש המחוזי קבע כי הנסיבות האישיות הקשות נלקחו ע"י בימ"ש השלום בחשבון, וכי העונש נגזר בקצהו הנמוך של מתחם העונש.</w:t>
      </w:r>
    </w:p>
    <w:p w14:paraId="6E29856D" w14:textId="77777777" w:rsidR="00953D01" w:rsidRDefault="00953D01" w:rsidP="00953D01">
      <w:pPr>
        <w:spacing w:line="360" w:lineRule="auto"/>
        <w:ind w:left="720" w:hanging="720"/>
        <w:jc w:val="both"/>
        <w:rPr>
          <w:rtl/>
        </w:rPr>
      </w:pPr>
    </w:p>
    <w:p w14:paraId="49F087A1" w14:textId="77777777" w:rsidR="00953D01" w:rsidRDefault="00953D01" w:rsidP="00953D01">
      <w:pPr>
        <w:spacing w:line="360" w:lineRule="auto"/>
        <w:jc w:val="both"/>
        <w:rPr>
          <w:rtl/>
        </w:rPr>
      </w:pPr>
      <w:r>
        <w:rPr>
          <w:rFonts w:hint="cs"/>
          <w:rtl/>
        </w:rPr>
        <w:t>17.</w:t>
      </w:r>
      <w:r>
        <w:rPr>
          <w:rFonts w:hint="cs"/>
          <w:rtl/>
        </w:rPr>
        <w:tab/>
        <w:t xml:space="preserve">ב"כ הנאשם הפנה מצדו לפסקי דין  שבהם נגזרו עונשים קלים יותר: </w:t>
      </w:r>
    </w:p>
    <w:p w14:paraId="2B900E05" w14:textId="77777777" w:rsidR="00953D01" w:rsidRDefault="00953D01" w:rsidP="00953D01">
      <w:pPr>
        <w:spacing w:line="360" w:lineRule="auto"/>
        <w:jc w:val="both"/>
        <w:rPr>
          <w:rtl/>
        </w:rPr>
      </w:pPr>
    </w:p>
    <w:p w14:paraId="5076AA2F" w14:textId="77777777" w:rsidR="00953D01" w:rsidRDefault="00953D01" w:rsidP="00953D01">
      <w:pPr>
        <w:spacing w:line="360" w:lineRule="auto"/>
        <w:ind w:left="1440" w:hanging="720"/>
        <w:jc w:val="both"/>
        <w:rPr>
          <w:rtl/>
        </w:rPr>
      </w:pPr>
      <w:r>
        <w:rPr>
          <w:rFonts w:hint="cs"/>
          <w:rtl/>
        </w:rPr>
        <w:t>א.</w:t>
      </w:r>
      <w:r>
        <w:rPr>
          <w:rFonts w:hint="cs"/>
          <w:rtl/>
        </w:rPr>
        <w:tab/>
        <w:t>ב</w:t>
      </w:r>
      <w:hyperlink r:id="rId40" w:history="1">
        <w:r w:rsidR="00D97193" w:rsidRPr="00D97193">
          <w:rPr>
            <w:color w:val="0000FF"/>
            <w:u w:val="single"/>
            <w:rtl/>
          </w:rPr>
          <w:t>רע"פ 1425/15</w:t>
        </w:r>
      </w:hyperlink>
      <w:r>
        <w:rPr>
          <w:rFonts w:hint="cs"/>
          <w:rtl/>
        </w:rPr>
        <w:t xml:space="preserve"> </w:t>
      </w:r>
      <w:r>
        <w:rPr>
          <w:rFonts w:hint="cs"/>
          <w:b/>
          <w:bCs/>
          <w:rtl/>
        </w:rPr>
        <w:t>פרוספר טבול נ' מדינת ישראל</w:t>
      </w:r>
      <w:r>
        <w:rPr>
          <w:rFonts w:hint="cs"/>
          <w:rtl/>
        </w:rPr>
        <w:t xml:space="preserve"> (5.3.15) נדון עניינו של מבקש אשר נשפט על-ידי בית המשפט המחוזי שהחמיר את עונש עבודות השירות אשר הטיל בית משפט השלום. במחוזי הוטלו </w:t>
      </w:r>
      <w:r>
        <w:rPr>
          <w:rFonts w:hint="cs"/>
          <w:b/>
          <w:bCs/>
          <w:rtl/>
        </w:rPr>
        <w:t>12 חודשי מאסר בפועל</w:t>
      </w:r>
      <w:r>
        <w:rPr>
          <w:rFonts w:hint="cs"/>
          <w:rtl/>
        </w:rPr>
        <w:t xml:space="preserve">. מדובר בסם מסוכן מסוג קוקאין בכמות העולה על 38 גרם מחולקת לאריזות שונות שנתפסו ברכב בו ישב המבקש. בקשת רשות הערעור התמקדה בשאלה שאינה מכוונת ישירות לרמת הענישה (נטען כי בית המשפט המחוזי התייחס שלא כדין לתיק פתוח), ובכל מקרה בקשתו להתערב בעונש נדחתה. </w:t>
      </w:r>
    </w:p>
    <w:p w14:paraId="736BBB24" w14:textId="77777777" w:rsidR="00953D01" w:rsidRDefault="00953D01" w:rsidP="00953D01">
      <w:pPr>
        <w:spacing w:line="360" w:lineRule="auto"/>
        <w:ind w:left="1440" w:hanging="720"/>
        <w:jc w:val="both"/>
        <w:rPr>
          <w:rtl/>
        </w:rPr>
      </w:pPr>
      <w:r>
        <w:rPr>
          <w:rFonts w:hint="cs"/>
          <w:rtl/>
        </w:rPr>
        <w:tab/>
        <w:t xml:space="preserve">בית המשפט המחוזי, אשר החמיר בעונש, והכפיל את חודשי המאסר, אף קבע מאסר בפועל תחת עבודות שרות, ציין במפורש כי פעל לפי ההלכה כי ערכאת הערעור איננה ממצה את מלוא חומרת הדין (ראה ההחלטה מיום 4.2.15 בעפ"ג באר-שבע 12582-05-14). </w:t>
      </w:r>
    </w:p>
    <w:p w14:paraId="06F74DC4" w14:textId="77777777" w:rsidR="00953D01" w:rsidRDefault="00953D01" w:rsidP="00953D01">
      <w:pPr>
        <w:spacing w:line="360" w:lineRule="auto"/>
        <w:jc w:val="both"/>
        <w:rPr>
          <w:rtl/>
        </w:rPr>
      </w:pPr>
    </w:p>
    <w:p w14:paraId="586F0B14" w14:textId="77777777" w:rsidR="00953D01" w:rsidRDefault="00953D01" w:rsidP="00953D01">
      <w:pPr>
        <w:spacing w:line="360" w:lineRule="auto"/>
        <w:ind w:left="1440" w:hanging="720"/>
        <w:jc w:val="both"/>
        <w:rPr>
          <w:rtl/>
        </w:rPr>
      </w:pPr>
      <w:r>
        <w:rPr>
          <w:rFonts w:hint="cs"/>
          <w:rtl/>
        </w:rPr>
        <w:t>ב.</w:t>
      </w:r>
      <w:r>
        <w:rPr>
          <w:rFonts w:hint="cs"/>
          <w:rtl/>
        </w:rPr>
        <w:tab/>
        <w:t>ב</w:t>
      </w:r>
      <w:hyperlink r:id="rId41" w:history="1">
        <w:r w:rsidR="00D97193" w:rsidRPr="00D97193">
          <w:rPr>
            <w:color w:val="0000FF"/>
            <w:u w:val="single"/>
            <w:rtl/>
          </w:rPr>
          <w:t>רע"פ 1122/17</w:t>
        </w:r>
      </w:hyperlink>
      <w:r>
        <w:rPr>
          <w:rFonts w:hint="cs"/>
          <w:rtl/>
        </w:rPr>
        <w:t xml:space="preserve"> </w:t>
      </w:r>
      <w:r>
        <w:rPr>
          <w:rFonts w:hint="cs"/>
          <w:b/>
          <w:bCs/>
          <w:rtl/>
        </w:rPr>
        <w:t>אלון גולדשטיין נ' מ"י</w:t>
      </w:r>
      <w:r>
        <w:rPr>
          <w:rFonts w:hint="cs"/>
          <w:rtl/>
        </w:rPr>
        <w:t xml:space="preserve"> (5.7.17) נדחתה בקשת רשות ערעור של נהג קטנוע שנהג תחת השפעת קוקאין, ונמצא מחזיק כ-5 ג' קוקאין. באירוע נוסף החזיק כ15 ג' קוקאין ו5.5.ג' </w:t>
      </w:r>
      <w:r>
        <w:t>MDMA</w:t>
      </w:r>
      <w:r>
        <w:rPr>
          <w:rFonts w:hint="cs"/>
          <w:rtl/>
        </w:rPr>
        <w:t xml:space="preserve">. עונשו של מבקש זה הוחמר בבית המשפט המחוזי, ששלח אותו </w:t>
      </w:r>
      <w:r>
        <w:rPr>
          <w:rFonts w:hint="cs"/>
          <w:b/>
          <w:bCs/>
          <w:rtl/>
        </w:rPr>
        <w:t>לעשרה חודשי מאסר בפועל</w:t>
      </w:r>
      <w:r>
        <w:rPr>
          <w:rFonts w:hint="cs"/>
          <w:rtl/>
        </w:rPr>
        <w:t xml:space="preserve">, תחת ריצוי עבודות שרות, על פי גזר דינו של ביהמ"ש השלום. במקרה זה שקל ביהמ"ש המחוזי סטייה ממתחם הענישה, שנקבע כי הוא בין 10 ל 24 חודשי מאסר, לשם שיקום, ואולם לבסוף נמנע מלסטות מהמתחם עקב תיק חקירה חדש שנפתח בזמן ההליך. </w:t>
      </w:r>
    </w:p>
    <w:p w14:paraId="3708E4EB" w14:textId="77777777" w:rsidR="00953D01" w:rsidRDefault="00953D01" w:rsidP="00953D01">
      <w:pPr>
        <w:spacing w:line="360" w:lineRule="auto"/>
        <w:ind w:left="1440" w:hanging="720"/>
        <w:jc w:val="both"/>
        <w:rPr>
          <w:rtl/>
        </w:rPr>
      </w:pPr>
    </w:p>
    <w:p w14:paraId="6B42DF5D" w14:textId="77777777" w:rsidR="00953D01" w:rsidRDefault="00953D01" w:rsidP="00953D01">
      <w:pPr>
        <w:spacing w:line="360" w:lineRule="auto"/>
        <w:ind w:left="1440" w:hanging="720"/>
        <w:jc w:val="both"/>
        <w:rPr>
          <w:rtl/>
        </w:rPr>
      </w:pPr>
    </w:p>
    <w:p w14:paraId="7F7FE45F" w14:textId="77777777" w:rsidR="00953D01" w:rsidRDefault="00953D01" w:rsidP="00953D01">
      <w:pPr>
        <w:spacing w:line="360" w:lineRule="auto"/>
        <w:ind w:left="1440" w:hanging="720"/>
        <w:jc w:val="both"/>
        <w:rPr>
          <w:rtl/>
        </w:rPr>
      </w:pPr>
      <w:r>
        <w:rPr>
          <w:rFonts w:hint="cs"/>
          <w:rtl/>
        </w:rPr>
        <w:t>ג.</w:t>
      </w:r>
      <w:r>
        <w:rPr>
          <w:rFonts w:hint="cs"/>
          <w:rtl/>
        </w:rPr>
        <w:tab/>
        <w:t>ב</w:t>
      </w:r>
      <w:hyperlink r:id="rId42" w:history="1">
        <w:r w:rsidR="00D97193" w:rsidRPr="00D97193">
          <w:rPr>
            <w:color w:val="0000FF"/>
            <w:u w:val="single"/>
            <w:rtl/>
          </w:rPr>
          <w:t>ע"פ 7196/11</w:t>
        </w:r>
      </w:hyperlink>
      <w:r>
        <w:rPr>
          <w:rFonts w:hint="cs"/>
          <w:rtl/>
        </w:rPr>
        <w:t xml:space="preserve"> </w:t>
      </w:r>
      <w:r>
        <w:rPr>
          <w:rFonts w:hint="cs"/>
          <w:b/>
          <w:bCs/>
          <w:rtl/>
        </w:rPr>
        <w:t>אביחי ביזאוי נ' מ"י</w:t>
      </w:r>
      <w:r>
        <w:rPr>
          <w:rFonts w:hint="cs"/>
          <w:rtl/>
        </w:rPr>
        <w:t xml:space="preserve"> (19.6.12) נדחה ערעורה של המדינה על גזר דין שבו הטיל ביהמ"ש המחוזי </w:t>
      </w:r>
      <w:r>
        <w:rPr>
          <w:rFonts w:hint="cs"/>
          <w:b/>
          <w:bCs/>
          <w:rtl/>
        </w:rPr>
        <w:t>מאסר בעבודות שרות</w:t>
      </w:r>
      <w:r>
        <w:rPr>
          <w:rFonts w:hint="cs"/>
          <w:rtl/>
        </w:rPr>
        <w:t xml:space="preserve"> על נאשם שהורשע בהחזקת קרוב ל-120 ג' קוקאין וארבע טבליות </w:t>
      </w:r>
      <w:r>
        <w:t>MDMA</w:t>
      </w:r>
      <w:r>
        <w:rPr>
          <w:rFonts w:hint="cs"/>
          <w:rtl/>
        </w:rPr>
        <w:t>. צוין כי מדובר בגזר דין מקל המצוי בטווח הענישה התחתון, וניתן משקל רב לנסיבות אישיות.</w:t>
      </w:r>
    </w:p>
    <w:p w14:paraId="68691ECC" w14:textId="77777777" w:rsidR="00953D01" w:rsidRDefault="00953D01" w:rsidP="00953D01">
      <w:pPr>
        <w:spacing w:line="360" w:lineRule="auto"/>
        <w:ind w:left="1440" w:hanging="720"/>
        <w:jc w:val="both"/>
        <w:rPr>
          <w:rtl/>
        </w:rPr>
      </w:pPr>
    </w:p>
    <w:p w14:paraId="23CF75EB" w14:textId="77777777" w:rsidR="00953D01" w:rsidRDefault="00953D01" w:rsidP="00953D01">
      <w:pPr>
        <w:spacing w:line="360" w:lineRule="auto"/>
        <w:ind w:left="1440" w:hanging="720"/>
        <w:jc w:val="both"/>
        <w:rPr>
          <w:rtl/>
        </w:rPr>
      </w:pPr>
      <w:r>
        <w:rPr>
          <w:rFonts w:hint="cs"/>
          <w:rtl/>
        </w:rPr>
        <w:t>ד.</w:t>
      </w:r>
      <w:r>
        <w:rPr>
          <w:rFonts w:hint="cs"/>
          <w:rtl/>
        </w:rPr>
        <w:tab/>
        <w:t>עוד הפנה הסנגור לגזר דין שעסק בגידול קנביס, ואולם מצאתי כי עניין זה אינו יפה לעבירות הסמים שביצע הנאשם.</w:t>
      </w:r>
    </w:p>
    <w:p w14:paraId="68EB6ADF" w14:textId="77777777" w:rsidR="00953D01" w:rsidRDefault="00953D01" w:rsidP="00953D01">
      <w:pPr>
        <w:spacing w:line="360" w:lineRule="auto"/>
        <w:ind w:left="1440" w:hanging="720"/>
        <w:jc w:val="both"/>
        <w:rPr>
          <w:rtl/>
        </w:rPr>
      </w:pPr>
    </w:p>
    <w:p w14:paraId="2A6FD730" w14:textId="77777777" w:rsidR="00953D01" w:rsidRDefault="00953D01" w:rsidP="00953D01">
      <w:pPr>
        <w:spacing w:line="360" w:lineRule="auto"/>
        <w:ind w:left="720" w:hanging="720"/>
        <w:jc w:val="both"/>
        <w:rPr>
          <w:rtl/>
        </w:rPr>
      </w:pPr>
      <w:r>
        <w:rPr>
          <w:rFonts w:hint="cs"/>
          <w:rtl/>
        </w:rPr>
        <w:t>18.</w:t>
      </w:r>
      <w:r>
        <w:rPr>
          <w:rFonts w:hint="cs"/>
          <w:rtl/>
        </w:rPr>
        <w:tab/>
        <w:t xml:space="preserve">אני סבורה כי עמדתה של המאשימה באשר למתחם העונש, קרובה למתחם שעולה ממדיניות הענישה. איני מתעלמת מפסיקה אליה הפנתה ההגנה, שבה צוין מתחם נמוך יותר לעבירות דומות. </w:t>
      </w:r>
      <w:r>
        <w:rPr>
          <w:rFonts w:hint="cs"/>
          <w:b/>
          <w:bCs/>
          <w:rtl/>
        </w:rPr>
        <w:t>לסיכום, אני קובעת כי מתחם העונש בגין עבירת הסמים, יחד עם עבירות התעבורה הנלוות נע בין 14 ל-30 חודשי מאסר בפועל יחד עם ענישה נלווית.</w:t>
      </w:r>
    </w:p>
    <w:p w14:paraId="1F9F0EAD" w14:textId="77777777" w:rsidR="00953D01" w:rsidRDefault="00953D01" w:rsidP="00953D01">
      <w:pPr>
        <w:spacing w:line="360" w:lineRule="auto"/>
        <w:jc w:val="both"/>
        <w:rPr>
          <w:rtl/>
        </w:rPr>
      </w:pPr>
    </w:p>
    <w:p w14:paraId="3402CC34" w14:textId="77777777" w:rsidR="00953D01" w:rsidRDefault="00953D01" w:rsidP="00953D01">
      <w:pPr>
        <w:spacing w:line="360" w:lineRule="auto"/>
        <w:jc w:val="both"/>
        <w:rPr>
          <w:b/>
          <w:bCs/>
          <w:u w:val="single"/>
          <w:rtl/>
        </w:rPr>
      </w:pPr>
      <w:r>
        <w:rPr>
          <w:rFonts w:hint="cs"/>
          <w:b/>
          <w:bCs/>
          <w:u w:val="single"/>
          <w:rtl/>
        </w:rPr>
        <w:t>הצבה במתחם העונש</w:t>
      </w:r>
    </w:p>
    <w:p w14:paraId="6A60BA0F" w14:textId="77777777" w:rsidR="00953D01" w:rsidRDefault="00953D01" w:rsidP="00953D01">
      <w:pPr>
        <w:spacing w:line="360" w:lineRule="auto"/>
        <w:jc w:val="both"/>
        <w:rPr>
          <w:b/>
          <w:bCs/>
          <w:rtl/>
        </w:rPr>
      </w:pPr>
    </w:p>
    <w:p w14:paraId="1BCEC31E" w14:textId="77777777" w:rsidR="00953D01" w:rsidRDefault="00953D01" w:rsidP="00953D01">
      <w:pPr>
        <w:spacing w:line="360" w:lineRule="auto"/>
        <w:ind w:left="720" w:hanging="720"/>
        <w:jc w:val="both"/>
        <w:rPr>
          <w:rtl/>
        </w:rPr>
      </w:pPr>
      <w:r>
        <w:rPr>
          <w:rFonts w:hint="cs"/>
          <w:rtl/>
        </w:rPr>
        <w:t>19.</w:t>
      </w:r>
      <w:r>
        <w:rPr>
          <w:rFonts w:hint="cs"/>
          <w:rtl/>
        </w:rPr>
        <w:tab/>
        <w:t xml:space="preserve">הנאשם בן 28.  לפני מעט למעלה משנה נשפט ל-16 חודשי מאסר בגין שורה ארוכה של עבירות רכוש, ומכאן שהשתחרר ממאסר חודשים ספורים טרם ביצוע העבירות כאן. באותו תיק הורשע, בין היתר, בהסתייעות ברכב לביצוע עבירה, ורישיונו (לנהיגה ברכב) נפסל לתקופה ממושכת – פסילה שלא מנעה ממנו את הנהיגה באופנוע (לו מעולם לא הוציא רישיון נהיגה כעולה מכתב האישום המתוקן). מלבד מאסרו האחרון, הנאשם נשפט פעמים נוספות בעברו. לחובתו של הנאשם גם רישום תעבורתי מכביד הכולל הרשעות בנהיגה בפסילה. הנאשם לא ביקש לקבל לגביו תסקיר לעונש, ולא בחן כל הליך טיפולי, מכאן שלא הובאו נתונים בדבר אישיותו או דפוסיו השונים. למרבה הצער, נותר רושם כי בפנינו צעיר אשר בחר, בהווה ולעת זו,  בדרך הפשע כדרך חיים. </w:t>
      </w:r>
    </w:p>
    <w:p w14:paraId="66201E6D" w14:textId="77777777" w:rsidR="00953D01" w:rsidRDefault="00953D01" w:rsidP="00953D01">
      <w:pPr>
        <w:spacing w:line="360" w:lineRule="auto"/>
        <w:ind w:left="720" w:hanging="720"/>
        <w:jc w:val="both"/>
        <w:rPr>
          <w:rtl/>
        </w:rPr>
      </w:pPr>
    </w:p>
    <w:p w14:paraId="793C3534" w14:textId="77777777" w:rsidR="00953D01" w:rsidRDefault="00953D01" w:rsidP="00953D01">
      <w:pPr>
        <w:spacing w:line="360" w:lineRule="auto"/>
        <w:ind w:left="720" w:hanging="720"/>
        <w:jc w:val="both"/>
        <w:rPr>
          <w:rtl/>
        </w:rPr>
      </w:pPr>
      <w:r>
        <w:rPr>
          <w:rFonts w:hint="cs"/>
          <w:rtl/>
        </w:rPr>
        <w:t>20.</w:t>
      </w:r>
      <w:r>
        <w:rPr>
          <w:rFonts w:hint="cs"/>
          <w:rtl/>
        </w:rPr>
        <w:tab/>
        <w:t>לטובת הנאשם יש לזקוף את הודאתו ואת הקיצור בזמן שיפוטי, ואולם אני סבורה כי המאשימה, בעמדתה העונשית במסגרת הסדר הטיעון, לקחה את ההודאה ואת קיצור ההליך בחשבון.</w:t>
      </w:r>
    </w:p>
    <w:p w14:paraId="15D20487" w14:textId="77777777" w:rsidR="00953D01" w:rsidRDefault="00953D01" w:rsidP="00953D01">
      <w:pPr>
        <w:spacing w:line="360" w:lineRule="auto"/>
        <w:ind w:left="720"/>
        <w:jc w:val="both"/>
        <w:rPr>
          <w:rtl/>
        </w:rPr>
      </w:pPr>
      <w:r>
        <w:rPr>
          <w:rFonts w:hint="cs"/>
          <w:rtl/>
        </w:rPr>
        <w:t>כזכור, המאשימה עתרה להטיל על הנאשם 16 חודשי מאסר בפועל, ומדובר בעונש הקרוב מאד לתחתיתו של המתחם העונשי. בסופו של דבר, החלטתי לבטא באופן מידתי את העובדה כי מצאתי את מתחם העונש שונה מעט מזה שצוין בטיעוני המאשימה, ולכן אטיל על הנאשם 15 חודשי מאסר בפועל.</w:t>
      </w:r>
    </w:p>
    <w:p w14:paraId="3504739A" w14:textId="77777777" w:rsidR="00953D01" w:rsidRDefault="00953D01" w:rsidP="00953D01">
      <w:pPr>
        <w:spacing w:line="360" w:lineRule="auto"/>
        <w:jc w:val="both"/>
        <w:rPr>
          <w:rtl/>
        </w:rPr>
      </w:pPr>
    </w:p>
    <w:p w14:paraId="06D3BC81" w14:textId="77777777" w:rsidR="00953D01" w:rsidRDefault="00953D01" w:rsidP="00953D01">
      <w:pPr>
        <w:spacing w:line="360" w:lineRule="auto"/>
        <w:jc w:val="both"/>
        <w:rPr>
          <w:rtl/>
        </w:rPr>
      </w:pPr>
    </w:p>
    <w:p w14:paraId="03F36760" w14:textId="77777777" w:rsidR="00953D01" w:rsidRDefault="00953D01" w:rsidP="00953D01">
      <w:pPr>
        <w:spacing w:line="360" w:lineRule="auto"/>
        <w:jc w:val="both"/>
        <w:rPr>
          <w:rtl/>
        </w:rPr>
      </w:pPr>
    </w:p>
    <w:p w14:paraId="2BD17E6E" w14:textId="77777777" w:rsidR="00953D01" w:rsidRDefault="00953D01" w:rsidP="00953D01">
      <w:pPr>
        <w:spacing w:line="360" w:lineRule="auto"/>
        <w:jc w:val="both"/>
        <w:rPr>
          <w:b/>
          <w:bCs/>
          <w:u w:val="single"/>
          <w:rtl/>
        </w:rPr>
      </w:pPr>
      <w:r>
        <w:rPr>
          <w:rFonts w:hint="cs"/>
          <w:b/>
          <w:bCs/>
          <w:u w:val="single"/>
          <w:rtl/>
        </w:rPr>
        <w:t>הכרזה כ"סוחר סמים"</w:t>
      </w:r>
    </w:p>
    <w:p w14:paraId="1EEC106A" w14:textId="77777777" w:rsidR="00953D01" w:rsidRDefault="00953D01" w:rsidP="00953D01">
      <w:pPr>
        <w:spacing w:line="360" w:lineRule="auto"/>
        <w:jc w:val="both"/>
        <w:rPr>
          <w:rtl/>
        </w:rPr>
      </w:pPr>
    </w:p>
    <w:p w14:paraId="613E6CCD" w14:textId="77777777" w:rsidR="00953D01" w:rsidRDefault="00953D01" w:rsidP="00953D01">
      <w:pPr>
        <w:spacing w:line="360" w:lineRule="auto"/>
        <w:ind w:left="720" w:hanging="720"/>
        <w:jc w:val="both"/>
        <w:rPr>
          <w:rtl/>
        </w:rPr>
      </w:pPr>
      <w:r>
        <w:rPr>
          <w:rFonts w:hint="cs"/>
          <w:rtl/>
        </w:rPr>
        <w:t>21.</w:t>
      </w:r>
      <w:r>
        <w:rPr>
          <w:rFonts w:hint="cs"/>
          <w:rtl/>
        </w:rPr>
        <w:tab/>
        <w:t>באשר למחלוקת שבין הצדדים אם להכריז על הנאשם "סוחר סמים" – החלטתי לאמץ את עמדת הנאשם, ולהימנע מהכרזה כאמור. ראשית, מצאתי כי במקרה הדיון בסוגיה למעשה מתייתר. אין הכרח לשקול את הקריטריונים להכרזת נאשמים בפרשות סמים כ"סוחרי סמים", שכן, בניגוד לפסיקה אליה הפנתה המאשימה (</w:t>
      </w:r>
      <w:hyperlink r:id="rId43" w:history="1">
        <w:r w:rsidR="00D97193" w:rsidRPr="00D97193">
          <w:rPr>
            <w:color w:val="0000FF"/>
            <w:u w:val="single"/>
            <w:rtl/>
          </w:rPr>
          <w:t>ע"פ 170/07</w:t>
        </w:r>
      </w:hyperlink>
      <w:r>
        <w:rPr>
          <w:rFonts w:hint="cs"/>
          <w:rtl/>
        </w:rPr>
        <w:t xml:space="preserve"> </w:t>
      </w:r>
      <w:r>
        <w:rPr>
          <w:rFonts w:hint="cs"/>
          <w:b/>
          <w:bCs/>
          <w:rtl/>
        </w:rPr>
        <w:t>מטיס נ' מ"י</w:t>
      </w:r>
      <w:r>
        <w:rPr>
          <w:rFonts w:hint="cs"/>
          <w:rtl/>
        </w:rPr>
        <w:t xml:space="preserve">), שם עמד על הפרק חילוט כספים מחשבון בנק, מעבר לכספים שנתפסו בחקירה, כאן החילוט היחידי העומד על הפרק הנו חילוטם של האופנוע שבו נהג הנאשם, וכן שלושה מכשירי טלפון, אותם הנאשם נשא עמו. בנוסף, האופנוע איננו מצוי כלל בבעלותו של הנאשם, שכן רשום הוא על שמו של אחר, ומכאן אין הוא עונה על ההגדרה לגבי רכוש של סוחר סמים, המופיעה </w:t>
      </w:r>
      <w:hyperlink r:id="rId44" w:history="1">
        <w:r w:rsidR="006C6BCD" w:rsidRPr="006C6BCD">
          <w:rPr>
            <w:color w:val="0000FF"/>
            <w:u w:val="single"/>
            <w:rtl/>
          </w:rPr>
          <w:t>בסעיף 31(6)</w:t>
        </w:r>
      </w:hyperlink>
      <w:r>
        <w:rPr>
          <w:rFonts w:hint="cs"/>
          <w:rtl/>
        </w:rPr>
        <w:t xml:space="preserve"> ל</w:t>
      </w:r>
      <w:hyperlink r:id="rId45" w:history="1">
        <w:r w:rsidR="00D97193" w:rsidRPr="00D97193">
          <w:rPr>
            <w:color w:val="0000FF"/>
            <w:u w:val="single"/>
            <w:rtl/>
          </w:rPr>
          <w:t>פקודת הסמים המסוכנים</w:t>
        </w:r>
      </w:hyperlink>
      <w:r>
        <w:rPr>
          <w:rFonts w:hint="cs"/>
          <w:rtl/>
        </w:rPr>
        <w:t xml:space="preserve">.  </w:t>
      </w:r>
    </w:p>
    <w:p w14:paraId="32E0DA74" w14:textId="77777777" w:rsidR="00953D01" w:rsidRDefault="00953D01" w:rsidP="00953D01">
      <w:pPr>
        <w:spacing w:line="360" w:lineRule="auto"/>
        <w:jc w:val="both"/>
        <w:rPr>
          <w:rtl/>
        </w:rPr>
      </w:pPr>
    </w:p>
    <w:p w14:paraId="77294FC8" w14:textId="77777777" w:rsidR="00953D01" w:rsidRDefault="00953D01" w:rsidP="00953D01">
      <w:pPr>
        <w:spacing w:line="360" w:lineRule="auto"/>
        <w:ind w:left="720" w:hanging="720"/>
        <w:jc w:val="both"/>
        <w:rPr>
          <w:rtl/>
        </w:rPr>
      </w:pPr>
      <w:r>
        <w:rPr>
          <w:rFonts w:hint="cs"/>
          <w:rtl/>
        </w:rPr>
        <w:t>22.</w:t>
      </w:r>
      <w:r>
        <w:rPr>
          <w:rFonts w:hint="cs"/>
          <w:rtl/>
        </w:rPr>
        <w:tab/>
        <w:t xml:space="preserve">בנוסף, מקובלת עלי טענת ב"כ הנאשם, כי המאשימה לא עמדה בדרישותיו של </w:t>
      </w:r>
      <w:hyperlink r:id="rId46" w:history="1">
        <w:r w:rsidR="006C6BCD" w:rsidRPr="006C6BCD">
          <w:rPr>
            <w:color w:val="0000FF"/>
            <w:u w:val="single"/>
            <w:rtl/>
          </w:rPr>
          <w:t>סעיף 36א(ב)</w:t>
        </w:r>
      </w:hyperlink>
      <w:r>
        <w:rPr>
          <w:rFonts w:hint="cs"/>
          <w:rtl/>
        </w:rPr>
        <w:t xml:space="preserve"> לפקודת הסמים. תכליתה של הוראת החילוט לרכושו של סוחר סמים, היא למנוע מסוחר הסמים הנאה מרכוש אשר השיג הודות לעיסוקו העברייני. במקרה זה, המאשימה לא פעלה ברצינות מספקת ולא הביאה ראיות בדבר ערכו של האופנוע, אף לא טענה, בכתב האישום או בטיעונים לעונש, כי לנאשם בעלות, גם אם חלקית או עקיפה, על אותו אופנוע הרשום על שמו של אחר. לנוכח האמור לעיל, החלטתי להימנע מהכרזה על הנאשם "סוחר סמים". </w:t>
      </w:r>
    </w:p>
    <w:p w14:paraId="06E69BFA" w14:textId="77777777" w:rsidR="00953D01" w:rsidRDefault="00953D01" w:rsidP="00953D01">
      <w:pPr>
        <w:spacing w:line="360" w:lineRule="auto"/>
        <w:ind w:left="720" w:hanging="720"/>
        <w:jc w:val="both"/>
        <w:rPr>
          <w:rtl/>
        </w:rPr>
      </w:pPr>
    </w:p>
    <w:p w14:paraId="57FA8416" w14:textId="77777777" w:rsidR="00953D01" w:rsidRDefault="00953D01" w:rsidP="00953D01">
      <w:pPr>
        <w:spacing w:line="360" w:lineRule="auto"/>
        <w:ind w:left="720" w:hanging="720"/>
        <w:jc w:val="both"/>
        <w:rPr>
          <w:rtl/>
        </w:rPr>
      </w:pPr>
      <w:r>
        <w:rPr>
          <w:rFonts w:hint="cs"/>
          <w:rtl/>
        </w:rPr>
        <w:t>23.</w:t>
      </w:r>
      <w:r>
        <w:rPr>
          <w:rFonts w:hint="cs"/>
          <w:rtl/>
        </w:rPr>
        <w:tab/>
        <w:t>האופנוע לא יחולט, שכן לא הושמעה טענה כי יש לחלטו במסלול אפשרי אחר, נוכח שימושו לביצוע עבירה. גם מכשירי הטלפון, שלא שימשו לביצוע העבירה, יוחזרו לנאשם. לצד האמור יצוין כי על הנאשם יוטל קנס משמעותי, אשר יבטא את חומרת עבירת הסמים, המחייבת גם ענישה כלכלית.</w:t>
      </w:r>
    </w:p>
    <w:p w14:paraId="40AA17A9" w14:textId="77777777" w:rsidR="00953D01" w:rsidRDefault="00953D01" w:rsidP="00953D01">
      <w:pPr>
        <w:spacing w:line="360" w:lineRule="auto"/>
        <w:jc w:val="both"/>
        <w:rPr>
          <w:rtl/>
        </w:rPr>
      </w:pPr>
    </w:p>
    <w:p w14:paraId="585A75CD" w14:textId="77777777" w:rsidR="00953D01" w:rsidRDefault="00953D01" w:rsidP="00953D01">
      <w:pPr>
        <w:spacing w:line="360" w:lineRule="auto"/>
        <w:jc w:val="both"/>
        <w:rPr>
          <w:b/>
          <w:bCs/>
          <w:u w:val="single"/>
          <w:rtl/>
        </w:rPr>
      </w:pPr>
      <w:r>
        <w:rPr>
          <w:rFonts w:hint="cs"/>
          <w:b/>
          <w:bCs/>
          <w:u w:val="single"/>
          <w:rtl/>
        </w:rPr>
        <w:t>סוף דבר</w:t>
      </w:r>
    </w:p>
    <w:p w14:paraId="21661749" w14:textId="77777777" w:rsidR="00953D01" w:rsidRDefault="00953D01" w:rsidP="00953D01">
      <w:pPr>
        <w:spacing w:line="360" w:lineRule="auto"/>
        <w:jc w:val="both"/>
        <w:rPr>
          <w:b/>
          <w:bCs/>
          <w:u w:val="single"/>
          <w:rtl/>
        </w:rPr>
      </w:pPr>
    </w:p>
    <w:p w14:paraId="64980EE1" w14:textId="77777777" w:rsidR="00953D01" w:rsidRDefault="00953D01" w:rsidP="00953D01">
      <w:pPr>
        <w:spacing w:line="360" w:lineRule="auto"/>
        <w:jc w:val="both"/>
        <w:rPr>
          <w:rtl/>
        </w:rPr>
      </w:pPr>
      <w:r>
        <w:rPr>
          <w:rFonts w:hint="cs"/>
          <w:rtl/>
        </w:rPr>
        <w:t>24.</w:t>
      </w:r>
      <w:r>
        <w:rPr>
          <w:rFonts w:hint="cs"/>
          <w:rtl/>
        </w:rPr>
        <w:tab/>
        <w:t>סוף דבר הוא כי אני גוזרת את עונשו של הנאשם כדלקמן:</w:t>
      </w:r>
    </w:p>
    <w:p w14:paraId="387FB2E4" w14:textId="77777777" w:rsidR="00953D01" w:rsidRDefault="00953D01" w:rsidP="00953D01">
      <w:pPr>
        <w:spacing w:line="360" w:lineRule="auto"/>
        <w:jc w:val="both"/>
        <w:rPr>
          <w:rtl/>
        </w:rPr>
      </w:pPr>
    </w:p>
    <w:p w14:paraId="15FEB6EA" w14:textId="77777777" w:rsidR="00953D01" w:rsidRDefault="00953D01" w:rsidP="00953D01">
      <w:pPr>
        <w:spacing w:line="360" w:lineRule="auto"/>
        <w:jc w:val="both"/>
        <w:rPr>
          <w:rtl/>
        </w:rPr>
      </w:pPr>
      <w:r>
        <w:rPr>
          <w:rFonts w:hint="cs"/>
          <w:rtl/>
        </w:rPr>
        <w:tab/>
        <w:t>א.</w:t>
      </w:r>
      <w:r>
        <w:rPr>
          <w:rFonts w:hint="cs"/>
          <w:rtl/>
        </w:rPr>
        <w:tab/>
        <w:t>מאסר בפועל למשך 15 חודשי מאסר בניכוי ימי מעצרו מיום 6.3.19.</w:t>
      </w:r>
    </w:p>
    <w:p w14:paraId="67BBD991" w14:textId="77777777" w:rsidR="00953D01" w:rsidRDefault="00953D01" w:rsidP="00953D01">
      <w:pPr>
        <w:spacing w:line="360" w:lineRule="auto"/>
        <w:jc w:val="both"/>
        <w:rPr>
          <w:rtl/>
        </w:rPr>
      </w:pPr>
    </w:p>
    <w:p w14:paraId="2C96701C" w14:textId="77777777" w:rsidR="00953D01" w:rsidRDefault="00953D01" w:rsidP="00953D01">
      <w:pPr>
        <w:spacing w:line="360" w:lineRule="auto"/>
        <w:ind w:left="1440" w:hanging="720"/>
        <w:jc w:val="both"/>
        <w:rPr>
          <w:rtl/>
        </w:rPr>
      </w:pPr>
      <w:r>
        <w:rPr>
          <w:rFonts w:hint="cs"/>
          <w:rtl/>
        </w:rPr>
        <w:t>ב.</w:t>
      </w:r>
      <w:r>
        <w:rPr>
          <w:rFonts w:hint="cs"/>
          <w:rtl/>
        </w:rPr>
        <w:tab/>
        <w:t>מאסר על תנאי למשך 6 חודשים, והתנאי הוא כי הנאשם לא יעבור במשך שלוש שנים מיום שחרורו ממאסר זה עבירות סמים מסוג פשע.</w:t>
      </w:r>
    </w:p>
    <w:p w14:paraId="2257B33F" w14:textId="77777777" w:rsidR="00953D01" w:rsidRDefault="00953D01" w:rsidP="00953D01">
      <w:pPr>
        <w:spacing w:line="360" w:lineRule="auto"/>
        <w:jc w:val="both"/>
        <w:rPr>
          <w:rtl/>
        </w:rPr>
      </w:pPr>
    </w:p>
    <w:p w14:paraId="19843FE5" w14:textId="77777777" w:rsidR="00953D01" w:rsidRDefault="00953D01" w:rsidP="00953D01">
      <w:pPr>
        <w:spacing w:line="360" w:lineRule="auto"/>
        <w:ind w:left="1440" w:hanging="720"/>
        <w:jc w:val="both"/>
        <w:rPr>
          <w:rtl/>
        </w:rPr>
      </w:pPr>
      <w:r>
        <w:rPr>
          <w:rFonts w:hint="cs"/>
          <w:rtl/>
        </w:rPr>
        <w:t>ג.</w:t>
      </w:r>
      <w:r>
        <w:rPr>
          <w:rFonts w:hint="cs"/>
          <w:rtl/>
        </w:rPr>
        <w:tab/>
        <w:t>מאסר על תנאי למשך 4 חודשים, והתנאי הוא כי הנאשם לא יעבור במשך שלוש שנים מיום שחרורו ממאסר זה עבירות נהיגה בפסילה, או ללא רישיון מתאים.</w:t>
      </w:r>
    </w:p>
    <w:p w14:paraId="0193FD07" w14:textId="77777777" w:rsidR="00953D01" w:rsidRDefault="00953D01" w:rsidP="00953D01">
      <w:pPr>
        <w:spacing w:line="360" w:lineRule="auto"/>
        <w:jc w:val="both"/>
        <w:rPr>
          <w:rtl/>
        </w:rPr>
      </w:pPr>
    </w:p>
    <w:p w14:paraId="255E97F0" w14:textId="77777777" w:rsidR="00953D01" w:rsidRDefault="00953D01" w:rsidP="00953D01">
      <w:pPr>
        <w:spacing w:line="360" w:lineRule="auto"/>
        <w:ind w:left="1440" w:hanging="720"/>
        <w:jc w:val="both"/>
        <w:rPr>
          <w:rtl/>
        </w:rPr>
      </w:pPr>
      <w:r>
        <w:rPr>
          <w:rFonts w:hint="cs"/>
          <w:rtl/>
        </w:rPr>
        <w:t>ד.</w:t>
      </w:r>
      <w:r>
        <w:rPr>
          <w:rFonts w:hint="cs"/>
          <w:rtl/>
        </w:rPr>
        <w:tab/>
        <w:t>קנס בסך 12,000 ₪, או 50 ימי מאסר תמורתו. הקנס ישולם ב-12 תשלומים חודשיים שווים החל מיום 10.4.20, ובכל עשיה לחודש בחודשים עוקבים. אי עמידה בתשלומים, תגרור ביטול הפריסה, ריבית והצמדה.</w:t>
      </w:r>
    </w:p>
    <w:p w14:paraId="38F793FA" w14:textId="77777777" w:rsidR="00953D01" w:rsidRDefault="00953D01" w:rsidP="00953D01">
      <w:pPr>
        <w:spacing w:line="360" w:lineRule="auto"/>
        <w:rPr>
          <w:rtl/>
        </w:rPr>
      </w:pPr>
    </w:p>
    <w:p w14:paraId="0CF4AF3C" w14:textId="77777777" w:rsidR="00953D01" w:rsidRDefault="00953D01" w:rsidP="00953D01">
      <w:pPr>
        <w:spacing w:line="360" w:lineRule="auto"/>
        <w:rPr>
          <w:b/>
          <w:bCs/>
          <w:u w:val="single"/>
          <w:rtl/>
        </w:rPr>
      </w:pPr>
      <w:r>
        <w:rPr>
          <w:rFonts w:hint="cs"/>
          <w:b/>
          <w:bCs/>
          <w:u w:val="single"/>
          <w:rtl/>
        </w:rPr>
        <w:t>זכות ערעור לבית-המשפט המחוזי בתוך 45 יום.</w:t>
      </w:r>
    </w:p>
    <w:p w14:paraId="21F33EA8" w14:textId="77777777" w:rsidR="00953D01" w:rsidRPr="00B05847" w:rsidRDefault="00953D01" w:rsidP="00953D01">
      <w:pPr>
        <w:rPr>
          <w:rtl/>
        </w:rPr>
      </w:pPr>
    </w:p>
    <w:p w14:paraId="0BB76CCE" w14:textId="77777777" w:rsidR="00953D01" w:rsidRPr="00D97193" w:rsidRDefault="00D97193" w:rsidP="00953D01">
      <w:pPr>
        <w:rPr>
          <w:color w:val="FFFFFF"/>
          <w:sz w:val="2"/>
          <w:szCs w:val="2"/>
          <w:rtl/>
        </w:rPr>
      </w:pPr>
      <w:r w:rsidRPr="00D97193">
        <w:rPr>
          <w:color w:val="FFFFFF"/>
          <w:sz w:val="2"/>
          <w:szCs w:val="2"/>
          <w:rtl/>
        </w:rPr>
        <w:t>5129371</w:t>
      </w:r>
    </w:p>
    <w:p w14:paraId="16D5D00A" w14:textId="77777777" w:rsidR="00953D01" w:rsidRDefault="00D97193" w:rsidP="00953D01">
      <w:pPr>
        <w:rPr>
          <w:rFonts w:cs="FrankRuehl"/>
          <w:sz w:val="28"/>
          <w:szCs w:val="28"/>
          <w:rtl/>
        </w:rPr>
      </w:pPr>
      <w:bookmarkStart w:id="7" w:name="Nitan"/>
      <w:r w:rsidRPr="00D97193">
        <w:rPr>
          <w:rFonts w:ascii="Arial" w:hAnsi="Arial"/>
          <w:color w:val="FFFFFF"/>
          <w:sz w:val="2"/>
          <w:szCs w:val="2"/>
          <w:rtl/>
        </w:rPr>
        <w:t>54678313</w:t>
      </w:r>
      <w:r>
        <w:rPr>
          <w:rFonts w:ascii="Arial" w:hAnsi="Arial"/>
          <w:rtl/>
        </w:rPr>
        <w:t xml:space="preserve">ניתן היום,  ט"ז חשוון תש"פ, 14 נובמבר 2019, במעמד הצדדים. </w:t>
      </w:r>
      <w:bookmarkEnd w:id="7"/>
    </w:p>
    <w:p w14:paraId="239AC1C3" w14:textId="77777777" w:rsidR="00953D01" w:rsidRDefault="00953D01" w:rsidP="00D9719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3081D2D" w14:textId="77777777" w:rsidR="00953D01" w:rsidRDefault="00953D01" w:rsidP="00953D01">
      <w:pPr>
        <w:jc w:val="center"/>
        <w:rPr>
          <w:rFonts w:ascii="Arial" w:hAnsi="Arial" w:cs="FrankRuehl"/>
          <w:sz w:val="28"/>
          <w:szCs w:val="28"/>
          <w:rtl/>
        </w:rPr>
      </w:pPr>
    </w:p>
    <w:p w14:paraId="6953F7D3" w14:textId="77777777" w:rsidR="00953D01" w:rsidRDefault="00953D01" w:rsidP="00953D01">
      <w:pPr>
        <w:rPr>
          <w:rFonts w:cs="FrankRuehl"/>
          <w:sz w:val="28"/>
          <w:szCs w:val="28"/>
          <w:rtl/>
        </w:rPr>
      </w:pPr>
    </w:p>
    <w:p w14:paraId="55574780" w14:textId="77777777" w:rsidR="00953D01" w:rsidRDefault="00953D01" w:rsidP="00953D01">
      <w:pPr>
        <w:pStyle w:val="a3"/>
        <w:jc w:val="center"/>
        <w:rPr>
          <w:rtl/>
        </w:rPr>
      </w:pPr>
    </w:p>
    <w:p w14:paraId="105ECEEC" w14:textId="77777777" w:rsidR="008E12BA" w:rsidRPr="00D97193" w:rsidRDefault="008E12BA" w:rsidP="00D97193">
      <w:pPr>
        <w:keepNext/>
        <w:rPr>
          <w:rFonts w:ascii="David" w:hAnsi="David"/>
          <w:color w:val="000000"/>
          <w:sz w:val="22"/>
          <w:szCs w:val="22"/>
          <w:rtl/>
        </w:rPr>
      </w:pPr>
    </w:p>
    <w:p w14:paraId="2034E9E9" w14:textId="77777777" w:rsidR="00D97193" w:rsidRPr="00D97193" w:rsidRDefault="00D97193" w:rsidP="00D97193">
      <w:pPr>
        <w:keepNext/>
        <w:rPr>
          <w:rFonts w:ascii="David" w:hAnsi="David"/>
          <w:color w:val="000000"/>
          <w:sz w:val="22"/>
          <w:szCs w:val="22"/>
          <w:rtl/>
        </w:rPr>
      </w:pPr>
      <w:r w:rsidRPr="00D97193">
        <w:rPr>
          <w:rFonts w:ascii="David" w:hAnsi="David"/>
          <w:color w:val="000000"/>
          <w:sz w:val="22"/>
          <w:szCs w:val="22"/>
          <w:rtl/>
        </w:rPr>
        <w:t>רות שפילברג כהן 54678313</w:t>
      </w:r>
    </w:p>
    <w:p w14:paraId="28FE4FA3" w14:textId="77777777" w:rsidR="00D97193" w:rsidRDefault="00D97193" w:rsidP="00D97193">
      <w:r w:rsidRPr="00D97193">
        <w:rPr>
          <w:color w:val="000000"/>
          <w:rtl/>
        </w:rPr>
        <w:t>נוסח מסמך זה כפוף לשינויי ניסוח ועריכה</w:t>
      </w:r>
    </w:p>
    <w:p w14:paraId="3F41D856" w14:textId="77777777" w:rsidR="00D97193" w:rsidRDefault="00D97193" w:rsidP="00D97193">
      <w:pPr>
        <w:rPr>
          <w:rtl/>
        </w:rPr>
      </w:pPr>
    </w:p>
    <w:p w14:paraId="5C1536F4" w14:textId="77777777" w:rsidR="00D97193" w:rsidRDefault="00D97193" w:rsidP="00D97193">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4EA1512" w14:textId="77777777" w:rsidR="00D97193" w:rsidRPr="00D97193" w:rsidRDefault="00D97193" w:rsidP="00D97193">
      <w:pPr>
        <w:jc w:val="center"/>
        <w:rPr>
          <w:color w:val="0000FF"/>
          <w:u w:val="single"/>
        </w:rPr>
      </w:pPr>
    </w:p>
    <w:sectPr w:rsidR="00D97193" w:rsidRPr="00D97193" w:rsidSect="00D97193">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6E635" w14:textId="77777777" w:rsidR="00A85F28" w:rsidRDefault="00A85F28" w:rsidP="000535C7">
      <w:r>
        <w:separator/>
      </w:r>
    </w:p>
  </w:endnote>
  <w:endnote w:type="continuationSeparator" w:id="0">
    <w:p w14:paraId="011BAFD2" w14:textId="77777777" w:rsidR="00A85F28" w:rsidRDefault="00A85F28" w:rsidP="0005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FFD53" w14:textId="77777777" w:rsidR="00D97193" w:rsidRDefault="00D97193" w:rsidP="00D971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46073C" w14:textId="77777777" w:rsidR="0097325E" w:rsidRPr="00D97193" w:rsidRDefault="00D97193" w:rsidP="00D971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88C28" w14:textId="77777777" w:rsidR="00D97193" w:rsidRDefault="00D97193" w:rsidP="00D971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2AD1">
      <w:rPr>
        <w:rFonts w:ascii="FrankRuehl" w:hAnsi="FrankRuehl" w:cs="FrankRuehl"/>
        <w:noProof/>
        <w:rtl/>
      </w:rPr>
      <w:t>1</w:t>
    </w:r>
    <w:r>
      <w:rPr>
        <w:rFonts w:ascii="FrankRuehl" w:hAnsi="FrankRuehl" w:cs="FrankRuehl"/>
        <w:rtl/>
      </w:rPr>
      <w:fldChar w:fldCharType="end"/>
    </w:r>
  </w:p>
  <w:p w14:paraId="33A5B426" w14:textId="77777777" w:rsidR="0097325E" w:rsidRPr="00D97193" w:rsidRDefault="00D97193" w:rsidP="00D971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BC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28214" w14:textId="77777777" w:rsidR="00A85F28" w:rsidRDefault="00A85F28" w:rsidP="000535C7">
      <w:r>
        <w:separator/>
      </w:r>
    </w:p>
  </w:footnote>
  <w:footnote w:type="continuationSeparator" w:id="0">
    <w:p w14:paraId="2B3C0E1C" w14:textId="77777777" w:rsidR="00A85F28" w:rsidRDefault="00A85F28" w:rsidP="00053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7EF51" w14:textId="77777777" w:rsidR="00D97193" w:rsidRPr="00D97193" w:rsidRDefault="00D97193" w:rsidP="00D971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46894-03-19</w:t>
    </w:r>
    <w:r>
      <w:rPr>
        <w:rFonts w:ascii="David" w:hAnsi="David"/>
        <w:color w:val="000000"/>
        <w:sz w:val="22"/>
        <w:szCs w:val="22"/>
        <w:rtl/>
      </w:rPr>
      <w:tab/>
      <w:t xml:space="preserve"> מדינת ישראל נ' קאסם ג'ומעה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C1B38" w14:textId="77777777" w:rsidR="00D97193" w:rsidRPr="00D97193" w:rsidRDefault="00D97193" w:rsidP="00D971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46894-03-19</w:t>
    </w:r>
    <w:r>
      <w:rPr>
        <w:rFonts w:ascii="David" w:hAnsi="David"/>
        <w:color w:val="000000"/>
        <w:sz w:val="22"/>
        <w:szCs w:val="22"/>
        <w:rtl/>
      </w:rPr>
      <w:tab/>
      <w:t xml:space="preserve"> מדינת ישראל נ' קאסם ג'ומעה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3D01"/>
    <w:rsid w:val="000535C7"/>
    <w:rsid w:val="000E00E4"/>
    <w:rsid w:val="00381020"/>
    <w:rsid w:val="006C6BCD"/>
    <w:rsid w:val="008E12BA"/>
    <w:rsid w:val="00953D01"/>
    <w:rsid w:val="0097325E"/>
    <w:rsid w:val="00A85F28"/>
    <w:rsid w:val="00D97193"/>
    <w:rsid w:val="00E42BF1"/>
    <w:rsid w:val="00EB2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25C005"/>
  <w15:chartTrackingRefBased/>
  <w15:docId w15:val="{AFE2D15E-3012-465C-9CDF-05073B2A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3D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3D01"/>
    <w:pPr>
      <w:tabs>
        <w:tab w:val="center" w:pos="4153"/>
        <w:tab w:val="right" w:pos="8306"/>
      </w:tabs>
    </w:pPr>
  </w:style>
  <w:style w:type="character" w:customStyle="1" w:styleId="a4">
    <w:name w:val="כותרת עליונה תו"/>
    <w:link w:val="a3"/>
    <w:rsid w:val="00953D01"/>
    <w:rPr>
      <w:rFonts w:ascii="Times New Roman" w:eastAsia="Times New Roman" w:hAnsi="Times New Roman" w:cs="David"/>
      <w:sz w:val="24"/>
      <w:szCs w:val="24"/>
    </w:rPr>
  </w:style>
  <w:style w:type="paragraph" w:styleId="a5">
    <w:name w:val="footer"/>
    <w:basedOn w:val="a"/>
    <w:link w:val="a6"/>
    <w:rsid w:val="00953D01"/>
    <w:pPr>
      <w:tabs>
        <w:tab w:val="center" w:pos="4153"/>
        <w:tab w:val="right" w:pos="8306"/>
      </w:tabs>
    </w:pPr>
  </w:style>
  <w:style w:type="character" w:customStyle="1" w:styleId="a6">
    <w:name w:val="כותרת תחתונה תו"/>
    <w:link w:val="a5"/>
    <w:rsid w:val="00953D01"/>
    <w:rPr>
      <w:rFonts w:ascii="Times New Roman" w:eastAsia="Times New Roman" w:hAnsi="Times New Roman" w:cs="David"/>
      <w:sz w:val="24"/>
      <w:szCs w:val="24"/>
    </w:rPr>
  </w:style>
  <w:style w:type="table" w:styleId="a7">
    <w:name w:val="Table Grid"/>
    <w:basedOn w:val="a1"/>
    <w:rsid w:val="00953D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3D01"/>
  </w:style>
  <w:style w:type="character" w:styleId="Hyperlink">
    <w:name w:val="Hyperlink"/>
    <w:rsid w:val="00D971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4274" TargetMode="External"/><Relationship Id="rId26" Type="http://schemas.openxmlformats.org/officeDocument/2006/relationships/hyperlink" Target="http://www.nevo.co.il/law/74274/36.c" TargetMode="External"/><Relationship Id="rId39" Type="http://schemas.openxmlformats.org/officeDocument/2006/relationships/hyperlink" Target="http://www.nevo.co.il/case/22864362" TargetMode="External"/><Relationship Id="rId21" Type="http://schemas.openxmlformats.org/officeDocument/2006/relationships/hyperlink" Target="http://www.nevo.co.il/law/4216" TargetMode="External"/><Relationship Id="rId34" Type="http://schemas.openxmlformats.org/officeDocument/2006/relationships/hyperlink" Target="http://www.nevo.co.il/case/5787128" TargetMode="External"/><Relationship Id="rId42" Type="http://schemas.openxmlformats.org/officeDocument/2006/relationships/hyperlink" Target="http://www.nevo.co.il/case/5599403"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5227/10.a."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36a" TargetMode="External"/><Relationship Id="rId24" Type="http://schemas.openxmlformats.org/officeDocument/2006/relationships/hyperlink" Target="http://www.nevo.co.il/law/5227/10.a.;67" TargetMode="External"/><Relationship Id="rId32" Type="http://schemas.openxmlformats.org/officeDocument/2006/relationships/hyperlink" Target="http://www.nevo.co.il/case/5580841" TargetMode="External"/><Relationship Id="rId37" Type="http://schemas.openxmlformats.org/officeDocument/2006/relationships/hyperlink" Target="http://www.nevo.co.il/case/23751286" TargetMode="External"/><Relationship Id="rId40" Type="http://schemas.openxmlformats.org/officeDocument/2006/relationships/hyperlink" Target="http://www.nevo.co.il/case/20052568"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4216/31.6" TargetMode="External"/><Relationship Id="rId19" Type="http://schemas.openxmlformats.org/officeDocument/2006/relationships/hyperlink" Target="http://www.nevo.co.il/law/74274/36.c" TargetMode="External"/><Relationship Id="rId31" Type="http://schemas.openxmlformats.org/officeDocument/2006/relationships/hyperlink" Target="http://www.nevo.co.il/case/5738608" TargetMode="External"/><Relationship Id="rId44" Type="http://schemas.openxmlformats.org/officeDocument/2006/relationships/hyperlink" Target="http://www.nevo.co.il/law/4216/31.6"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31.3"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4274" TargetMode="External"/><Relationship Id="rId30" Type="http://schemas.openxmlformats.org/officeDocument/2006/relationships/hyperlink" Target="http://www.nevo.co.il/law/4216/31.3" TargetMode="External"/><Relationship Id="rId35" Type="http://schemas.openxmlformats.org/officeDocument/2006/relationships/hyperlink" Target="http://www.nevo.co.il/case/20956295" TargetMode="External"/><Relationship Id="rId43" Type="http://schemas.openxmlformats.org/officeDocument/2006/relationships/hyperlink" Target="http://www.nevo.co.il/case/5681787" TargetMode="External"/><Relationship Id="rId48" Type="http://schemas.openxmlformats.org/officeDocument/2006/relationships/header" Target="header1.xml"/><Relationship Id="rId8" Type="http://schemas.openxmlformats.org/officeDocument/2006/relationships/hyperlink" Target="http://www.nevo.co.il/law/4216/7.c"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4216/36a.b"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5227" TargetMode="External"/><Relationship Id="rId33" Type="http://schemas.openxmlformats.org/officeDocument/2006/relationships/hyperlink" Target="http://www.nevo.co.il/case/5988308" TargetMode="External"/><Relationship Id="rId38" Type="http://schemas.openxmlformats.org/officeDocument/2006/relationships/hyperlink" Target="http://www.nevo.co.il/case/10537739" TargetMode="External"/><Relationship Id="rId46" Type="http://schemas.openxmlformats.org/officeDocument/2006/relationships/hyperlink" Target="http://www.nevo.co.il/law/4216/36a.b"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22217955"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522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36a" TargetMode="External"/><Relationship Id="rId36" Type="http://schemas.openxmlformats.org/officeDocument/2006/relationships/hyperlink" Target="http://www.nevo.co.il/case/20178093"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2854</Words>
  <Characters>14274</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17094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5111890</vt:i4>
      </vt:variant>
      <vt:variant>
        <vt:i4>120</vt:i4>
      </vt:variant>
      <vt:variant>
        <vt:i4>0</vt:i4>
      </vt:variant>
      <vt:variant>
        <vt:i4>5</vt:i4>
      </vt:variant>
      <vt:variant>
        <vt:lpwstr>http://www.nevo.co.il/law/4216/36a.b</vt:lpwstr>
      </vt:variant>
      <vt:variant>
        <vt:lpwstr/>
      </vt:variant>
      <vt:variant>
        <vt:i4>8257637</vt:i4>
      </vt:variant>
      <vt:variant>
        <vt:i4>117</vt:i4>
      </vt:variant>
      <vt:variant>
        <vt:i4>0</vt:i4>
      </vt:variant>
      <vt:variant>
        <vt:i4>5</vt:i4>
      </vt:variant>
      <vt:variant>
        <vt:lpwstr>http://www.nevo.co.il/law/4216</vt:lpwstr>
      </vt:variant>
      <vt:variant>
        <vt:lpwstr/>
      </vt:variant>
      <vt:variant>
        <vt:i4>6488187</vt:i4>
      </vt:variant>
      <vt:variant>
        <vt:i4>114</vt:i4>
      </vt:variant>
      <vt:variant>
        <vt:i4>0</vt:i4>
      </vt:variant>
      <vt:variant>
        <vt:i4>5</vt:i4>
      </vt:variant>
      <vt:variant>
        <vt:lpwstr>http://www.nevo.co.il/law/4216/31.6</vt:lpwstr>
      </vt:variant>
      <vt:variant>
        <vt:lpwstr/>
      </vt:variant>
      <vt:variant>
        <vt:i4>3997819</vt:i4>
      </vt:variant>
      <vt:variant>
        <vt:i4>111</vt:i4>
      </vt:variant>
      <vt:variant>
        <vt:i4>0</vt:i4>
      </vt:variant>
      <vt:variant>
        <vt:i4>5</vt:i4>
      </vt:variant>
      <vt:variant>
        <vt:lpwstr>http://www.nevo.co.il/case/5681787</vt:lpwstr>
      </vt:variant>
      <vt:variant>
        <vt:lpwstr/>
      </vt:variant>
      <vt:variant>
        <vt:i4>3866744</vt:i4>
      </vt:variant>
      <vt:variant>
        <vt:i4>108</vt:i4>
      </vt:variant>
      <vt:variant>
        <vt:i4>0</vt:i4>
      </vt:variant>
      <vt:variant>
        <vt:i4>5</vt:i4>
      </vt:variant>
      <vt:variant>
        <vt:lpwstr>http://www.nevo.co.il/case/5599403</vt:lpwstr>
      </vt:variant>
      <vt:variant>
        <vt:lpwstr/>
      </vt:variant>
      <vt:variant>
        <vt:i4>3276926</vt:i4>
      </vt:variant>
      <vt:variant>
        <vt:i4>105</vt:i4>
      </vt:variant>
      <vt:variant>
        <vt:i4>0</vt:i4>
      </vt:variant>
      <vt:variant>
        <vt:i4>5</vt:i4>
      </vt:variant>
      <vt:variant>
        <vt:lpwstr>http://www.nevo.co.il/case/22217955</vt:lpwstr>
      </vt:variant>
      <vt:variant>
        <vt:lpwstr/>
      </vt:variant>
      <vt:variant>
        <vt:i4>3539060</vt:i4>
      </vt:variant>
      <vt:variant>
        <vt:i4>102</vt:i4>
      </vt:variant>
      <vt:variant>
        <vt:i4>0</vt:i4>
      </vt:variant>
      <vt:variant>
        <vt:i4>5</vt:i4>
      </vt:variant>
      <vt:variant>
        <vt:lpwstr>http://www.nevo.co.il/case/20052568</vt:lpwstr>
      </vt:variant>
      <vt:variant>
        <vt:lpwstr/>
      </vt:variant>
      <vt:variant>
        <vt:i4>3670131</vt:i4>
      </vt:variant>
      <vt:variant>
        <vt:i4>99</vt:i4>
      </vt:variant>
      <vt:variant>
        <vt:i4>0</vt:i4>
      </vt:variant>
      <vt:variant>
        <vt:i4>5</vt:i4>
      </vt:variant>
      <vt:variant>
        <vt:lpwstr>http://www.nevo.co.il/case/22864362</vt:lpwstr>
      </vt:variant>
      <vt:variant>
        <vt:lpwstr/>
      </vt:variant>
      <vt:variant>
        <vt:i4>3145840</vt:i4>
      </vt:variant>
      <vt:variant>
        <vt:i4>96</vt:i4>
      </vt:variant>
      <vt:variant>
        <vt:i4>0</vt:i4>
      </vt:variant>
      <vt:variant>
        <vt:i4>5</vt:i4>
      </vt:variant>
      <vt:variant>
        <vt:lpwstr>http://www.nevo.co.il/case/10537739</vt:lpwstr>
      </vt:variant>
      <vt:variant>
        <vt:lpwstr/>
      </vt:variant>
      <vt:variant>
        <vt:i4>3932272</vt:i4>
      </vt:variant>
      <vt:variant>
        <vt:i4>93</vt:i4>
      </vt:variant>
      <vt:variant>
        <vt:i4>0</vt:i4>
      </vt:variant>
      <vt:variant>
        <vt:i4>5</vt:i4>
      </vt:variant>
      <vt:variant>
        <vt:lpwstr>http://www.nevo.co.il/case/23751286</vt:lpwstr>
      </vt:variant>
      <vt:variant>
        <vt:lpwstr/>
      </vt:variant>
      <vt:variant>
        <vt:i4>3276915</vt:i4>
      </vt:variant>
      <vt:variant>
        <vt:i4>90</vt:i4>
      </vt:variant>
      <vt:variant>
        <vt:i4>0</vt:i4>
      </vt:variant>
      <vt:variant>
        <vt:i4>5</vt:i4>
      </vt:variant>
      <vt:variant>
        <vt:lpwstr>http://www.nevo.co.il/case/20178093</vt:lpwstr>
      </vt:variant>
      <vt:variant>
        <vt:lpwstr/>
      </vt:variant>
      <vt:variant>
        <vt:i4>3407987</vt:i4>
      </vt:variant>
      <vt:variant>
        <vt:i4>87</vt:i4>
      </vt:variant>
      <vt:variant>
        <vt:i4>0</vt:i4>
      </vt:variant>
      <vt:variant>
        <vt:i4>5</vt:i4>
      </vt:variant>
      <vt:variant>
        <vt:lpwstr>http://www.nevo.co.il/case/20956295</vt:lpwstr>
      </vt:variant>
      <vt:variant>
        <vt:lpwstr/>
      </vt:variant>
      <vt:variant>
        <vt:i4>3407990</vt:i4>
      </vt:variant>
      <vt:variant>
        <vt:i4>84</vt:i4>
      </vt:variant>
      <vt:variant>
        <vt:i4>0</vt:i4>
      </vt:variant>
      <vt:variant>
        <vt:i4>5</vt:i4>
      </vt:variant>
      <vt:variant>
        <vt:lpwstr>http://www.nevo.co.il/case/5787128</vt:lpwstr>
      </vt:variant>
      <vt:variant>
        <vt:lpwstr/>
      </vt:variant>
      <vt:variant>
        <vt:i4>3539061</vt:i4>
      </vt:variant>
      <vt:variant>
        <vt:i4>81</vt:i4>
      </vt:variant>
      <vt:variant>
        <vt:i4>0</vt:i4>
      </vt:variant>
      <vt:variant>
        <vt:i4>5</vt:i4>
      </vt:variant>
      <vt:variant>
        <vt:lpwstr>http://www.nevo.co.il/case/5988308</vt:lpwstr>
      </vt:variant>
      <vt:variant>
        <vt:lpwstr/>
      </vt:variant>
      <vt:variant>
        <vt:i4>3407989</vt:i4>
      </vt:variant>
      <vt:variant>
        <vt:i4>78</vt:i4>
      </vt:variant>
      <vt:variant>
        <vt:i4>0</vt:i4>
      </vt:variant>
      <vt:variant>
        <vt:i4>5</vt:i4>
      </vt:variant>
      <vt:variant>
        <vt:lpwstr>http://www.nevo.co.il/case/5580841</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6488187</vt:i4>
      </vt:variant>
      <vt:variant>
        <vt:i4>72</vt:i4>
      </vt:variant>
      <vt:variant>
        <vt:i4>0</vt:i4>
      </vt:variant>
      <vt:variant>
        <vt:i4>5</vt:i4>
      </vt:variant>
      <vt:variant>
        <vt:lpwstr>http://www.nevo.co.il/law/4216/31.3</vt:lpwstr>
      </vt:variant>
      <vt:variant>
        <vt:lpwstr/>
      </vt:variant>
      <vt:variant>
        <vt:i4>8257637</vt:i4>
      </vt:variant>
      <vt:variant>
        <vt:i4>69</vt:i4>
      </vt:variant>
      <vt:variant>
        <vt:i4>0</vt:i4>
      </vt:variant>
      <vt:variant>
        <vt:i4>5</vt:i4>
      </vt:variant>
      <vt:variant>
        <vt:lpwstr>http://www.nevo.co.il/law/4216</vt:lpwstr>
      </vt:variant>
      <vt:variant>
        <vt:lpwstr/>
      </vt:variant>
      <vt:variant>
        <vt:i4>2883708</vt:i4>
      </vt:variant>
      <vt:variant>
        <vt:i4>66</vt:i4>
      </vt:variant>
      <vt:variant>
        <vt:i4>0</vt:i4>
      </vt:variant>
      <vt:variant>
        <vt:i4>5</vt:i4>
      </vt:variant>
      <vt:variant>
        <vt:lpwstr>http://www.nevo.co.il/law/4216/36a</vt:lpwstr>
      </vt:variant>
      <vt:variant>
        <vt:lpwstr/>
      </vt:variant>
      <vt:variant>
        <vt:i4>7929957</vt:i4>
      </vt:variant>
      <vt:variant>
        <vt:i4>63</vt:i4>
      </vt:variant>
      <vt:variant>
        <vt:i4>0</vt:i4>
      </vt:variant>
      <vt:variant>
        <vt:i4>5</vt:i4>
      </vt:variant>
      <vt:variant>
        <vt:lpwstr>http://www.nevo.co.il/law/74274</vt:lpwstr>
      </vt:variant>
      <vt:variant>
        <vt:lpwstr/>
      </vt:variant>
      <vt:variant>
        <vt:i4>196684</vt:i4>
      </vt:variant>
      <vt:variant>
        <vt:i4>60</vt:i4>
      </vt:variant>
      <vt:variant>
        <vt:i4>0</vt:i4>
      </vt:variant>
      <vt:variant>
        <vt:i4>5</vt:i4>
      </vt:variant>
      <vt:variant>
        <vt:lpwstr>http://www.nevo.co.il/law/74274/36.c</vt:lpwstr>
      </vt:variant>
      <vt:variant>
        <vt:lpwstr/>
      </vt:variant>
      <vt:variant>
        <vt:i4>8323175</vt:i4>
      </vt:variant>
      <vt:variant>
        <vt:i4>57</vt:i4>
      </vt:variant>
      <vt:variant>
        <vt:i4>0</vt:i4>
      </vt:variant>
      <vt:variant>
        <vt:i4>5</vt:i4>
      </vt:variant>
      <vt:variant>
        <vt:lpwstr>http://www.nevo.co.il/law/5227</vt:lpwstr>
      </vt:variant>
      <vt:variant>
        <vt:lpwstr/>
      </vt:variant>
      <vt:variant>
        <vt:i4>7864354</vt:i4>
      </vt:variant>
      <vt:variant>
        <vt:i4>54</vt:i4>
      </vt:variant>
      <vt:variant>
        <vt:i4>0</vt:i4>
      </vt:variant>
      <vt:variant>
        <vt:i4>5</vt:i4>
      </vt:variant>
      <vt:variant>
        <vt:lpwstr>http://www.nevo.co.il/law/5227/10.a.;67</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196684</vt:i4>
      </vt:variant>
      <vt:variant>
        <vt:i4>39</vt:i4>
      </vt:variant>
      <vt:variant>
        <vt:i4>0</vt:i4>
      </vt:variant>
      <vt:variant>
        <vt:i4>5</vt:i4>
      </vt:variant>
      <vt:variant>
        <vt:lpwstr>http://www.nevo.co.il/law/74274/36.c</vt:lpwstr>
      </vt:variant>
      <vt:variant>
        <vt:lpwstr/>
      </vt:variant>
      <vt:variant>
        <vt:i4>7929957</vt:i4>
      </vt:variant>
      <vt:variant>
        <vt:i4>36</vt:i4>
      </vt:variant>
      <vt:variant>
        <vt:i4>0</vt:i4>
      </vt:variant>
      <vt:variant>
        <vt:i4>5</vt:i4>
      </vt:variant>
      <vt:variant>
        <vt:lpwstr>http://www.nevo.co.il/law/74274</vt:lpwstr>
      </vt:variant>
      <vt:variant>
        <vt:lpwstr/>
      </vt:variant>
      <vt:variant>
        <vt:i4>4784200</vt:i4>
      </vt:variant>
      <vt:variant>
        <vt:i4>33</vt:i4>
      </vt:variant>
      <vt:variant>
        <vt:i4>0</vt:i4>
      </vt:variant>
      <vt:variant>
        <vt:i4>5</vt:i4>
      </vt:variant>
      <vt:variant>
        <vt:lpwstr>http://www.nevo.co.il/law/5227/67</vt:lpwstr>
      </vt:variant>
      <vt:variant>
        <vt:lpwstr/>
      </vt:variant>
      <vt:variant>
        <vt:i4>5111833</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6488187</vt:i4>
      </vt:variant>
      <vt:variant>
        <vt:i4>12</vt:i4>
      </vt:variant>
      <vt:variant>
        <vt:i4>0</vt:i4>
      </vt:variant>
      <vt:variant>
        <vt:i4>5</vt:i4>
      </vt:variant>
      <vt:variant>
        <vt:lpwstr>http://www.nevo.co.il/law/4216/31.6</vt:lpwstr>
      </vt:variant>
      <vt:variant>
        <vt:lpwstr/>
      </vt:variant>
      <vt:variant>
        <vt:i4>6488187</vt:i4>
      </vt:variant>
      <vt:variant>
        <vt:i4>9</vt:i4>
      </vt:variant>
      <vt:variant>
        <vt:i4>0</vt:i4>
      </vt:variant>
      <vt:variant>
        <vt:i4>5</vt:i4>
      </vt:variant>
      <vt:variant>
        <vt:lpwstr>http://www.nevo.co.il/law/4216/31.3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46894</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קאסם ג'ומעה</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20191114</vt:lpwstr>
  </property>
  <property fmtid="{D5CDD505-2E9C-101B-9397-08002B2CF9AE}" pid="13" name="TYPE_N_DATE">
    <vt:lpwstr>38020191114</vt:lpwstr>
  </property>
  <property fmtid="{D5CDD505-2E9C-101B-9397-08002B2CF9AE}" pid="14" name="CASESLISTTMP1">
    <vt:lpwstr>5738608;5580841;5988308;5787128;20956295;20178093;23751286;10537739;22864362;20052568;22217955;5599403;5681787</vt:lpwstr>
  </property>
  <property fmtid="{D5CDD505-2E9C-101B-9397-08002B2CF9AE}" pid="15" name="CASENOTES1">
    <vt:lpwstr>ProcID=278&amp;PartA=12582&amp;PartB=05&amp;PartC=14</vt:lpwstr>
  </property>
  <property fmtid="{D5CDD505-2E9C-101B-9397-08002B2CF9AE}" pid="16" name="WORDNUMPAGES">
    <vt:lpwstr>9</vt:lpwstr>
  </property>
  <property fmtid="{D5CDD505-2E9C-101B-9397-08002B2CF9AE}" pid="17" name="TYPE_ABS_DATE">
    <vt:lpwstr>380020191114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4216/007.a;007.c;036a;031.3;031.6;036a.b</vt:lpwstr>
  </property>
  <property fmtid="{D5CDD505-2E9C-101B-9397-08002B2CF9AE}" pid="38" name="LAWLISTTMP2">
    <vt:lpwstr>70301/275</vt:lpwstr>
  </property>
  <property fmtid="{D5CDD505-2E9C-101B-9397-08002B2CF9AE}" pid="39" name="LAWLISTTMP3">
    <vt:lpwstr>5227/010.a;067</vt:lpwstr>
  </property>
  <property fmtid="{D5CDD505-2E9C-101B-9397-08002B2CF9AE}" pid="40" name="LAWLISTTMP4">
    <vt:lpwstr>74274/036.c</vt:lpwstr>
  </property>
</Properties>
</file>