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E4E62" w:rsidRPr="00BB409F" w14:paraId="2E1006A7" w14:textId="77777777" w:rsidTr="009B01CF">
        <w:trPr>
          <w:trHeight w:hRule="exact" w:val="418"/>
          <w:jc w:val="center"/>
        </w:trPr>
        <w:tc>
          <w:tcPr>
            <w:tcW w:w="8721" w:type="dxa"/>
            <w:gridSpan w:val="2"/>
          </w:tcPr>
          <w:p w14:paraId="203BB809" w14:textId="77777777" w:rsidR="00BE4E62" w:rsidRPr="00BB409F" w:rsidRDefault="00BE4E62" w:rsidP="0047440D">
            <w:pPr>
              <w:pStyle w:val="a3"/>
              <w:jc w:val="center"/>
              <w:rPr>
                <w:rFonts w:ascii="Tahoma" w:hAnsi="Tahoma" w:cs="Tahoma"/>
                <w:color w:val="000080"/>
                <w:rtl/>
              </w:rPr>
            </w:pPr>
            <w:bookmarkStart w:id="0" w:name="FirstLawyer"/>
            <w:bookmarkStart w:id="1" w:name="LastJudge"/>
            <w:r w:rsidRPr="00BB409F">
              <w:rPr>
                <w:rFonts w:ascii="Tahoma" w:hAnsi="Tahoma" w:cs="Tahoma"/>
                <w:b/>
                <w:bCs/>
                <w:color w:val="000080"/>
                <w:rtl/>
              </w:rPr>
              <w:t>בית משפט השלום ברמלה</w:t>
            </w:r>
          </w:p>
        </w:tc>
      </w:tr>
      <w:tr w:rsidR="00BE4E62" w:rsidRPr="00BB409F" w14:paraId="3702262B" w14:textId="77777777" w:rsidTr="009B01CF">
        <w:trPr>
          <w:trHeight w:val="337"/>
          <w:jc w:val="center"/>
        </w:trPr>
        <w:tc>
          <w:tcPr>
            <w:tcW w:w="5054" w:type="dxa"/>
          </w:tcPr>
          <w:p w14:paraId="37DBFA8A" w14:textId="77777777" w:rsidR="00BE4E62" w:rsidRPr="00BB409F" w:rsidRDefault="00BE4E62" w:rsidP="0047440D">
            <w:pPr>
              <w:rPr>
                <w:rFonts w:cs="FrankRuehl"/>
                <w:sz w:val="28"/>
                <w:szCs w:val="28"/>
                <w:rtl/>
              </w:rPr>
            </w:pPr>
            <w:r w:rsidRPr="00BB409F">
              <w:rPr>
                <w:rFonts w:cs="FrankRuehl"/>
                <w:sz w:val="28"/>
                <w:szCs w:val="28"/>
                <w:rtl/>
              </w:rPr>
              <w:t>ת"פ</w:t>
            </w:r>
            <w:r w:rsidRPr="00BB409F">
              <w:rPr>
                <w:rFonts w:cs="FrankRuehl" w:hint="cs"/>
                <w:sz w:val="28"/>
                <w:szCs w:val="28"/>
                <w:rtl/>
              </w:rPr>
              <w:t xml:space="preserve"> </w:t>
            </w:r>
            <w:r w:rsidRPr="00BB409F">
              <w:rPr>
                <w:rFonts w:cs="FrankRuehl"/>
                <w:sz w:val="28"/>
                <w:szCs w:val="28"/>
                <w:rtl/>
              </w:rPr>
              <w:t>47813-03-19</w:t>
            </w:r>
            <w:r w:rsidRPr="00BB409F">
              <w:rPr>
                <w:rFonts w:cs="FrankRuehl" w:hint="cs"/>
                <w:sz w:val="28"/>
                <w:szCs w:val="28"/>
                <w:rtl/>
              </w:rPr>
              <w:t xml:space="preserve"> </w:t>
            </w:r>
            <w:r w:rsidRPr="00BB409F">
              <w:rPr>
                <w:rFonts w:cs="FrankRuehl"/>
                <w:sz w:val="28"/>
                <w:szCs w:val="28"/>
                <w:rtl/>
              </w:rPr>
              <w:t>מדינת ישראל נ' בן דוד יוסף</w:t>
            </w:r>
          </w:p>
          <w:p w14:paraId="0D27555E" w14:textId="77777777" w:rsidR="00BE4E62" w:rsidRPr="00BB409F" w:rsidRDefault="00BE4E62" w:rsidP="0047440D">
            <w:pPr>
              <w:pStyle w:val="a3"/>
              <w:rPr>
                <w:rFonts w:cs="FrankRuehl"/>
                <w:sz w:val="28"/>
                <w:szCs w:val="28"/>
                <w:rtl/>
              </w:rPr>
            </w:pPr>
          </w:p>
        </w:tc>
        <w:tc>
          <w:tcPr>
            <w:tcW w:w="3667" w:type="dxa"/>
          </w:tcPr>
          <w:p w14:paraId="3902AF0C" w14:textId="77777777" w:rsidR="00BE4E62" w:rsidRPr="00BB409F" w:rsidRDefault="00BE4E62" w:rsidP="0047440D">
            <w:pPr>
              <w:pStyle w:val="a3"/>
              <w:jc w:val="right"/>
              <w:rPr>
                <w:rFonts w:cs="FrankRuehl"/>
                <w:sz w:val="28"/>
                <w:szCs w:val="28"/>
                <w:rtl/>
              </w:rPr>
            </w:pPr>
          </w:p>
        </w:tc>
      </w:tr>
    </w:tbl>
    <w:p w14:paraId="687F0C0C" w14:textId="77777777" w:rsidR="00BE4E62" w:rsidRPr="00BB409F" w:rsidRDefault="00BE4E62" w:rsidP="00BE4E62">
      <w:pPr>
        <w:pStyle w:val="a3"/>
        <w:rPr>
          <w:rtl/>
        </w:rPr>
      </w:pPr>
      <w:r w:rsidRPr="00BB409F">
        <w:rPr>
          <w:rFonts w:hint="cs"/>
          <w:rtl/>
        </w:rPr>
        <w:t xml:space="preserve"> </w:t>
      </w:r>
    </w:p>
    <w:p w14:paraId="6CFE0CB0" w14:textId="77777777" w:rsidR="00BE4E62" w:rsidRPr="00BB409F" w:rsidRDefault="00BE4E62" w:rsidP="00BE4E62">
      <w:pPr>
        <w:rPr>
          <w:rtl/>
        </w:rPr>
      </w:pPr>
    </w:p>
    <w:p w14:paraId="69399E17" w14:textId="77777777" w:rsidR="00BE4E62" w:rsidRPr="00BB409F" w:rsidRDefault="00BE4E62" w:rsidP="00BE4E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E4E62" w:rsidRPr="00BB409F" w14:paraId="57847396" w14:textId="77777777" w:rsidTr="00BE4E62">
        <w:trPr>
          <w:trHeight w:val="295"/>
          <w:jc w:val="center"/>
        </w:trPr>
        <w:tc>
          <w:tcPr>
            <w:tcW w:w="923" w:type="dxa"/>
            <w:tcBorders>
              <w:top w:val="nil"/>
              <w:left w:val="nil"/>
              <w:bottom w:val="nil"/>
              <w:right w:val="nil"/>
            </w:tcBorders>
            <w:shd w:val="clear" w:color="auto" w:fill="auto"/>
          </w:tcPr>
          <w:p w14:paraId="6272D6C2" w14:textId="77777777" w:rsidR="00BE4E62" w:rsidRPr="00BB409F" w:rsidRDefault="00BE4E62" w:rsidP="00BE4E62">
            <w:pPr>
              <w:jc w:val="both"/>
              <w:rPr>
                <w:rFonts w:ascii="David" w:hAnsi="David"/>
                <w:sz w:val="26"/>
                <w:szCs w:val="26"/>
              </w:rPr>
            </w:pPr>
            <w:r w:rsidRPr="00BB409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AA5BAB9" w14:textId="77777777" w:rsidR="00BE4E62" w:rsidRPr="00BB409F" w:rsidRDefault="00BE4E62" w:rsidP="0047440D">
            <w:pPr>
              <w:rPr>
                <w:rFonts w:ascii="David" w:hAnsi="David"/>
                <w:b/>
                <w:bCs/>
                <w:sz w:val="28"/>
                <w:szCs w:val="28"/>
                <w:rtl/>
              </w:rPr>
            </w:pPr>
            <w:r w:rsidRPr="00BB409F">
              <w:rPr>
                <w:rFonts w:ascii="David" w:hAnsi="David"/>
                <w:b/>
                <w:bCs/>
                <w:sz w:val="28"/>
                <w:szCs w:val="28"/>
                <w:rtl/>
              </w:rPr>
              <w:t>כבוד השופט הישאם אבו שחאדה</w:t>
            </w:r>
          </w:p>
          <w:p w14:paraId="72F93AC6" w14:textId="77777777" w:rsidR="00BE4E62" w:rsidRPr="00BB409F" w:rsidRDefault="00BE4E62" w:rsidP="0047440D">
            <w:pPr>
              <w:rPr>
                <w:rFonts w:ascii="David" w:hAnsi="David"/>
                <w:sz w:val="28"/>
                <w:szCs w:val="28"/>
                <w:rtl/>
              </w:rPr>
            </w:pPr>
          </w:p>
          <w:p w14:paraId="5E50A986" w14:textId="77777777" w:rsidR="00BE4E62" w:rsidRPr="00BB409F" w:rsidRDefault="00BE4E62" w:rsidP="00BE4E62">
            <w:pPr>
              <w:jc w:val="both"/>
              <w:rPr>
                <w:rFonts w:ascii="David" w:hAnsi="David"/>
                <w:sz w:val="28"/>
                <w:szCs w:val="28"/>
              </w:rPr>
            </w:pPr>
          </w:p>
        </w:tc>
      </w:tr>
      <w:tr w:rsidR="00BE4E62" w:rsidRPr="00BB409F" w14:paraId="62659958" w14:textId="77777777" w:rsidTr="00BE4E62">
        <w:trPr>
          <w:trHeight w:val="355"/>
          <w:jc w:val="center"/>
        </w:trPr>
        <w:tc>
          <w:tcPr>
            <w:tcW w:w="923" w:type="dxa"/>
            <w:tcBorders>
              <w:top w:val="nil"/>
              <w:left w:val="nil"/>
              <w:bottom w:val="nil"/>
              <w:right w:val="nil"/>
            </w:tcBorders>
            <w:shd w:val="clear" w:color="auto" w:fill="auto"/>
          </w:tcPr>
          <w:p w14:paraId="0F532FA4" w14:textId="77777777" w:rsidR="00BE4E62" w:rsidRPr="00BB409F" w:rsidRDefault="00BE4E62" w:rsidP="00BE4E62">
            <w:pPr>
              <w:jc w:val="both"/>
              <w:rPr>
                <w:rFonts w:ascii="David" w:hAnsi="David"/>
                <w:sz w:val="26"/>
                <w:szCs w:val="26"/>
              </w:rPr>
            </w:pPr>
            <w:bookmarkStart w:id="2" w:name="FirstAppellant"/>
            <w:r w:rsidRPr="00BB409F">
              <w:rPr>
                <w:rFonts w:ascii="David" w:hAnsi="David"/>
                <w:sz w:val="26"/>
                <w:szCs w:val="26"/>
                <w:rtl/>
              </w:rPr>
              <w:t>בעניין:</w:t>
            </w:r>
          </w:p>
        </w:tc>
        <w:tc>
          <w:tcPr>
            <w:tcW w:w="3219" w:type="dxa"/>
            <w:tcBorders>
              <w:top w:val="nil"/>
              <w:left w:val="nil"/>
              <w:bottom w:val="nil"/>
              <w:right w:val="nil"/>
            </w:tcBorders>
            <w:shd w:val="clear" w:color="auto" w:fill="auto"/>
          </w:tcPr>
          <w:p w14:paraId="05575A82" w14:textId="77777777" w:rsidR="00BE4E62" w:rsidRPr="00BB409F" w:rsidRDefault="00BE4E62" w:rsidP="00BE4E62">
            <w:pPr>
              <w:suppressLineNumbers/>
              <w:rPr>
                <w:sz w:val="28"/>
                <w:szCs w:val="28"/>
              </w:rPr>
            </w:pPr>
            <w:r w:rsidRPr="00BB409F">
              <w:rPr>
                <w:rFonts w:ascii="Arial" w:hAnsi="Arial" w:hint="cs"/>
                <w:b/>
                <w:bCs/>
                <w:sz w:val="28"/>
                <w:szCs w:val="28"/>
                <w:rtl/>
              </w:rPr>
              <w:t>ה</w:t>
            </w:r>
            <w:r w:rsidRPr="00BB409F">
              <w:rPr>
                <w:rFonts w:ascii="Arial" w:hAnsi="Arial"/>
                <w:b/>
                <w:bCs/>
                <w:sz w:val="28"/>
                <w:szCs w:val="28"/>
                <w:rtl/>
              </w:rPr>
              <w:t>מאשימה</w:t>
            </w:r>
          </w:p>
          <w:p w14:paraId="0337DBFC" w14:textId="77777777" w:rsidR="00BE4E62" w:rsidRPr="00BB409F" w:rsidRDefault="00BE4E62" w:rsidP="0047440D">
            <w:pPr>
              <w:rPr>
                <w:rFonts w:ascii="David" w:hAnsi="David"/>
                <w:sz w:val="28"/>
                <w:szCs w:val="28"/>
              </w:rPr>
            </w:pPr>
          </w:p>
        </w:tc>
        <w:tc>
          <w:tcPr>
            <w:tcW w:w="4678" w:type="dxa"/>
            <w:tcBorders>
              <w:top w:val="nil"/>
              <w:left w:val="nil"/>
              <w:bottom w:val="nil"/>
              <w:right w:val="nil"/>
            </w:tcBorders>
            <w:shd w:val="clear" w:color="auto" w:fill="auto"/>
            <w:vAlign w:val="center"/>
          </w:tcPr>
          <w:p w14:paraId="10FF1337" w14:textId="77777777" w:rsidR="00BE4E62" w:rsidRPr="00BB409F" w:rsidRDefault="00BE4E62" w:rsidP="00BE4E62">
            <w:pPr>
              <w:suppressLineNumbers/>
              <w:rPr>
                <w:sz w:val="28"/>
                <w:szCs w:val="28"/>
              </w:rPr>
            </w:pPr>
            <w:r w:rsidRPr="00BB409F">
              <w:rPr>
                <w:rFonts w:ascii="Arial" w:hAnsi="Arial"/>
                <w:b/>
                <w:bCs/>
                <w:sz w:val="28"/>
                <w:szCs w:val="28"/>
                <w:rtl/>
              </w:rPr>
              <w:t>מדינת ישראל</w:t>
            </w:r>
            <w:r w:rsidRPr="00BB409F">
              <w:rPr>
                <w:rFonts w:ascii="Arial" w:hAnsi="Arial"/>
                <w:b/>
                <w:bCs/>
                <w:sz w:val="28"/>
                <w:szCs w:val="28"/>
                <w:rtl/>
              </w:rPr>
              <w:br/>
            </w:r>
            <w:r w:rsidRPr="00BB409F">
              <w:rPr>
                <w:rFonts w:ascii="Arial" w:hAnsi="Arial" w:hint="cs"/>
                <w:b/>
                <w:bCs/>
                <w:sz w:val="28"/>
                <w:szCs w:val="28"/>
                <w:rtl/>
              </w:rPr>
              <w:t xml:space="preserve">ע"י עוה"ד רעות זוסמן </w:t>
            </w:r>
            <w:r w:rsidRPr="00BB409F">
              <w:rPr>
                <w:rFonts w:ascii="Arial" w:hAnsi="Arial"/>
                <w:b/>
                <w:bCs/>
                <w:sz w:val="28"/>
                <w:szCs w:val="28"/>
                <w:rtl/>
              </w:rPr>
              <w:br/>
            </w:r>
            <w:r w:rsidRPr="00BB409F">
              <w:rPr>
                <w:rFonts w:ascii="Arial" w:hAnsi="Arial"/>
                <w:b/>
                <w:bCs/>
                <w:sz w:val="28"/>
                <w:szCs w:val="28"/>
                <w:rtl/>
              </w:rPr>
              <w:br/>
            </w:r>
          </w:p>
          <w:p w14:paraId="2490CF18" w14:textId="77777777" w:rsidR="00BE4E62" w:rsidRPr="00BB409F" w:rsidRDefault="00BE4E62" w:rsidP="0047440D">
            <w:pPr>
              <w:rPr>
                <w:rFonts w:ascii="David" w:hAnsi="David"/>
                <w:sz w:val="28"/>
                <w:szCs w:val="28"/>
              </w:rPr>
            </w:pPr>
          </w:p>
        </w:tc>
      </w:tr>
      <w:bookmarkEnd w:id="2"/>
      <w:tr w:rsidR="00BE4E62" w:rsidRPr="00BB409F" w14:paraId="0105C034" w14:textId="77777777" w:rsidTr="00BE4E62">
        <w:trPr>
          <w:trHeight w:val="355"/>
          <w:jc w:val="center"/>
        </w:trPr>
        <w:tc>
          <w:tcPr>
            <w:tcW w:w="923" w:type="dxa"/>
            <w:tcBorders>
              <w:top w:val="nil"/>
              <w:left w:val="nil"/>
              <w:bottom w:val="nil"/>
              <w:right w:val="nil"/>
            </w:tcBorders>
            <w:shd w:val="clear" w:color="auto" w:fill="auto"/>
          </w:tcPr>
          <w:p w14:paraId="6EB8A5B3" w14:textId="77777777" w:rsidR="00BE4E62" w:rsidRPr="00BB409F" w:rsidRDefault="00BE4E62" w:rsidP="00BE4E6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CB9B0F9" w14:textId="77777777" w:rsidR="00BE4E62" w:rsidRPr="00BB409F" w:rsidRDefault="00BE4E62" w:rsidP="00BE4E62">
            <w:pPr>
              <w:jc w:val="center"/>
              <w:rPr>
                <w:rFonts w:ascii="David" w:hAnsi="David"/>
                <w:b/>
                <w:bCs/>
                <w:sz w:val="28"/>
                <w:szCs w:val="28"/>
                <w:rtl/>
              </w:rPr>
            </w:pPr>
          </w:p>
          <w:p w14:paraId="3AC71E7E" w14:textId="77777777" w:rsidR="00BE4E62" w:rsidRPr="00BB409F" w:rsidRDefault="00BE4E62" w:rsidP="00BE4E62">
            <w:pPr>
              <w:jc w:val="center"/>
              <w:rPr>
                <w:rFonts w:ascii="David" w:hAnsi="David"/>
                <w:b/>
                <w:bCs/>
                <w:sz w:val="28"/>
                <w:szCs w:val="28"/>
                <w:rtl/>
              </w:rPr>
            </w:pPr>
            <w:r w:rsidRPr="00BB409F">
              <w:rPr>
                <w:rFonts w:ascii="David" w:hAnsi="David"/>
                <w:b/>
                <w:bCs/>
                <w:sz w:val="28"/>
                <w:szCs w:val="28"/>
                <w:rtl/>
              </w:rPr>
              <w:t>נגד</w:t>
            </w:r>
          </w:p>
          <w:p w14:paraId="03E9A00B" w14:textId="77777777" w:rsidR="00BE4E62" w:rsidRPr="00BB409F" w:rsidRDefault="00BE4E62" w:rsidP="00BE4E62">
            <w:pPr>
              <w:jc w:val="center"/>
              <w:rPr>
                <w:rFonts w:ascii="David" w:hAnsi="David"/>
                <w:b/>
                <w:bCs/>
                <w:sz w:val="28"/>
                <w:szCs w:val="28"/>
                <w:rtl/>
              </w:rPr>
            </w:pPr>
          </w:p>
          <w:p w14:paraId="34AD786D" w14:textId="77777777" w:rsidR="00BE4E62" w:rsidRPr="00BB409F" w:rsidRDefault="00BE4E62" w:rsidP="00BE4E62">
            <w:pPr>
              <w:jc w:val="center"/>
              <w:rPr>
                <w:rFonts w:ascii="David" w:hAnsi="David"/>
                <w:b/>
                <w:bCs/>
                <w:sz w:val="28"/>
                <w:szCs w:val="28"/>
                <w:rtl/>
              </w:rPr>
            </w:pPr>
          </w:p>
          <w:p w14:paraId="7DF1AA70" w14:textId="77777777" w:rsidR="00BE4E62" w:rsidRPr="00BB409F" w:rsidRDefault="00BE4E62" w:rsidP="00BE4E62">
            <w:pPr>
              <w:jc w:val="center"/>
              <w:rPr>
                <w:rFonts w:ascii="David" w:hAnsi="David"/>
                <w:b/>
                <w:bCs/>
                <w:sz w:val="28"/>
                <w:szCs w:val="28"/>
                <w:rtl/>
              </w:rPr>
            </w:pPr>
          </w:p>
          <w:p w14:paraId="3B247769" w14:textId="77777777" w:rsidR="00BE4E62" w:rsidRPr="00BB409F" w:rsidRDefault="00BE4E62" w:rsidP="00BE4E62">
            <w:pPr>
              <w:jc w:val="both"/>
              <w:rPr>
                <w:rFonts w:ascii="David" w:hAnsi="David"/>
                <w:sz w:val="28"/>
                <w:szCs w:val="28"/>
              </w:rPr>
            </w:pPr>
          </w:p>
        </w:tc>
      </w:tr>
      <w:tr w:rsidR="00BE4E62" w:rsidRPr="00BB409F" w14:paraId="2B1A3C88" w14:textId="77777777" w:rsidTr="00BE4E62">
        <w:trPr>
          <w:trHeight w:val="355"/>
          <w:jc w:val="center"/>
        </w:trPr>
        <w:tc>
          <w:tcPr>
            <w:tcW w:w="923" w:type="dxa"/>
            <w:tcBorders>
              <w:top w:val="nil"/>
              <w:left w:val="nil"/>
              <w:bottom w:val="nil"/>
              <w:right w:val="nil"/>
            </w:tcBorders>
            <w:shd w:val="clear" w:color="auto" w:fill="auto"/>
          </w:tcPr>
          <w:p w14:paraId="54AB4230" w14:textId="77777777" w:rsidR="00BE4E62" w:rsidRPr="00BB409F" w:rsidRDefault="00BE4E62" w:rsidP="0047440D">
            <w:pPr>
              <w:rPr>
                <w:rFonts w:ascii="David" w:hAnsi="David"/>
                <w:sz w:val="26"/>
                <w:szCs w:val="26"/>
                <w:rtl/>
              </w:rPr>
            </w:pPr>
          </w:p>
        </w:tc>
        <w:tc>
          <w:tcPr>
            <w:tcW w:w="3219" w:type="dxa"/>
            <w:tcBorders>
              <w:top w:val="nil"/>
              <w:left w:val="nil"/>
              <w:bottom w:val="nil"/>
              <w:right w:val="nil"/>
            </w:tcBorders>
            <w:shd w:val="clear" w:color="auto" w:fill="auto"/>
          </w:tcPr>
          <w:p w14:paraId="4917073A" w14:textId="77777777" w:rsidR="00BE4E62" w:rsidRPr="00BB409F" w:rsidRDefault="00BE4E62" w:rsidP="0047440D">
            <w:pPr>
              <w:rPr>
                <w:rFonts w:ascii="Arial" w:hAnsi="Arial"/>
                <w:b/>
                <w:bCs/>
                <w:sz w:val="28"/>
                <w:szCs w:val="28"/>
                <w:rtl/>
              </w:rPr>
            </w:pPr>
            <w:r w:rsidRPr="00BB409F">
              <w:rPr>
                <w:rFonts w:ascii="Arial" w:hAnsi="Arial"/>
                <w:b/>
                <w:bCs/>
                <w:sz w:val="28"/>
                <w:szCs w:val="28"/>
                <w:rtl/>
              </w:rPr>
              <w:t>הנאשמים</w:t>
            </w:r>
          </w:p>
        </w:tc>
        <w:tc>
          <w:tcPr>
            <w:tcW w:w="4678" w:type="dxa"/>
            <w:tcBorders>
              <w:top w:val="nil"/>
              <w:left w:val="nil"/>
              <w:bottom w:val="nil"/>
              <w:right w:val="nil"/>
            </w:tcBorders>
            <w:shd w:val="clear" w:color="auto" w:fill="auto"/>
            <w:vAlign w:val="center"/>
          </w:tcPr>
          <w:p w14:paraId="137D0E92" w14:textId="77777777" w:rsidR="00BE4E62" w:rsidRPr="00BB409F" w:rsidRDefault="00BE4E62" w:rsidP="00BE4E62">
            <w:pPr>
              <w:suppressLineNumbers/>
              <w:rPr>
                <w:sz w:val="28"/>
                <w:szCs w:val="28"/>
              </w:rPr>
            </w:pPr>
            <w:r w:rsidRPr="00BB409F">
              <w:rPr>
                <w:rFonts w:ascii="Arial" w:hAnsi="Arial"/>
                <w:b/>
                <w:bCs/>
                <w:sz w:val="28"/>
                <w:szCs w:val="28"/>
                <w:rtl/>
              </w:rPr>
              <w:t>שלמה כדורי בן דוד יוסף</w:t>
            </w:r>
            <w:r w:rsidRPr="00BB409F">
              <w:rPr>
                <w:rFonts w:ascii="Arial" w:hAnsi="Arial"/>
                <w:b/>
                <w:bCs/>
                <w:sz w:val="28"/>
                <w:szCs w:val="28"/>
                <w:rtl/>
              </w:rPr>
              <w:br/>
            </w:r>
            <w:r w:rsidRPr="00BB409F">
              <w:rPr>
                <w:rFonts w:ascii="Arial" w:hAnsi="Arial" w:hint="cs"/>
                <w:b/>
                <w:bCs/>
                <w:sz w:val="28"/>
                <w:szCs w:val="28"/>
                <w:rtl/>
              </w:rPr>
              <w:t xml:space="preserve">ע"י עוה"ד הגר עמר </w:t>
            </w:r>
          </w:p>
          <w:p w14:paraId="3FA4A9FE" w14:textId="77777777" w:rsidR="00BE4E62" w:rsidRPr="00BB409F" w:rsidRDefault="00BE4E62" w:rsidP="0047440D">
            <w:pPr>
              <w:rPr>
                <w:rFonts w:ascii="David" w:hAnsi="David"/>
                <w:sz w:val="28"/>
                <w:szCs w:val="28"/>
              </w:rPr>
            </w:pPr>
          </w:p>
        </w:tc>
      </w:tr>
    </w:tbl>
    <w:p w14:paraId="2890FD48" w14:textId="77777777" w:rsidR="00BB409F" w:rsidRPr="00BB409F" w:rsidRDefault="00BB409F" w:rsidP="00BB409F">
      <w:pPr>
        <w:spacing w:before="120" w:after="120" w:line="240" w:lineRule="exact"/>
        <w:ind w:left="283" w:hanging="283"/>
        <w:jc w:val="both"/>
        <w:rPr>
          <w:rFonts w:ascii="FrankRuehl" w:hAnsi="FrankRuehl" w:cs="FrankRuehl"/>
          <w:rtl/>
        </w:rPr>
      </w:pPr>
    </w:p>
    <w:p w14:paraId="5D517EC2" w14:textId="77777777" w:rsidR="00FB20EC" w:rsidRPr="00FB20EC" w:rsidRDefault="00FB20EC" w:rsidP="00FB20EC">
      <w:pPr>
        <w:spacing w:before="120" w:after="120" w:line="240" w:lineRule="exact"/>
        <w:ind w:left="283" w:hanging="283"/>
        <w:jc w:val="both"/>
        <w:rPr>
          <w:rFonts w:ascii="FrankRuehl" w:hAnsi="FrankRuehl" w:cs="FrankRuehl"/>
          <w:rtl/>
        </w:rPr>
      </w:pPr>
    </w:p>
    <w:p w14:paraId="1A78BCE2" w14:textId="77777777" w:rsidR="000B441F" w:rsidRDefault="000B441F" w:rsidP="000B441F">
      <w:pPr>
        <w:rPr>
          <w:sz w:val="28"/>
          <w:szCs w:val="28"/>
          <w:rtl/>
        </w:rPr>
      </w:pPr>
      <w:bookmarkStart w:id="3" w:name="LawTable"/>
      <w:bookmarkEnd w:id="3"/>
    </w:p>
    <w:p w14:paraId="24F2ECDD" w14:textId="77777777" w:rsidR="000B441F" w:rsidRPr="000B441F" w:rsidRDefault="000B441F" w:rsidP="000B441F">
      <w:pPr>
        <w:spacing w:before="120" w:after="120" w:line="240" w:lineRule="exact"/>
        <w:ind w:left="283" w:hanging="283"/>
        <w:jc w:val="both"/>
        <w:rPr>
          <w:rFonts w:ascii="FrankRuehl" w:hAnsi="FrankRuehl" w:cs="FrankRuehl"/>
          <w:rtl/>
        </w:rPr>
      </w:pPr>
    </w:p>
    <w:p w14:paraId="1675AE0F" w14:textId="77777777" w:rsidR="000B441F" w:rsidRPr="000B441F" w:rsidRDefault="000B441F" w:rsidP="000B441F">
      <w:pPr>
        <w:spacing w:before="120" w:after="120" w:line="240" w:lineRule="exact"/>
        <w:ind w:left="283" w:hanging="283"/>
        <w:jc w:val="both"/>
        <w:rPr>
          <w:rFonts w:ascii="FrankRuehl" w:hAnsi="FrankRuehl" w:cs="FrankRuehl"/>
          <w:rtl/>
        </w:rPr>
      </w:pPr>
    </w:p>
    <w:p w14:paraId="3BA32BC6" w14:textId="77777777" w:rsidR="000B441F" w:rsidRPr="000B441F" w:rsidRDefault="000B441F" w:rsidP="000B441F">
      <w:pPr>
        <w:spacing w:before="120" w:after="120" w:line="240" w:lineRule="exact"/>
        <w:ind w:left="283" w:hanging="283"/>
        <w:jc w:val="both"/>
        <w:rPr>
          <w:rFonts w:ascii="FrankRuehl" w:hAnsi="FrankRuehl" w:cs="FrankRuehl"/>
          <w:rtl/>
        </w:rPr>
      </w:pPr>
      <w:r w:rsidRPr="000B441F">
        <w:rPr>
          <w:rFonts w:ascii="FrankRuehl" w:hAnsi="FrankRuehl" w:cs="FrankRuehl"/>
          <w:rtl/>
        </w:rPr>
        <w:t xml:space="preserve">חקיקה שאוזכרה: </w:t>
      </w:r>
    </w:p>
    <w:p w14:paraId="7DD318DA" w14:textId="77777777" w:rsidR="000B441F" w:rsidRPr="000B441F" w:rsidRDefault="000B441F" w:rsidP="000B441F">
      <w:pPr>
        <w:spacing w:before="120" w:after="120" w:line="240" w:lineRule="exact"/>
        <w:ind w:left="283" w:hanging="283"/>
        <w:jc w:val="both"/>
        <w:rPr>
          <w:rFonts w:ascii="FrankRuehl" w:hAnsi="FrankRuehl" w:cs="FrankRuehl"/>
          <w:rtl/>
        </w:rPr>
      </w:pPr>
      <w:hyperlink r:id="rId6" w:history="1">
        <w:r w:rsidRPr="000B441F">
          <w:rPr>
            <w:rFonts w:ascii="FrankRuehl" w:hAnsi="FrankRuehl" w:cs="FrankRuehl"/>
            <w:color w:val="0000FF"/>
            <w:rtl/>
          </w:rPr>
          <w:t>פקודת הסמים המסוכנים [נוסח חדש], תשל"ג-1973</w:t>
        </w:r>
      </w:hyperlink>
      <w:r w:rsidRPr="000B441F">
        <w:rPr>
          <w:rFonts w:ascii="FrankRuehl" w:hAnsi="FrankRuehl" w:cs="FrankRuehl"/>
          <w:rtl/>
        </w:rPr>
        <w:t xml:space="preserve">: סע'  </w:t>
      </w:r>
      <w:hyperlink r:id="rId7" w:history="1">
        <w:r w:rsidRPr="000B441F">
          <w:rPr>
            <w:rFonts w:ascii="FrankRuehl" w:hAnsi="FrankRuehl" w:cs="FrankRuehl"/>
            <w:color w:val="0000FF"/>
            <w:rtl/>
          </w:rPr>
          <w:t>13</w:t>
        </w:r>
      </w:hyperlink>
      <w:r w:rsidRPr="000B441F">
        <w:rPr>
          <w:rFonts w:ascii="FrankRuehl" w:hAnsi="FrankRuehl" w:cs="FrankRuehl"/>
          <w:rtl/>
        </w:rPr>
        <w:t xml:space="preserve">, </w:t>
      </w:r>
      <w:hyperlink r:id="rId8" w:history="1">
        <w:r w:rsidRPr="000B441F">
          <w:rPr>
            <w:rFonts w:ascii="FrankRuehl" w:hAnsi="FrankRuehl" w:cs="FrankRuehl"/>
            <w:color w:val="0000FF"/>
            <w:rtl/>
          </w:rPr>
          <w:t>19א</w:t>
        </w:r>
      </w:hyperlink>
    </w:p>
    <w:p w14:paraId="266D5FCE" w14:textId="77777777" w:rsidR="000B441F" w:rsidRPr="000B441F" w:rsidRDefault="000B441F" w:rsidP="000B441F">
      <w:pPr>
        <w:rPr>
          <w:sz w:val="28"/>
          <w:szCs w:val="28"/>
          <w:rtl/>
        </w:rPr>
      </w:pPr>
      <w:bookmarkStart w:id="4" w:name="LawTable_End"/>
      <w:bookmarkEnd w:id="4"/>
    </w:p>
    <w:p w14:paraId="4D011802" w14:textId="77777777" w:rsidR="00BE4E62" w:rsidRPr="00FB20EC" w:rsidRDefault="00BE4E62" w:rsidP="00FB20EC">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4E62" w:rsidRPr="00E86997" w14:paraId="77846D76" w14:textId="77777777" w:rsidTr="00BE4E62">
        <w:trPr>
          <w:trHeight w:val="355"/>
          <w:jc w:val="center"/>
        </w:trPr>
        <w:tc>
          <w:tcPr>
            <w:tcW w:w="8820" w:type="dxa"/>
            <w:tcBorders>
              <w:top w:val="nil"/>
              <w:left w:val="nil"/>
              <w:bottom w:val="nil"/>
              <w:right w:val="nil"/>
            </w:tcBorders>
            <w:shd w:val="clear" w:color="auto" w:fill="auto"/>
          </w:tcPr>
          <w:p w14:paraId="3E02EB14" w14:textId="77777777" w:rsidR="00BB409F" w:rsidRPr="00BB409F" w:rsidRDefault="00BB409F" w:rsidP="00BB409F">
            <w:pPr>
              <w:jc w:val="center"/>
              <w:rPr>
                <w:rFonts w:ascii="David" w:hAnsi="David"/>
                <w:b/>
                <w:bCs/>
                <w:sz w:val="28"/>
                <w:szCs w:val="28"/>
                <w:u w:val="single"/>
                <w:rtl/>
              </w:rPr>
            </w:pPr>
            <w:bookmarkStart w:id="5" w:name="PsakDin" w:colFirst="0" w:colLast="0"/>
            <w:bookmarkEnd w:id="0"/>
            <w:bookmarkEnd w:id="1"/>
            <w:r w:rsidRPr="00BB409F">
              <w:rPr>
                <w:rFonts w:ascii="David" w:hAnsi="David"/>
                <w:b/>
                <w:bCs/>
                <w:sz w:val="28"/>
                <w:szCs w:val="28"/>
                <w:u w:val="single"/>
                <w:rtl/>
              </w:rPr>
              <w:t>גזר דין</w:t>
            </w:r>
          </w:p>
          <w:p w14:paraId="11013CC1" w14:textId="77777777" w:rsidR="00BE4E62" w:rsidRPr="00BB409F" w:rsidRDefault="00BE4E62" w:rsidP="00BB409F">
            <w:pPr>
              <w:jc w:val="center"/>
              <w:rPr>
                <w:rFonts w:ascii="David" w:hAnsi="David"/>
                <w:bCs/>
                <w:sz w:val="28"/>
                <w:szCs w:val="28"/>
                <w:u w:val="single"/>
                <w:rtl/>
              </w:rPr>
            </w:pPr>
          </w:p>
        </w:tc>
      </w:tr>
      <w:bookmarkEnd w:id="5"/>
    </w:tbl>
    <w:p w14:paraId="2E682E4C" w14:textId="77777777" w:rsidR="00BE4E62" w:rsidRPr="00E86997" w:rsidRDefault="00BE4E62" w:rsidP="00BE4E62">
      <w:pPr>
        <w:spacing w:line="360" w:lineRule="auto"/>
        <w:rPr>
          <w:rFonts w:ascii="Arial" w:hAnsi="Arial"/>
          <w:b/>
          <w:bCs/>
          <w:sz w:val="28"/>
          <w:szCs w:val="28"/>
          <w:rtl/>
        </w:rPr>
      </w:pPr>
    </w:p>
    <w:p w14:paraId="6DC4D8C5" w14:textId="77777777" w:rsidR="00BE4E62" w:rsidRPr="00E86997" w:rsidRDefault="00BE4E62" w:rsidP="00BE4E62">
      <w:pPr>
        <w:spacing w:line="360" w:lineRule="auto"/>
        <w:jc w:val="both"/>
        <w:rPr>
          <w:rFonts w:ascii="David" w:hAnsi="David"/>
          <w:b/>
          <w:bCs/>
          <w:sz w:val="28"/>
          <w:szCs w:val="28"/>
          <w:u w:val="single"/>
          <w:rtl/>
        </w:rPr>
      </w:pPr>
      <w:r w:rsidRPr="00E86997">
        <w:rPr>
          <w:rFonts w:ascii="David" w:hAnsi="David"/>
          <w:b/>
          <w:bCs/>
          <w:sz w:val="28"/>
          <w:szCs w:val="28"/>
          <w:u w:val="single"/>
          <w:rtl/>
        </w:rPr>
        <w:t>כתב האישום</w:t>
      </w:r>
    </w:p>
    <w:p w14:paraId="33BD027E" w14:textId="77777777" w:rsidR="00BE4E62" w:rsidRPr="00E86997" w:rsidRDefault="00BE4E62" w:rsidP="00BE4E62">
      <w:pPr>
        <w:spacing w:line="360" w:lineRule="auto"/>
        <w:jc w:val="both"/>
        <w:rPr>
          <w:rFonts w:ascii="David" w:hAnsi="David"/>
          <w:b/>
          <w:bCs/>
          <w:u w:val="single"/>
          <w:rtl/>
        </w:rPr>
      </w:pPr>
    </w:p>
    <w:p w14:paraId="7515583D" w14:textId="77777777" w:rsidR="00BE4E62" w:rsidRPr="00E86997" w:rsidRDefault="00BE4E62" w:rsidP="00BE4E62">
      <w:pPr>
        <w:spacing w:line="360" w:lineRule="auto"/>
        <w:ind w:left="720" w:hanging="720"/>
        <w:jc w:val="both"/>
        <w:rPr>
          <w:rFonts w:ascii="David" w:hAnsi="David"/>
          <w:rtl/>
        </w:rPr>
      </w:pPr>
      <w:r>
        <w:rPr>
          <w:rFonts w:ascii="David" w:hAnsi="David" w:hint="cs"/>
          <w:rtl/>
        </w:rPr>
        <w:t xml:space="preserve">1. </w:t>
      </w:r>
      <w:r>
        <w:rPr>
          <w:rFonts w:ascii="David" w:hAnsi="David" w:hint="cs"/>
          <w:rtl/>
        </w:rPr>
        <w:tab/>
      </w:r>
      <w:bookmarkStart w:id="6" w:name="ABSTRACT_START"/>
      <w:bookmarkEnd w:id="6"/>
      <w:r w:rsidRPr="00E86997">
        <w:rPr>
          <w:rFonts w:ascii="David" w:hAnsi="David"/>
          <w:rtl/>
        </w:rPr>
        <w:t>הנאשם הודה בעובדות כתב האישום המתוקן במסגרת הסדר טיעון. כתב האישום כולל חלק כללי ועוד חמישה אישומים. על פי החלק הכללי</w:t>
      </w:r>
      <w:r>
        <w:rPr>
          <w:rFonts w:ascii="David" w:hAnsi="David" w:hint="cs"/>
          <w:rtl/>
        </w:rPr>
        <w:t>,</w:t>
      </w:r>
      <w:r w:rsidRPr="00E86997">
        <w:rPr>
          <w:rFonts w:ascii="David" w:hAnsi="David"/>
          <w:rtl/>
        </w:rPr>
        <w:t xml:space="preserve"> הנאשם החזיק בטלפון נייד אשר </w:t>
      </w:r>
      <w:r w:rsidRPr="00E86997">
        <w:rPr>
          <w:rFonts w:ascii="David" w:hAnsi="David"/>
          <w:rtl/>
        </w:rPr>
        <w:lastRenderedPageBreak/>
        <w:t>שימש אותו לביצוע עסקאות סם בכך שמכר לקונים שונים באזור העיר רמלה סם מסוכן מסוג קנבוס.</w:t>
      </w:r>
      <w:r>
        <w:rPr>
          <w:rFonts w:ascii="David" w:hAnsi="David" w:hint="cs"/>
          <w:rtl/>
        </w:rPr>
        <w:t xml:space="preserve"> </w:t>
      </w:r>
      <w:r w:rsidRPr="00E86997">
        <w:rPr>
          <w:rFonts w:ascii="David" w:hAnsi="David"/>
          <w:rtl/>
        </w:rPr>
        <w:t>אעמוד כעת על כל אחד מהאישומים בנפרד.</w:t>
      </w:r>
    </w:p>
    <w:p w14:paraId="4EE70C67" w14:textId="77777777" w:rsidR="00BE4E62" w:rsidRPr="00E86997" w:rsidRDefault="00BE4E62" w:rsidP="00BE4E62">
      <w:pPr>
        <w:spacing w:line="360" w:lineRule="auto"/>
        <w:jc w:val="both"/>
        <w:rPr>
          <w:rFonts w:ascii="David" w:hAnsi="David"/>
          <w:rtl/>
        </w:rPr>
      </w:pPr>
      <w:bookmarkStart w:id="7" w:name="ABSTRACT_END"/>
      <w:bookmarkEnd w:id="7"/>
    </w:p>
    <w:p w14:paraId="10D3A928" w14:textId="77777777" w:rsidR="00BE4E62" w:rsidRPr="00E86997" w:rsidRDefault="00BE4E62" w:rsidP="00BE4E62">
      <w:pPr>
        <w:spacing w:line="360" w:lineRule="auto"/>
        <w:ind w:left="720" w:hanging="720"/>
        <w:jc w:val="both"/>
        <w:rPr>
          <w:rFonts w:ascii="David" w:hAnsi="David"/>
          <w:rtl/>
        </w:rPr>
      </w:pPr>
      <w:r>
        <w:rPr>
          <w:rFonts w:ascii="David" w:hAnsi="David" w:hint="cs"/>
          <w:rtl/>
        </w:rPr>
        <w:t>2.</w:t>
      </w:r>
      <w:r>
        <w:rPr>
          <w:rFonts w:ascii="David" w:hAnsi="David" w:hint="cs"/>
          <w:rtl/>
        </w:rPr>
        <w:tab/>
      </w:r>
      <w:r w:rsidRPr="00DD6075">
        <w:rPr>
          <w:rFonts w:ascii="David" w:hAnsi="David"/>
          <w:u w:val="single"/>
          <w:rtl/>
        </w:rPr>
        <w:t>באישום הראשון</w:t>
      </w:r>
      <w:r w:rsidRPr="00E86997">
        <w:rPr>
          <w:rFonts w:ascii="David" w:hAnsi="David"/>
          <w:rtl/>
        </w:rPr>
        <w:t xml:space="preserve">, הנאשם הורשע בעבירה של סחר בסמים לפי </w:t>
      </w:r>
      <w:hyperlink r:id="rId9" w:history="1">
        <w:r w:rsidR="009B01CF" w:rsidRPr="009B01CF">
          <w:rPr>
            <w:rStyle w:val="Hyperlink"/>
            <w:rFonts w:ascii="David" w:hAnsi="David"/>
            <w:rtl/>
          </w:rPr>
          <w:t>סעיפים 13</w:t>
        </w:r>
      </w:hyperlink>
      <w:r w:rsidRPr="00E86997">
        <w:rPr>
          <w:rFonts w:ascii="David" w:hAnsi="David"/>
          <w:rtl/>
        </w:rPr>
        <w:t xml:space="preserve"> ו- </w:t>
      </w:r>
      <w:hyperlink r:id="rId10" w:history="1">
        <w:r w:rsidR="009B01CF" w:rsidRPr="009B01CF">
          <w:rPr>
            <w:rStyle w:val="Hyperlink"/>
            <w:rFonts w:ascii="David" w:hAnsi="David"/>
            <w:rtl/>
          </w:rPr>
          <w:t>19א</w:t>
        </w:r>
      </w:hyperlink>
      <w:r w:rsidRPr="00E86997">
        <w:rPr>
          <w:rFonts w:ascii="David" w:hAnsi="David"/>
          <w:rtl/>
        </w:rPr>
        <w:t xml:space="preserve"> ל</w:t>
      </w:r>
      <w:hyperlink r:id="rId11" w:history="1">
        <w:r w:rsidR="00BB409F" w:rsidRPr="00BB409F">
          <w:rPr>
            <w:rFonts w:ascii="David" w:hAnsi="David"/>
            <w:color w:val="0000FF"/>
            <w:u w:val="single"/>
            <w:rtl/>
          </w:rPr>
          <w:t>פקודת הסמים המסוכנים</w:t>
        </w:r>
      </w:hyperlink>
      <w:r w:rsidRPr="00E86997">
        <w:rPr>
          <w:rFonts w:ascii="David" w:hAnsi="David"/>
          <w:rtl/>
        </w:rPr>
        <w:t xml:space="preserve"> [נוסח חדש] תשל"ג – 1973 (להלן: "</w:t>
      </w:r>
      <w:r w:rsidRPr="003D2C22">
        <w:rPr>
          <w:rFonts w:ascii="David" w:hAnsi="David"/>
          <w:b/>
          <w:bCs/>
          <w:rtl/>
        </w:rPr>
        <w:t>הפקודה</w:t>
      </w:r>
      <w:r w:rsidRPr="00E86997">
        <w:rPr>
          <w:rFonts w:ascii="David" w:hAnsi="David"/>
          <w:rtl/>
        </w:rPr>
        <w:t>"). על פי עובדות האישום הראשון, במהלך חודש ינואר 2019, בתאריך שאינו ידוע במדויק למאשימה, ברחוב העלי</w:t>
      </w:r>
      <w:r>
        <w:rPr>
          <w:rFonts w:ascii="David" w:hAnsi="David" w:hint="cs"/>
          <w:rtl/>
        </w:rPr>
        <w:t>י</w:t>
      </w:r>
      <w:r w:rsidRPr="00E86997">
        <w:rPr>
          <w:rFonts w:ascii="David" w:hAnsi="David"/>
          <w:rtl/>
        </w:rPr>
        <w:t>ה השני</w:t>
      </w:r>
      <w:r>
        <w:rPr>
          <w:rFonts w:ascii="David" w:hAnsi="David" w:hint="cs"/>
          <w:rtl/>
        </w:rPr>
        <w:t>י</w:t>
      </w:r>
      <w:r w:rsidRPr="00E86997">
        <w:rPr>
          <w:rFonts w:ascii="David" w:hAnsi="David"/>
          <w:rtl/>
        </w:rPr>
        <w:t xml:space="preserve">ה בעיר רמלה, מכר הנאשם לאחר בהזדמנות אחת סם מסוכן מסוג קנבוס תמורת 100 ₪ ובמשקל שאינו ידוע למאשימה. </w:t>
      </w:r>
    </w:p>
    <w:p w14:paraId="230D1FED" w14:textId="77777777" w:rsidR="00BE4E62" w:rsidRPr="00E86997" w:rsidRDefault="00BE4E62" w:rsidP="00BE4E62">
      <w:pPr>
        <w:spacing w:line="360" w:lineRule="auto"/>
        <w:jc w:val="both"/>
        <w:rPr>
          <w:rFonts w:ascii="David" w:hAnsi="David"/>
          <w:rtl/>
        </w:rPr>
      </w:pPr>
    </w:p>
    <w:p w14:paraId="498E8A02" w14:textId="77777777" w:rsidR="00BE4E62" w:rsidRPr="00E86997" w:rsidRDefault="00BE4E62" w:rsidP="00BE4E62">
      <w:pPr>
        <w:spacing w:line="360" w:lineRule="auto"/>
        <w:ind w:left="720" w:hanging="720"/>
        <w:jc w:val="both"/>
        <w:rPr>
          <w:rFonts w:ascii="David" w:hAnsi="David"/>
          <w:rtl/>
        </w:rPr>
      </w:pPr>
      <w:r>
        <w:rPr>
          <w:rFonts w:ascii="David" w:hAnsi="David" w:hint="cs"/>
          <w:rtl/>
        </w:rPr>
        <w:t>3.</w:t>
      </w:r>
      <w:r>
        <w:rPr>
          <w:rFonts w:ascii="David" w:hAnsi="David" w:hint="cs"/>
          <w:rtl/>
        </w:rPr>
        <w:tab/>
      </w:r>
      <w:r w:rsidRPr="003D2C22">
        <w:rPr>
          <w:rFonts w:ascii="David" w:hAnsi="David"/>
          <w:u w:val="single"/>
          <w:rtl/>
        </w:rPr>
        <w:t>באישום השני</w:t>
      </w:r>
      <w:r w:rsidRPr="00E86997">
        <w:rPr>
          <w:rFonts w:ascii="David" w:hAnsi="David"/>
          <w:rtl/>
        </w:rPr>
        <w:t xml:space="preserve">, הנאשם הורשע בריבוי עבירות של סחר בסם לפי </w:t>
      </w:r>
      <w:hyperlink r:id="rId12" w:history="1">
        <w:r w:rsidR="009B01CF" w:rsidRPr="009B01CF">
          <w:rPr>
            <w:rStyle w:val="Hyperlink"/>
            <w:rFonts w:ascii="David" w:hAnsi="David"/>
            <w:rtl/>
          </w:rPr>
          <w:t>סעיפים 13</w:t>
        </w:r>
      </w:hyperlink>
      <w:r w:rsidRPr="00E86997">
        <w:rPr>
          <w:rFonts w:ascii="David" w:hAnsi="David"/>
          <w:rtl/>
        </w:rPr>
        <w:t xml:space="preserve"> ו- </w:t>
      </w:r>
      <w:hyperlink r:id="rId13" w:history="1">
        <w:r w:rsidR="009B01CF" w:rsidRPr="009B01CF">
          <w:rPr>
            <w:rStyle w:val="Hyperlink"/>
            <w:rFonts w:ascii="David" w:hAnsi="David"/>
            <w:rtl/>
          </w:rPr>
          <w:t>19א</w:t>
        </w:r>
      </w:hyperlink>
      <w:r w:rsidRPr="00E86997">
        <w:rPr>
          <w:rFonts w:ascii="David" w:hAnsi="David"/>
          <w:rtl/>
        </w:rPr>
        <w:t xml:space="preserve"> לפקודה. על פי עובדות האישום השני, במהלך החודשים אוקטובר 2018 עד דצמבר 2018, בגן גינדי באזור רחוב יוספטל בעיר רמלה מכר הנאשם לאחר בחמש הזדמנויות שונות סם מסוכן מסוג קנבוס תמורת 100 ₪ בכל פעם ובמשקל שאינו ידוע למאשימה. כמו כן</w:t>
      </w:r>
      <w:r>
        <w:rPr>
          <w:rFonts w:ascii="David" w:hAnsi="David" w:hint="cs"/>
          <w:rtl/>
        </w:rPr>
        <w:t>,</w:t>
      </w:r>
      <w:r w:rsidRPr="00E86997">
        <w:rPr>
          <w:rFonts w:ascii="David" w:hAnsi="David"/>
          <w:rtl/>
        </w:rPr>
        <w:t xml:space="preserve"> מסר לאותו אחר במספר הזדמנויות שונות סם מסוג קנבס במשקל שאינו ידוע למאשימה וללא תמורה.</w:t>
      </w:r>
    </w:p>
    <w:p w14:paraId="7C51506E" w14:textId="77777777" w:rsidR="00BE4E62" w:rsidRPr="00E86997" w:rsidRDefault="00BE4E62" w:rsidP="00BE4E62">
      <w:pPr>
        <w:spacing w:line="360" w:lineRule="auto"/>
        <w:jc w:val="both"/>
        <w:rPr>
          <w:rFonts w:ascii="David" w:hAnsi="David"/>
          <w:rtl/>
        </w:rPr>
      </w:pPr>
    </w:p>
    <w:p w14:paraId="568786C4" w14:textId="77777777" w:rsidR="00BE4E62" w:rsidRPr="00E86997" w:rsidRDefault="00BE4E62" w:rsidP="00BE4E62">
      <w:pPr>
        <w:spacing w:line="360" w:lineRule="auto"/>
        <w:ind w:left="720" w:hanging="720"/>
        <w:jc w:val="both"/>
        <w:rPr>
          <w:rFonts w:ascii="David" w:hAnsi="David"/>
          <w:rtl/>
        </w:rPr>
      </w:pPr>
      <w:r>
        <w:rPr>
          <w:rFonts w:ascii="David" w:hAnsi="David" w:hint="cs"/>
          <w:rtl/>
        </w:rPr>
        <w:t>4.</w:t>
      </w:r>
      <w:r>
        <w:rPr>
          <w:rFonts w:ascii="David" w:hAnsi="David" w:hint="cs"/>
          <w:rtl/>
        </w:rPr>
        <w:tab/>
      </w:r>
      <w:r w:rsidRPr="00BA3BC8">
        <w:rPr>
          <w:rFonts w:ascii="David" w:hAnsi="David"/>
          <w:u w:val="single"/>
          <w:rtl/>
        </w:rPr>
        <w:t>באישום השלישי</w:t>
      </w:r>
      <w:r w:rsidRPr="00E86997">
        <w:rPr>
          <w:rFonts w:ascii="David" w:hAnsi="David"/>
          <w:rtl/>
        </w:rPr>
        <w:t xml:space="preserve">, הנאשם הורשע בשתי עבירות של סחר בסם לפי </w:t>
      </w:r>
      <w:hyperlink r:id="rId14" w:history="1">
        <w:r w:rsidR="009B01CF" w:rsidRPr="009B01CF">
          <w:rPr>
            <w:rStyle w:val="Hyperlink"/>
            <w:rFonts w:ascii="David" w:hAnsi="David"/>
            <w:rtl/>
          </w:rPr>
          <w:t>סעיפים 13</w:t>
        </w:r>
      </w:hyperlink>
      <w:r w:rsidRPr="00E86997">
        <w:rPr>
          <w:rFonts w:ascii="David" w:hAnsi="David"/>
          <w:rtl/>
        </w:rPr>
        <w:t xml:space="preserve"> ו-</w:t>
      </w:r>
      <w:hyperlink r:id="rId15" w:history="1">
        <w:r w:rsidR="009B01CF" w:rsidRPr="009B01CF">
          <w:rPr>
            <w:rStyle w:val="Hyperlink"/>
            <w:rFonts w:ascii="David" w:hAnsi="David"/>
            <w:rtl/>
          </w:rPr>
          <w:t>19א</w:t>
        </w:r>
      </w:hyperlink>
      <w:r w:rsidRPr="00E86997">
        <w:rPr>
          <w:rFonts w:ascii="David" w:hAnsi="David"/>
          <w:rtl/>
        </w:rPr>
        <w:t xml:space="preserve"> לפקודה. על פי עובדות האישום השלישי, במהלך החודשים ינואר 2019 עד מרץ 2019 באזור צומת הקרח בעיר רמלה, מכר הנאשם לאחר בשתי הזדמנויות שונות סם מסוכן מסוג קנבוס תמורת 100 ₪ בכל פעם ובמשקל שאינו ידוע למאשימה.</w:t>
      </w:r>
    </w:p>
    <w:p w14:paraId="284A0251" w14:textId="77777777" w:rsidR="00BE4E62" w:rsidRPr="00E86997" w:rsidRDefault="00BE4E62" w:rsidP="00BE4E62">
      <w:pPr>
        <w:spacing w:line="360" w:lineRule="auto"/>
        <w:jc w:val="both"/>
        <w:rPr>
          <w:rFonts w:ascii="David" w:hAnsi="David"/>
          <w:rtl/>
        </w:rPr>
      </w:pPr>
    </w:p>
    <w:p w14:paraId="3A47B398" w14:textId="77777777" w:rsidR="00BE4E62" w:rsidRPr="00E86997" w:rsidRDefault="00BE4E62" w:rsidP="00BE4E62">
      <w:pPr>
        <w:spacing w:line="360" w:lineRule="auto"/>
        <w:ind w:left="720" w:hanging="720"/>
        <w:jc w:val="both"/>
        <w:rPr>
          <w:rFonts w:ascii="David" w:hAnsi="David"/>
          <w:rtl/>
        </w:rPr>
      </w:pPr>
      <w:r>
        <w:rPr>
          <w:rFonts w:ascii="David" w:hAnsi="David" w:hint="cs"/>
          <w:rtl/>
        </w:rPr>
        <w:t>5.</w:t>
      </w:r>
      <w:r>
        <w:rPr>
          <w:rFonts w:ascii="David" w:hAnsi="David" w:hint="cs"/>
          <w:rtl/>
        </w:rPr>
        <w:tab/>
      </w:r>
      <w:r w:rsidRPr="00BA3BC8">
        <w:rPr>
          <w:rFonts w:ascii="David" w:hAnsi="David"/>
          <w:u w:val="single"/>
          <w:rtl/>
        </w:rPr>
        <w:t>באישום הרביעי</w:t>
      </w:r>
      <w:r w:rsidRPr="00E86997">
        <w:rPr>
          <w:rFonts w:ascii="David" w:hAnsi="David"/>
          <w:rtl/>
        </w:rPr>
        <w:t xml:space="preserve">, הנאשם הורשע בביצוע שתי עבירות של סחר בסם </w:t>
      </w:r>
      <w:r>
        <w:rPr>
          <w:rFonts w:ascii="David" w:hAnsi="David"/>
          <w:rtl/>
        </w:rPr>
        <w:t xml:space="preserve">לפי </w:t>
      </w:r>
      <w:hyperlink r:id="rId16" w:history="1">
        <w:r w:rsidR="009B01CF" w:rsidRPr="009B01CF">
          <w:rPr>
            <w:rStyle w:val="Hyperlink"/>
            <w:rFonts w:ascii="David" w:hAnsi="David"/>
            <w:rtl/>
          </w:rPr>
          <w:t>סעיפים 13</w:t>
        </w:r>
      </w:hyperlink>
      <w:r>
        <w:rPr>
          <w:rFonts w:ascii="David" w:hAnsi="David"/>
          <w:rtl/>
        </w:rPr>
        <w:t xml:space="preserve"> ו-</w:t>
      </w:r>
      <w:hyperlink r:id="rId17" w:history="1">
        <w:r w:rsidR="009B01CF" w:rsidRPr="009B01CF">
          <w:rPr>
            <w:rStyle w:val="Hyperlink"/>
            <w:rFonts w:ascii="David" w:hAnsi="David"/>
            <w:rtl/>
          </w:rPr>
          <w:t xml:space="preserve">19א </w:t>
        </w:r>
      </w:hyperlink>
      <w:r>
        <w:rPr>
          <w:rFonts w:ascii="David" w:hAnsi="David" w:hint="cs"/>
          <w:rtl/>
        </w:rPr>
        <w:t xml:space="preserve"> </w:t>
      </w:r>
      <w:r w:rsidRPr="00E86997">
        <w:rPr>
          <w:rFonts w:ascii="David" w:hAnsi="David"/>
          <w:rtl/>
        </w:rPr>
        <w:t xml:space="preserve"> לפקודה. על פי עובדות האישום הרביעי</w:t>
      </w:r>
      <w:r>
        <w:rPr>
          <w:rFonts w:ascii="David" w:hAnsi="David" w:hint="cs"/>
          <w:rtl/>
        </w:rPr>
        <w:t>,</w:t>
      </w:r>
      <w:r w:rsidRPr="00E86997">
        <w:rPr>
          <w:rFonts w:ascii="David" w:hAnsi="David"/>
          <w:rtl/>
        </w:rPr>
        <w:t xml:space="preserve"> במהלך החודשים ינואר 2019 עד פברואר 2019, באזור צומת הקרח ברמלה מכר הנאשם לאחר בשתי הזדמנויות שונות סם מסוכן מסוג קנבוס תמורת 100 ₪ כל פעם ובמשקל שאינו ידוע למאשימה.</w:t>
      </w:r>
    </w:p>
    <w:p w14:paraId="6BC1A3B6" w14:textId="77777777" w:rsidR="00BE4E62" w:rsidRPr="00E86997" w:rsidRDefault="00BE4E62" w:rsidP="00BE4E62">
      <w:pPr>
        <w:spacing w:line="360" w:lineRule="auto"/>
        <w:jc w:val="both"/>
        <w:rPr>
          <w:rFonts w:ascii="David" w:hAnsi="David"/>
          <w:rtl/>
        </w:rPr>
      </w:pPr>
    </w:p>
    <w:p w14:paraId="7EB2609E" w14:textId="77777777" w:rsidR="00BE4E62" w:rsidRPr="00E86997" w:rsidRDefault="00BE4E62" w:rsidP="00BE4E62">
      <w:pPr>
        <w:spacing w:line="360" w:lineRule="auto"/>
        <w:ind w:left="720" w:hanging="720"/>
        <w:jc w:val="both"/>
        <w:rPr>
          <w:rFonts w:ascii="David" w:hAnsi="David"/>
          <w:rtl/>
        </w:rPr>
      </w:pPr>
      <w:r>
        <w:rPr>
          <w:rFonts w:ascii="David" w:hAnsi="David" w:hint="cs"/>
          <w:rtl/>
        </w:rPr>
        <w:t>6.</w:t>
      </w:r>
      <w:r>
        <w:rPr>
          <w:rFonts w:ascii="David" w:hAnsi="David" w:hint="cs"/>
          <w:rtl/>
        </w:rPr>
        <w:tab/>
      </w:r>
      <w:r w:rsidRPr="00BA3BC8">
        <w:rPr>
          <w:rFonts w:ascii="David" w:hAnsi="David"/>
          <w:u w:val="single"/>
          <w:rtl/>
        </w:rPr>
        <w:t>באישום החמישי</w:t>
      </w:r>
      <w:r w:rsidRPr="00E86997">
        <w:rPr>
          <w:rFonts w:ascii="David" w:hAnsi="David"/>
          <w:rtl/>
        </w:rPr>
        <w:t xml:space="preserve">, הנאשם הורשע בחמש עבירות של סחר בסם לפי </w:t>
      </w:r>
      <w:hyperlink r:id="rId18" w:history="1">
        <w:r w:rsidR="009B01CF" w:rsidRPr="009B01CF">
          <w:rPr>
            <w:rStyle w:val="Hyperlink"/>
            <w:rFonts w:ascii="David" w:hAnsi="David"/>
            <w:rtl/>
          </w:rPr>
          <w:t>סעיפים 13</w:t>
        </w:r>
      </w:hyperlink>
      <w:r w:rsidRPr="00E86997">
        <w:rPr>
          <w:rFonts w:ascii="David" w:hAnsi="David"/>
          <w:rtl/>
        </w:rPr>
        <w:t xml:space="preserve"> ו-</w:t>
      </w:r>
      <w:hyperlink r:id="rId19" w:history="1">
        <w:r w:rsidR="009B01CF" w:rsidRPr="009B01CF">
          <w:rPr>
            <w:rStyle w:val="Hyperlink"/>
            <w:rFonts w:ascii="David" w:hAnsi="David"/>
            <w:rtl/>
          </w:rPr>
          <w:t>19א</w:t>
        </w:r>
      </w:hyperlink>
      <w:r w:rsidRPr="00E86997">
        <w:rPr>
          <w:rFonts w:ascii="David" w:hAnsi="David"/>
          <w:rtl/>
        </w:rPr>
        <w:t xml:space="preserve"> לפקודה. על פי עובדות האישום החמישי</w:t>
      </w:r>
      <w:r>
        <w:rPr>
          <w:rFonts w:ascii="David" w:hAnsi="David" w:hint="cs"/>
          <w:rtl/>
        </w:rPr>
        <w:t>,</w:t>
      </w:r>
      <w:r w:rsidRPr="00E86997">
        <w:rPr>
          <w:rFonts w:ascii="David" w:hAnsi="David"/>
          <w:rtl/>
        </w:rPr>
        <w:t xml:space="preserve"> במהלך החודשים ינואר 2019 עד פברואר 2019, ברחוב הרקפת בעיר רמלה מכר הנאשם לאחר בחמש הזדמנויות שונות סם מסוכן מסוג קנבוס תמורת 100 ₪ בכל פעם ובמשקל שאינו ידוע למאשימה.</w:t>
      </w:r>
    </w:p>
    <w:p w14:paraId="1C3195FF" w14:textId="77777777" w:rsidR="00BE4E62" w:rsidRPr="00E86997" w:rsidRDefault="00BE4E62" w:rsidP="00BE4E62">
      <w:pPr>
        <w:spacing w:line="360" w:lineRule="auto"/>
        <w:jc w:val="both"/>
        <w:rPr>
          <w:rFonts w:ascii="David" w:hAnsi="David"/>
          <w:rtl/>
        </w:rPr>
      </w:pPr>
    </w:p>
    <w:p w14:paraId="35541035" w14:textId="77777777" w:rsidR="00BE4E62" w:rsidRPr="00E86997" w:rsidRDefault="00BE4E62" w:rsidP="00BE4E62">
      <w:pPr>
        <w:spacing w:line="360" w:lineRule="auto"/>
        <w:jc w:val="both"/>
        <w:rPr>
          <w:rFonts w:ascii="David" w:hAnsi="David"/>
          <w:sz w:val="28"/>
          <w:szCs w:val="28"/>
          <w:rtl/>
        </w:rPr>
      </w:pPr>
      <w:r w:rsidRPr="00E86997">
        <w:rPr>
          <w:rFonts w:ascii="David" w:hAnsi="David"/>
          <w:b/>
          <w:bCs/>
          <w:sz w:val="28"/>
          <w:szCs w:val="28"/>
          <w:u w:val="single"/>
          <w:rtl/>
        </w:rPr>
        <w:t>הסדר הטיעון שבין הצדדים</w:t>
      </w:r>
    </w:p>
    <w:p w14:paraId="74FEA069" w14:textId="77777777" w:rsidR="00BE4E62" w:rsidRPr="00E86997" w:rsidRDefault="00BE4E62" w:rsidP="00BE4E62">
      <w:pPr>
        <w:spacing w:line="360" w:lineRule="auto"/>
        <w:jc w:val="both"/>
        <w:rPr>
          <w:rFonts w:ascii="David" w:hAnsi="David"/>
          <w:rtl/>
        </w:rPr>
      </w:pPr>
    </w:p>
    <w:p w14:paraId="675CD035" w14:textId="77777777" w:rsidR="00BE4E62" w:rsidRPr="00E86997" w:rsidRDefault="00BE4E62" w:rsidP="00BE4E62">
      <w:pPr>
        <w:spacing w:line="360" w:lineRule="auto"/>
        <w:ind w:left="720" w:hanging="720"/>
        <w:jc w:val="both"/>
        <w:rPr>
          <w:rFonts w:ascii="David" w:hAnsi="David"/>
          <w:rtl/>
        </w:rPr>
      </w:pPr>
      <w:r>
        <w:rPr>
          <w:rFonts w:ascii="David" w:hAnsi="David" w:hint="cs"/>
          <w:rtl/>
        </w:rPr>
        <w:t>7.</w:t>
      </w:r>
      <w:r>
        <w:rPr>
          <w:rFonts w:ascii="David" w:hAnsi="David" w:hint="cs"/>
          <w:rtl/>
        </w:rPr>
        <w:tab/>
      </w:r>
      <w:r w:rsidRPr="00E86997">
        <w:rPr>
          <w:rFonts w:ascii="David" w:hAnsi="David"/>
          <w:rtl/>
        </w:rPr>
        <w:t>הצדדים הגיעו להסדר טיעון לפיו כתב האישום המקורי יתוקן על פי הנוסח שהובא לעיל והנאשם יודה בו ויורשע בעבירות שצ</w:t>
      </w:r>
      <w:r>
        <w:rPr>
          <w:rFonts w:ascii="David" w:hAnsi="David" w:hint="cs"/>
          <w:rtl/>
        </w:rPr>
        <w:t>ו</w:t>
      </w:r>
      <w:r w:rsidRPr="00E86997">
        <w:rPr>
          <w:rFonts w:ascii="David" w:hAnsi="David"/>
          <w:rtl/>
        </w:rPr>
        <w:t xml:space="preserve">ינו לעיל. כמו כן, הוסכם שהמאשימה תטען לעונש </w:t>
      </w:r>
      <w:r w:rsidRPr="00E86997">
        <w:rPr>
          <w:rFonts w:ascii="David" w:hAnsi="David"/>
          <w:rtl/>
        </w:rPr>
        <w:lastRenderedPageBreak/>
        <w:t>מאסר בפועל של תשעה חודשים שיכול וירוצה בדרך של עבודות שירות</w:t>
      </w:r>
      <w:r>
        <w:rPr>
          <w:rFonts w:ascii="David" w:hAnsi="David" w:hint="cs"/>
          <w:rtl/>
        </w:rPr>
        <w:t>,</w:t>
      </w:r>
      <w:r w:rsidRPr="00E86997">
        <w:rPr>
          <w:rFonts w:ascii="David" w:hAnsi="David"/>
          <w:rtl/>
        </w:rPr>
        <w:t xml:space="preserve"> בעוד שההגנה רשאית לטעון למאסר שירוצה בעבודות שירות לתקופה קצרה יותר. </w:t>
      </w:r>
    </w:p>
    <w:p w14:paraId="6EAC6907" w14:textId="77777777" w:rsidR="00BE4E62" w:rsidRPr="00E86997" w:rsidRDefault="00BE4E62" w:rsidP="00BE4E62">
      <w:pPr>
        <w:spacing w:line="360" w:lineRule="auto"/>
        <w:jc w:val="both"/>
        <w:rPr>
          <w:rFonts w:ascii="David" w:hAnsi="David"/>
          <w:rtl/>
        </w:rPr>
      </w:pPr>
    </w:p>
    <w:p w14:paraId="67462155" w14:textId="77777777" w:rsidR="00BE4E62" w:rsidRPr="002F4AE3" w:rsidRDefault="00BE4E62" w:rsidP="00BE4E62">
      <w:pPr>
        <w:spacing w:line="360" w:lineRule="auto"/>
        <w:jc w:val="both"/>
        <w:rPr>
          <w:rFonts w:ascii="David" w:hAnsi="David"/>
          <w:b/>
          <w:bCs/>
          <w:sz w:val="28"/>
          <w:szCs w:val="28"/>
          <w:u w:val="single"/>
          <w:rtl/>
        </w:rPr>
      </w:pPr>
      <w:r w:rsidRPr="002F4AE3">
        <w:rPr>
          <w:rFonts w:ascii="David" w:hAnsi="David"/>
          <w:b/>
          <w:bCs/>
          <w:sz w:val="28"/>
          <w:szCs w:val="28"/>
          <w:u w:val="single"/>
          <w:rtl/>
        </w:rPr>
        <w:t>התסקירים מטעם שירות המבחן</w:t>
      </w:r>
    </w:p>
    <w:p w14:paraId="0879BA62" w14:textId="77777777" w:rsidR="00BE4E62" w:rsidRPr="00E86997" w:rsidRDefault="00BE4E62" w:rsidP="00BE4E62">
      <w:pPr>
        <w:spacing w:line="360" w:lineRule="auto"/>
        <w:jc w:val="both"/>
        <w:rPr>
          <w:rFonts w:ascii="David" w:hAnsi="David"/>
          <w:b/>
          <w:bCs/>
          <w:u w:val="single"/>
          <w:rtl/>
        </w:rPr>
      </w:pPr>
    </w:p>
    <w:p w14:paraId="40F008C9" w14:textId="77777777" w:rsidR="00BE4E62" w:rsidRPr="00E86997" w:rsidRDefault="00BE4E62" w:rsidP="00BE4E62">
      <w:pPr>
        <w:spacing w:line="360" w:lineRule="auto"/>
        <w:ind w:left="720" w:hanging="720"/>
        <w:jc w:val="both"/>
        <w:rPr>
          <w:rFonts w:ascii="David" w:hAnsi="David"/>
          <w:rtl/>
        </w:rPr>
      </w:pPr>
      <w:r>
        <w:rPr>
          <w:rFonts w:ascii="David" w:hAnsi="David" w:hint="cs"/>
          <w:rtl/>
        </w:rPr>
        <w:t>8.</w:t>
      </w:r>
      <w:r>
        <w:rPr>
          <w:rFonts w:ascii="David" w:hAnsi="David" w:hint="cs"/>
          <w:rtl/>
        </w:rPr>
        <w:tab/>
      </w:r>
      <w:r w:rsidRPr="00E86997">
        <w:rPr>
          <w:rFonts w:ascii="David" w:hAnsi="David"/>
          <w:rtl/>
        </w:rPr>
        <w:t xml:space="preserve">התקבלו שישה תסקירים לעונש מטעם שירות המבחן מהמועדים הבאים: 1.7.19, 28.1.20, 28.10.20, 11.5.21, 7.2.21 ו-30.9.21. להלן תמציתם: </w:t>
      </w:r>
    </w:p>
    <w:p w14:paraId="538DCFED" w14:textId="77777777" w:rsidR="00BE4E62" w:rsidRPr="00E86997" w:rsidRDefault="00BE4E62" w:rsidP="00BE4E62">
      <w:pPr>
        <w:spacing w:line="360" w:lineRule="auto"/>
        <w:jc w:val="both"/>
        <w:rPr>
          <w:rFonts w:ascii="David" w:hAnsi="David"/>
          <w:rtl/>
        </w:rPr>
      </w:pPr>
    </w:p>
    <w:p w14:paraId="026E86D3" w14:textId="77777777" w:rsidR="00BE4E62" w:rsidRPr="00E86997" w:rsidRDefault="00BE4E62" w:rsidP="00BE4E62">
      <w:pPr>
        <w:spacing w:line="360" w:lineRule="auto"/>
        <w:ind w:left="1440" w:hanging="720"/>
        <w:jc w:val="both"/>
        <w:rPr>
          <w:rFonts w:ascii="David" w:hAnsi="David"/>
          <w:rtl/>
        </w:rPr>
      </w:pPr>
      <w:r>
        <w:rPr>
          <w:rFonts w:ascii="David" w:hAnsi="David" w:hint="cs"/>
          <w:rtl/>
        </w:rPr>
        <w:t xml:space="preserve">א. </w:t>
      </w:r>
      <w:r>
        <w:rPr>
          <w:rFonts w:ascii="David" w:hAnsi="David" w:hint="cs"/>
          <w:rtl/>
        </w:rPr>
        <w:tab/>
      </w:r>
      <w:r w:rsidRPr="00E86997">
        <w:rPr>
          <w:rFonts w:ascii="David" w:hAnsi="David"/>
          <w:rtl/>
        </w:rPr>
        <w:t xml:space="preserve">במהלך שנת 2019 נבדקה האפשרות לשלב את הנאשם בבית המשפט הקהילתי אך </w:t>
      </w:r>
      <w:r>
        <w:rPr>
          <w:rFonts w:ascii="David" w:hAnsi="David" w:hint="cs"/>
          <w:rtl/>
        </w:rPr>
        <w:t xml:space="preserve">הוא </w:t>
      </w:r>
      <w:r w:rsidRPr="00E86997">
        <w:rPr>
          <w:rFonts w:ascii="David" w:hAnsi="David"/>
          <w:rtl/>
        </w:rPr>
        <w:t>נמצא בלתי מתאים עקב קשייו לתת אמון בגורמי הטיפול ו</w:t>
      </w:r>
      <w:r>
        <w:rPr>
          <w:rFonts w:ascii="David" w:hAnsi="David" w:hint="cs"/>
          <w:rtl/>
        </w:rPr>
        <w:t xml:space="preserve">העדר רצונו להשתלב בהליך טיפולי שיקומי להפסקת </w:t>
      </w:r>
      <w:r w:rsidRPr="00E86997">
        <w:rPr>
          <w:rFonts w:ascii="David" w:hAnsi="David"/>
          <w:rtl/>
        </w:rPr>
        <w:t xml:space="preserve">התמכרותו לסם מסוג קנבוס. </w:t>
      </w:r>
    </w:p>
    <w:p w14:paraId="65370A51" w14:textId="77777777" w:rsidR="00BE4E62" w:rsidRPr="00E86997" w:rsidRDefault="00BE4E62" w:rsidP="00BE4E62">
      <w:pPr>
        <w:spacing w:line="360" w:lineRule="auto"/>
        <w:jc w:val="both"/>
        <w:rPr>
          <w:rFonts w:ascii="David" w:hAnsi="David"/>
          <w:rtl/>
        </w:rPr>
      </w:pPr>
    </w:p>
    <w:p w14:paraId="0B93B214" w14:textId="77777777" w:rsidR="00BE4E62" w:rsidRPr="00E86997" w:rsidRDefault="00BE4E62" w:rsidP="00BE4E62">
      <w:pPr>
        <w:spacing w:line="360" w:lineRule="auto"/>
        <w:ind w:left="1440" w:hanging="720"/>
        <w:jc w:val="both"/>
        <w:rPr>
          <w:rFonts w:ascii="David" w:hAnsi="David"/>
          <w:rtl/>
        </w:rPr>
      </w:pPr>
      <w:r>
        <w:rPr>
          <w:rFonts w:ascii="David" w:hAnsi="David" w:hint="cs"/>
          <w:rtl/>
        </w:rPr>
        <w:t>ב.</w:t>
      </w:r>
      <w:r>
        <w:rPr>
          <w:rFonts w:ascii="David" w:hAnsi="David" w:hint="cs"/>
          <w:rtl/>
        </w:rPr>
        <w:tab/>
      </w:r>
      <w:r w:rsidRPr="00E86997">
        <w:rPr>
          <w:rFonts w:ascii="David" w:hAnsi="David"/>
          <w:rtl/>
        </w:rPr>
        <w:t xml:space="preserve">במהלך שנת 2020 חלה תפנית משמעותית אצל הנאשם בנכונות שלו להשתתף במסלול טיפולי שיקומי. הנאשם שולב ביחידה לטיפול בהתמכרויות בעיר רמלה. מאז מועד שילובו ביחידה האמורה ועד היום הנאשם שיתף פעולה עם גורמי הטיפול, מסר בדיקות שתן נקיות, גילה תובנה למצבו ולצורך לערוך שינוי בחייו, תפקודו בקבוצה הטיפולית היה לשביעות רצון המטפלים וניכר כי הוא מפיק תועלת רבה מהאפיק הטיפולי. </w:t>
      </w:r>
    </w:p>
    <w:p w14:paraId="3C235BEB" w14:textId="77777777" w:rsidR="00BE4E62" w:rsidRPr="00E86997" w:rsidRDefault="00BE4E62" w:rsidP="00BE4E62">
      <w:pPr>
        <w:spacing w:line="360" w:lineRule="auto"/>
        <w:jc w:val="both"/>
        <w:rPr>
          <w:rFonts w:ascii="David" w:hAnsi="David"/>
          <w:rtl/>
        </w:rPr>
      </w:pPr>
    </w:p>
    <w:p w14:paraId="338A181E" w14:textId="77777777" w:rsidR="00BE4E62" w:rsidRPr="00E86997" w:rsidRDefault="00BE4E62" w:rsidP="00BE4E62">
      <w:pPr>
        <w:spacing w:line="360" w:lineRule="auto"/>
        <w:ind w:left="1440" w:hanging="720"/>
        <w:jc w:val="both"/>
        <w:rPr>
          <w:rFonts w:ascii="David" w:hAnsi="David"/>
          <w:rtl/>
        </w:rPr>
      </w:pPr>
      <w:r>
        <w:rPr>
          <w:rFonts w:ascii="David" w:hAnsi="David" w:hint="cs"/>
          <w:rtl/>
        </w:rPr>
        <w:t>ג.</w:t>
      </w:r>
      <w:r>
        <w:rPr>
          <w:rFonts w:ascii="David" w:hAnsi="David" w:hint="cs"/>
          <w:rtl/>
        </w:rPr>
        <w:tab/>
      </w:r>
      <w:r w:rsidRPr="00E86997">
        <w:rPr>
          <w:rFonts w:ascii="David" w:hAnsi="David"/>
          <w:rtl/>
        </w:rPr>
        <w:t xml:space="preserve">בעת שהנאשם הגיע ליחידה להתמכרות מסמים הוא היה מובטל וניהל אורח חיים שולי שסובב סביב השימוש </w:t>
      </w:r>
      <w:r>
        <w:rPr>
          <w:rFonts w:ascii="David" w:hAnsi="David" w:hint="cs"/>
          <w:rtl/>
        </w:rPr>
        <w:t xml:space="preserve">בסם ואופן </w:t>
      </w:r>
      <w:r w:rsidRPr="00E86997">
        <w:rPr>
          <w:rFonts w:ascii="David" w:hAnsi="David"/>
          <w:rtl/>
        </w:rPr>
        <w:t>מימו</w:t>
      </w:r>
      <w:r>
        <w:rPr>
          <w:rFonts w:ascii="David" w:hAnsi="David" w:hint="cs"/>
          <w:rtl/>
        </w:rPr>
        <w:t>נו</w:t>
      </w:r>
      <w:r w:rsidRPr="00E86997">
        <w:rPr>
          <w:rFonts w:ascii="David" w:hAnsi="David"/>
          <w:rtl/>
        </w:rPr>
        <w:t>. לימים</w:t>
      </w:r>
      <w:r>
        <w:rPr>
          <w:rFonts w:ascii="David" w:hAnsi="David" w:hint="cs"/>
          <w:rtl/>
        </w:rPr>
        <w:t xml:space="preserve">, הנאשם </w:t>
      </w:r>
      <w:r w:rsidRPr="00E86997">
        <w:rPr>
          <w:rFonts w:ascii="David" w:hAnsi="David"/>
          <w:rtl/>
        </w:rPr>
        <w:t>התנתק מהמעגל השוטה של הצריכה ו</w:t>
      </w:r>
      <w:r>
        <w:rPr>
          <w:rFonts w:ascii="David" w:hAnsi="David" w:hint="cs"/>
          <w:rtl/>
        </w:rPr>
        <w:t xml:space="preserve">אופן </w:t>
      </w:r>
      <w:r w:rsidRPr="00E86997">
        <w:rPr>
          <w:rFonts w:ascii="David" w:hAnsi="David"/>
          <w:rtl/>
        </w:rPr>
        <w:t xml:space="preserve">מימון של הסם ושולב בעבודה נורמטיבית כמחסנאי. כיום מנהל אורח חיים תעסוקתי וחיובי. </w:t>
      </w:r>
    </w:p>
    <w:p w14:paraId="53CC1741" w14:textId="77777777" w:rsidR="00BE4E62" w:rsidRPr="00E86997" w:rsidRDefault="00BE4E62" w:rsidP="00BE4E62">
      <w:pPr>
        <w:spacing w:line="360" w:lineRule="auto"/>
        <w:jc w:val="both"/>
        <w:rPr>
          <w:rFonts w:ascii="David" w:hAnsi="David"/>
          <w:rtl/>
        </w:rPr>
      </w:pPr>
    </w:p>
    <w:p w14:paraId="57A50914" w14:textId="77777777" w:rsidR="00BE4E62" w:rsidRPr="00E86997" w:rsidRDefault="00BE4E62" w:rsidP="00BE4E62">
      <w:pPr>
        <w:spacing w:line="360" w:lineRule="auto"/>
        <w:ind w:left="1440" w:hanging="720"/>
        <w:jc w:val="both"/>
        <w:rPr>
          <w:rFonts w:ascii="David" w:hAnsi="David"/>
          <w:rtl/>
        </w:rPr>
      </w:pPr>
      <w:r>
        <w:rPr>
          <w:rFonts w:ascii="David" w:hAnsi="David" w:hint="cs"/>
          <w:rtl/>
        </w:rPr>
        <w:t>ד.</w:t>
      </w:r>
      <w:r>
        <w:rPr>
          <w:rFonts w:ascii="David" w:hAnsi="David" w:hint="cs"/>
          <w:rtl/>
        </w:rPr>
        <w:tab/>
      </w:r>
      <w:r w:rsidRPr="00E86997">
        <w:rPr>
          <w:rFonts w:ascii="David" w:hAnsi="David"/>
          <w:rtl/>
        </w:rPr>
        <w:t xml:space="preserve">שירות המבחן המליץ על הטלת צו מבחן והטלת מאסר שירוצה בעבודות שירות אך לתקופה קצרה. </w:t>
      </w:r>
    </w:p>
    <w:p w14:paraId="715A36C1" w14:textId="77777777" w:rsidR="00BE4E62" w:rsidRPr="00E86997" w:rsidRDefault="00BE4E62" w:rsidP="00BE4E62">
      <w:pPr>
        <w:spacing w:line="360" w:lineRule="auto"/>
        <w:jc w:val="both"/>
        <w:rPr>
          <w:rFonts w:ascii="David" w:hAnsi="David"/>
          <w:rtl/>
        </w:rPr>
      </w:pPr>
    </w:p>
    <w:p w14:paraId="2CF378EF" w14:textId="77777777" w:rsidR="00BE4E62" w:rsidRPr="00E86997" w:rsidRDefault="00BE4E62" w:rsidP="00BE4E62">
      <w:pPr>
        <w:spacing w:line="360" w:lineRule="auto"/>
        <w:jc w:val="both"/>
        <w:rPr>
          <w:rFonts w:ascii="David" w:hAnsi="David"/>
          <w:sz w:val="28"/>
          <w:szCs w:val="28"/>
          <w:rtl/>
        </w:rPr>
      </w:pPr>
      <w:r w:rsidRPr="00E86997">
        <w:rPr>
          <w:rFonts w:ascii="David" w:hAnsi="David"/>
          <w:b/>
          <w:bCs/>
          <w:sz w:val="28"/>
          <w:szCs w:val="28"/>
          <w:u w:val="single"/>
          <w:rtl/>
        </w:rPr>
        <w:t>טענות הצדדים לעונש</w:t>
      </w:r>
    </w:p>
    <w:p w14:paraId="1373352E" w14:textId="77777777" w:rsidR="00BE4E62" w:rsidRDefault="00BE4E62" w:rsidP="00BE4E62">
      <w:pPr>
        <w:spacing w:line="360" w:lineRule="auto"/>
        <w:jc w:val="both"/>
        <w:rPr>
          <w:rFonts w:ascii="David" w:hAnsi="David"/>
          <w:rtl/>
        </w:rPr>
      </w:pPr>
    </w:p>
    <w:p w14:paraId="45CBDCB5" w14:textId="77777777" w:rsidR="00BE4E62" w:rsidRPr="00E86997" w:rsidRDefault="00BE4E62" w:rsidP="00BE4E62">
      <w:pPr>
        <w:spacing w:line="360" w:lineRule="auto"/>
        <w:ind w:left="720" w:hanging="720"/>
        <w:jc w:val="both"/>
        <w:rPr>
          <w:rFonts w:ascii="David" w:hAnsi="David"/>
          <w:rtl/>
        </w:rPr>
      </w:pPr>
      <w:r>
        <w:rPr>
          <w:rFonts w:ascii="David" w:hAnsi="David" w:hint="cs"/>
          <w:rtl/>
        </w:rPr>
        <w:t>9.</w:t>
      </w:r>
      <w:r>
        <w:rPr>
          <w:rFonts w:ascii="David" w:hAnsi="David" w:hint="cs"/>
          <w:rtl/>
        </w:rPr>
        <w:tab/>
      </w:r>
      <w:r w:rsidRPr="00E86997">
        <w:rPr>
          <w:rFonts w:ascii="David" w:hAnsi="David"/>
          <w:rtl/>
        </w:rPr>
        <w:t xml:space="preserve">המאשימה טענה שאמנם אין לנאשם עבר פלילי קודם, אך עדיין מדובר בעבירות חמורות של סחר בסמים עם ריבוי מקרים ולכן הענישה הראויה היא התקופה המקסימלית של תשעה חודשי מאסר שירוצו בדרך של עבודות שירות ואין מקום לתקופה קצרה יותר. </w:t>
      </w:r>
    </w:p>
    <w:p w14:paraId="38DEF208" w14:textId="77777777" w:rsidR="00BE4E62" w:rsidRPr="00E86997" w:rsidRDefault="00BE4E62" w:rsidP="00BE4E62">
      <w:pPr>
        <w:spacing w:line="360" w:lineRule="auto"/>
        <w:jc w:val="both"/>
        <w:rPr>
          <w:rFonts w:ascii="David" w:hAnsi="David"/>
          <w:rtl/>
        </w:rPr>
      </w:pPr>
    </w:p>
    <w:p w14:paraId="5BF7F46C" w14:textId="77777777" w:rsidR="00BE4E62" w:rsidRPr="00E86997" w:rsidRDefault="00BE4E62" w:rsidP="00BE4E62">
      <w:pPr>
        <w:spacing w:line="360" w:lineRule="auto"/>
        <w:ind w:left="720" w:hanging="720"/>
        <w:jc w:val="both"/>
        <w:rPr>
          <w:rFonts w:ascii="David" w:hAnsi="David"/>
          <w:rtl/>
        </w:rPr>
      </w:pPr>
      <w:r>
        <w:rPr>
          <w:rFonts w:ascii="David" w:hAnsi="David" w:hint="cs"/>
          <w:rtl/>
        </w:rPr>
        <w:t>10.</w:t>
      </w:r>
      <w:r>
        <w:rPr>
          <w:rFonts w:ascii="David" w:hAnsi="David" w:hint="cs"/>
          <w:rtl/>
        </w:rPr>
        <w:tab/>
      </w:r>
      <w:r w:rsidRPr="00E86997">
        <w:rPr>
          <w:rFonts w:ascii="David" w:hAnsi="David"/>
          <w:rtl/>
        </w:rPr>
        <w:t>לעומת זאת, ההגנה הפנתה לתסקירים החיוביים שהתקבלו בעניינו של הנאשם ולכברת הדרך שעבר מאז תחילת ההליך השיקומי והטיפולי והעובדה שהנאשם כיום מנהל אורח חיים נורמטיבי עם הבנת עומק לבעייתיות בהתנהלותו בעבר. כמו כן, הוגשו מסמכים רפואיים שמתייחסים לאשפוזים חוזרים של הנאשם שמטעמי צנעת הפרט לא אפרטם (נ/2). לכן, ההגנה טענה שיש להסתפק בעבודות שירות לתקופה של שלושה חודשים בלבד.</w:t>
      </w:r>
    </w:p>
    <w:p w14:paraId="5268B311" w14:textId="77777777" w:rsidR="00BE4E62" w:rsidRPr="00E86997" w:rsidRDefault="00BE4E62" w:rsidP="00BE4E62">
      <w:pPr>
        <w:spacing w:line="360" w:lineRule="auto"/>
        <w:jc w:val="both"/>
        <w:rPr>
          <w:rFonts w:ascii="David" w:hAnsi="David"/>
          <w:rtl/>
        </w:rPr>
      </w:pPr>
    </w:p>
    <w:p w14:paraId="15AA793B" w14:textId="77777777" w:rsidR="00BE4E62" w:rsidRPr="00E86997" w:rsidRDefault="00BE4E62" w:rsidP="00BE4E62">
      <w:pPr>
        <w:spacing w:line="360" w:lineRule="auto"/>
        <w:jc w:val="both"/>
        <w:rPr>
          <w:rFonts w:ascii="David" w:hAnsi="David"/>
          <w:sz w:val="28"/>
          <w:szCs w:val="28"/>
          <w:u w:val="single"/>
          <w:rtl/>
        </w:rPr>
      </w:pPr>
      <w:r w:rsidRPr="00E86997">
        <w:rPr>
          <w:rFonts w:ascii="David" w:hAnsi="David"/>
          <w:b/>
          <w:bCs/>
          <w:sz w:val="28"/>
          <w:szCs w:val="28"/>
          <w:u w:val="single"/>
          <w:rtl/>
        </w:rPr>
        <w:t>מתחם העונש ההולם והסטייה ממנו מטעמי שיקום</w:t>
      </w:r>
    </w:p>
    <w:p w14:paraId="47F98F0B" w14:textId="77777777" w:rsidR="00BE4E62" w:rsidRPr="00E86997" w:rsidRDefault="00BE4E62" w:rsidP="00BE4E62">
      <w:pPr>
        <w:spacing w:line="360" w:lineRule="auto"/>
        <w:jc w:val="both"/>
        <w:rPr>
          <w:rFonts w:ascii="David" w:hAnsi="David"/>
          <w:u w:val="single"/>
          <w:rtl/>
        </w:rPr>
      </w:pPr>
    </w:p>
    <w:p w14:paraId="4BF18531" w14:textId="77777777" w:rsidR="00BE4E62" w:rsidRPr="00E86997" w:rsidRDefault="00BE4E62" w:rsidP="00BE4E62">
      <w:pPr>
        <w:spacing w:line="360" w:lineRule="auto"/>
        <w:ind w:left="720" w:hanging="720"/>
        <w:jc w:val="both"/>
        <w:rPr>
          <w:rFonts w:ascii="David" w:hAnsi="David"/>
          <w:rtl/>
        </w:rPr>
      </w:pPr>
      <w:r>
        <w:rPr>
          <w:rFonts w:ascii="David" w:hAnsi="David" w:hint="cs"/>
          <w:rtl/>
        </w:rPr>
        <w:t>11.</w:t>
      </w:r>
      <w:r>
        <w:rPr>
          <w:rFonts w:ascii="David" w:hAnsi="David" w:hint="cs"/>
          <w:rtl/>
        </w:rPr>
        <w:tab/>
      </w:r>
      <w:r w:rsidRPr="00E86997">
        <w:rPr>
          <w:rFonts w:ascii="David" w:hAnsi="David"/>
          <w:rtl/>
        </w:rPr>
        <w:t xml:space="preserve">למעשה, המחלוקת בין הצדדים היא מצומצמת. שני הצדדים מסכימים שהעונש הראוי הוא מאסר בפועל שירוצה בדרך של עבודות שירות והמחלוקת היא רק לגבי אורך התקופה, האם 9 חודשים כפי טענה המאשימה או שמא 3 חודשים כפי שטענה ההגנה. אין מחלוקת שיש להשית עליו גם מאסר על תנאי וגם צו מבחן. כמו כן, </w:t>
      </w:r>
      <w:r>
        <w:rPr>
          <w:rFonts w:ascii="David" w:hAnsi="David" w:hint="cs"/>
          <w:rtl/>
        </w:rPr>
        <w:t xml:space="preserve">לדעתי, </w:t>
      </w:r>
      <w:r w:rsidRPr="00E86997">
        <w:rPr>
          <w:rFonts w:ascii="David" w:hAnsi="David"/>
          <w:rtl/>
        </w:rPr>
        <w:t xml:space="preserve">לאור ריבוי מקרי הסחר בסמים מן הראוי שיושת עליו גם קנס כספי שישולם בתשלומים. </w:t>
      </w:r>
    </w:p>
    <w:p w14:paraId="0B8F8DBC" w14:textId="77777777" w:rsidR="00BE4E62" w:rsidRPr="00E86997" w:rsidRDefault="00BE4E62" w:rsidP="00BE4E62">
      <w:pPr>
        <w:spacing w:line="360" w:lineRule="auto"/>
        <w:jc w:val="both"/>
        <w:rPr>
          <w:rFonts w:ascii="David" w:hAnsi="David"/>
          <w:rtl/>
        </w:rPr>
      </w:pPr>
    </w:p>
    <w:p w14:paraId="1D3D0C1D" w14:textId="77777777" w:rsidR="00BE4E62" w:rsidRPr="00E86997" w:rsidRDefault="00BE4E62" w:rsidP="00BE4E62">
      <w:pPr>
        <w:spacing w:line="360" w:lineRule="auto"/>
        <w:ind w:left="720" w:hanging="720"/>
        <w:jc w:val="both"/>
        <w:rPr>
          <w:rFonts w:ascii="David" w:hAnsi="David"/>
          <w:u w:val="single"/>
          <w:rtl/>
        </w:rPr>
      </w:pPr>
      <w:r>
        <w:rPr>
          <w:rFonts w:ascii="David" w:hAnsi="David" w:hint="cs"/>
          <w:rtl/>
        </w:rPr>
        <w:t>12.</w:t>
      </w:r>
      <w:r>
        <w:rPr>
          <w:rFonts w:ascii="David" w:hAnsi="David" w:hint="cs"/>
          <w:rtl/>
        </w:rPr>
        <w:tab/>
      </w:r>
      <w:r w:rsidRPr="00E86997">
        <w:rPr>
          <w:rFonts w:ascii="David" w:hAnsi="David"/>
          <w:rtl/>
        </w:rPr>
        <w:t>כידוע, עבירות של סחר בסמים הן עבירות חמורות שמחייבות השתת מאסר מאחורי סורג ובריח. למדיניות הענישה הנוהגת כאשר מדובר בריבוי עבירות של סחר בסם מסוג קנבוס בכמויות קטנות של גרמים בודדים בכל פעם</w:t>
      </w:r>
      <w:r>
        <w:rPr>
          <w:rFonts w:ascii="David" w:hAnsi="David" w:hint="cs"/>
          <w:rtl/>
        </w:rPr>
        <w:t>,</w:t>
      </w:r>
      <w:r w:rsidRPr="00E86997">
        <w:rPr>
          <w:rFonts w:ascii="David" w:hAnsi="David"/>
          <w:rtl/>
        </w:rPr>
        <w:t xml:space="preserve"> אפנה לפסיקה שלהלן של בית המשפט העליון: </w:t>
      </w:r>
      <w:hyperlink r:id="rId20" w:history="1">
        <w:r w:rsidR="00BB409F" w:rsidRPr="00BB409F">
          <w:rPr>
            <w:rFonts w:ascii="David" w:hAnsi="David"/>
            <w:color w:val="0000FF"/>
            <w:u w:val="single"/>
            <w:rtl/>
          </w:rPr>
          <w:t>רע"פ 6401/18</w:t>
        </w:r>
      </w:hyperlink>
      <w:r w:rsidRPr="00E86997">
        <w:rPr>
          <w:rFonts w:ascii="David" w:hAnsi="David"/>
          <w:rtl/>
        </w:rPr>
        <w:t xml:space="preserve"> </w:t>
      </w:r>
      <w:r w:rsidRPr="00396E16">
        <w:rPr>
          <w:rFonts w:ascii="David" w:hAnsi="David"/>
          <w:b/>
          <w:bCs/>
          <w:rtl/>
        </w:rPr>
        <w:t>ספיר נ' מדינת ישראל</w:t>
      </w:r>
      <w:r w:rsidRPr="00E86997">
        <w:rPr>
          <w:rFonts w:ascii="David" w:hAnsi="David"/>
          <w:rtl/>
        </w:rPr>
        <w:t xml:space="preserve"> (פורסם בנבו, 17.9.18), </w:t>
      </w:r>
      <w:hyperlink r:id="rId21" w:history="1">
        <w:r w:rsidR="00BB409F" w:rsidRPr="00BB409F">
          <w:rPr>
            <w:rFonts w:ascii="David" w:hAnsi="David"/>
            <w:color w:val="0000FF"/>
            <w:u w:val="single"/>
            <w:rtl/>
          </w:rPr>
          <w:t>רע"פ 7858/19</w:t>
        </w:r>
      </w:hyperlink>
      <w:r w:rsidRPr="00E86997">
        <w:rPr>
          <w:rFonts w:ascii="David" w:hAnsi="David"/>
          <w:rtl/>
        </w:rPr>
        <w:t xml:space="preserve"> </w:t>
      </w:r>
      <w:r w:rsidRPr="00396E16">
        <w:rPr>
          <w:rFonts w:ascii="David" w:hAnsi="David"/>
          <w:b/>
          <w:bCs/>
          <w:rtl/>
        </w:rPr>
        <w:t>וקנין נ' מדינת ישראל</w:t>
      </w:r>
      <w:r w:rsidRPr="00E86997">
        <w:rPr>
          <w:rFonts w:ascii="David" w:hAnsi="David"/>
          <w:rtl/>
        </w:rPr>
        <w:t xml:space="preserve"> (פורסם בנבו, 28.11.19), </w:t>
      </w:r>
      <w:hyperlink r:id="rId22" w:history="1">
        <w:r w:rsidR="00BB409F" w:rsidRPr="00BB409F">
          <w:rPr>
            <w:rFonts w:ascii="David" w:hAnsi="David"/>
            <w:color w:val="0000FF"/>
            <w:u w:val="single"/>
            <w:rtl/>
          </w:rPr>
          <w:t>רע"פ 114/19</w:t>
        </w:r>
      </w:hyperlink>
      <w:r w:rsidRPr="00E86997">
        <w:rPr>
          <w:rFonts w:ascii="David" w:hAnsi="David"/>
          <w:rtl/>
        </w:rPr>
        <w:t xml:space="preserve"> </w:t>
      </w:r>
      <w:r w:rsidRPr="00396E16">
        <w:rPr>
          <w:rFonts w:ascii="David" w:hAnsi="David"/>
          <w:b/>
          <w:bCs/>
          <w:rtl/>
        </w:rPr>
        <w:t>שצ'רקוב נ' מדינת ישראל</w:t>
      </w:r>
      <w:r w:rsidRPr="00E86997">
        <w:rPr>
          <w:rFonts w:ascii="David" w:hAnsi="David"/>
          <w:rtl/>
        </w:rPr>
        <w:t xml:space="preserve"> (פורסם בנבו, 13.1.19), </w:t>
      </w:r>
      <w:hyperlink r:id="rId23" w:history="1">
        <w:r w:rsidR="00BB409F" w:rsidRPr="00BB409F">
          <w:rPr>
            <w:rFonts w:ascii="David" w:hAnsi="David"/>
            <w:color w:val="0000FF"/>
            <w:u w:val="single"/>
            <w:rtl/>
          </w:rPr>
          <w:t>רע"פ 5712/16</w:t>
        </w:r>
      </w:hyperlink>
      <w:r w:rsidRPr="00E86997">
        <w:rPr>
          <w:rFonts w:ascii="David" w:hAnsi="David"/>
          <w:rtl/>
        </w:rPr>
        <w:t xml:space="preserve"> </w:t>
      </w:r>
      <w:r w:rsidRPr="00396E16">
        <w:rPr>
          <w:rFonts w:ascii="David" w:hAnsi="David"/>
          <w:b/>
          <w:bCs/>
          <w:rtl/>
        </w:rPr>
        <w:t>אייזנבאך נ' מדינת ישראל</w:t>
      </w:r>
      <w:r w:rsidRPr="00E86997">
        <w:rPr>
          <w:rFonts w:ascii="David" w:hAnsi="David"/>
          <w:rtl/>
        </w:rPr>
        <w:t xml:space="preserve"> (פורסם בנבו, 17.8.16), </w:t>
      </w:r>
      <w:hyperlink r:id="rId24" w:history="1">
        <w:r w:rsidR="00BB409F" w:rsidRPr="00BB409F">
          <w:rPr>
            <w:rFonts w:ascii="David" w:hAnsi="David"/>
            <w:color w:val="0000FF"/>
            <w:u w:val="single"/>
            <w:rtl/>
          </w:rPr>
          <w:t>רע"פ 3271/17</w:t>
        </w:r>
      </w:hyperlink>
      <w:r w:rsidRPr="00E86997">
        <w:rPr>
          <w:rFonts w:ascii="David" w:hAnsi="David"/>
          <w:rtl/>
        </w:rPr>
        <w:t xml:space="preserve"> </w:t>
      </w:r>
      <w:r w:rsidRPr="00396E16">
        <w:rPr>
          <w:rFonts w:ascii="David" w:hAnsi="David"/>
          <w:b/>
          <w:bCs/>
          <w:rtl/>
        </w:rPr>
        <w:t>עמיאל נ' מדינת ישראל</w:t>
      </w:r>
      <w:r w:rsidRPr="00E86997">
        <w:rPr>
          <w:rFonts w:ascii="David" w:hAnsi="David"/>
          <w:rtl/>
        </w:rPr>
        <w:t xml:space="preserve"> (פורסם בנבו, 23.4.17). בכל הפסיקה האמורה </w:t>
      </w:r>
      <w:r w:rsidRPr="00E86997">
        <w:rPr>
          <w:rFonts w:ascii="David" w:hAnsi="David"/>
          <w:u w:val="single"/>
          <w:rtl/>
        </w:rPr>
        <w:t>הושתו מאסרים בפועל מאחורי סורג ובריח ולא בעבודות שירות.</w:t>
      </w:r>
    </w:p>
    <w:p w14:paraId="4A066B75" w14:textId="77777777" w:rsidR="00BE4E62" w:rsidRPr="00E86997" w:rsidRDefault="00BE4E62" w:rsidP="00BE4E62">
      <w:pPr>
        <w:spacing w:line="360" w:lineRule="auto"/>
        <w:jc w:val="both"/>
        <w:rPr>
          <w:rFonts w:ascii="David" w:hAnsi="David"/>
          <w:u w:val="single"/>
          <w:rtl/>
        </w:rPr>
      </w:pPr>
    </w:p>
    <w:p w14:paraId="735546CF" w14:textId="77777777" w:rsidR="00BE4E62" w:rsidRPr="00E86997" w:rsidRDefault="00BE4E62" w:rsidP="00BE4E62">
      <w:pPr>
        <w:spacing w:line="360" w:lineRule="auto"/>
        <w:ind w:left="720" w:hanging="720"/>
        <w:jc w:val="both"/>
        <w:rPr>
          <w:rFonts w:ascii="David" w:hAnsi="David"/>
          <w:rtl/>
        </w:rPr>
      </w:pPr>
      <w:r>
        <w:rPr>
          <w:rFonts w:ascii="David" w:hAnsi="David" w:hint="cs"/>
          <w:rtl/>
        </w:rPr>
        <w:t>13.</w:t>
      </w:r>
      <w:r>
        <w:rPr>
          <w:rFonts w:ascii="David" w:hAnsi="David" w:hint="cs"/>
          <w:rtl/>
        </w:rPr>
        <w:tab/>
      </w:r>
      <w:r w:rsidRPr="00E86997">
        <w:rPr>
          <w:rFonts w:ascii="David" w:hAnsi="David"/>
          <w:rtl/>
        </w:rPr>
        <w:t>בעת קביעת מתחם העונש ההולם, לקחתי בחשבון את כמויות הסמים וריבוי העבירות</w:t>
      </w:r>
      <w:r>
        <w:rPr>
          <w:rFonts w:ascii="David" w:hAnsi="David" w:hint="cs"/>
          <w:rtl/>
        </w:rPr>
        <w:t xml:space="preserve">. </w:t>
      </w:r>
      <w:r w:rsidRPr="00E86997">
        <w:rPr>
          <w:rFonts w:ascii="David" w:hAnsi="David"/>
          <w:rtl/>
        </w:rPr>
        <w:t xml:space="preserve"> לדעתי, יש לקבוע מתחם עונש הולם </w:t>
      </w:r>
      <w:r w:rsidRPr="00E86997">
        <w:rPr>
          <w:rFonts w:ascii="David" w:hAnsi="David"/>
          <w:u w:val="single"/>
          <w:rtl/>
        </w:rPr>
        <w:t>אחד</w:t>
      </w:r>
      <w:r w:rsidRPr="00E86997">
        <w:rPr>
          <w:rFonts w:ascii="David" w:hAnsi="David"/>
          <w:rtl/>
        </w:rPr>
        <w:t xml:space="preserve"> למכלול האירועים שמפורטים בכתב האישום וזאת לאור הדמיון באופן ביצועם והזיקה הברורה ביניהם. הנני קובע שמתחם העונש ההולם</w:t>
      </w:r>
      <w:r w:rsidRPr="00E86997">
        <w:rPr>
          <w:rFonts w:ascii="David" w:hAnsi="David"/>
          <w:u w:val="single"/>
          <w:rtl/>
        </w:rPr>
        <w:t xml:space="preserve"> נע בין 16 ועד 36 חודשי מאסר בפועל</w:t>
      </w:r>
      <w:r w:rsidRPr="00E86997">
        <w:rPr>
          <w:rFonts w:ascii="David" w:hAnsi="David"/>
          <w:rtl/>
        </w:rPr>
        <w:t xml:space="preserve">, בצירוף מאסר על תנאי </w:t>
      </w:r>
      <w:r>
        <w:rPr>
          <w:rFonts w:ascii="David" w:hAnsi="David" w:hint="cs"/>
          <w:rtl/>
        </w:rPr>
        <w:t>ו</w:t>
      </w:r>
      <w:r w:rsidRPr="00E86997">
        <w:rPr>
          <w:rFonts w:ascii="David" w:hAnsi="David"/>
          <w:rtl/>
        </w:rPr>
        <w:t xml:space="preserve">קנס. </w:t>
      </w:r>
    </w:p>
    <w:p w14:paraId="298A7534" w14:textId="77777777" w:rsidR="00BE4E62" w:rsidRPr="00E86997" w:rsidRDefault="00BE4E62" w:rsidP="00BE4E62">
      <w:pPr>
        <w:spacing w:line="360" w:lineRule="auto"/>
        <w:jc w:val="both"/>
        <w:rPr>
          <w:rFonts w:ascii="David" w:hAnsi="David"/>
          <w:rtl/>
        </w:rPr>
      </w:pPr>
    </w:p>
    <w:p w14:paraId="3FBF0510" w14:textId="77777777" w:rsidR="00BE4E62" w:rsidRPr="00E86997" w:rsidRDefault="00BE4E62" w:rsidP="00BE4E62">
      <w:pPr>
        <w:spacing w:line="360" w:lineRule="auto"/>
        <w:ind w:left="720" w:hanging="720"/>
        <w:jc w:val="both"/>
        <w:rPr>
          <w:rFonts w:ascii="David" w:hAnsi="David"/>
          <w:rtl/>
        </w:rPr>
      </w:pPr>
      <w:r>
        <w:rPr>
          <w:rFonts w:ascii="David" w:hAnsi="David" w:hint="cs"/>
          <w:rtl/>
        </w:rPr>
        <w:t>14.</w:t>
      </w:r>
      <w:r>
        <w:rPr>
          <w:rFonts w:ascii="David" w:hAnsi="David" w:hint="cs"/>
          <w:rtl/>
        </w:rPr>
        <w:tab/>
      </w:r>
      <w:r w:rsidRPr="00E86997">
        <w:rPr>
          <w:rFonts w:ascii="David" w:hAnsi="David"/>
          <w:rtl/>
        </w:rPr>
        <w:t>יוצא מכך, שהצדדים הסכימו במסגרת הסדר הטיעון על סטייה לקולא ממתחם העונש ההולם מטעמי שיקום</w:t>
      </w:r>
      <w:r>
        <w:rPr>
          <w:rFonts w:ascii="David" w:hAnsi="David" w:hint="cs"/>
          <w:rtl/>
        </w:rPr>
        <w:t xml:space="preserve">, גם אם לא אמרו זאת במפורש, </w:t>
      </w:r>
      <w:r w:rsidRPr="00E86997">
        <w:rPr>
          <w:rFonts w:ascii="David" w:hAnsi="David"/>
          <w:rtl/>
        </w:rPr>
        <w:t xml:space="preserve">והמחלוקת ביניהם היא רק לגבי </w:t>
      </w:r>
      <w:r>
        <w:rPr>
          <w:rFonts w:ascii="David" w:hAnsi="David" w:hint="cs"/>
          <w:rtl/>
        </w:rPr>
        <w:t xml:space="preserve">מידת </w:t>
      </w:r>
      <w:r w:rsidRPr="00E86997">
        <w:rPr>
          <w:rFonts w:ascii="David" w:hAnsi="David"/>
          <w:rtl/>
        </w:rPr>
        <w:t>הסטייה לקולא</w:t>
      </w:r>
      <w:r>
        <w:rPr>
          <w:rFonts w:ascii="David" w:hAnsi="David" w:hint="cs"/>
          <w:rtl/>
        </w:rPr>
        <w:t xml:space="preserve"> מהמתחם</w:t>
      </w:r>
      <w:r w:rsidRPr="00E86997">
        <w:rPr>
          <w:rFonts w:ascii="David" w:hAnsi="David"/>
          <w:rtl/>
        </w:rPr>
        <w:t xml:space="preserve">. </w:t>
      </w:r>
    </w:p>
    <w:p w14:paraId="1E3200FE" w14:textId="77777777" w:rsidR="00BE4E62" w:rsidRPr="00E86997" w:rsidRDefault="00BE4E62" w:rsidP="00BE4E62">
      <w:pPr>
        <w:spacing w:line="360" w:lineRule="auto"/>
        <w:jc w:val="both"/>
        <w:rPr>
          <w:rFonts w:ascii="David" w:hAnsi="David"/>
          <w:rtl/>
        </w:rPr>
      </w:pPr>
    </w:p>
    <w:p w14:paraId="7F5CE35E" w14:textId="77777777" w:rsidR="00BE4E62" w:rsidRPr="00E86997" w:rsidRDefault="00BE4E62" w:rsidP="00BE4E62">
      <w:pPr>
        <w:spacing w:line="360" w:lineRule="auto"/>
        <w:ind w:left="720" w:hanging="720"/>
        <w:jc w:val="both"/>
        <w:rPr>
          <w:rFonts w:ascii="David" w:hAnsi="David"/>
          <w:rtl/>
        </w:rPr>
      </w:pPr>
      <w:r>
        <w:rPr>
          <w:rFonts w:ascii="David" w:hAnsi="David" w:hint="cs"/>
          <w:rtl/>
        </w:rPr>
        <w:t>15.</w:t>
      </w:r>
      <w:r>
        <w:rPr>
          <w:rFonts w:ascii="David" w:hAnsi="David" w:hint="cs"/>
          <w:rtl/>
        </w:rPr>
        <w:tab/>
      </w:r>
      <w:r w:rsidRPr="00E86997">
        <w:rPr>
          <w:rFonts w:ascii="David" w:hAnsi="David"/>
          <w:rtl/>
        </w:rPr>
        <w:t xml:space="preserve">לגבי </w:t>
      </w:r>
      <w:r>
        <w:rPr>
          <w:rFonts w:ascii="David" w:hAnsi="David" w:hint="cs"/>
          <w:rtl/>
        </w:rPr>
        <w:t xml:space="preserve">מידת </w:t>
      </w:r>
      <w:r w:rsidRPr="00E86997">
        <w:rPr>
          <w:rFonts w:ascii="David" w:hAnsi="David"/>
          <w:rtl/>
        </w:rPr>
        <w:t xml:space="preserve">הסטייה לקולא ממתחם העונש ההולם מטעמי שיקום כאשר מדובר בריבוי עבירות של סחר בסם מסוג קנבוס בכמות קטנה בכל פעם, אפנה לשני פסקי דין של בית המשפט העליון: </w:t>
      </w:r>
    </w:p>
    <w:p w14:paraId="298B77D9" w14:textId="77777777" w:rsidR="00BE4E62" w:rsidRPr="00E86997" w:rsidRDefault="00BE4E62" w:rsidP="00BE4E62">
      <w:pPr>
        <w:spacing w:line="360" w:lineRule="auto"/>
        <w:jc w:val="both"/>
        <w:rPr>
          <w:rFonts w:ascii="David" w:hAnsi="David"/>
          <w:rtl/>
        </w:rPr>
      </w:pPr>
    </w:p>
    <w:p w14:paraId="66818C7B" w14:textId="77777777" w:rsidR="00BE4E62" w:rsidRPr="002F4AE3" w:rsidRDefault="00BE4E62" w:rsidP="00BE4E62">
      <w:pPr>
        <w:spacing w:line="360" w:lineRule="auto"/>
        <w:ind w:left="1440" w:hanging="720"/>
        <w:jc w:val="both"/>
        <w:rPr>
          <w:rFonts w:ascii="David" w:hAnsi="David"/>
        </w:rPr>
      </w:pPr>
      <w:r>
        <w:rPr>
          <w:rFonts w:ascii="David" w:hAnsi="David" w:hint="cs"/>
          <w:rtl/>
        </w:rPr>
        <w:t>א.</w:t>
      </w:r>
      <w:r>
        <w:rPr>
          <w:rFonts w:ascii="David" w:hAnsi="David" w:hint="cs"/>
          <w:rtl/>
        </w:rPr>
        <w:tab/>
      </w:r>
      <w:r w:rsidRPr="002F4AE3">
        <w:rPr>
          <w:rFonts w:ascii="David" w:hAnsi="David"/>
          <w:rtl/>
        </w:rPr>
        <w:t xml:space="preserve">ראשית, </w:t>
      </w:r>
      <w:hyperlink r:id="rId25" w:history="1">
        <w:r w:rsidR="00BB409F" w:rsidRPr="00BB409F">
          <w:rPr>
            <w:rFonts w:ascii="David" w:hAnsi="David"/>
            <w:color w:val="0000FF"/>
            <w:u w:val="single"/>
            <w:rtl/>
          </w:rPr>
          <w:t>רע"פ 5478/19</w:t>
        </w:r>
      </w:hyperlink>
      <w:r w:rsidRPr="002F4AE3">
        <w:rPr>
          <w:rFonts w:ascii="David" w:hAnsi="David"/>
          <w:rtl/>
        </w:rPr>
        <w:t xml:space="preserve"> </w:t>
      </w:r>
      <w:r w:rsidRPr="002F4AE3">
        <w:rPr>
          <w:rFonts w:ascii="David" w:hAnsi="David"/>
          <w:b/>
          <w:bCs/>
          <w:rtl/>
        </w:rPr>
        <w:t>לוין נ' מדינת ישראל</w:t>
      </w:r>
      <w:r w:rsidRPr="002F4AE3">
        <w:rPr>
          <w:rFonts w:ascii="David" w:hAnsi="David"/>
          <w:rtl/>
        </w:rPr>
        <w:t xml:space="preserve"> (פורסם בנבו, 25.8.19 (להלן: </w:t>
      </w:r>
      <w:r w:rsidRPr="002F4AE3">
        <w:rPr>
          <w:rFonts w:ascii="David" w:hAnsi="David"/>
          <w:b/>
          <w:bCs/>
          <w:rtl/>
        </w:rPr>
        <w:t>עניין לוין</w:t>
      </w:r>
      <w:r w:rsidRPr="002F4AE3">
        <w:rPr>
          <w:rFonts w:ascii="David" w:hAnsi="David"/>
          <w:rtl/>
        </w:rPr>
        <w:t>)). על מנת ללמוד על עובדות המקרה, יש לעיין גם בפסק הדין של בית המשפט המחוזי מרכז (</w:t>
      </w:r>
      <w:hyperlink r:id="rId26" w:history="1">
        <w:r w:rsidR="00BB409F" w:rsidRPr="00BB409F">
          <w:rPr>
            <w:rFonts w:ascii="David" w:hAnsi="David"/>
            <w:color w:val="0000FF"/>
            <w:u w:val="single"/>
            <w:rtl/>
          </w:rPr>
          <w:t>עפ"ג 70570-05-19</w:t>
        </w:r>
      </w:hyperlink>
      <w:r w:rsidRPr="002F4AE3">
        <w:rPr>
          <w:rFonts w:ascii="David" w:hAnsi="David"/>
          <w:rtl/>
        </w:rPr>
        <w:t>, פורסם בנבו, 8.7.19) וגם בפסק הדין של בית משפט השלום ברחובות (</w:t>
      </w:r>
      <w:hyperlink r:id="rId27" w:history="1">
        <w:r w:rsidR="00BB409F" w:rsidRPr="00BB409F">
          <w:rPr>
            <w:rFonts w:ascii="David" w:hAnsi="David"/>
            <w:color w:val="0000FF"/>
            <w:u w:val="single"/>
            <w:rtl/>
          </w:rPr>
          <w:t>ת"פ 64135-02-18</w:t>
        </w:r>
      </w:hyperlink>
      <w:r w:rsidRPr="002F4AE3">
        <w:rPr>
          <w:rFonts w:ascii="David" w:hAnsi="David"/>
          <w:rtl/>
        </w:rPr>
        <w:t>, פורסם בנבו, 11.2.19). כנגד המבקשת הוגש כתב אישום לבית משפט השלום ברחובות ואשר כולל תשעה אישומים, שכולם עניינם מכירה של קנבוס במספר רב של הזדמנויות בכל אישום, הן לבגירים והן קטינים, הכל תוך שימוש ביישומון "טלגראס".</w:t>
      </w:r>
    </w:p>
    <w:p w14:paraId="12F743EC" w14:textId="77777777" w:rsidR="00BE4E62" w:rsidRPr="00E86997" w:rsidRDefault="00BE4E62" w:rsidP="00BE4E62">
      <w:pPr>
        <w:spacing w:line="360" w:lineRule="auto"/>
        <w:jc w:val="both"/>
        <w:rPr>
          <w:rFonts w:ascii="David" w:hAnsi="David"/>
          <w:rtl/>
        </w:rPr>
      </w:pPr>
    </w:p>
    <w:p w14:paraId="32F5642A" w14:textId="77777777" w:rsidR="00BE4E62" w:rsidRPr="00E86997" w:rsidRDefault="00BE4E62" w:rsidP="00BE4E62">
      <w:pPr>
        <w:spacing w:line="360" w:lineRule="auto"/>
        <w:ind w:left="1440"/>
        <w:jc w:val="both"/>
        <w:rPr>
          <w:rFonts w:ascii="David" w:hAnsi="David"/>
          <w:rtl/>
        </w:rPr>
      </w:pPr>
      <w:r w:rsidRPr="00E86997">
        <w:rPr>
          <w:rFonts w:ascii="David" w:hAnsi="David"/>
          <w:rtl/>
        </w:rPr>
        <w:t xml:space="preserve">בעניין </w:t>
      </w:r>
      <w:r w:rsidRPr="00E86997">
        <w:rPr>
          <w:rFonts w:ascii="David" w:hAnsi="David"/>
          <w:b/>
          <w:bCs/>
          <w:rtl/>
        </w:rPr>
        <w:t>לוין</w:t>
      </w:r>
      <w:r w:rsidRPr="00E86997">
        <w:rPr>
          <w:rFonts w:ascii="David" w:hAnsi="David"/>
          <w:rtl/>
        </w:rPr>
        <w:t xml:space="preserve">, המבקשת הייתה בגירה וחיילת בצה"ל ולקראת קורס מפקדים. בית משפט השלום ברחובות, לאור התסקיר החיובי שהתקבל, והפסקת השימוש בסמים, הורה על ביטול ההרשעה. המדינה הגישה ערעור לבית המשפט המחוזי על אי ההרשעה. הערעור התקבל והמבקשת הורשעה והושת </w:t>
      </w:r>
      <w:r w:rsidRPr="00E86997">
        <w:rPr>
          <w:rFonts w:ascii="David" w:hAnsi="David"/>
          <w:u w:val="single"/>
          <w:rtl/>
        </w:rPr>
        <w:t>עליה מאסר על תנאי</w:t>
      </w:r>
      <w:r w:rsidRPr="00E86997">
        <w:rPr>
          <w:rFonts w:ascii="David" w:hAnsi="David"/>
          <w:rtl/>
        </w:rPr>
        <w:t xml:space="preserve">. המבקשת הגישה בקשת רשות ערעור לבית המשפט העליון על עצם ההרשעה והבקשה נדחתה. </w:t>
      </w:r>
    </w:p>
    <w:p w14:paraId="0B107847" w14:textId="77777777" w:rsidR="00BE4E62" w:rsidRPr="00E86997" w:rsidRDefault="00BE4E62" w:rsidP="00BE4E62">
      <w:pPr>
        <w:spacing w:line="360" w:lineRule="auto"/>
        <w:ind w:left="720" w:hanging="720"/>
        <w:jc w:val="both"/>
        <w:rPr>
          <w:rFonts w:ascii="David" w:hAnsi="David"/>
          <w:rtl/>
        </w:rPr>
      </w:pPr>
    </w:p>
    <w:p w14:paraId="11E2E72E" w14:textId="77777777" w:rsidR="00BE4E62" w:rsidRPr="00E86997" w:rsidRDefault="00BE4E62" w:rsidP="00BE4E62">
      <w:pPr>
        <w:spacing w:line="360" w:lineRule="auto"/>
        <w:ind w:left="1440"/>
        <w:jc w:val="both"/>
        <w:rPr>
          <w:rFonts w:ascii="David" w:hAnsi="David"/>
          <w:rtl/>
        </w:rPr>
      </w:pPr>
      <w:r w:rsidRPr="00E86997">
        <w:rPr>
          <w:rFonts w:ascii="David" w:hAnsi="David"/>
          <w:rtl/>
        </w:rPr>
        <w:t xml:space="preserve">מן הראוי לציין שבעניין </w:t>
      </w:r>
      <w:r w:rsidRPr="00E86997">
        <w:rPr>
          <w:rFonts w:ascii="David" w:hAnsi="David"/>
          <w:b/>
          <w:bCs/>
          <w:rtl/>
        </w:rPr>
        <w:t>לוין</w:t>
      </w:r>
      <w:r w:rsidRPr="00E86997">
        <w:rPr>
          <w:rFonts w:ascii="David" w:hAnsi="David"/>
          <w:rtl/>
        </w:rPr>
        <w:t xml:space="preserve">, בכל שלוש הערכאות לא נאמר מה מתחם העונש ההולם וגם לא נאמר שהעונש של מאסר על תנאי, שהיה העונש הסופי שהושת עליה, היה מכוח חריגה ממתחם העונש ההולם, או שמא עונש מקל שהוגדר בתוך המתחם. מכל מקום, לאור העונש המקל שניתן, מאסר על תנאי בלבד ללא רכיב של מאסר בפועל, ברור שמדובר בעונש </w:t>
      </w:r>
      <w:r w:rsidRPr="00E86997">
        <w:rPr>
          <w:rFonts w:ascii="David" w:hAnsi="David"/>
          <w:u w:val="single"/>
          <w:rtl/>
        </w:rPr>
        <w:t>שחורג</w:t>
      </w:r>
      <w:r w:rsidRPr="00E86997">
        <w:rPr>
          <w:rFonts w:ascii="David" w:hAnsi="David"/>
          <w:rtl/>
        </w:rPr>
        <w:t xml:space="preserve"> באופן משמעותי ממתחם העונש ההולם.</w:t>
      </w:r>
    </w:p>
    <w:p w14:paraId="48CB89B5" w14:textId="77777777" w:rsidR="00BE4E62" w:rsidRPr="00E86997" w:rsidRDefault="00BE4E62" w:rsidP="00BE4E62">
      <w:pPr>
        <w:spacing w:line="360" w:lineRule="auto"/>
        <w:jc w:val="both"/>
        <w:rPr>
          <w:rFonts w:ascii="David" w:hAnsi="David"/>
          <w:rtl/>
        </w:rPr>
      </w:pPr>
    </w:p>
    <w:p w14:paraId="436EAEDC" w14:textId="77777777" w:rsidR="00BE4E62" w:rsidRPr="00E86997" w:rsidRDefault="00BE4E62" w:rsidP="00BE4E62">
      <w:pPr>
        <w:spacing w:line="360" w:lineRule="auto"/>
        <w:ind w:left="1440" w:hanging="720"/>
        <w:jc w:val="both"/>
        <w:rPr>
          <w:rFonts w:ascii="David" w:hAnsi="David"/>
          <w:rtl/>
        </w:rPr>
      </w:pPr>
      <w:r>
        <w:rPr>
          <w:rFonts w:ascii="David" w:hAnsi="David" w:hint="cs"/>
          <w:rtl/>
        </w:rPr>
        <w:t>ב.</w:t>
      </w:r>
      <w:r>
        <w:rPr>
          <w:rFonts w:ascii="David" w:hAnsi="David" w:hint="cs"/>
          <w:rtl/>
        </w:rPr>
        <w:tab/>
      </w:r>
      <w:r w:rsidRPr="00E86997">
        <w:rPr>
          <w:rFonts w:ascii="David" w:hAnsi="David"/>
          <w:rtl/>
        </w:rPr>
        <w:t xml:space="preserve">שנית, </w:t>
      </w:r>
      <w:hyperlink r:id="rId28" w:history="1">
        <w:r w:rsidR="00BB409F" w:rsidRPr="00BB409F">
          <w:rPr>
            <w:rFonts w:ascii="David" w:hAnsi="David"/>
            <w:color w:val="0000FF"/>
            <w:u w:val="single"/>
            <w:rtl/>
          </w:rPr>
          <w:t>רע"פ 3059/21</w:t>
        </w:r>
      </w:hyperlink>
      <w:r w:rsidRPr="00E86997">
        <w:rPr>
          <w:rFonts w:ascii="David" w:hAnsi="David"/>
          <w:rtl/>
        </w:rPr>
        <w:t xml:space="preserve"> </w:t>
      </w:r>
      <w:r w:rsidRPr="00396E16">
        <w:rPr>
          <w:rFonts w:ascii="David" w:hAnsi="David"/>
          <w:b/>
          <w:bCs/>
          <w:rtl/>
        </w:rPr>
        <w:t>ימין נ' מדינת ישראל</w:t>
      </w:r>
      <w:r w:rsidRPr="00E86997">
        <w:rPr>
          <w:rFonts w:ascii="David" w:hAnsi="David"/>
          <w:rtl/>
        </w:rPr>
        <w:t xml:space="preserve"> (פורסם בנבו, 5.5.21). המבקש הורשע בחמש עבירות של סחר בסם מסוג קנבוס וגם בעבירה של החזקת סם שלא לצריכה עצמית במשקל של 50 גרם. בית המשפט השלום קבע שמתחם העונש ההולם נע בין 10 ועד 20 חודשי מאסר בפועל. לאור ההליך השיקומי שעבר, הוחלט לסטות לקולא מהמתחם האמור והושתו עליו 8 חודשי מאסר שירוצו בדרך של עבודות שירות. ערעורו לבית המשפט המחוזי נדחה וכן נדחתה בקשת רשות ערעור שהגיש לבית המשפט העליון. </w:t>
      </w:r>
    </w:p>
    <w:p w14:paraId="0836FA0E" w14:textId="77777777" w:rsidR="00BE4E62" w:rsidRPr="00E86997" w:rsidRDefault="00BE4E62" w:rsidP="00BE4E62">
      <w:pPr>
        <w:spacing w:line="360" w:lineRule="auto"/>
        <w:jc w:val="both"/>
        <w:rPr>
          <w:rFonts w:ascii="David" w:hAnsi="David"/>
          <w:rtl/>
        </w:rPr>
      </w:pPr>
    </w:p>
    <w:p w14:paraId="40238D2E" w14:textId="77777777" w:rsidR="00BE4E62" w:rsidRPr="00E86997" w:rsidRDefault="00BE4E62" w:rsidP="00BE4E62">
      <w:pPr>
        <w:spacing w:line="360" w:lineRule="auto"/>
        <w:ind w:left="720" w:hanging="720"/>
        <w:jc w:val="both"/>
        <w:rPr>
          <w:rFonts w:ascii="David" w:hAnsi="David"/>
          <w:rtl/>
        </w:rPr>
      </w:pPr>
      <w:r>
        <w:rPr>
          <w:rFonts w:ascii="David" w:hAnsi="David" w:hint="cs"/>
          <w:rtl/>
        </w:rPr>
        <w:t>16.</w:t>
      </w:r>
      <w:r>
        <w:rPr>
          <w:rFonts w:ascii="David" w:hAnsi="David" w:hint="cs"/>
          <w:rtl/>
        </w:rPr>
        <w:tab/>
      </w:r>
      <w:r w:rsidRPr="00E86997">
        <w:rPr>
          <w:rFonts w:ascii="David" w:hAnsi="David"/>
          <w:rtl/>
        </w:rPr>
        <w:t xml:space="preserve">במקרה שבפניי, בעת קביעת מידת הסטייה ממתחם העונש ההולם שקבעתי, לקחתי בחשבון את כל הנתונים שלהלן: הנאשם נעדר עבר פלילי; בעת ביצוע העבירות היה בגיר צעיר; לא היו מכירות לקטינים וכל המכירות היו לבגירים בלבד; לאור מחירי המכירות (ממוצע של 100 ₪ בכל פעם) ניתן להסיק שבכל פעם היה מדובר בכמויות סם קטנות ביותר. </w:t>
      </w:r>
    </w:p>
    <w:p w14:paraId="2EEBE9FD" w14:textId="77777777" w:rsidR="00BE4E62" w:rsidRPr="00E86997" w:rsidRDefault="00BE4E62" w:rsidP="00BE4E62">
      <w:pPr>
        <w:spacing w:line="360" w:lineRule="auto"/>
        <w:jc w:val="both"/>
        <w:rPr>
          <w:rFonts w:ascii="David" w:hAnsi="David"/>
          <w:rtl/>
        </w:rPr>
      </w:pPr>
    </w:p>
    <w:p w14:paraId="2B7C654E" w14:textId="77777777" w:rsidR="00BE4E62" w:rsidRPr="00E86997" w:rsidRDefault="00BE4E62" w:rsidP="00BE4E62">
      <w:pPr>
        <w:spacing w:line="360" w:lineRule="auto"/>
        <w:jc w:val="both"/>
        <w:rPr>
          <w:rFonts w:ascii="David" w:hAnsi="David"/>
          <w:rtl/>
        </w:rPr>
      </w:pPr>
      <w:r>
        <w:rPr>
          <w:rFonts w:ascii="David" w:hAnsi="David" w:hint="cs"/>
          <w:rtl/>
        </w:rPr>
        <w:t>17.</w:t>
      </w:r>
      <w:r>
        <w:rPr>
          <w:rFonts w:ascii="David" w:hAnsi="David" w:hint="cs"/>
          <w:rtl/>
        </w:rPr>
        <w:tab/>
      </w:r>
      <w:r w:rsidRPr="00E86997">
        <w:rPr>
          <w:rFonts w:ascii="David" w:hAnsi="David"/>
          <w:rtl/>
        </w:rPr>
        <w:t xml:space="preserve">לאור כל האמור לעיל, הנני משית על הנאשם את העונשים הבאים: </w:t>
      </w:r>
    </w:p>
    <w:p w14:paraId="5E47255F" w14:textId="77777777" w:rsidR="00BE4E62" w:rsidRPr="00E86997" w:rsidRDefault="00BE4E62" w:rsidP="00BE4E62">
      <w:pPr>
        <w:spacing w:line="360" w:lineRule="auto"/>
        <w:jc w:val="both"/>
        <w:rPr>
          <w:rFonts w:ascii="David" w:hAnsi="David"/>
          <w:rtl/>
        </w:rPr>
      </w:pPr>
    </w:p>
    <w:p w14:paraId="6A7184A7" w14:textId="77777777" w:rsidR="00BE4E62" w:rsidRPr="00E86997" w:rsidRDefault="00BE4E62" w:rsidP="00BE4E62">
      <w:pPr>
        <w:spacing w:line="360" w:lineRule="auto"/>
        <w:ind w:left="1440" w:hanging="720"/>
        <w:jc w:val="both"/>
        <w:rPr>
          <w:rFonts w:ascii="David" w:hAnsi="David"/>
        </w:rPr>
      </w:pPr>
      <w:r>
        <w:rPr>
          <w:rFonts w:ascii="David" w:hAnsi="David" w:hint="cs"/>
          <w:rtl/>
        </w:rPr>
        <w:t xml:space="preserve">א. </w:t>
      </w:r>
      <w:r>
        <w:rPr>
          <w:rFonts w:ascii="David" w:hAnsi="David" w:hint="cs"/>
          <w:rtl/>
        </w:rPr>
        <w:tab/>
      </w:r>
      <w:r w:rsidRPr="00E86997">
        <w:rPr>
          <w:rFonts w:ascii="David" w:hAnsi="David"/>
          <w:rtl/>
        </w:rPr>
        <w:t xml:space="preserve">חמישה חודשי מאסר בפועל שירוצו בדרך של עבודות שירות. עבודות השירות יבוצעו במקום ובזמנים שהורה עליהם הממונה על עבודות שירות בחוות הדעת מטעמו מיום 8.3.22. </w:t>
      </w:r>
    </w:p>
    <w:p w14:paraId="1FFADE06" w14:textId="77777777" w:rsidR="00BE4E62" w:rsidRPr="002F4AE3" w:rsidRDefault="00BE4E62" w:rsidP="00BE4E62">
      <w:pPr>
        <w:spacing w:line="360" w:lineRule="auto"/>
        <w:ind w:left="720" w:hanging="720"/>
        <w:jc w:val="both"/>
        <w:rPr>
          <w:rFonts w:ascii="David" w:hAnsi="David"/>
          <w:rtl/>
        </w:rPr>
      </w:pPr>
    </w:p>
    <w:p w14:paraId="76246079" w14:textId="77777777" w:rsidR="00BE4E62" w:rsidRPr="00E86997" w:rsidRDefault="00BE4E62" w:rsidP="00BE4E62">
      <w:pPr>
        <w:spacing w:line="360" w:lineRule="auto"/>
        <w:ind w:left="1440" w:hanging="720"/>
        <w:jc w:val="both"/>
        <w:rPr>
          <w:rFonts w:ascii="David" w:hAnsi="David"/>
          <w:rtl/>
        </w:rPr>
      </w:pPr>
      <w:r>
        <w:rPr>
          <w:rFonts w:ascii="David" w:hAnsi="David" w:hint="cs"/>
          <w:rtl/>
        </w:rPr>
        <w:t>ב.</w:t>
      </w:r>
      <w:r>
        <w:rPr>
          <w:rFonts w:ascii="David" w:hAnsi="David" w:hint="cs"/>
          <w:rtl/>
        </w:rPr>
        <w:tab/>
        <w:t xml:space="preserve">6 </w:t>
      </w:r>
      <w:r w:rsidRPr="00E86997">
        <w:rPr>
          <w:rFonts w:ascii="David" w:hAnsi="David"/>
          <w:rtl/>
        </w:rPr>
        <w:t xml:space="preserve">חודשי מאסר על תנאי והתנאי הוא שבמשך שלוש שנים מהיום לא יבצע עבירה, בין מסוג עוון ובין מסוג פשע, לפי </w:t>
      </w:r>
      <w:hyperlink r:id="rId29" w:history="1">
        <w:r w:rsidR="00BB409F" w:rsidRPr="00BB409F">
          <w:rPr>
            <w:rFonts w:ascii="David" w:hAnsi="David"/>
            <w:color w:val="0000FF"/>
            <w:u w:val="single"/>
            <w:rtl/>
          </w:rPr>
          <w:t>פקודת הסמים המסוכנים</w:t>
        </w:r>
      </w:hyperlink>
      <w:r w:rsidRPr="00E86997">
        <w:rPr>
          <w:rFonts w:ascii="David" w:hAnsi="David"/>
          <w:rtl/>
        </w:rPr>
        <w:t xml:space="preserve">. </w:t>
      </w:r>
    </w:p>
    <w:p w14:paraId="6C95E90E" w14:textId="77777777" w:rsidR="00BE4E62" w:rsidRPr="00E86997" w:rsidRDefault="00BE4E62" w:rsidP="00BE4E62">
      <w:pPr>
        <w:spacing w:line="360" w:lineRule="auto"/>
        <w:jc w:val="both"/>
        <w:rPr>
          <w:rFonts w:ascii="David" w:hAnsi="David"/>
          <w:rtl/>
        </w:rPr>
      </w:pPr>
    </w:p>
    <w:p w14:paraId="4E1ABBE4" w14:textId="77777777" w:rsidR="00BE4E62" w:rsidRPr="00E86997" w:rsidRDefault="00BE4E62" w:rsidP="00BE4E62">
      <w:pPr>
        <w:spacing w:line="360" w:lineRule="auto"/>
        <w:ind w:left="1440" w:hanging="720"/>
        <w:jc w:val="both"/>
        <w:rPr>
          <w:rFonts w:ascii="David" w:hAnsi="David"/>
          <w:rtl/>
        </w:rPr>
      </w:pPr>
      <w:r>
        <w:rPr>
          <w:rFonts w:ascii="David" w:hAnsi="David" w:hint="cs"/>
          <w:rtl/>
        </w:rPr>
        <w:t>ג.</w:t>
      </w:r>
      <w:r>
        <w:rPr>
          <w:rFonts w:ascii="David" w:hAnsi="David" w:hint="cs"/>
          <w:rtl/>
        </w:rPr>
        <w:tab/>
      </w:r>
      <w:r w:rsidRPr="00E86997">
        <w:rPr>
          <w:rFonts w:ascii="David" w:hAnsi="David"/>
          <w:rtl/>
        </w:rPr>
        <w:t>הנני מטיל על הנאשם צו מבחן למשך 12 חודשים מהיום. הנאשם מוזהר שעליו לקיים את צו המבחן על פי הוראות והנ</w:t>
      </w:r>
      <w:r>
        <w:rPr>
          <w:rFonts w:ascii="David" w:hAnsi="David" w:hint="cs"/>
          <w:rtl/>
        </w:rPr>
        <w:t>ח</w:t>
      </w:r>
      <w:r w:rsidRPr="00E86997">
        <w:rPr>
          <w:rFonts w:ascii="David" w:hAnsi="David"/>
          <w:rtl/>
        </w:rPr>
        <w:t>יות שרות המבחן</w:t>
      </w:r>
      <w:r>
        <w:rPr>
          <w:rFonts w:ascii="David" w:hAnsi="David" w:hint="cs"/>
          <w:rtl/>
        </w:rPr>
        <w:t>.</w:t>
      </w:r>
      <w:r w:rsidRPr="00E86997">
        <w:rPr>
          <w:rFonts w:ascii="David" w:hAnsi="David"/>
          <w:rtl/>
        </w:rPr>
        <w:t xml:space="preserve"> </w:t>
      </w:r>
      <w:r>
        <w:rPr>
          <w:rFonts w:ascii="David" w:hAnsi="David" w:hint="cs"/>
          <w:rtl/>
        </w:rPr>
        <w:t>מובהר לנאשם ש</w:t>
      </w:r>
      <w:r w:rsidRPr="00E86997">
        <w:rPr>
          <w:rFonts w:ascii="David" w:hAnsi="David"/>
          <w:rtl/>
        </w:rPr>
        <w:t xml:space="preserve">ככל </w:t>
      </w:r>
      <w:r>
        <w:rPr>
          <w:rFonts w:ascii="David" w:hAnsi="David" w:hint="cs"/>
          <w:rtl/>
        </w:rPr>
        <w:t>ו</w:t>
      </w:r>
      <w:r w:rsidRPr="00E86997">
        <w:rPr>
          <w:rFonts w:ascii="David" w:hAnsi="David"/>
          <w:rtl/>
        </w:rPr>
        <w:t>תהיה הפרה של צו המבחן</w:t>
      </w:r>
      <w:r>
        <w:rPr>
          <w:rFonts w:ascii="David" w:hAnsi="David" w:hint="cs"/>
          <w:rtl/>
        </w:rPr>
        <w:t>,</w:t>
      </w:r>
      <w:r w:rsidRPr="00E86997">
        <w:rPr>
          <w:rFonts w:ascii="David" w:hAnsi="David"/>
          <w:rtl/>
        </w:rPr>
        <w:t xml:space="preserve"> בית המשפט יהיה רשאי לבטל את צו המבחן ולהשית עליו עונש אחר, לרבות מאסר בפועל מאחורי סורג ובריח. </w:t>
      </w:r>
    </w:p>
    <w:p w14:paraId="72A6F2C4" w14:textId="77777777" w:rsidR="00BE4E62" w:rsidRPr="00E86997" w:rsidRDefault="00BE4E62" w:rsidP="00BE4E62">
      <w:pPr>
        <w:spacing w:line="360" w:lineRule="auto"/>
        <w:jc w:val="both"/>
        <w:rPr>
          <w:rFonts w:ascii="David" w:hAnsi="David"/>
          <w:rtl/>
        </w:rPr>
      </w:pPr>
    </w:p>
    <w:p w14:paraId="09BC3A59" w14:textId="77777777" w:rsidR="00BE4E62" w:rsidRPr="00E86997" w:rsidRDefault="00BE4E62" w:rsidP="00BE4E62">
      <w:pPr>
        <w:spacing w:line="360" w:lineRule="auto"/>
        <w:ind w:left="1440" w:hanging="720"/>
        <w:jc w:val="both"/>
        <w:rPr>
          <w:rFonts w:ascii="David" w:hAnsi="David"/>
          <w:rtl/>
        </w:rPr>
      </w:pPr>
      <w:r>
        <w:rPr>
          <w:rFonts w:ascii="David" w:hAnsi="David" w:hint="cs"/>
          <w:rtl/>
        </w:rPr>
        <w:t>ד.</w:t>
      </w:r>
      <w:r>
        <w:rPr>
          <w:rFonts w:ascii="David" w:hAnsi="David" w:hint="cs"/>
          <w:rtl/>
        </w:rPr>
        <w:tab/>
      </w:r>
      <w:r w:rsidRPr="00E86997">
        <w:rPr>
          <w:rFonts w:ascii="David" w:hAnsi="David"/>
          <w:rtl/>
        </w:rPr>
        <w:t>הנאשם ישלם קנס בסך של 5,000 ₪ או 10 ימי מאסר תמורתו. הקנס ישולם ב-10 תשלומים חודשיים שווים ורצופים כאשר</w:t>
      </w:r>
      <w:r>
        <w:rPr>
          <w:rFonts w:ascii="David" w:hAnsi="David"/>
          <w:rtl/>
        </w:rPr>
        <w:t xml:space="preserve"> הראשון שבהם עד ליום 1.</w:t>
      </w:r>
      <w:r>
        <w:rPr>
          <w:rFonts w:ascii="David" w:hAnsi="David" w:hint="cs"/>
          <w:rtl/>
        </w:rPr>
        <w:t>6</w:t>
      </w:r>
      <w:r>
        <w:rPr>
          <w:rFonts w:ascii="David" w:hAnsi="David"/>
          <w:rtl/>
        </w:rPr>
        <w:t>.22 והי</w:t>
      </w:r>
      <w:r w:rsidRPr="00E86997">
        <w:rPr>
          <w:rFonts w:ascii="David" w:hAnsi="David"/>
          <w:rtl/>
        </w:rPr>
        <w:t>ת</w:t>
      </w:r>
      <w:r>
        <w:rPr>
          <w:rFonts w:ascii="David" w:hAnsi="David" w:hint="cs"/>
          <w:rtl/>
        </w:rPr>
        <w:t>ר</w:t>
      </w:r>
      <w:r w:rsidRPr="00E86997">
        <w:rPr>
          <w:rFonts w:ascii="David" w:hAnsi="David"/>
          <w:rtl/>
        </w:rPr>
        <w:t>ה ב-1 לכל חודש שלאחריו. היה ואחד התשלומים לא ישולם במועד אזי יעמוד מלוא סכום הקנס לפ</w:t>
      </w:r>
      <w:r>
        <w:rPr>
          <w:rFonts w:ascii="David" w:hAnsi="David" w:hint="cs"/>
          <w:rtl/>
        </w:rPr>
        <w:t>י</w:t>
      </w:r>
      <w:r w:rsidRPr="00E86997">
        <w:rPr>
          <w:rFonts w:ascii="David" w:hAnsi="David"/>
          <w:rtl/>
        </w:rPr>
        <w:t xml:space="preserve">רעון מידי. </w:t>
      </w:r>
    </w:p>
    <w:p w14:paraId="1517269A" w14:textId="77777777" w:rsidR="00BE4E62" w:rsidRPr="00E86997" w:rsidRDefault="00BE4E62" w:rsidP="00BE4E62">
      <w:pPr>
        <w:spacing w:line="360" w:lineRule="auto"/>
        <w:jc w:val="both"/>
        <w:rPr>
          <w:rFonts w:ascii="David" w:hAnsi="David"/>
          <w:rtl/>
        </w:rPr>
      </w:pPr>
    </w:p>
    <w:p w14:paraId="34309340" w14:textId="77777777" w:rsidR="00BE4E62" w:rsidRPr="00E86997" w:rsidRDefault="00BB409F" w:rsidP="00BE4E62">
      <w:pPr>
        <w:spacing w:line="360" w:lineRule="auto"/>
        <w:jc w:val="both"/>
        <w:rPr>
          <w:rFonts w:ascii="David" w:hAnsi="David"/>
          <w:rtl/>
        </w:rPr>
      </w:pPr>
      <w:r w:rsidRPr="00BB409F">
        <w:rPr>
          <w:rFonts w:ascii="David" w:hAnsi="David"/>
          <w:color w:val="FFFFFF"/>
          <w:sz w:val="2"/>
          <w:szCs w:val="2"/>
          <w:rtl/>
        </w:rPr>
        <w:t>5129371</w:t>
      </w:r>
      <w:r w:rsidR="00BE4E62" w:rsidRPr="00E86997">
        <w:rPr>
          <w:rFonts w:ascii="David" w:hAnsi="David"/>
          <w:rtl/>
        </w:rPr>
        <w:t xml:space="preserve">זכות ערעור תוך 45 ימים. </w:t>
      </w:r>
    </w:p>
    <w:p w14:paraId="468DC5A8" w14:textId="77777777" w:rsidR="00BE4E62" w:rsidRPr="00BB409F" w:rsidRDefault="00BB409F" w:rsidP="00BE4E62">
      <w:pPr>
        <w:rPr>
          <w:rFonts w:ascii="Arial" w:hAnsi="Arial"/>
          <w:b/>
          <w:bCs/>
          <w:color w:val="FFFFFF"/>
          <w:sz w:val="2"/>
          <w:szCs w:val="2"/>
          <w:rtl/>
        </w:rPr>
      </w:pPr>
      <w:r w:rsidRPr="00BB409F">
        <w:rPr>
          <w:rFonts w:ascii="Arial" w:hAnsi="Arial"/>
          <w:b/>
          <w:bCs/>
          <w:color w:val="FFFFFF"/>
          <w:sz w:val="2"/>
          <w:szCs w:val="2"/>
          <w:rtl/>
        </w:rPr>
        <w:t>54678313</w:t>
      </w:r>
    </w:p>
    <w:p w14:paraId="47E49BD7" w14:textId="77777777" w:rsidR="00BE4E62" w:rsidRPr="000F2247" w:rsidRDefault="00BE4E62" w:rsidP="00BE4E62">
      <w:pPr>
        <w:rPr>
          <w:rFonts w:ascii="Arial" w:hAnsi="Arial"/>
          <w:b/>
          <w:bCs/>
          <w:sz w:val="26"/>
          <w:szCs w:val="26"/>
          <w:rtl/>
        </w:rPr>
      </w:pPr>
    </w:p>
    <w:p w14:paraId="283B70D5" w14:textId="77777777" w:rsidR="00BE4E62" w:rsidRPr="000F2247" w:rsidRDefault="00BB409F" w:rsidP="00BE4E62">
      <w:pPr>
        <w:rPr>
          <w:rFonts w:ascii="Arial" w:hAnsi="Arial"/>
          <w:b/>
          <w:bCs/>
          <w:sz w:val="26"/>
          <w:szCs w:val="26"/>
          <w:rtl/>
        </w:rPr>
      </w:pPr>
      <w:bookmarkStart w:id="8" w:name="Nitan"/>
      <w:r>
        <w:rPr>
          <w:rFonts w:ascii="Arial" w:hAnsi="Arial"/>
          <w:rtl/>
        </w:rPr>
        <w:t xml:space="preserve">ניתן היום, י"א ניסן תשפ"ב, 12 אפריל 2022, במעמד הצדדים. </w:t>
      </w:r>
      <w:bookmarkEnd w:id="8"/>
    </w:p>
    <w:p w14:paraId="0B645A2C" w14:textId="77777777" w:rsidR="00BE4E62" w:rsidRPr="000F2247" w:rsidRDefault="00BE4E62" w:rsidP="00BB409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E405B4" w14:textId="77777777" w:rsidR="00BE4E62" w:rsidRPr="009B01CF" w:rsidRDefault="009B01CF" w:rsidP="00BE4E62">
      <w:pPr>
        <w:jc w:val="center"/>
        <w:rPr>
          <w:rFonts w:ascii="Arial" w:hAnsi="Arial"/>
          <w:b/>
          <w:bCs/>
          <w:color w:val="FFFFFF"/>
          <w:sz w:val="2"/>
          <w:szCs w:val="2"/>
          <w:rtl/>
        </w:rPr>
      </w:pPr>
      <w:r w:rsidRPr="009B01CF">
        <w:rPr>
          <w:rFonts w:ascii="Arial" w:hAnsi="Arial"/>
          <w:b/>
          <w:bCs/>
          <w:color w:val="FFFFFF"/>
          <w:sz w:val="2"/>
          <w:szCs w:val="2"/>
          <w:rtl/>
        </w:rPr>
        <w:t>5129371</w:t>
      </w:r>
    </w:p>
    <w:p w14:paraId="7DBB9B4F" w14:textId="77777777" w:rsidR="00615D87" w:rsidRPr="009B01CF" w:rsidRDefault="009B01CF" w:rsidP="00BB409F">
      <w:pPr>
        <w:keepNext/>
        <w:rPr>
          <w:rFonts w:ascii="David" w:hAnsi="David"/>
          <w:color w:val="FFFFFF"/>
          <w:sz w:val="2"/>
          <w:szCs w:val="2"/>
          <w:rtl/>
        </w:rPr>
      </w:pPr>
      <w:r w:rsidRPr="009B01CF">
        <w:rPr>
          <w:rFonts w:ascii="David" w:hAnsi="David"/>
          <w:color w:val="FFFFFF"/>
          <w:sz w:val="2"/>
          <w:szCs w:val="2"/>
          <w:rtl/>
        </w:rPr>
        <w:t>54678313</w:t>
      </w:r>
    </w:p>
    <w:p w14:paraId="21422C7F" w14:textId="77777777" w:rsidR="00BB409F" w:rsidRPr="00BB409F" w:rsidRDefault="00BB409F" w:rsidP="00BB409F">
      <w:pPr>
        <w:keepNext/>
        <w:rPr>
          <w:rFonts w:ascii="David" w:hAnsi="David"/>
          <w:color w:val="000000"/>
          <w:sz w:val="22"/>
          <w:szCs w:val="22"/>
          <w:rtl/>
        </w:rPr>
      </w:pPr>
      <w:r w:rsidRPr="00BB409F">
        <w:rPr>
          <w:rFonts w:ascii="David" w:hAnsi="David"/>
          <w:color w:val="000000"/>
          <w:sz w:val="22"/>
          <w:szCs w:val="22"/>
          <w:rtl/>
        </w:rPr>
        <w:t>הישאם אבו שחאדה 54678313</w:t>
      </w:r>
    </w:p>
    <w:p w14:paraId="02B1D54A" w14:textId="77777777" w:rsidR="00BB409F" w:rsidRDefault="00BB409F" w:rsidP="00BB409F">
      <w:r w:rsidRPr="00BB409F">
        <w:rPr>
          <w:color w:val="000000"/>
          <w:rtl/>
        </w:rPr>
        <w:t>נוסח מסמך זה כפוף לשינויי ניסוח ועריכה</w:t>
      </w:r>
    </w:p>
    <w:p w14:paraId="7B50207E" w14:textId="77777777" w:rsidR="00BB409F" w:rsidRDefault="00BB409F" w:rsidP="00BB409F">
      <w:pPr>
        <w:rPr>
          <w:rtl/>
        </w:rPr>
      </w:pPr>
    </w:p>
    <w:p w14:paraId="4BFB6CD9" w14:textId="77777777" w:rsidR="00BB409F" w:rsidRDefault="00BB409F" w:rsidP="00BB409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78BA0F8" w14:textId="77777777" w:rsidR="009B01CF" w:rsidRPr="009B01CF" w:rsidRDefault="009B01CF" w:rsidP="009B01CF">
      <w:pPr>
        <w:keepNext/>
        <w:rPr>
          <w:rFonts w:ascii="David" w:hAnsi="David"/>
          <w:color w:val="000000"/>
          <w:sz w:val="22"/>
          <w:szCs w:val="22"/>
          <w:rtl/>
        </w:rPr>
      </w:pPr>
    </w:p>
    <w:sectPr w:rsidR="009B01CF" w:rsidRPr="009B01CF" w:rsidSect="009B01C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BF02B" w14:textId="77777777" w:rsidR="00332220" w:rsidRDefault="00332220" w:rsidP="00792A7B">
      <w:r>
        <w:separator/>
      </w:r>
    </w:p>
  </w:endnote>
  <w:endnote w:type="continuationSeparator" w:id="0">
    <w:p w14:paraId="6C2F4543" w14:textId="77777777" w:rsidR="00332220" w:rsidRDefault="00332220" w:rsidP="0079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6493" w14:textId="77777777" w:rsidR="009B01CF" w:rsidRDefault="009B01CF" w:rsidP="009B01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8345E0" w14:textId="77777777" w:rsidR="0047440D" w:rsidRPr="009B01CF" w:rsidRDefault="009B01CF" w:rsidP="009B01CF">
    <w:pPr>
      <w:pStyle w:val="a5"/>
      <w:pBdr>
        <w:top w:val="single" w:sz="4" w:space="1" w:color="auto"/>
        <w:between w:val="single" w:sz="4" w:space="0" w:color="auto"/>
      </w:pBdr>
      <w:spacing w:after="60"/>
      <w:jc w:val="center"/>
      <w:rPr>
        <w:rFonts w:ascii="FrankRuehl" w:hAnsi="FrankRuehl" w:cs="FrankRuehl"/>
        <w:color w:val="000000"/>
      </w:rPr>
    </w:pPr>
    <w:r w:rsidRPr="009B01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9F447" w14:textId="77777777" w:rsidR="009B01CF" w:rsidRDefault="009B01CF" w:rsidP="009B01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0499">
      <w:rPr>
        <w:rFonts w:ascii="FrankRuehl" w:hAnsi="FrankRuehl" w:cs="FrankRuehl"/>
        <w:noProof/>
        <w:rtl/>
      </w:rPr>
      <w:t>1</w:t>
    </w:r>
    <w:r>
      <w:rPr>
        <w:rFonts w:ascii="FrankRuehl" w:hAnsi="FrankRuehl" w:cs="FrankRuehl"/>
        <w:rtl/>
      </w:rPr>
      <w:fldChar w:fldCharType="end"/>
    </w:r>
  </w:p>
  <w:p w14:paraId="049D42D4" w14:textId="77777777" w:rsidR="0047440D" w:rsidRPr="009B01CF" w:rsidRDefault="009B01CF" w:rsidP="009B01CF">
    <w:pPr>
      <w:pStyle w:val="a5"/>
      <w:pBdr>
        <w:top w:val="single" w:sz="4" w:space="1" w:color="auto"/>
        <w:between w:val="single" w:sz="4" w:space="0" w:color="auto"/>
      </w:pBdr>
      <w:spacing w:after="60"/>
      <w:jc w:val="center"/>
      <w:rPr>
        <w:rFonts w:ascii="FrankRuehl" w:hAnsi="FrankRuehl" w:cs="FrankRuehl"/>
        <w:color w:val="000000"/>
      </w:rPr>
    </w:pPr>
    <w:r w:rsidRPr="009B01CF">
      <w:rPr>
        <w:rFonts w:ascii="FrankRuehl" w:hAnsi="FrankRuehl" w:cs="FrankRuehl"/>
        <w:color w:val="000000"/>
      </w:rPr>
      <w:pict w14:anchorId="11A7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0B8BD" w14:textId="77777777" w:rsidR="00332220" w:rsidRDefault="00332220" w:rsidP="00792A7B">
      <w:r>
        <w:separator/>
      </w:r>
    </w:p>
  </w:footnote>
  <w:footnote w:type="continuationSeparator" w:id="0">
    <w:p w14:paraId="6CCF741D" w14:textId="77777777" w:rsidR="00332220" w:rsidRDefault="00332220" w:rsidP="0079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E32EB" w14:textId="77777777" w:rsidR="00BB409F" w:rsidRPr="009B01CF" w:rsidRDefault="009B01CF" w:rsidP="009B01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47813-03-19</w:t>
    </w:r>
    <w:r>
      <w:rPr>
        <w:rFonts w:ascii="David" w:hAnsi="David"/>
        <w:color w:val="000000"/>
        <w:sz w:val="22"/>
        <w:szCs w:val="22"/>
        <w:rtl/>
      </w:rPr>
      <w:tab/>
      <w:t xml:space="preserve"> מדינת ישראל נ' שלמה כדורי בן דוד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4ABA" w14:textId="77777777" w:rsidR="00BB409F" w:rsidRPr="009B01CF" w:rsidRDefault="009B01CF" w:rsidP="009B01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47813-03-19</w:t>
    </w:r>
    <w:r>
      <w:rPr>
        <w:rFonts w:ascii="David" w:hAnsi="David"/>
        <w:color w:val="000000"/>
        <w:sz w:val="22"/>
        <w:szCs w:val="22"/>
        <w:rtl/>
      </w:rPr>
      <w:tab/>
      <w:t xml:space="preserve"> מדינת ישראל נ' שלמה כדורי בן דוד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4E62"/>
    <w:rsid w:val="000B441F"/>
    <w:rsid w:val="000E107B"/>
    <w:rsid w:val="001B5A3B"/>
    <w:rsid w:val="00332220"/>
    <w:rsid w:val="0047440D"/>
    <w:rsid w:val="00523209"/>
    <w:rsid w:val="00615D87"/>
    <w:rsid w:val="00792A7B"/>
    <w:rsid w:val="00870499"/>
    <w:rsid w:val="009B01CF"/>
    <w:rsid w:val="009F53EB"/>
    <w:rsid w:val="00A55579"/>
    <w:rsid w:val="00BB409F"/>
    <w:rsid w:val="00BE4E62"/>
    <w:rsid w:val="00CC0129"/>
    <w:rsid w:val="00FA438B"/>
    <w:rsid w:val="00FB2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DA8645"/>
  <w15:chartTrackingRefBased/>
  <w15:docId w15:val="{806A31C4-B00B-4A4B-9C73-407C3B82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4E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4E62"/>
    <w:pPr>
      <w:tabs>
        <w:tab w:val="center" w:pos="4153"/>
        <w:tab w:val="right" w:pos="8306"/>
      </w:tabs>
    </w:pPr>
  </w:style>
  <w:style w:type="character" w:customStyle="1" w:styleId="a4">
    <w:name w:val="כותרת עליונה תו"/>
    <w:link w:val="a3"/>
    <w:rsid w:val="00BE4E62"/>
    <w:rPr>
      <w:rFonts w:ascii="Times New Roman" w:eastAsia="Times New Roman" w:hAnsi="Times New Roman" w:cs="David"/>
      <w:sz w:val="24"/>
      <w:szCs w:val="24"/>
    </w:rPr>
  </w:style>
  <w:style w:type="paragraph" w:styleId="a5">
    <w:name w:val="footer"/>
    <w:basedOn w:val="a"/>
    <w:link w:val="a6"/>
    <w:rsid w:val="00BE4E62"/>
    <w:pPr>
      <w:tabs>
        <w:tab w:val="center" w:pos="4153"/>
        <w:tab w:val="right" w:pos="8306"/>
      </w:tabs>
    </w:pPr>
  </w:style>
  <w:style w:type="character" w:customStyle="1" w:styleId="a6">
    <w:name w:val="כותרת תחתונה תו"/>
    <w:link w:val="a5"/>
    <w:rsid w:val="00BE4E62"/>
    <w:rPr>
      <w:rFonts w:ascii="Times New Roman" w:eastAsia="Times New Roman" w:hAnsi="Times New Roman" w:cs="David"/>
      <w:sz w:val="24"/>
      <w:szCs w:val="24"/>
    </w:rPr>
  </w:style>
  <w:style w:type="table" w:styleId="a7">
    <w:name w:val="Table Grid"/>
    <w:basedOn w:val="a1"/>
    <w:rsid w:val="00BE4E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4E62"/>
  </w:style>
  <w:style w:type="character" w:styleId="Hyperlink">
    <w:name w:val="Hyperlink"/>
    <w:rsid w:val="00BB4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5739896" TargetMode="External"/><Relationship Id="rId3" Type="http://schemas.openxmlformats.org/officeDocument/2006/relationships/webSettings" Target="webSettings.xml"/><Relationship Id="rId21" Type="http://schemas.openxmlformats.org/officeDocument/2006/relationships/hyperlink" Target="http://www.nevo.co.il/case/26222649" TargetMode="External"/><Relationship Id="rId34"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597584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case/24975541"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2536268"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1477472" TargetMode="External"/><Relationship Id="rId28" Type="http://schemas.openxmlformats.org/officeDocument/2006/relationships/hyperlink" Target="http://www.nevo.co.il/case/27592536" TargetMode="External"/><Relationship Id="rId36"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294518" TargetMode="External"/><Relationship Id="rId27" Type="http://schemas.openxmlformats.org/officeDocument/2006/relationships/hyperlink" Target="http://www.nevo.co.il/case/2367461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1681</Words>
  <Characters>8407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10068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3539071</vt:i4>
      </vt:variant>
      <vt:variant>
        <vt:i4>66</vt:i4>
      </vt:variant>
      <vt:variant>
        <vt:i4>0</vt:i4>
      </vt:variant>
      <vt:variant>
        <vt:i4>5</vt:i4>
      </vt:variant>
      <vt:variant>
        <vt:lpwstr>http://www.nevo.co.il/case/27592536</vt:lpwstr>
      </vt:variant>
      <vt:variant>
        <vt:lpwstr/>
      </vt:variant>
      <vt:variant>
        <vt:i4>3211382</vt:i4>
      </vt:variant>
      <vt:variant>
        <vt:i4>63</vt:i4>
      </vt:variant>
      <vt:variant>
        <vt:i4>0</vt:i4>
      </vt:variant>
      <vt:variant>
        <vt:i4>5</vt:i4>
      </vt:variant>
      <vt:variant>
        <vt:lpwstr>http://www.nevo.co.il/case/23674614</vt:lpwstr>
      </vt:variant>
      <vt:variant>
        <vt:lpwstr/>
      </vt:variant>
      <vt:variant>
        <vt:i4>3473530</vt:i4>
      </vt:variant>
      <vt:variant>
        <vt:i4>60</vt:i4>
      </vt:variant>
      <vt:variant>
        <vt:i4>0</vt:i4>
      </vt:variant>
      <vt:variant>
        <vt:i4>5</vt:i4>
      </vt:variant>
      <vt:variant>
        <vt:lpwstr>http://www.nevo.co.il/case/25739896</vt:lpwstr>
      </vt:variant>
      <vt:variant>
        <vt:lpwstr/>
      </vt:variant>
      <vt:variant>
        <vt:i4>3801214</vt:i4>
      </vt:variant>
      <vt:variant>
        <vt:i4>57</vt:i4>
      </vt:variant>
      <vt:variant>
        <vt:i4>0</vt:i4>
      </vt:variant>
      <vt:variant>
        <vt:i4>5</vt:i4>
      </vt:variant>
      <vt:variant>
        <vt:lpwstr>http://www.nevo.co.il/case/25975844</vt:lpwstr>
      </vt:variant>
      <vt:variant>
        <vt:lpwstr/>
      </vt:variant>
      <vt:variant>
        <vt:i4>3604599</vt:i4>
      </vt:variant>
      <vt:variant>
        <vt:i4>54</vt:i4>
      </vt:variant>
      <vt:variant>
        <vt:i4>0</vt:i4>
      </vt:variant>
      <vt:variant>
        <vt:i4>5</vt:i4>
      </vt:variant>
      <vt:variant>
        <vt:lpwstr>http://www.nevo.co.il/case/22536268</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3473533</vt:i4>
      </vt:variant>
      <vt:variant>
        <vt:i4>48</vt:i4>
      </vt:variant>
      <vt:variant>
        <vt:i4>0</vt:i4>
      </vt:variant>
      <vt:variant>
        <vt:i4>5</vt:i4>
      </vt:variant>
      <vt:variant>
        <vt:lpwstr>http://www.nevo.co.il/case/25294518</vt:lpwstr>
      </vt:variant>
      <vt:variant>
        <vt:lpwstr/>
      </vt:variant>
      <vt:variant>
        <vt:i4>3539062</vt:i4>
      </vt:variant>
      <vt:variant>
        <vt:i4>45</vt:i4>
      </vt:variant>
      <vt:variant>
        <vt:i4>0</vt:i4>
      </vt:variant>
      <vt:variant>
        <vt:i4>5</vt:i4>
      </vt:variant>
      <vt:variant>
        <vt:lpwstr>http://www.nevo.co.il/case/26222649</vt:lpwstr>
      </vt:variant>
      <vt:variant>
        <vt:lpwstr/>
      </vt:variant>
      <vt:variant>
        <vt:i4>3801202</vt:i4>
      </vt:variant>
      <vt:variant>
        <vt:i4>42</vt:i4>
      </vt:variant>
      <vt:variant>
        <vt:i4>0</vt:i4>
      </vt:variant>
      <vt:variant>
        <vt:i4>5</vt:i4>
      </vt:variant>
      <vt:variant>
        <vt:lpwstr>http://www.nevo.co.il/case/24975541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47813</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שלמה כדורי בן דוד יוסף</vt:lpwstr>
  </property>
  <property fmtid="{D5CDD505-2E9C-101B-9397-08002B2CF9AE}" pid="10" name="LAWYER">
    <vt:lpwstr>רעות זוסמן;הגר עמר</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20220412</vt:lpwstr>
  </property>
  <property fmtid="{D5CDD505-2E9C-101B-9397-08002B2CF9AE}" pid="14" name="TYPE_N_DATE">
    <vt:lpwstr>38020220412</vt:lpwstr>
  </property>
  <property fmtid="{D5CDD505-2E9C-101B-9397-08002B2CF9AE}" pid="15" name="WORDNUMPAGES">
    <vt:lpwstr>6</vt:lpwstr>
  </property>
  <property fmtid="{D5CDD505-2E9C-101B-9397-08002B2CF9AE}" pid="16" name="TYPE_ABS_DATE">
    <vt:lpwstr>380020220412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24975541;26222649;25294518;21477472;22536268;25975844;25739896;23674614;27592536</vt:lpwstr>
  </property>
  <property fmtid="{D5CDD505-2E9C-101B-9397-08002B2CF9AE}" pid="36" name="LAWLISTTMP1">
    <vt:lpwstr>4216/013:5;019a:5</vt:lpwstr>
  </property>
</Properties>
</file>