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954D9" w:rsidRPr="00BB2FA5" w14:paraId="4EA8229D" w14:textId="77777777" w:rsidTr="00076A12">
        <w:trPr>
          <w:trHeight w:hRule="exact" w:val="418"/>
          <w:jc w:val="center"/>
        </w:trPr>
        <w:tc>
          <w:tcPr>
            <w:tcW w:w="8721" w:type="dxa"/>
            <w:gridSpan w:val="2"/>
          </w:tcPr>
          <w:p w14:paraId="6C4282FD" w14:textId="77777777" w:rsidR="008954D9" w:rsidRPr="00BB2FA5" w:rsidRDefault="008954D9" w:rsidP="00F57D8E">
            <w:pPr>
              <w:pStyle w:val="a3"/>
              <w:jc w:val="center"/>
              <w:rPr>
                <w:rFonts w:ascii="Tahoma" w:hAnsi="Tahoma" w:cs="Tahoma"/>
                <w:color w:val="000080"/>
                <w:rtl/>
              </w:rPr>
            </w:pPr>
            <w:bookmarkStart w:id="0" w:name="FirstLawyer"/>
            <w:bookmarkStart w:id="1" w:name="LastJudge"/>
            <w:r w:rsidRPr="00BB2FA5">
              <w:rPr>
                <w:rFonts w:ascii="FrankRuehl" w:hAnsi="FrankRuehl" w:cs="FrankRuehl"/>
                <w:b/>
                <w:bCs/>
                <w:color w:val="000080"/>
                <w:sz w:val="28"/>
                <w:szCs w:val="28"/>
                <w:rtl/>
              </w:rPr>
              <w:t>בית משפט השלום בירושלים</w:t>
            </w:r>
          </w:p>
        </w:tc>
      </w:tr>
      <w:tr w:rsidR="008954D9" w:rsidRPr="00BB2FA5" w14:paraId="46FCF232" w14:textId="77777777" w:rsidTr="00076A12">
        <w:trPr>
          <w:trHeight w:val="337"/>
          <w:jc w:val="center"/>
        </w:trPr>
        <w:tc>
          <w:tcPr>
            <w:tcW w:w="5054" w:type="dxa"/>
          </w:tcPr>
          <w:p w14:paraId="2344C0DF" w14:textId="77777777" w:rsidR="008954D9" w:rsidRPr="00BB2FA5" w:rsidRDefault="008954D9" w:rsidP="00F57D8E">
            <w:pPr>
              <w:rPr>
                <w:rFonts w:cs="FrankRuehl"/>
                <w:sz w:val="28"/>
                <w:szCs w:val="28"/>
                <w:rtl/>
              </w:rPr>
            </w:pPr>
            <w:r w:rsidRPr="00BB2FA5">
              <w:rPr>
                <w:rFonts w:cs="FrankRuehl"/>
                <w:sz w:val="28"/>
                <w:szCs w:val="28"/>
                <w:rtl/>
              </w:rPr>
              <w:t>ת"פ</w:t>
            </w:r>
            <w:r w:rsidRPr="00BB2FA5">
              <w:rPr>
                <w:rFonts w:cs="FrankRuehl" w:hint="cs"/>
                <w:sz w:val="28"/>
                <w:szCs w:val="28"/>
                <w:rtl/>
              </w:rPr>
              <w:t xml:space="preserve"> </w:t>
            </w:r>
            <w:r w:rsidRPr="00BB2FA5">
              <w:rPr>
                <w:rFonts w:cs="FrankRuehl"/>
                <w:sz w:val="28"/>
                <w:szCs w:val="28"/>
                <w:rtl/>
              </w:rPr>
              <w:t>56456-03-19</w:t>
            </w:r>
            <w:r w:rsidRPr="00BB2FA5">
              <w:rPr>
                <w:rFonts w:cs="FrankRuehl" w:hint="cs"/>
                <w:sz w:val="28"/>
                <w:szCs w:val="28"/>
                <w:rtl/>
              </w:rPr>
              <w:t xml:space="preserve"> </w:t>
            </w:r>
            <w:r w:rsidRPr="00BB2FA5">
              <w:rPr>
                <w:rFonts w:cs="FrankRuehl"/>
                <w:sz w:val="28"/>
                <w:szCs w:val="28"/>
                <w:rtl/>
              </w:rPr>
              <w:t>מדינת ישראל נ' אבו זקיקה</w:t>
            </w:r>
          </w:p>
          <w:p w14:paraId="1FA7EAB4" w14:textId="77777777" w:rsidR="008954D9" w:rsidRPr="00BB2FA5" w:rsidRDefault="008954D9" w:rsidP="00F57D8E">
            <w:pPr>
              <w:pStyle w:val="a3"/>
              <w:rPr>
                <w:rFonts w:cs="FrankRuehl"/>
                <w:sz w:val="28"/>
                <w:szCs w:val="28"/>
                <w:rtl/>
              </w:rPr>
            </w:pPr>
          </w:p>
        </w:tc>
        <w:tc>
          <w:tcPr>
            <w:tcW w:w="3667" w:type="dxa"/>
          </w:tcPr>
          <w:p w14:paraId="07E3BE01" w14:textId="77777777" w:rsidR="008954D9" w:rsidRPr="00BB2FA5" w:rsidRDefault="008954D9" w:rsidP="00F57D8E">
            <w:pPr>
              <w:pStyle w:val="a3"/>
              <w:jc w:val="right"/>
              <w:rPr>
                <w:rFonts w:cs="FrankRuehl"/>
                <w:sz w:val="28"/>
                <w:szCs w:val="28"/>
                <w:rtl/>
              </w:rPr>
            </w:pPr>
          </w:p>
        </w:tc>
      </w:tr>
    </w:tbl>
    <w:p w14:paraId="70E44D17" w14:textId="77777777" w:rsidR="008954D9" w:rsidRPr="00BB2FA5" w:rsidRDefault="008954D9" w:rsidP="00076A12">
      <w:pPr>
        <w:pStyle w:val="a3"/>
        <w:rPr>
          <w:rtl/>
        </w:rPr>
      </w:pPr>
      <w:r w:rsidRPr="00BB2FA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492"/>
        <w:gridCol w:w="3405"/>
      </w:tblGrid>
      <w:tr w:rsidR="008954D9" w:rsidRPr="00BB2FA5" w14:paraId="02443FAD" w14:textId="77777777" w:rsidTr="008954D9">
        <w:trPr>
          <w:trHeight w:val="295"/>
          <w:jc w:val="center"/>
        </w:trPr>
        <w:tc>
          <w:tcPr>
            <w:tcW w:w="923" w:type="dxa"/>
            <w:tcBorders>
              <w:top w:val="nil"/>
              <w:left w:val="nil"/>
              <w:bottom w:val="nil"/>
              <w:right w:val="nil"/>
            </w:tcBorders>
            <w:shd w:val="clear" w:color="auto" w:fill="auto"/>
          </w:tcPr>
          <w:p w14:paraId="016E5EE6" w14:textId="77777777" w:rsidR="008954D9" w:rsidRPr="00BB2FA5" w:rsidRDefault="008954D9" w:rsidP="008954D9">
            <w:pPr>
              <w:jc w:val="both"/>
              <w:rPr>
                <w:rFonts w:ascii="FrankRuehl" w:hAnsi="FrankRuehl" w:cs="FrankRuehl"/>
                <w:b/>
                <w:bCs/>
                <w:sz w:val="28"/>
                <w:szCs w:val="28"/>
              </w:rPr>
            </w:pPr>
            <w:r w:rsidRPr="00BB2FA5">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023B54A2" w14:textId="77777777" w:rsidR="008954D9" w:rsidRPr="00BB2FA5" w:rsidRDefault="008954D9" w:rsidP="00F57D8E">
            <w:pPr>
              <w:rPr>
                <w:rFonts w:ascii="FrankRuehl" w:hAnsi="FrankRuehl" w:cs="FrankRuehl"/>
                <w:b/>
                <w:bCs/>
                <w:sz w:val="28"/>
                <w:szCs w:val="28"/>
                <w:rtl/>
              </w:rPr>
            </w:pPr>
            <w:r w:rsidRPr="00BB2FA5">
              <w:rPr>
                <w:rFonts w:ascii="FrankRuehl" w:hAnsi="FrankRuehl" w:cs="FrankRuehl"/>
                <w:b/>
                <w:bCs/>
                <w:sz w:val="28"/>
                <w:szCs w:val="28"/>
                <w:rtl/>
              </w:rPr>
              <w:t>כבוד השופט  דוד שאול גבאי ריכטר</w:t>
            </w:r>
          </w:p>
          <w:p w14:paraId="392A6B5F" w14:textId="77777777" w:rsidR="008954D9" w:rsidRPr="00BB2FA5" w:rsidRDefault="008954D9" w:rsidP="00F57D8E">
            <w:pPr>
              <w:rPr>
                <w:rFonts w:ascii="FrankRuehl" w:hAnsi="FrankRuehl" w:cs="FrankRuehl"/>
                <w:b/>
                <w:bCs/>
                <w:sz w:val="28"/>
                <w:szCs w:val="28"/>
                <w:rtl/>
              </w:rPr>
            </w:pPr>
          </w:p>
          <w:p w14:paraId="2B65FA68" w14:textId="77777777" w:rsidR="008954D9" w:rsidRPr="00BB2FA5" w:rsidRDefault="008954D9" w:rsidP="008954D9">
            <w:pPr>
              <w:jc w:val="both"/>
              <w:rPr>
                <w:rFonts w:ascii="FrankRuehl" w:hAnsi="FrankRuehl" w:cs="FrankRuehl"/>
                <w:b/>
                <w:bCs/>
                <w:sz w:val="28"/>
                <w:szCs w:val="28"/>
              </w:rPr>
            </w:pPr>
          </w:p>
        </w:tc>
      </w:tr>
      <w:tr w:rsidR="008954D9" w:rsidRPr="00BB2FA5" w14:paraId="32F17336" w14:textId="77777777" w:rsidTr="008954D9">
        <w:trPr>
          <w:trHeight w:val="355"/>
          <w:jc w:val="center"/>
        </w:trPr>
        <w:tc>
          <w:tcPr>
            <w:tcW w:w="923" w:type="dxa"/>
            <w:tcBorders>
              <w:top w:val="nil"/>
              <w:left w:val="nil"/>
              <w:bottom w:val="nil"/>
              <w:right w:val="nil"/>
            </w:tcBorders>
            <w:shd w:val="clear" w:color="auto" w:fill="auto"/>
          </w:tcPr>
          <w:p w14:paraId="0F4B85CD" w14:textId="77777777" w:rsidR="008954D9" w:rsidRPr="00BB2FA5" w:rsidRDefault="008954D9" w:rsidP="008954D9">
            <w:pPr>
              <w:jc w:val="both"/>
              <w:rPr>
                <w:rFonts w:ascii="FrankRuehl" w:hAnsi="FrankRuehl" w:cs="FrankRuehl"/>
                <w:b/>
                <w:bCs/>
                <w:sz w:val="28"/>
                <w:szCs w:val="28"/>
              </w:rPr>
            </w:pPr>
            <w:bookmarkStart w:id="2" w:name="FirstAppellant"/>
            <w:r w:rsidRPr="00BB2FA5">
              <w:rPr>
                <w:rFonts w:ascii="FrankRuehl" w:hAnsi="FrankRuehl" w:cs="FrankRuehl"/>
                <w:b/>
                <w:bCs/>
                <w:sz w:val="28"/>
                <w:szCs w:val="28"/>
                <w:rtl/>
              </w:rPr>
              <w:t>בעניין:</w:t>
            </w:r>
          </w:p>
        </w:tc>
        <w:tc>
          <w:tcPr>
            <w:tcW w:w="4492" w:type="dxa"/>
            <w:tcBorders>
              <w:top w:val="nil"/>
              <w:left w:val="nil"/>
              <w:bottom w:val="nil"/>
              <w:right w:val="nil"/>
            </w:tcBorders>
            <w:shd w:val="clear" w:color="auto" w:fill="auto"/>
          </w:tcPr>
          <w:p w14:paraId="5F58B48F" w14:textId="77777777" w:rsidR="008954D9" w:rsidRPr="00BB2FA5" w:rsidRDefault="008954D9" w:rsidP="00F57D8E">
            <w:pPr>
              <w:rPr>
                <w:rFonts w:ascii="FrankRuehl" w:hAnsi="FrankRuehl" w:cs="FrankRuehl"/>
                <w:b/>
                <w:bCs/>
                <w:sz w:val="28"/>
                <w:szCs w:val="28"/>
              </w:rPr>
            </w:pPr>
            <w:r w:rsidRPr="00BB2FA5">
              <w:rPr>
                <w:rFonts w:ascii="FrankRuehl" w:hAnsi="FrankRuehl" w:cs="FrankRuehl"/>
                <w:b/>
                <w:bCs/>
                <w:sz w:val="28"/>
                <w:szCs w:val="28"/>
                <w:rtl/>
              </w:rPr>
              <w:t>מדינת ישראל</w:t>
            </w:r>
            <w:r w:rsidRPr="00BB2FA5">
              <w:rPr>
                <w:rFonts w:ascii="FrankRuehl" w:hAnsi="FrankRuehl" w:cs="FrankRuehl"/>
                <w:b/>
                <w:bCs/>
                <w:sz w:val="28"/>
                <w:szCs w:val="28"/>
                <w:rtl/>
              </w:rPr>
              <w:br/>
              <w:t xml:space="preserve">ע"י </w:t>
            </w:r>
            <w:r w:rsidRPr="00BB2FA5">
              <w:rPr>
                <w:rFonts w:ascii="FrankRuehl" w:hAnsi="FrankRuehl" w:cs="FrankRuehl" w:hint="cs"/>
                <w:b/>
                <w:bCs/>
                <w:sz w:val="28"/>
                <w:szCs w:val="28"/>
                <w:rtl/>
              </w:rPr>
              <w:t xml:space="preserve">ב"כ עו"ד מאיר לוברבאום </w:t>
            </w:r>
            <w:r w:rsidRPr="00BB2FA5">
              <w:rPr>
                <w:rFonts w:ascii="FrankRuehl" w:hAnsi="FrankRuehl" w:cs="FrankRuehl"/>
                <w:b/>
                <w:bCs/>
                <w:sz w:val="28"/>
                <w:szCs w:val="28"/>
                <w:rtl/>
              </w:rPr>
              <w:t>תביעות ירושלים</w:t>
            </w:r>
          </w:p>
        </w:tc>
        <w:tc>
          <w:tcPr>
            <w:tcW w:w="3405" w:type="dxa"/>
            <w:tcBorders>
              <w:top w:val="nil"/>
              <w:left w:val="nil"/>
              <w:bottom w:val="nil"/>
              <w:right w:val="nil"/>
            </w:tcBorders>
            <w:shd w:val="clear" w:color="auto" w:fill="auto"/>
          </w:tcPr>
          <w:p w14:paraId="6913AD6F" w14:textId="77777777" w:rsidR="008954D9" w:rsidRPr="00BB2FA5" w:rsidRDefault="008954D9" w:rsidP="008954D9">
            <w:pPr>
              <w:jc w:val="both"/>
              <w:rPr>
                <w:rFonts w:ascii="FrankRuehl" w:hAnsi="FrankRuehl" w:cs="FrankRuehl"/>
                <w:b/>
                <w:bCs/>
                <w:sz w:val="28"/>
                <w:szCs w:val="28"/>
              </w:rPr>
            </w:pPr>
          </w:p>
        </w:tc>
      </w:tr>
      <w:bookmarkEnd w:id="2"/>
      <w:tr w:rsidR="008954D9" w:rsidRPr="00BB2FA5" w14:paraId="5CD5D6B2" w14:textId="77777777" w:rsidTr="008954D9">
        <w:trPr>
          <w:trHeight w:val="355"/>
          <w:jc w:val="center"/>
        </w:trPr>
        <w:tc>
          <w:tcPr>
            <w:tcW w:w="923" w:type="dxa"/>
            <w:tcBorders>
              <w:top w:val="nil"/>
              <w:left w:val="nil"/>
              <w:bottom w:val="nil"/>
              <w:right w:val="nil"/>
            </w:tcBorders>
            <w:shd w:val="clear" w:color="auto" w:fill="auto"/>
          </w:tcPr>
          <w:p w14:paraId="73DDAA11" w14:textId="77777777" w:rsidR="008954D9" w:rsidRPr="00BB2FA5" w:rsidRDefault="008954D9" w:rsidP="008954D9">
            <w:pPr>
              <w:jc w:val="both"/>
              <w:rPr>
                <w:rFonts w:ascii="FrankRuehl" w:hAnsi="FrankRuehl" w:cs="FrankRuehl"/>
                <w:b/>
                <w:bCs/>
                <w:sz w:val="28"/>
                <w:szCs w:val="28"/>
                <w:rtl/>
              </w:rPr>
            </w:pPr>
          </w:p>
        </w:tc>
        <w:tc>
          <w:tcPr>
            <w:tcW w:w="4492" w:type="dxa"/>
            <w:tcBorders>
              <w:top w:val="nil"/>
              <w:left w:val="nil"/>
              <w:bottom w:val="nil"/>
              <w:right w:val="nil"/>
            </w:tcBorders>
            <w:shd w:val="clear" w:color="auto" w:fill="auto"/>
          </w:tcPr>
          <w:p w14:paraId="19D24B02" w14:textId="77777777" w:rsidR="008954D9" w:rsidRPr="00BB2FA5" w:rsidRDefault="008954D9" w:rsidP="008954D9">
            <w:pPr>
              <w:jc w:val="both"/>
              <w:rPr>
                <w:rFonts w:ascii="FrankRuehl" w:hAnsi="FrankRuehl" w:cs="FrankRuehl"/>
                <w:b/>
                <w:bCs/>
                <w:sz w:val="28"/>
                <w:szCs w:val="28"/>
                <w:rtl/>
              </w:rPr>
            </w:pPr>
          </w:p>
        </w:tc>
        <w:tc>
          <w:tcPr>
            <w:tcW w:w="3405" w:type="dxa"/>
            <w:tcBorders>
              <w:top w:val="nil"/>
              <w:left w:val="nil"/>
              <w:bottom w:val="nil"/>
              <w:right w:val="nil"/>
            </w:tcBorders>
            <w:shd w:val="clear" w:color="auto" w:fill="auto"/>
          </w:tcPr>
          <w:p w14:paraId="339456E1" w14:textId="77777777" w:rsidR="008954D9" w:rsidRPr="00BB2FA5" w:rsidRDefault="008954D9" w:rsidP="008954D9">
            <w:pPr>
              <w:jc w:val="right"/>
              <w:rPr>
                <w:rFonts w:ascii="FrankRuehl" w:hAnsi="FrankRuehl" w:cs="FrankRuehl"/>
                <w:b/>
                <w:bCs/>
                <w:sz w:val="28"/>
                <w:szCs w:val="28"/>
                <w:rtl/>
              </w:rPr>
            </w:pPr>
            <w:r w:rsidRPr="00BB2FA5">
              <w:rPr>
                <w:rFonts w:ascii="FrankRuehl" w:hAnsi="FrankRuehl" w:cs="FrankRuehl"/>
                <w:b/>
                <w:bCs/>
                <w:sz w:val="28"/>
                <w:szCs w:val="28"/>
                <w:rtl/>
              </w:rPr>
              <w:t>המאשימה</w:t>
            </w:r>
          </w:p>
        </w:tc>
      </w:tr>
      <w:tr w:rsidR="008954D9" w:rsidRPr="00BB2FA5" w14:paraId="5C48A548" w14:textId="77777777" w:rsidTr="008954D9">
        <w:trPr>
          <w:trHeight w:val="355"/>
          <w:jc w:val="center"/>
        </w:trPr>
        <w:tc>
          <w:tcPr>
            <w:tcW w:w="923" w:type="dxa"/>
            <w:tcBorders>
              <w:top w:val="nil"/>
              <w:left w:val="nil"/>
              <w:bottom w:val="nil"/>
              <w:right w:val="nil"/>
            </w:tcBorders>
            <w:shd w:val="clear" w:color="auto" w:fill="auto"/>
          </w:tcPr>
          <w:p w14:paraId="129A4628" w14:textId="77777777" w:rsidR="008954D9" w:rsidRPr="00BB2FA5" w:rsidRDefault="008954D9" w:rsidP="008954D9">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438217B1" w14:textId="77777777" w:rsidR="008954D9" w:rsidRPr="00BB2FA5" w:rsidRDefault="008954D9" w:rsidP="008954D9">
            <w:pPr>
              <w:jc w:val="center"/>
              <w:rPr>
                <w:rFonts w:ascii="FrankRuehl" w:hAnsi="FrankRuehl" w:cs="FrankRuehl"/>
                <w:b/>
                <w:bCs/>
                <w:sz w:val="28"/>
                <w:szCs w:val="28"/>
                <w:rtl/>
              </w:rPr>
            </w:pPr>
          </w:p>
          <w:p w14:paraId="70D3ACC0" w14:textId="77777777" w:rsidR="008954D9" w:rsidRPr="00BB2FA5" w:rsidRDefault="008954D9" w:rsidP="008954D9">
            <w:pPr>
              <w:jc w:val="center"/>
              <w:rPr>
                <w:rFonts w:ascii="FrankRuehl" w:hAnsi="FrankRuehl" w:cs="FrankRuehl"/>
                <w:b/>
                <w:bCs/>
                <w:sz w:val="28"/>
                <w:szCs w:val="28"/>
                <w:rtl/>
              </w:rPr>
            </w:pPr>
            <w:r w:rsidRPr="00BB2FA5">
              <w:rPr>
                <w:rFonts w:ascii="FrankRuehl" w:hAnsi="FrankRuehl" w:cs="FrankRuehl"/>
                <w:b/>
                <w:bCs/>
                <w:sz w:val="28"/>
                <w:szCs w:val="28"/>
                <w:rtl/>
              </w:rPr>
              <w:t>נגד</w:t>
            </w:r>
          </w:p>
          <w:p w14:paraId="03973E96" w14:textId="77777777" w:rsidR="008954D9" w:rsidRPr="00BB2FA5" w:rsidRDefault="008954D9" w:rsidP="008954D9">
            <w:pPr>
              <w:jc w:val="both"/>
              <w:rPr>
                <w:rFonts w:ascii="FrankRuehl" w:hAnsi="FrankRuehl" w:cs="FrankRuehl"/>
                <w:b/>
                <w:bCs/>
                <w:sz w:val="28"/>
                <w:szCs w:val="28"/>
              </w:rPr>
            </w:pPr>
          </w:p>
        </w:tc>
      </w:tr>
      <w:tr w:rsidR="008954D9" w:rsidRPr="00BB2FA5" w14:paraId="5FF31FD7" w14:textId="77777777" w:rsidTr="008954D9">
        <w:trPr>
          <w:trHeight w:val="355"/>
          <w:jc w:val="center"/>
        </w:trPr>
        <w:tc>
          <w:tcPr>
            <w:tcW w:w="923" w:type="dxa"/>
            <w:tcBorders>
              <w:top w:val="nil"/>
              <w:left w:val="nil"/>
              <w:bottom w:val="nil"/>
              <w:right w:val="nil"/>
            </w:tcBorders>
            <w:shd w:val="clear" w:color="auto" w:fill="auto"/>
          </w:tcPr>
          <w:p w14:paraId="69F99C1C" w14:textId="77777777" w:rsidR="008954D9" w:rsidRPr="00BB2FA5" w:rsidRDefault="008954D9" w:rsidP="00F57D8E">
            <w:pPr>
              <w:rPr>
                <w:rFonts w:ascii="FrankRuehl" w:hAnsi="FrankRuehl" w:cs="FrankRuehl"/>
                <w:b/>
                <w:bCs/>
                <w:sz w:val="28"/>
                <w:szCs w:val="28"/>
                <w:rtl/>
              </w:rPr>
            </w:pPr>
          </w:p>
        </w:tc>
        <w:tc>
          <w:tcPr>
            <w:tcW w:w="4492" w:type="dxa"/>
            <w:tcBorders>
              <w:top w:val="nil"/>
              <w:left w:val="nil"/>
              <w:bottom w:val="nil"/>
              <w:right w:val="nil"/>
            </w:tcBorders>
            <w:shd w:val="clear" w:color="auto" w:fill="auto"/>
          </w:tcPr>
          <w:p w14:paraId="27E6E006" w14:textId="77777777" w:rsidR="008954D9" w:rsidRPr="00BB2FA5" w:rsidRDefault="008954D9" w:rsidP="00F57D8E">
            <w:pPr>
              <w:rPr>
                <w:rFonts w:ascii="FrankRuehl" w:hAnsi="FrankRuehl" w:cs="FrankRuehl"/>
                <w:b/>
                <w:bCs/>
                <w:sz w:val="28"/>
                <w:szCs w:val="28"/>
                <w:rtl/>
              </w:rPr>
            </w:pPr>
            <w:r w:rsidRPr="00BB2FA5">
              <w:rPr>
                <w:rFonts w:ascii="FrankRuehl" w:hAnsi="FrankRuehl" w:cs="FrankRuehl"/>
                <w:b/>
                <w:bCs/>
                <w:sz w:val="28"/>
                <w:szCs w:val="28"/>
                <w:rtl/>
              </w:rPr>
              <w:t>סלמאן אבו זקיקה</w:t>
            </w:r>
            <w:r w:rsidRPr="00BB2FA5">
              <w:rPr>
                <w:rFonts w:ascii="FrankRuehl" w:hAnsi="FrankRuehl" w:cs="FrankRuehl"/>
                <w:b/>
                <w:bCs/>
                <w:sz w:val="28"/>
                <w:szCs w:val="28"/>
                <w:rtl/>
              </w:rPr>
              <w:br/>
              <w:t>ע"י ב"כ עוה"ד פיראס דראושה</w:t>
            </w:r>
          </w:p>
        </w:tc>
        <w:tc>
          <w:tcPr>
            <w:tcW w:w="3405" w:type="dxa"/>
            <w:tcBorders>
              <w:top w:val="nil"/>
              <w:left w:val="nil"/>
              <w:bottom w:val="nil"/>
              <w:right w:val="nil"/>
            </w:tcBorders>
            <w:shd w:val="clear" w:color="auto" w:fill="auto"/>
          </w:tcPr>
          <w:p w14:paraId="5F2D17B3" w14:textId="77777777" w:rsidR="008954D9" w:rsidRPr="00BB2FA5" w:rsidRDefault="008954D9" w:rsidP="008954D9">
            <w:pPr>
              <w:jc w:val="right"/>
              <w:rPr>
                <w:rFonts w:ascii="FrankRuehl" w:hAnsi="FrankRuehl" w:cs="FrankRuehl"/>
                <w:b/>
                <w:bCs/>
                <w:sz w:val="28"/>
                <w:szCs w:val="28"/>
              </w:rPr>
            </w:pPr>
          </w:p>
        </w:tc>
      </w:tr>
      <w:tr w:rsidR="008954D9" w:rsidRPr="00BB2FA5" w14:paraId="41B54305" w14:textId="77777777" w:rsidTr="008954D9">
        <w:trPr>
          <w:trHeight w:val="355"/>
          <w:jc w:val="center"/>
        </w:trPr>
        <w:tc>
          <w:tcPr>
            <w:tcW w:w="923" w:type="dxa"/>
            <w:tcBorders>
              <w:top w:val="nil"/>
              <w:left w:val="nil"/>
              <w:bottom w:val="nil"/>
              <w:right w:val="nil"/>
            </w:tcBorders>
            <w:shd w:val="clear" w:color="auto" w:fill="auto"/>
          </w:tcPr>
          <w:p w14:paraId="0D1977F0" w14:textId="77777777" w:rsidR="008954D9" w:rsidRPr="00BB2FA5" w:rsidRDefault="008954D9" w:rsidP="008954D9">
            <w:pPr>
              <w:jc w:val="both"/>
              <w:rPr>
                <w:rFonts w:ascii="FrankRuehl" w:hAnsi="FrankRuehl" w:cs="FrankRuehl"/>
                <w:b/>
                <w:bCs/>
                <w:sz w:val="28"/>
                <w:szCs w:val="28"/>
                <w:rtl/>
              </w:rPr>
            </w:pPr>
          </w:p>
        </w:tc>
        <w:tc>
          <w:tcPr>
            <w:tcW w:w="4492" w:type="dxa"/>
            <w:tcBorders>
              <w:top w:val="nil"/>
              <w:left w:val="nil"/>
              <w:bottom w:val="nil"/>
              <w:right w:val="nil"/>
            </w:tcBorders>
            <w:shd w:val="clear" w:color="auto" w:fill="auto"/>
          </w:tcPr>
          <w:p w14:paraId="251AFD31" w14:textId="77777777" w:rsidR="008954D9" w:rsidRPr="00BB2FA5" w:rsidRDefault="008954D9" w:rsidP="008954D9">
            <w:pPr>
              <w:jc w:val="both"/>
              <w:rPr>
                <w:rFonts w:ascii="FrankRuehl" w:hAnsi="FrankRuehl" w:cs="FrankRuehl"/>
                <w:b/>
                <w:bCs/>
                <w:sz w:val="28"/>
                <w:szCs w:val="28"/>
                <w:rtl/>
              </w:rPr>
            </w:pPr>
          </w:p>
        </w:tc>
        <w:tc>
          <w:tcPr>
            <w:tcW w:w="3405" w:type="dxa"/>
            <w:tcBorders>
              <w:top w:val="nil"/>
              <w:left w:val="nil"/>
              <w:bottom w:val="nil"/>
              <w:right w:val="nil"/>
            </w:tcBorders>
            <w:shd w:val="clear" w:color="auto" w:fill="auto"/>
          </w:tcPr>
          <w:p w14:paraId="177013D3" w14:textId="77777777" w:rsidR="008954D9" w:rsidRPr="00BB2FA5" w:rsidRDefault="008954D9" w:rsidP="008954D9">
            <w:pPr>
              <w:jc w:val="right"/>
              <w:rPr>
                <w:rFonts w:ascii="FrankRuehl" w:hAnsi="FrankRuehl" w:cs="FrankRuehl"/>
                <w:b/>
                <w:bCs/>
                <w:sz w:val="28"/>
                <w:szCs w:val="28"/>
              </w:rPr>
            </w:pPr>
            <w:r w:rsidRPr="00BB2FA5">
              <w:rPr>
                <w:rFonts w:ascii="FrankRuehl" w:hAnsi="FrankRuehl" w:cs="FrankRuehl"/>
                <w:b/>
                <w:bCs/>
                <w:sz w:val="28"/>
                <w:szCs w:val="28"/>
                <w:rtl/>
              </w:rPr>
              <w:t>הנאשם</w:t>
            </w:r>
          </w:p>
        </w:tc>
      </w:tr>
    </w:tbl>
    <w:p w14:paraId="61D8E796" w14:textId="77777777" w:rsidR="00076A12" w:rsidRDefault="00076A12" w:rsidP="00BB2FA5">
      <w:pPr>
        <w:rPr>
          <w:rFonts w:ascii="FrankRuehl" w:hAnsi="FrankRuehl" w:cs="FrankRuehl"/>
          <w:sz w:val="28"/>
          <w:szCs w:val="28"/>
          <w:rtl/>
        </w:rPr>
      </w:pPr>
    </w:p>
    <w:p w14:paraId="59395E5A" w14:textId="77777777" w:rsidR="00076A12" w:rsidRPr="00076A12" w:rsidRDefault="00076A12" w:rsidP="00076A12">
      <w:pPr>
        <w:spacing w:after="120" w:line="240" w:lineRule="exact"/>
        <w:ind w:left="283" w:hanging="283"/>
        <w:jc w:val="both"/>
        <w:rPr>
          <w:rFonts w:ascii="FrankRuehl" w:hAnsi="FrankRuehl" w:cs="FrankRuehl"/>
          <w:rtl/>
        </w:rPr>
      </w:pPr>
    </w:p>
    <w:p w14:paraId="08E57C03" w14:textId="77777777" w:rsidR="00436E6E" w:rsidRPr="00436E6E" w:rsidRDefault="00436E6E" w:rsidP="00436E6E">
      <w:pPr>
        <w:spacing w:before="120" w:after="120" w:line="240" w:lineRule="exact"/>
        <w:ind w:left="283" w:hanging="283"/>
        <w:jc w:val="both"/>
        <w:rPr>
          <w:rFonts w:ascii="FrankRuehl" w:hAnsi="FrankRuehl" w:cs="FrankRuehl"/>
          <w:rtl/>
        </w:rPr>
      </w:pPr>
    </w:p>
    <w:p w14:paraId="66D34658" w14:textId="77777777" w:rsidR="006D7576" w:rsidRDefault="006D7576" w:rsidP="006D7576">
      <w:pPr>
        <w:rPr>
          <w:rFonts w:ascii="FrankRuehl" w:hAnsi="FrankRuehl" w:cs="FrankRuehl"/>
          <w:sz w:val="28"/>
          <w:szCs w:val="28"/>
          <w:rtl/>
        </w:rPr>
      </w:pPr>
      <w:bookmarkStart w:id="3" w:name="LawTable"/>
      <w:bookmarkEnd w:id="3"/>
    </w:p>
    <w:p w14:paraId="523E9434" w14:textId="77777777" w:rsidR="006D7576" w:rsidRPr="006D7576" w:rsidRDefault="006D7576" w:rsidP="006D7576">
      <w:pPr>
        <w:spacing w:before="120" w:after="120" w:line="240" w:lineRule="exact"/>
        <w:ind w:left="283" w:hanging="283"/>
        <w:jc w:val="both"/>
        <w:rPr>
          <w:rFonts w:ascii="FrankRuehl" w:hAnsi="FrankRuehl" w:cs="FrankRuehl"/>
          <w:rtl/>
        </w:rPr>
      </w:pPr>
    </w:p>
    <w:p w14:paraId="45C880DB" w14:textId="77777777" w:rsidR="006D7576" w:rsidRPr="006D7576" w:rsidRDefault="006D7576" w:rsidP="006D7576">
      <w:pPr>
        <w:spacing w:before="120" w:after="120" w:line="240" w:lineRule="exact"/>
        <w:ind w:left="283" w:hanging="283"/>
        <w:jc w:val="both"/>
        <w:rPr>
          <w:rFonts w:ascii="FrankRuehl" w:hAnsi="FrankRuehl" w:cs="FrankRuehl"/>
          <w:rtl/>
        </w:rPr>
      </w:pPr>
    </w:p>
    <w:p w14:paraId="380435F7" w14:textId="77777777" w:rsidR="006D7576" w:rsidRPr="006D7576" w:rsidRDefault="006D7576" w:rsidP="006D7576">
      <w:pPr>
        <w:spacing w:before="120" w:after="120" w:line="240" w:lineRule="exact"/>
        <w:ind w:left="283" w:hanging="283"/>
        <w:jc w:val="both"/>
        <w:rPr>
          <w:rFonts w:ascii="FrankRuehl" w:hAnsi="FrankRuehl" w:cs="FrankRuehl"/>
          <w:rtl/>
        </w:rPr>
      </w:pPr>
      <w:r w:rsidRPr="006D7576">
        <w:rPr>
          <w:rFonts w:ascii="FrankRuehl" w:hAnsi="FrankRuehl" w:cs="FrankRuehl"/>
          <w:rtl/>
        </w:rPr>
        <w:t xml:space="preserve">חקיקה שאוזכרה: </w:t>
      </w:r>
    </w:p>
    <w:p w14:paraId="1497077F" w14:textId="77777777" w:rsidR="006D7576" w:rsidRPr="006D7576" w:rsidRDefault="006D7576" w:rsidP="006D7576">
      <w:pPr>
        <w:spacing w:before="120" w:after="120" w:line="240" w:lineRule="exact"/>
        <w:ind w:left="283" w:hanging="283"/>
        <w:jc w:val="both"/>
        <w:rPr>
          <w:rFonts w:ascii="FrankRuehl" w:hAnsi="FrankRuehl" w:cs="FrankRuehl"/>
          <w:rtl/>
        </w:rPr>
      </w:pPr>
      <w:hyperlink r:id="rId7" w:history="1">
        <w:r w:rsidRPr="006D7576">
          <w:rPr>
            <w:rFonts w:ascii="FrankRuehl" w:hAnsi="FrankRuehl" w:cs="FrankRuehl"/>
            <w:color w:val="0000FF"/>
            <w:rtl/>
          </w:rPr>
          <w:t>פקודת הסמים המסוכנים [נוסח חדש], תשל"ג-1973</w:t>
        </w:r>
      </w:hyperlink>
      <w:r w:rsidRPr="006D7576">
        <w:rPr>
          <w:rFonts w:ascii="FrankRuehl" w:hAnsi="FrankRuehl" w:cs="FrankRuehl"/>
          <w:rtl/>
        </w:rPr>
        <w:t xml:space="preserve">: סע'  </w:t>
      </w:r>
      <w:hyperlink r:id="rId8" w:history="1">
        <w:r w:rsidRPr="006D7576">
          <w:rPr>
            <w:rFonts w:ascii="FrankRuehl" w:hAnsi="FrankRuehl" w:cs="FrankRuehl"/>
            <w:color w:val="0000FF"/>
            <w:rtl/>
          </w:rPr>
          <w:t>7(א)</w:t>
        </w:r>
      </w:hyperlink>
      <w:r w:rsidRPr="006D7576">
        <w:rPr>
          <w:rFonts w:ascii="FrankRuehl" w:hAnsi="FrankRuehl" w:cs="FrankRuehl"/>
          <w:rtl/>
        </w:rPr>
        <w:t xml:space="preserve">, </w:t>
      </w:r>
      <w:hyperlink r:id="rId9" w:history="1">
        <w:r w:rsidRPr="006D7576">
          <w:rPr>
            <w:rFonts w:ascii="FrankRuehl" w:hAnsi="FrankRuehl" w:cs="FrankRuehl"/>
            <w:color w:val="0000FF"/>
            <w:rtl/>
          </w:rPr>
          <w:t>7(ג)</w:t>
        </w:r>
      </w:hyperlink>
    </w:p>
    <w:p w14:paraId="0107408C" w14:textId="77777777" w:rsidR="006D7576" w:rsidRPr="006D7576" w:rsidRDefault="006D7576" w:rsidP="006D7576">
      <w:pPr>
        <w:spacing w:before="120" w:after="120" w:line="240" w:lineRule="exact"/>
        <w:ind w:left="283" w:hanging="283"/>
        <w:jc w:val="both"/>
        <w:rPr>
          <w:rFonts w:ascii="FrankRuehl" w:hAnsi="FrankRuehl" w:cs="FrankRuehl"/>
          <w:rtl/>
        </w:rPr>
      </w:pPr>
      <w:hyperlink r:id="rId10" w:history="1">
        <w:r w:rsidRPr="006D7576">
          <w:rPr>
            <w:rFonts w:ascii="FrankRuehl" w:hAnsi="FrankRuehl" w:cs="FrankRuehl"/>
            <w:color w:val="0000FF"/>
            <w:rtl/>
          </w:rPr>
          <w:t>חוק העונשין, תשל"ז-1977</w:t>
        </w:r>
      </w:hyperlink>
      <w:r w:rsidRPr="006D7576">
        <w:rPr>
          <w:rFonts w:ascii="FrankRuehl" w:hAnsi="FrankRuehl" w:cs="FrankRuehl"/>
          <w:rtl/>
        </w:rPr>
        <w:t xml:space="preserve">: סע'  </w:t>
      </w:r>
      <w:hyperlink r:id="rId11" w:history="1">
        <w:r w:rsidRPr="006D7576">
          <w:rPr>
            <w:rFonts w:ascii="FrankRuehl" w:hAnsi="FrankRuehl" w:cs="FrankRuehl"/>
            <w:color w:val="0000FF"/>
            <w:rtl/>
          </w:rPr>
          <w:t>40ט'</w:t>
        </w:r>
      </w:hyperlink>
      <w:r w:rsidRPr="006D7576">
        <w:rPr>
          <w:rFonts w:ascii="FrankRuehl" w:hAnsi="FrankRuehl" w:cs="FrankRuehl"/>
          <w:rtl/>
        </w:rPr>
        <w:t xml:space="preserve">, </w:t>
      </w:r>
      <w:hyperlink r:id="rId12" w:history="1">
        <w:r w:rsidRPr="006D7576">
          <w:rPr>
            <w:rFonts w:ascii="FrankRuehl" w:hAnsi="FrankRuehl" w:cs="FrankRuehl"/>
            <w:color w:val="0000FF"/>
            <w:rtl/>
          </w:rPr>
          <w:t>40יא</w:t>
        </w:r>
      </w:hyperlink>
    </w:p>
    <w:p w14:paraId="0E43F130" w14:textId="77777777" w:rsidR="006D7576" w:rsidRPr="006D7576" w:rsidRDefault="006D7576" w:rsidP="006D7576">
      <w:pPr>
        <w:rPr>
          <w:rFonts w:ascii="FrankRuehl" w:hAnsi="FrankRuehl" w:cs="FrankRuehl"/>
          <w:sz w:val="28"/>
          <w:szCs w:val="28"/>
          <w:rtl/>
        </w:rPr>
      </w:pPr>
      <w:bookmarkStart w:id="4" w:name="LawTable_End"/>
      <w:bookmarkEnd w:id="4"/>
    </w:p>
    <w:p w14:paraId="5F886600" w14:textId="77777777" w:rsidR="008954D9" w:rsidRPr="00436E6E" w:rsidRDefault="008954D9" w:rsidP="00436E6E">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54D9" w:rsidRPr="00E10B4E" w14:paraId="3B886315" w14:textId="77777777" w:rsidTr="008954D9">
        <w:trPr>
          <w:trHeight w:val="74"/>
          <w:jc w:val="center"/>
        </w:trPr>
        <w:tc>
          <w:tcPr>
            <w:tcW w:w="8820" w:type="dxa"/>
            <w:tcBorders>
              <w:top w:val="nil"/>
              <w:left w:val="nil"/>
              <w:bottom w:val="nil"/>
              <w:right w:val="nil"/>
            </w:tcBorders>
            <w:shd w:val="clear" w:color="auto" w:fill="auto"/>
          </w:tcPr>
          <w:p w14:paraId="0EBDEFBF" w14:textId="77777777" w:rsidR="00BB2FA5" w:rsidRPr="00BB2FA5" w:rsidRDefault="00BB2FA5" w:rsidP="00BB2FA5">
            <w:pPr>
              <w:jc w:val="center"/>
              <w:rPr>
                <w:rFonts w:ascii="FrankRuehl" w:hAnsi="FrankRuehl" w:cs="FrankRuehl"/>
                <w:b/>
                <w:bCs/>
                <w:sz w:val="28"/>
                <w:szCs w:val="28"/>
                <w:u w:val="single"/>
                <w:rtl/>
              </w:rPr>
            </w:pPr>
            <w:bookmarkStart w:id="5" w:name="PsakDin" w:colFirst="0" w:colLast="0"/>
            <w:bookmarkEnd w:id="0"/>
            <w:bookmarkEnd w:id="1"/>
            <w:r w:rsidRPr="00BB2FA5">
              <w:rPr>
                <w:rFonts w:ascii="FrankRuehl" w:hAnsi="FrankRuehl" w:cs="FrankRuehl"/>
                <w:b/>
                <w:bCs/>
                <w:sz w:val="28"/>
                <w:szCs w:val="28"/>
                <w:u w:val="single"/>
                <w:rtl/>
              </w:rPr>
              <w:t>גזר דין</w:t>
            </w:r>
          </w:p>
          <w:p w14:paraId="27A3372C" w14:textId="77777777" w:rsidR="008954D9" w:rsidRPr="00BB2FA5" w:rsidRDefault="008954D9" w:rsidP="00BB2FA5">
            <w:pPr>
              <w:jc w:val="center"/>
              <w:rPr>
                <w:rFonts w:ascii="FrankRuehl" w:hAnsi="FrankRuehl" w:cs="FrankRuehl"/>
                <w:b/>
                <w:bCs/>
                <w:sz w:val="28"/>
                <w:szCs w:val="28"/>
                <w:u w:val="single"/>
                <w:rtl/>
              </w:rPr>
            </w:pPr>
          </w:p>
        </w:tc>
      </w:tr>
      <w:bookmarkEnd w:id="5"/>
    </w:tbl>
    <w:p w14:paraId="7A4DFD22" w14:textId="77777777" w:rsidR="008954D9" w:rsidRDefault="008954D9" w:rsidP="008954D9">
      <w:pPr>
        <w:rPr>
          <w:rFonts w:ascii="David" w:hAnsi="David"/>
          <w:sz w:val="26"/>
          <w:szCs w:val="26"/>
          <w:rtl/>
        </w:rPr>
      </w:pPr>
    </w:p>
    <w:p w14:paraId="1CF4FFC2" w14:textId="77777777" w:rsidR="008954D9" w:rsidRDefault="008954D9" w:rsidP="008954D9">
      <w:pPr>
        <w:spacing w:line="360" w:lineRule="auto"/>
        <w:rPr>
          <w:rFonts w:cs="FrankRuehl"/>
          <w:b/>
          <w:bCs/>
          <w:sz w:val="28"/>
          <w:szCs w:val="28"/>
          <w:u w:val="single"/>
        </w:rPr>
      </w:pPr>
      <w:r>
        <w:rPr>
          <w:rFonts w:cs="FrankRuehl"/>
          <w:b/>
          <w:bCs/>
          <w:sz w:val="28"/>
          <w:szCs w:val="28"/>
          <w:u w:val="single"/>
          <w:rtl/>
        </w:rPr>
        <w:t>כתב האישום</w:t>
      </w:r>
    </w:p>
    <w:p w14:paraId="7E04796F" w14:textId="77777777" w:rsidR="008954D9" w:rsidRDefault="008954D9" w:rsidP="008954D9">
      <w:pPr>
        <w:spacing w:line="360" w:lineRule="auto"/>
        <w:jc w:val="both"/>
        <w:rPr>
          <w:rFonts w:cs="FrankRuehl"/>
          <w:sz w:val="28"/>
          <w:szCs w:val="28"/>
          <w:rtl/>
        </w:rPr>
      </w:pPr>
      <w:bookmarkStart w:id="6" w:name="ABSTRACT_START"/>
      <w:bookmarkEnd w:id="6"/>
      <w:r>
        <w:rPr>
          <w:rFonts w:cs="FrankRuehl"/>
          <w:sz w:val="28"/>
          <w:szCs w:val="28"/>
          <w:rtl/>
        </w:rPr>
        <w:t xml:space="preserve">הנאשם הורשע על </w:t>
      </w:r>
      <w:r>
        <w:rPr>
          <w:rFonts w:cs="FrankRuehl" w:hint="cs"/>
          <w:sz w:val="28"/>
          <w:szCs w:val="28"/>
          <w:rtl/>
        </w:rPr>
        <w:t>פי הודאתו, בכתב האישום המתוקן, במסגרת הסדר טיעון, ללא הסכמה עונשית.</w:t>
      </w:r>
    </w:p>
    <w:p w14:paraId="0CB38DDD" w14:textId="77777777" w:rsidR="008954D9" w:rsidRDefault="008954D9" w:rsidP="008954D9">
      <w:pPr>
        <w:spacing w:line="360" w:lineRule="auto"/>
        <w:jc w:val="both"/>
        <w:rPr>
          <w:rFonts w:cs="FrankRuehl"/>
          <w:sz w:val="28"/>
          <w:szCs w:val="28"/>
        </w:rPr>
      </w:pPr>
      <w:r>
        <w:rPr>
          <w:rFonts w:cs="FrankRuehl" w:hint="cs"/>
          <w:sz w:val="28"/>
          <w:szCs w:val="28"/>
          <w:rtl/>
        </w:rPr>
        <w:t xml:space="preserve">על פי עובדות כתב האישום, ביום 1.6.2018, החזיק הנאשם מתחת למושב הנוסע ברכבו, שתי שקיות גדולות המכילות סם מסוג קנבוס במשקל 170 גרם נטו. בגין כך, הורשע הנאשם בעבירה של החזקת סמים שלא לצריכה עצמית, עבירה לפי </w:t>
      </w:r>
      <w:hyperlink r:id="rId13" w:history="1">
        <w:r w:rsidR="00076A12" w:rsidRPr="00076A12">
          <w:rPr>
            <w:rStyle w:val="Hyperlink"/>
            <w:rFonts w:cs="FrankRuehl" w:hint="eastAsia"/>
            <w:sz w:val="28"/>
            <w:szCs w:val="28"/>
            <w:rtl/>
          </w:rPr>
          <w:t>סעיף</w:t>
        </w:r>
        <w:r w:rsidR="00076A12" w:rsidRPr="00076A12">
          <w:rPr>
            <w:rStyle w:val="Hyperlink"/>
            <w:rFonts w:cs="FrankRuehl"/>
            <w:sz w:val="28"/>
            <w:szCs w:val="28"/>
            <w:rtl/>
          </w:rPr>
          <w:t xml:space="preserve"> 7(א)</w:t>
        </w:r>
      </w:hyperlink>
      <w:r>
        <w:rPr>
          <w:rFonts w:cs="FrankRuehl" w:hint="cs"/>
          <w:sz w:val="28"/>
          <w:szCs w:val="28"/>
          <w:rtl/>
        </w:rPr>
        <w:t xml:space="preserve"> ו </w:t>
      </w:r>
      <w:r>
        <w:rPr>
          <w:rFonts w:cs="FrankRuehl"/>
          <w:sz w:val="28"/>
          <w:szCs w:val="28"/>
          <w:rtl/>
        </w:rPr>
        <w:t>–</w:t>
      </w:r>
      <w:r>
        <w:rPr>
          <w:rFonts w:cs="FrankRuehl" w:hint="cs"/>
          <w:sz w:val="28"/>
          <w:szCs w:val="28"/>
          <w:rtl/>
        </w:rPr>
        <w:t xml:space="preserve"> </w:t>
      </w:r>
      <w:hyperlink r:id="rId14" w:history="1">
        <w:r w:rsidR="00076A12" w:rsidRPr="00076A12">
          <w:rPr>
            <w:rStyle w:val="Hyperlink"/>
            <w:rFonts w:cs="FrankRuehl"/>
            <w:sz w:val="28"/>
            <w:szCs w:val="28"/>
            <w:rtl/>
          </w:rPr>
          <w:t>7(ג)</w:t>
        </w:r>
      </w:hyperlink>
      <w:r>
        <w:rPr>
          <w:rFonts w:cs="FrankRuehl" w:hint="cs"/>
          <w:sz w:val="28"/>
          <w:szCs w:val="28"/>
          <w:rtl/>
        </w:rPr>
        <w:t xml:space="preserve"> רישא ל</w:t>
      </w:r>
      <w:hyperlink r:id="rId15" w:history="1">
        <w:r w:rsidR="00BB2FA5" w:rsidRPr="00BB2FA5">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1973. </w:t>
      </w:r>
    </w:p>
    <w:p w14:paraId="5F56188C" w14:textId="77777777" w:rsidR="008954D9" w:rsidRDefault="008954D9" w:rsidP="008954D9">
      <w:pPr>
        <w:spacing w:line="360" w:lineRule="auto"/>
        <w:jc w:val="both"/>
        <w:rPr>
          <w:rFonts w:cs="FrankRuehl"/>
          <w:b/>
          <w:bCs/>
          <w:sz w:val="28"/>
          <w:szCs w:val="28"/>
          <w:u w:val="single"/>
        </w:rPr>
      </w:pPr>
    </w:p>
    <w:p w14:paraId="04F894B8" w14:textId="77777777" w:rsidR="008954D9" w:rsidRDefault="008954D9" w:rsidP="008954D9">
      <w:pPr>
        <w:spacing w:line="360" w:lineRule="auto"/>
        <w:jc w:val="both"/>
        <w:rPr>
          <w:rFonts w:cs="FrankRuehl"/>
          <w:b/>
          <w:bCs/>
          <w:sz w:val="28"/>
          <w:szCs w:val="28"/>
          <w:u w:val="single"/>
        </w:rPr>
      </w:pPr>
      <w:bookmarkStart w:id="7" w:name="ABSTRACT_END"/>
      <w:bookmarkEnd w:id="7"/>
    </w:p>
    <w:p w14:paraId="4F6E12DC" w14:textId="77777777" w:rsidR="008954D9" w:rsidRDefault="008954D9" w:rsidP="008954D9">
      <w:pPr>
        <w:spacing w:line="360" w:lineRule="auto"/>
        <w:jc w:val="both"/>
        <w:rPr>
          <w:rFonts w:cs="FrankRuehl"/>
          <w:b/>
          <w:bCs/>
          <w:sz w:val="28"/>
          <w:szCs w:val="28"/>
          <w:u w:val="single"/>
        </w:rPr>
      </w:pPr>
      <w:r>
        <w:rPr>
          <w:rFonts w:cs="FrankRuehl"/>
          <w:b/>
          <w:bCs/>
          <w:sz w:val="28"/>
          <w:szCs w:val="28"/>
          <w:u w:val="single"/>
          <w:rtl/>
        </w:rPr>
        <w:t>תסקיר שירות המבחן</w:t>
      </w:r>
    </w:p>
    <w:p w14:paraId="4CD66EB8" w14:textId="77777777" w:rsidR="008954D9" w:rsidRDefault="008954D9" w:rsidP="008954D9">
      <w:pPr>
        <w:spacing w:line="360" w:lineRule="auto"/>
        <w:jc w:val="both"/>
        <w:rPr>
          <w:rFonts w:cs="FrankRuehl"/>
          <w:sz w:val="28"/>
          <w:szCs w:val="28"/>
        </w:rPr>
      </w:pPr>
      <w:r>
        <w:rPr>
          <w:rFonts w:cs="FrankRuehl"/>
          <w:sz w:val="28"/>
          <w:szCs w:val="28"/>
          <w:rtl/>
        </w:rPr>
        <w:t>מהתסקיר שהוגש בעניינו של הנאשם עולה</w:t>
      </w:r>
      <w:r>
        <w:rPr>
          <w:rFonts w:cs="FrankRuehl" w:hint="cs"/>
          <w:sz w:val="28"/>
          <w:szCs w:val="28"/>
          <w:rtl/>
        </w:rPr>
        <w:t>, כי הוא בן 27, גרוש, ללא ילדים, מתגורר בבית אמו ועובד כשכיר ארעי בתחום הנגרות. הנאשם סיפר, כי סיים 9 שנות לימוד ונשר מבית הספר בגיל 15. עם סיום לימודיו, עבד בעבודות מזדמנות, עד אשר התגייס לצה"ל בגיל 22. תחילה אמור היה לשרת כנהג תובלה, אך העניין לא צלח, נוכח עבירות תעבורה. אז ניסה הנאשם להשתלב ביחידה בה שירת אביו, אך הדבר הצריך את אישור אמו שסירבה לנוכח אובדן אביו בעת מילוי תפקידו כלוחם. הנאשם סיפר כי אביו, שירת בגדס"ר הבדואי ולאחר מכן כגשש ונפטר בהיותו בן 44 במסגרת מילוי תפקידו, עת היה הנאשם בן 12. מבחינה תעסוקתית, סיפר הנאשם כי השתלב במעגל העבודה בגיל 16 ועבד בעבודות שיפוצים, עד אשר עבר תאונת רכיבה על סוס ונפצע בגבו, מה שמנע ממנו להמשיך לעבוד בתחום. לאחר שחרורו מהצבא עבד בעבודות מזדמנות וכיום כאמור, עובד בתחום הנגרות. הנאשם נעדר עבר פלילי. ביחס לעבירה בה הורשע, סיפר הנאשם כי באותה עת חווה קשיים כלכליים על רקע הלוואה שלווה מחברו. משלא הצליח להחזיר את ההלוואה וחווה איומים מצד המלווה, נתבקש להעביר את הסמים ברכבו ובכך יימחק חובו. שירות המבחן התרשם כי הנאשם קיבל אחריות על מעשיו וכי ביצע את העבירה במודע מבלי לחשוב על חומרת ההשלכות. הנאשם שלל שימוש באלכוהול וסמים ובדיקת שתן שמסר נמצאה נקיה משימוש בסמים. שירות המבחן הציע לנאשם להשתלב בטיפול במסגרתו, אולם הנאשם שלל נזקקות טיפולית. לנוכח האמור, שירות המבחן המליץ להטיל על הנאשם מאסר קצר בעבודות שירות לצד ענישה נלווית.</w:t>
      </w:r>
    </w:p>
    <w:p w14:paraId="596258CA" w14:textId="77777777" w:rsidR="008954D9" w:rsidRDefault="008954D9" w:rsidP="008954D9">
      <w:pPr>
        <w:spacing w:line="360" w:lineRule="auto"/>
        <w:jc w:val="both"/>
        <w:rPr>
          <w:rFonts w:cs="FrankRuehl"/>
          <w:b/>
          <w:bCs/>
          <w:sz w:val="28"/>
          <w:szCs w:val="28"/>
          <w:u w:val="single"/>
        </w:rPr>
      </w:pPr>
    </w:p>
    <w:p w14:paraId="2CF53652" w14:textId="77777777" w:rsidR="008954D9" w:rsidRDefault="008954D9" w:rsidP="008954D9">
      <w:pPr>
        <w:spacing w:line="360" w:lineRule="auto"/>
        <w:jc w:val="both"/>
        <w:rPr>
          <w:rFonts w:cs="FrankRuehl"/>
          <w:b/>
          <w:bCs/>
          <w:sz w:val="28"/>
          <w:szCs w:val="28"/>
          <w:u w:val="single"/>
          <w:rtl/>
        </w:rPr>
      </w:pPr>
      <w:r w:rsidRPr="003E384E">
        <w:rPr>
          <w:rFonts w:cs="FrankRuehl"/>
          <w:b/>
          <w:bCs/>
          <w:sz w:val="28"/>
          <w:szCs w:val="28"/>
          <w:u w:val="single"/>
          <w:rtl/>
        </w:rPr>
        <w:t>חוות דעת של הממונה על עבודות השירות</w:t>
      </w:r>
      <w:r w:rsidRPr="003E384E">
        <w:rPr>
          <w:rFonts w:cs="FrankRuehl" w:hint="cs"/>
          <w:b/>
          <w:bCs/>
          <w:sz w:val="28"/>
          <w:szCs w:val="28"/>
          <w:u w:val="single"/>
          <w:rtl/>
        </w:rPr>
        <w:t xml:space="preserve"> </w:t>
      </w:r>
    </w:p>
    <w:p w14:paraId="5631A1B5" w14:textId="77777777" w:rsidR="008954D9" w:rsidRDefault="008954D9" w:rsidP="008954D9">
      <w:pPr>
        <w:spacing w:line="360" w:lineRule="auto"/>
        <w:jc w:val="both"/>
        <w:rPr>
          <w:rFonts w:cs="FrankRuehl"/>
          <w:sz w:val="28"/>
          <w:szCs w:val="28"/>
          <w:rtl/>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הנאשם נמצא כשיר לבצע עבודות שירות בעיריית דימונה החל מיום 12.12.2022.</w:t>
      </w:r>
    </w:p>
    <w:p w14:paraId="49158641" w14:textId="77777777" w:rsidR="008954D9" w:rsidRDefault="008954D9" w:rsidP="008954D9">
      <w:pPr>
        <w:spacing w:line="360" w:lineRule="auto"/>
        <w:jc w:val="both"/>
        <w:rPr>
          <w:rFonts w:cs="FrankRuehl"/>
          <w:sz w:val="28"/>
          <w:szCs w:val="28"/>
          <w:rtl/>
        </w:rPr>
      </w:pPr>
    </w:p>
    <w:p w14:paraId="59CC3BDC" w14:textId="77777777" w:rsidR="008954D9" w:rsidRDefault="008954D9" w:rsidP="008954D9">
      <w:pPr>
        <w:spacing w:line="360" w:lineRule="auto"/>
        <w:jc w:val="both"/>
        <w:rPr>
          <w:rFonts w:cs="FrankRuehl"/>
          <w:sz w:val="28"/>
          <w:szCs w:val="28"/>
          <w:rtl/>
        </w:rPr>
      </w:pPr>
    </w:p>
    <w:p w14:paraId="0B21555F" w14:textId="77777777" w:rsidR="008954D9" w:rsidRDefault="008954D9" w:rsidP="008954D9">
      <w:pPr>
        <w:spacing w:line="360" w:lineRule="auto"/>
        <w:jc w:val="both"/>
        <w:rPr>
          <w:rFonts w:cs="FrankRuehl"/>
          <w:b/>
          <w:bCs/>
          <w:sz w:val="28"/>
          <w:szCs w:val="28"/>
          <w:u w:val="single"/>
          <w:rtl/>
        </w:rPr>
      </w:pPr>
      <w:r>
        <w:rPr>
          <w:rFonts w:cs="FrankRuehl" w:hint="cs"/>
          <w:b/>
          <w:bCs/>
          <w:sz w:val="28"/>
          <w:szCs w:val="28"/>
          <w:u w:val="single"/>
          <w:rtl/>
        </w:rPr>
        <w:t>ט</w:t>
      </w:r>
      <w:r>
        <w:rPr>
          <w:rFonts w:cs="FrankRuehl"/>
          <w:b/>
          <w:bCs/>
          <w:sz w:val="28"/>
          <w:szCs w:val="28"/>
          <w:u w:val="single"/>
          <w:rtl/>
        </w:rPr>
        <w:t>יעונים לעונש</w:t>
      </w:r>
    </w:p>
    <w:p w14:paraId="18D4C6F3" w14:textId="77777777" w:rsidR="008954D9" w:rsidRDefault="008954D9" w:rsidP="008954D9">
      <w:pPr>
        <w:spacing w:line="360" w:lineRule="auto"/>
        <w:jc w:val="both"/>
        <w:rPr>
          <w:rFonts w:cs="FrankRuehl"/>
          <w:sz w:val="28"/>
          <w:szCs w:val="28"/>
          <w:rtl/>
        </w:rPr>
      </w:pPr>
      <w:r>
        <w:rPr>
          <w:rFonts w:cs="FrankRuehl"/>
          <w:sz w:val="28"/>
          <w:szCs w:val="28"/>
          <w:rtl/>
        </w:rPr>
        <w:t xml:space="preserve">הצדדים לא הגיעו להסכמה עונשית. </w:t>
      </w:r>
    </w:p>
    <w:p w14:paraId="35E11CEA" w14:textId="77777777" w:rsidR="008954D9" w:rsidRDefault="008954D9" w:rsidP="008954D9">
      <w:pPr>
        <w:spacing w:line="360" w:lineRule="auto"/>
        <w:jc w:val="both"/>
        <w:rPr>
          <w:rFonts w:cs="FrankRuehl"/>
          <w:sz w:val="28"/>
          <w:szCs w:val="28"/>
          <w:rtl/>
        </w:rPr>
      </w:pPr>
      <w:r>
        <w:rPr>
          <w:rFonts w:cs="FrankRuehl"/>
          <w:sz w:val="28"/>
          <w:szCs w:val="28"/>
          <w:rtl/>
        </w:rPr>
        <w:t xml:space="preserve">מחד, ב"כ המאשימה טען כי יש להטיל על הנאשם </w:t>
      </w:r>
      <w:r>
        <w:rPr>
          <w:rFonts w:cs="FrankRuehl" w:hint="cs"/>
          <w:sz w:val="28"/>
          <w:szCs w:val="28"/>
          <w:rtl/>
        </w:rPr>
        <w:t>עונש בתחתית מתחם המתחיל ב-8 חודשי מאסר, שיכול וירוצה בעבודות שירות, וענישה נוספת.</w:t>
      </w:r>
    </w:p>
    <w:p w14:paraId="181EFF2C" w14:textId="77777777" w:rsidR="008954D9" w:rsidRDefault="008954D9" w:rsidP="008954D9">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ביקשה להסתפק במאסר מותנה וענישה נלווית נוכח מכלול הנסיבות.</w:t>
      </w:r>
    </w:p>
    <w:p w14:paraId="782FFD5E" w14:textId="77777777" w:rsidR="008954D9" w:rsidRDefault="008954D9" w:rsidP="008954D9">
      <w:pPr>
        <w:spacing w:line="360" w:lineRule="auto"/>
        <w:jc w:val="both"/>
        <w:rPr>
          <w:rFonts w:cs="FrankRuehl"/>
          <w:b/>
          <w:bCs/>
          <w:sz w:val="28"/>
          <w:szCs w:val="28"/>
          <w:u w:val="single"/>
          <w:rtl/>
        </w:rPr>
      </w:pPr>
    </w:p>
    <w:p w14:paraId="6417FCCD" w14:textId="77777777" w:rsidR="008954D9" w:rsidRDefault="008954D9" w:rsidP="008954D9">
      <w:pPr>
        <w:spacing w:line="360" w:lineRule="auto"/>
        <w:jc w:val="both"/>
        <w:rPr>
          <w:rFonts w:cs="FrankRuehl"/>
          <w:b/>
          <w:bCs/>
          <w:sz w:val="28"/>
          <w:szCs w:val="28"/>
          <w:u w:val="single"/>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074A35D8" w14:textId="77777777" w:rsidR="008954D9" w:rsidRDefault="008954D9" w:rsidP="008954D9">
      <w:pPr>
        <w:spacing w:line="360" w:lineRule="auto"/>
        <w:jc w:val="both"/>
        <w:rPr>
          <w:rFonts w:cs="FrankRuehl"/>
          <w:b/>
          <w:bCs/>
          <w:sz w:val="28"/>
          <w:szCs w:val="28"/>
          <w:u w:val="single"/>
          <w:rtl/>
        </w:rPr>
      </w:pPr>
    </w:p>
    <w:p w14:paraId="45004C20" w14:textId="77777777" w:rsidR="008954D9" w:rsidRDefault="008954D9" w:rsidP="008954D9">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cs="FrankRuehl" w:hint="cs"/>
          <w:sz w:val="28"/>
          <w:szCs w:val="28"/>
          <w:rtl/>
        </w:rPr>
        <w:t>עבירות סמים פוגעות בבריאות הציבור ובביטחונו, משום שסמים והתמכרות אליהם הם מחוללי פשיעה שמטרתה מימון ההתמכרות אליהם. מידת הפגיעה בערכים המוגנים בינונית נמוכה.</w:t>
      </w:r>
    </w:p>
    <w:p w14:paraId="37754B5B" w14:textId="77777777" w:rsidR="008954D9" w:rsidRDefault="008954D9" w:rsidP="008954D9">
      <w:pPr>
        <w:spacing w:line="360" w:lineRule="auto"/>
        <w:jc w:val="both"/>
        <w:rPr>
          <w:rFonts w:cs="FrankRuehl"/>
          <w:sz w:val="28"/>
          <w:szCs w:val="28"/>
          <w:rtl/>
        </w:rPr>
      </w:pPr>
    </w:p>
    <w:p w14:paraId="29D8B2D5" w14:textId="77777777" w:rsidR="008954D9" w:rsidRDefault="008954D9" w:rsidP="008954D9">
      <w:pPr>
        <w:spacing w:line="360" w:lineRule="auto"/>
        <w:jc w:val="both"/>
        <w:rPr>
          <w:rFonts w:cs="FrankRuehl"/>
          <w:sz w:val="28"/>
          <w:szCs w:val="28"/>
        </w:rPr>
      </w:pPr>
      <w:r>
        <w:rPr>
          <w:rFonts w:cs="FrankRuehl"/>
          <w:b/>
          <w:bCs/>
          <w:sz w:val="28"/>
          <w:szCs w:val="28"/>
          <w:u w:val="single"/>
          <w:rtl/>
        </w:rPr>
        <w:t xml:space="preserve">נסיבות הקשורות בביצוע העבירה, לפי </w:t>
      </w:r>
      <w:hyperlink r:id="rId16" w:history="1">
        <w:r w:rsidR="00076A12" w:rsidRPr="00076A12">
          <w:rPr>
            <w:rStyle w:val="Hyperlink"/>
            <w:rFonts w:cs="FrankRuehl"/>
            <w:b/>
            <w:bCs/>
            <w:sz w:val="28"/>
            <w:szCs w:val="28"/>
            <w:rtl/>
          </w:rPr>
          <w:t>סעיף 40ט'</w:t>
        </w:r>
      </w:hyperlink>
      <w:r>
        <w:rPr>
          <w:rFonts w:cs="FrankRuehl"/>
          <w:b/>
          <w:bCs/>
          <w:sz w:val="28"/>
          <w:szCs w:val="28"/>
          <w:u w:val="single"/>
          <w:rtl/>
        </w:rPr>
        <w:t xml:space="preserve"> ל</w:t>
      </w:r>
      <w:hyperlink r:id="rId17" w:history="1">
        <w:r w:rsidR="00BB2FA5" w:rsidRPr="00BB2FA5">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בעבירה מתוכננת, הנאשם ביצע את העבירה במטרה למחוק את חובו, מתוך מצוקה כלכלית, תוך שידע כי מדובר במעשה אסור; ככל שהסם היה מופץ היה בכך לגרום נזק לציבור, הגם שבפועל הסם נתפס ונמנע הנזק האמור;  מדובר בכמות סמים לא מבוטלת ואין ספק כי הנאשם יכול היה להימנע מביצוע הנעשה לנוכח גילו. הנזק הפוטנציאלי משמעותי. יש מקום לתת משקל לסוג הסם הנחשב "קל", אף כי כמותו אינה מועטה.</w:t>
      </w:r>
    </w:p>
    <w:p w14:paraId="795167DF" w14:textId="77777777" w:rsidR="008954D9" w:rsidRPr="00307C2D" w:rsidRDefault="008954D9" w:rsidP="008954D9">
      <w:pPr>
        <w:spacing w:line="360" w:lineRule="auto"/>
        <w:jc w:val="both"/>
        <w:rPr>
          <w:rFonts w:cs="FrankRuehl"/>
          <w:b/>
          <w:bCs/>
          <w:sz w:val="28"/>
          <w:szCs w:val="28"/>
          <w:u w:val="single"/>
          <w:rtl/>
        </w:rPr>
      </w:pPr>
    </w:p>
    <w:p w14:paraId="430AD5B1" w14:textId="77777777" w:rsidR="008954D9" w:rsidRDefault="008954D9" w:rsidP="008954D9">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8954D9">
        <w:rPr>
          <w:rFonts w:ascii="Calibri" w:hAnsi="Calibri" w:cs="FrankRuehl"/>
          <w:sz w:val="28"/>
          <w:szCs w:val="28"/>
          <w:rtl/>
        </w:rPr>
        <w:t>סקירת הפסיקה בנסיבות דומות מלמדת על טווח עונשי רחב המוטל על נאשמים. מפנה ל</w:t>
      </w:r>
      <w:hyperlink r:id="rId18" w:history="1">
        <w:r w:rsidR="00BB2FA5" w:rsidRPr="00BB2FA5">
          <w:rPr>
            <w:rFonts w:ascii="Calibri" w:hAnsi="Calibri" w:cs="FrankRuehl" w:hint="eastAsia"/>
            <w:color w:val="0000FF"/>
            <w:sz w:val="28"/>
            <w:szCs w:val="28"/>
            <w:u w:val="single"/>
            <w:rtl/>
          </w:rPr>
          <w:t>ת</w:t>
        </w:r>
        <w:r w:rsidR="00BB2FA5" w:rsidRPr="00BB2FA5">
          <w:rPr>
            <w:rFonts w:ascii="Calibri" w:hAnsi="Calibri" w:cs="FrankRuehl"/>
            <w:color w:val="0000FF"/>
            <w:sz w:val="28"/>
            <w:szCs w:val="28"/>
            <w:u w:val="single"/>
            <w:rtl/>
          </w:rPr>
          <w:t>"</w:t>
        </w:r>
        <w:r w:rsidR="00BB2FA5" w:rsidRPr="00BB2FA5">
          <w:rPr>
            <w:rFonts w:ascii="Calibri" w:hAnsi="Calibri" w:cs="FrankRuehl" w:hint="eastAsia"/>
            <w:color w:val="0000FF"/>
            <w:sz w:val="28"/>
            <w:szCs w:val="28"/>
            <w:u w:val="single"/>
            <w:rtl/>
          </w:rPr>
          <w:t>פ</w:t>
        </w:r>
        <w:r w:rsidR="00BB2FA5" w:rsidRPr="00BB2FA5">
          <w:rPr>
            <w:rFonts w:ascii="Calibri" w:hAnsi="Calibri" w:cs="FrankRuehl"/>
            <w:color w:val="0000FF"/>
            <w:sz w:val="28"/>
            <w:szCs w:val="28"/>
            <w:u w:val="single"/>
            <w:rtl/>
          </w:rPr>
          <w:t xml:space="preserve"> (</w:t>
        </w:r>
        <w:r w:rsidR="00BB2FA5" w:rsidRPr="00BB2FA5">
          <w:rPr>
            <w:rFonts w:ascii="Calibri" w:hAnsi="Calibri" w:cs="FrankRuehl" w:hint="eastAsia"/>
            <w:color w:val="0000FF"/>
            <w:sz w:val="28"/>
            <w:szCs w:val="28"/>
            <w:u w:val="single"/>
            <w:rtl/>
          </w:rPr>
          <w:t>קרית</w:t>
        </w:r>
        <w:r w:rsidR="00BB2FA5" w:rsidRPr="00BB2FA5">
          <w:rPr>
            <w:rFonts w:ascii="Calibri" w:hAnsi="Calibri" w:cs="FrankRuehl"/>
            <w:color w:val="0000FF"/>
            <w:sz w:val="28"/>
            <w:szCs w:val="28"/>
            <w:u w:val="single"/>
            <w:rtl/>
          </w:rPr>
          <w:t xml:space="preserve"> </w:t>
        </w:r>
        <w:r w:rsidR="00BB2FA5" w:rsidRPr="00BB2FA5">
          <w:rPr>
            <w:rFonts w:ascii="Calibri" w:hAnsi="Calibri" w:cs="FrankRuehl" w:hint="eastAsia"/>
            <w:color w:val="0000FF"/>
            <w:sz w:val="28"/>
            <w:szCs w:val="28"/>
            <w:u w:val="single"/>
            <w:rtl/>
          </w:rPr>
          <w:t>שמונה</w:t>
        </w:r>
        <w:r w:rsidR="00BB2FA5" w:rsidRPr="00BB2FA5">
          <w:rPr>
            <w:rFonts w:ascii="Calibri" w:hAnsi="Calibri" w:cs="FrankRuehl"/>
            <w:color w:val="0000FF"/>
            <w:sz w:val="28"/>
            <w:szCs w:val="28"/>
            <w:u w:val="single"/>
            <w:rtl/>
          </w:rPr>
          <w:t>) 14998-08-16</w:t>
        </w:r>
      </w:hyperlink>
      <w:r w:rsidRPr="008954D9">
        <w:rPr>
          <w:rFonts w:ascii="Calibri" w:hAnsi="Calibri" w:cs="FrankRuehl"/>
          <w:sz w:val="28"/>
          <w:szCs w:val="28"/>
          <w:rtl/>
        </w:rPr>
        <w:t xml:space="preserve">, </w:t>
      </w:r>
      <w:r w:rsidRPr="008954D9">
        <w:rPr>
          <w:rFonts w:ascii="Calibri" w:hAnsi="Calibri" w:cs="FrankRuehl"/>
          <w:b/>
          <w:bCs/>
          <w:sz w:val="28"/>
          <w:szCs w:val="28"/>
          <w:u w:val="single"/>
          <w:rtl/>
        </w:rPr>
        <w:t>מדינת ישראל</w:t>
      </w:r>
      <w:r w:rsidRPr="008954D9">
        <w:rPr>
          <w:rFonts w:ascii="Calibri" w:hAnsi="Calibri" w:cs="FrankRuehl"/>
          <w:sz w:val="28"/>
          <w:szCs w:val="28"/>
          <w:rtl/>
        </w:rPr>
        <w:t xml:space="preserve"> נ' </w:t>
      </w:r>
      <w:r w:rsidRPr="008954D9">
        <w:rPr>
          <w:rFonts w:ascii="Calibri" w:hAnsi="Calibri" w:cs="FrankRuehl"/>
          <w:b/>
          <w:bCs/>
          <w:sz w:val="28"/>
          <w:szCs w:val="28"/>
          <w:u w:val="single"/>
          <w:rtl/>
        </w:rPr>
        <w:t>כהן</w:t>
      </w:r>
      <w:r w:rsidRPr="008954D9">
        <w:rPr>
          <w:rFonts w:ascii="Calibri" w:hAnsi="Calibri" w:cs="FrankRuehl"/>
          <w:sz w:val="28"/>
          <w:szCs w:val="28"/>
          <w:rtl/>
        </w:rPr>
        <w:t xml:space="preserve">, שם סקר ביהמ"ש בהרחבה את הפסיקה הנוהגת המגוונת בתחום זה וקבע כי בנסיבות העניין מתחם הענישה צריך לעמוד על בין מאסר מותנה עד 12 חודשי מאסר. באותו תיק , בנוסף לעבירת החזקת סמים לשימוש עצמי, הורשע הנאשם בסחר בסמים ולאחר תסקיר חיובי הטיל ביהמ"ש מאסר מותנה, של"צ, קנס ופסילה. לא הוגש ערעור על פסק דין זה. בנסיבות חמורות בהרבה, בית המשפט העליון מסתפק לעתים קרובות בענישה הכוללת רכיב של מאסר בעבודות שירות: ר' לדוגמה: רע"פ 6161/16 </w:t>
      </w:r>
      <w:r w:rsidRPr="008954D9">
        <w:rPr>
          <w:rFonts w:ascii="Calibri" w:hAnsi="Calibri" w:cs="FrankRuehl"/>
          <w:b/>
          <w:bCs/>
          <w:sz w:val="28"/>
          <w:szCs w:val="28"/>
          <w:u w:val="single"/>
          <w:rtl/>
        </w:rPr>
        <w:t>יזרעאלוב</w:t>
      </w:r>
      <w:r w:rsidRPr="008954D9">
        <w:rPr>
          <w:rFonts w:ascii="Calibri" w:hAnsi="Calibri" w:cs="FrankRuehl"/>
          <w:sz w:val="28"/>
          <w:szCs w:val="28"/>
          <w:rtl/>
        </w:rPr>
        <w:t xml:space="preserve"> נ' </w:t>
      </w:r>
      <w:r w:rsidRPr="008954D9">
        <w:rPr>
          <w:rFonts w:ascii="Calibri" w:hAnsi="Calibri" w:cs="FrankRuehl"/>
          <w:b/>
          <w:bCs/>
          <w:sz w:val="28"/>
          <w:szCs w:val="28"/>
          <w:u w:val="single"/>
          <w:rtl/>
        </w:rPr>
        <w:t>מ"י</w:t>
      </w:r>
      <w:r w:rsidRPr="008954D9">
        <w:rPr>
          <w:rFonts w:ascii="Calibri" w:hAnsi="Calibri" w:cs="FrankRuehl"/>
          <w:sz w:val="28"/>
          <w:szCs w:val="28"/>
          <w:rtl/>
        </w:rPr>
        <w:t xml:space="preserve"> (מיום 20.2.2017); </w:t>
      </w:r>
      <w:hyperlink r:id="rId19" w:history="1">
        <w:r w:rsidR="00BB2FA5" w:rsidRPr="00BB2FA5">
          <w:rPr>
            <w:rFonts w:ascii="Calibri" w:hAnsi="Calibri" w:cs="FrankRuehl" w:hint="eastAsia"/>
            <w:color w:val="0000FF"/>
            <w:sz w:val="28"/>
            <w:szCs w:val="28"/>
            <w:u w:val="single"/>
            <w:rtl/>
          </w:rPr>
          <w:t>רע</w:t>
        </w:r>
        <w:r w:rsidR="00BB2FA5" w:rsidRPr="00BB2FA5">
          <w:rPr>
            <w:rFonts w:ascii="Calibri" w:hAnsi="Calibri" w:cs="FrankRuehl"/>
            <w:color w:val="0000FF"/>
            <w:sz w:val="28"/>
            <w:szCs w:val="28"/>
            <w:u w:val="single"/>
            <w:rtl/>
          </w:rPr>
          <w:t>"</w:t>
        </w:r>
        <w:r w:rsidR="00BB2FA5" w:rsidRPr="00BB2FA5">
          <w:rPr>
            <w:rFonts w:ascii="Calibri" w:hAnsi="Calibri" w:cs="FrankRuehl" w:hint="eastAsia"/>
            <w:color w:val="0000FF"/>
            <w:sz w:val="28"/>
            <w:szCs w:val="28"/>
            <w:u w:val="single"/>
            <w:rtl/>
          </w:rPr>
          <w:t>פ</w:t>
        </w:r>
        <w:r w:rsidR="00BB2FA5" w:rsidRPr="00BB2FA5">
          <w:rPr>
            <w:rFonts w:ascii="Calibri" w:hAnsi="Calibri" w:cs="FrankRuehl"/>
            <w:color w:val="0000FF"/>
            <w:sz w:val="28"/>
            <w:szCs w:val="28"/>
            <w:u w:val="single"/>
            <w:rtl/>
          </w:rPr>
          <w:t xml:space="preserve"> 5478/19</w:t>
        </w:r>
      </w:hyperlink>
      <w:r w:rsidRPr="008954D9">
        <w:rPr>
          <w:rFonts w:ascii="Calibri" w:hAnsi="Calibri" w:cs="FrankRuehl"/>
          <w:sz w:val="28"/>
          <w:szCs w:val="28"/>
          <w:rtl/>
        </w:rPr>
        <w:t xml:space="preserve"> </w:t>
      </w:r>
      <w:r w:rsidRPr="008954D9">
        <w:rPr>
          <w:rFonts w:ascii="Calibri" w:hAnsi="Calibri" w:cs="FrankRuehl"/>
          <w:b/>
          <w:bCs/>
          <w:sz w:val="28"/>
          <w:szCs w:val="28"/>
          <w:u w:val="single"/>
          <w:rtl/>
        </w:rPr>
        <w:t>לוין</w:t>
      </w:r>
      <w:r w:rsidRPr="008954D9">
        <w:rPr>
          <w:rFonts w:ascii="Calibri" w:hAnsi="Calibri" w:cs="FrankRuehl"/>
          <w:sz w:val="28"/>
          <w:szCs w:val="28"/>
          <w:rtl/>
        </w:rPr>
        <w:t xml:space="preserve"> נ' </w:t>
      </w:r>
      <w:r w:rsidRPr="008954D9">
        <w:rPr>
          <w:rFonts w:ascii="Calibri" w:hAnsi="Calibri" w:cs="FrankRuehl"/>
          <w:b/>
          <w:bCs/>
          <w:sz w:val="28"/>
          <w:szCs w:val="28"/>
          <w:u w:val="single"/>
          <w:rtl/>
        </w:rPr>
        <w:t>מ"י</w:t>
      </w:r>
      <w:r w:rsidRPr="008954D9">
        <w:rPr>
          <w:rFonts w:ascii="Calibri" w:hAnsi="Calibri" w:cs="FrankRuehl"/>
          <w:sz w:val="28"/>
          <w:szCs w:val="28"/>
          <w:rtl/>
        </w:rPr>
        <w:t xml:space="preserve">  (מיום 25.8.2019), שם הסתפק בית המשפט העליון בעונש של של"ץ בנסיבות חמורות יותר של סחר במספר מקרים.</w:t>
      </w:r>
    </w:p>
    <w:p w14:paraId="11B4AE90" w14:textId="77777777" w:rsidR="008954D9" w:rsidRDefault="008954D9" w:rsidP="008954D9">
      <w:pPr>
        <w:spacing w:line="360" w:lineRule="auto"/>
        <w:jc w:val="both"/>
        <w:rPr>
          <w:rFonts w:cs="FrankRuehl"/>
          <w:sz w:val="28"/>
          <w:szCs w:val="28"/>
          <w:u w:val="single"/>
          <w:rtl/>
        </w:rPr>
      </w:pPr>
    </w:p>
    <w:p w14:paraId="5B9973D2" w14:textId="77777777" w:rsidR="008954D9" w:rsidRDefault="008954D9" w:rsidP="008954D9">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w:t>
      </w:r>
      <w:r>
        <w:rPr>
          <w:rFonts w:cs="FrankRuehl" w:hint="cs"/>
          <w:sz w:val="28"/>
          <w:szCs w:val="28"/>
          <w:rtl/>
        </w:rPr>
        <w:t>של"ץ ומאסר על תנאי ועד 10 חודשי מאסר בפועל.</w:t>
      </w:r>
    </w:p>
    <w:p w14:paraId="28FD3142" w14:textId="77777777" w:rsidR="008954D9" w:rsidRDefault="008954D9" w:rsidP="008954D9">
      <w:pPr>
        <w:spacing w:line="360" w:lineRule="auto"/>
        <w:jc w:val="both"/>
        <w:rPr>
          <w:rFonts w:cs="FrankRuehl"/>
          <w:b/>
          <w:bCs/>
          <w:sz w:val="28"/>
          <w:szCs w:val="28"/>
          <w:rtl/>
        </w:rPr>
      </w:pPr>
    </w:p>
    <w:p w14:paraId="14576F05" w14:textId="77777777" w:rsidR="008954D9" w:rsidRDefault="008954D9" w:rsidP="008954D9">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0" w:history="1">
        <w:r w:rsidR="00076A12" w:rsidRPr="00076A12">
          <w:rPr>
            <w:rStyle w:val="Hyperlink"/>
            <w:rFonts w:cs="FrankRuehl"/>
            <w:b/>
            <w:bCs/>
            <w:sz w:val="28"/>
            <w:szCs w:val="28"/>
            <w:rtl/>
          </w:rPr>
          <w:t>סעיף 40י"א</w:t>
        </w:r>
      </w:hyperlink>
      <w:r>
        <w:rPr>
          <w:rFonts w:cs="FrankRuehl"/>
          <w:b/>
          <w:bCs/>
          <w:sz w:val="28"/>
          <w:szCs w:val="28"/>
          <w:u w:val="single"/>
          <w:rtl/>
        </w:rPr>
        <w:t xml:space="preserve"> ל</w:t>
      </w:r>
      <w:hyperlink r:id="rId21" w:history="1">
        <w:r w:rsidR="00BB2FA5" w:rsidRPr="00BB2FA5">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שקלתי את גילו הצעיר של הנאשם, העדר עבר פלילי, נסיבות חיים לא פשוטות ושירותו הצבאי ותרומתו למדינה. </w:t>
      </w:r>
    </w:p>
    <w:p w14:paraId="794AD593" w14:textId="77777777" w:rsidR="008954D9" w:rsidRDefault="008954D9" w:rsidP="008954D9">
      <w:pPr>
        <w:spacing w:line="360" w:lineRule="auto"/>
        <w:jc w:val="both"/>
        <w:rPr>
          <w:rFonts w:cs="FrankRuehl"/>
          <w:sz w:val="28"/>
          <w:szCs w:val="28"/>
          <w:rtl/>
        </w:rPr>
      </w:pPr>
    </w:p>
    <w:p w14:paraId="46F06289" w14:textId="77777777" w:rsidR="008954D9" w:rsidRDefault="008954D9" w:rsidP="008954D9">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במכלול הנסיבות, ובעיקר בשל נסיבות ביצוע העבירה, המקרבת את ביצועה לעבירת סחר, אין מקום להסתפק בענישה צופה פני עתיד, ויש מקום להטיל ענישה מוחשית ואף לזמן מוגבל, כהמלצת שירות המבחן. </w:t>
      </w:r>
    </w:p>
    <w:p w14:paraId="0F00FE9C" w14:textId="77777777" w:rsidR="008954D9" w:rsidRDefault="008954D9" w:rsidP="008954D9">
      <w:pPr>
        <w:spacing w:line="360" w:lineRule="auto"/>
        <w:jc w:val="both"/>
        <w:rPr>
          <w:rFonts w:cs="FrankRuehl"/>
          <w:b/>
          <w:bCs/>
          <w:sz w:val="28"/>
          <w:szCs w:val="28"/>
          <w:u w:val="single"/>
          <w:rtl/>
        </w:rPr>
      </w:pPr>
    </w:p>
    <w:p w14:paraId="34345C2C" w14:textId="77777777" w:rsidR="008954D9" w:rsidRDefault="008954D9" w:rsidP="008954D9">
      <w:pPr>
        <w:spacing w:line="360" w:lineRule="auto"/>
        <w:jc w:val="both"/>
        <w:rPr>
          <w:rFonts w:cs="FrankRuehl"/>
          <w:b/>
          <w:bCs/>
          <w:sz w:val="28"/>
          <w:szCs w:val="28"/>
          <w:u w:val="single"/>
          <w:rtl/>
        </w:rPr>
      </w:pPr>
      <w:r>
        <w:rPr>
          <w:rFonts w:cs="FrankRuehl"/>
          <w:b/>
          <w:bCs/>
          <w:sz w:val="28"/>
          <w:szCs w:val="28"/>
          <w:u w:val="single"/>
          <w:rtl/>
        </w:rPr>
        <w:t>גזירת הדין</w:t>
      </w:r>
    </w:p>
    <w:p w14:paraId="57C0D1FC" w14:textId="77777777" w:rsidR="008954D9" w:rsidRDefault="008954D9" w:rsidP="008954D9">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1B448DC3" w14:textId="77777777" w:rsidR="008954D9" w:rsidRDefault="008954D9" w:rsidP="008954D9">
      <w:pPr>
        <w:numPr>
          <w:ilvl w:val="0"/>
          <w:numId w:val="1"/>
        </w:numPr>
        <w:spacing w:after="160" w:line="360" w:lineRule="auto"/>
        <w:contextualSpacing/>
        <w:jc w:val="both"/>
        <w:rPr>
          <w:rFonts w:cs="FrankRuehl"/>
          <w:sz w:val="28"/>
          <w:szCs w:val="28"/>
          <w:rtl/>
        </w:rPr>
      </w:pPr>
      <w:r>
        <w:rPr>
          <w:rFonts w:cs="FrankRuehl" w:hint="cs"/>
          <w:sz w:val="28"/>
          <w:szCs w:val="28"/>
          <w:rtl/>
        </w:rPr>
        <w:t xml:space="preserve">חודש </w:t>
      </w:r>
      <w:r>
        <w:rPr>
          <w:rFonts w:cs="FrankRuehl"/>
          <w:sz w:val="28"/>
          <w:szCs w:val="28"/>
          <w:rtl/>
        </w:rPr>
        <w:t xml:space="preserve">ימים מאסר, אשר ירוצו בעבודות שירות, החל מיום  </w:t>
      </w:r>
      <w:r>
        <w:rPr>
          <w:rFonts w:cs="FrankRuehl" w:hint="cs"/>
          <w:sz w:val="28"/>
          <w:szCs w:val="28"/>
          <w:rtl/>
        </w:rPr>
        <w:t>12.1.2022</w:t>
      </w:r>
      <w:r>
        <w:rPr>
          <w:rFonts w:cs="FrankRuehl"/>
          <w:sz w:val="28"/>
          <w:szCs w:val="28"/>
          <w:rtl/>
        </w:rPr>
        <w:t>, אשר ירוצו ב</w:t>
      </w:r>
      <w:r>
        <w:rPr>
          <w:rFonts w:cs="FrankRuehl" w:hint="cs"/>
          <w:sz w:val="28"/>
          <w:szCs w:val="28"/>
          <w:rtl/>
        </w:rPr>
        <w:t>"עיריית דימונה"</w:t>
      </w:r>
      <w:r>
        <w:rPr>
          <w:rFonts w:cs="FrankRuehl"/>
          <w:sz w:val="28"/>
          <w:szCs w:val="28"/>
          <w:rtl/>
        </w:rPr>
        <w:t xml:space="preserve">, וזאת על פי חוות דעת הממונה על עבודות השירות. על הנאשם להתייצב ביום  </w:t>
      </w:r>
      <w:r>
        <w:rPr>
          <w:rFonts w:cs="FrankRuehl" w:hint="cs"/>
          <w:sz w:val="28"/>
          <w:szCs w:val="28"/>
          <w:rtl/>
        </w:rPr>
        <w:t>זה</w:t>
      </w:r>
      <w:r>
        <w:rPr>
          <w:rFonts w:cs="FrankRuehl"/>
          <w:sz w:val="28"/>
          <w:szCs w:val="28"/>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2FFF23D1" w14:textId="77777777" w:rsidR="008954D9" w:rsidRDefault="008954D9" w:rsidP="008954D9">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כל עבירת עוון לפי פקודת הסמים בתוך שנתיים מסיום עבודות השירות;</w:t>
      </w:r>
    </w:p>
    <w:p w14:paraId="6A0DE8AF" w14:textId="77777777" w:rsidR="008954D9" w:rsidRDefault="008954D9" w:rsidP="008954D9">
      <w:pPr>
        <w:numPr>
          <w:ilvl w:val="0"/>
          <w:numId w:val="1"/>
        </w:numPr>
        <w:spacing w:after="160" w:line="360" w:lineRule="auto"/>
        <w:contextualSpacing/>
        <w:jc w:val="both"/>
        <w:rPr>
          <w:rFonts w:cs="FrankRuehl"/>
          <w:sz w:val="28"/>
          <w:szCs w:val="28"/>
        </w:rPr>
      </w:pPr>
      <w:r>
        <w:rPr>
          <w:rFonts w:cs="FrankRuehl" w:hint="cs"/>
          <w:sz w:val="28"/>
          <w:szCs w:val="28"/>
          <w:rtl/>
        </w:rPr>
        <w:t>4 חודשי מאסר שלא ירוצו, אלא אם יעבור הנאשם כל עבירת פשע לפי פקודת הסמים בתוך שנתיים מסיום עבודות השירות;</w:t>
      </w:r>
    </w:p>
    <w:p w14:paraId="32A460A9" w14:textId="77777777" w:rsidR="008954D9" w:rsidRDefault="008954D9" w:rsidP="008954D9">
      <w:pPr>
        <w:numPr>
          <w:ilvl w:val="0"/>
          <w:numId w:val="1"/>
        </w:numPr>
        <w:spacing w:after="160" w:line="360" w:lineRule="auto"/>
        <w:contextualSpacing/>
        <w:jc w:val="both"/>
        <w:rPr>
          <w:rFonts w:cs="FrankRuehl"/>
          <w:sz w:val="28"/>
          <w:szCs w:val="28"/>
        </w:rPr>
      </w:pPr>
      <w:r>
        <w:rPr>
          <w:rFonts w:cs="FrankRuehl" w:hint="cs"/>
          <w:sz w:val="28"/>
          <w:szCs w:val="28"/>
          <w:rtl/>
        </w:rPr>
        <w:t>3 חודשי פסילה מלקבל או מלהחזיק רישיון נהיגה וזאת על-תנאי למשך שנתיים מהיום, שלא יעבור הנאשם כל עבירה לפי פקודת הסמים;</w:t>
      </w:r>
    </w:p>
    <w:p w14:paraId="671CFA20" w14:textId="77777777" w:rsidR="008954D9" w:rsidRDefault="008954D9" w:rsidP="008954D9">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 xml:space="preserve">1,500 </w:t>
      </w:r>
      <w:r>
        <w:rPr>
          <w:rFonts w:cs="FrankRuehl"/>
          <w:sz w:val="28"/>
          <w:szCs w:val="28"/>
          <w:rtl/>
        </w:rPr>
        <w:t xml:space="preserve"> ₪, או  </w:t>
      </w:r>
      <w:r>
        <w:rPr>
          <w:rFonts w:cs="FrankRuehl" w:hint="cs"/>
          <w:sz w:val="28"/>
          <w:szCs w:val="28"/>
          <w:rtl/>
        </w:rPr>
        <w:t xml:space="preserve">8 </w:t>
      </w:r>
      <w:r>
        <w:rPr>
          <w:rFonts w:cs="FrankRuehl"/>
          <w:sz w:val="28"/>
          <w:szCs w:val="28"/>
          <w:rtl/>
        </w:rPr>
        <w:t>ימי מאסר תמורתו אם לא ישולם. הקנס ישולם  ב-</w:t>
      </w:r>
      <w:r>
        <w:rPr>
          <w:rFonts w:cs="FrankRuehl" w:hint="cs"/>
          <w:sz w:val="28"/>
          <w:szCs w:val="28"/>
          <w:rtl/>
        </w:rPr>
        <w:t>5</w:t>
      </w:r>
      <w:r>
        <w:rPr>
          <w:rFonts w:cs="FrankRuehl"/>
          <w:sz w:val="28"/>
          <w:szCs w:val="28"/>
          <w:rtl/>
        </w:rPr>
        <w:t xml:space="preserve"> תשלומים שווים ורצופים ב-</w:t>
      </w:r>
      <w:r>
        <w:rPr>
          <w:rFonts w:cs="FrankRuehl" w:hint="cs"/>
          <w:sz w:val="28"/>
          <w:szCs w:val="28"/>
          <w:rtl/>
        </w:rPr>
        <w:t>1</w:t>
      </w:r>
      <w:r>
        <w:rPr>
          <w:rFonts w:cs="FrankRuehl"/>
          <w:sz w:val="28"/>
          <w:szCs w:val="28"/>
          <w:rtl/>
        </w:rPr>
        <w:t xml:space="preserve"> בכל חודש</w:t>
      </w:r>
      <w:r>
        <w:rPr>
          <w:rFonts w:cs="FrankRuehl" w:hint="cs"/>
          <w:sz w:val="28"/>
          <w:szCs w:val="28"/>
          <w:rtl/>
        </w:rPr>
        <w:t xml:space="preserve"> החל מיום 1.2.2022</w:t>
      </w:r>
      <w:r>
        <w:rPr>
          <w:rFonts w:cs="FrankRuehl"/>
          <w:sz w:val="28"/>
          <w:szCs w:val="28"/>
          <w:rtl/>
        </w:rPr>
        <w:t>. לא ישולם תשלום במועד או לא ישולם כלל, יעמוד הקנס לפירעון מיידי. מורה על קיזוז הקנס מההפקדה שבתיק</w:t>
      </w:r>
      <w:r>
        <w:rPr>
          <w:rFonts w:cs="FrankRuehl" w:hint="cs"/>
          <w:sz w:val="28"/>
          <w:szCs w:val="28"/>
          <w:rtl/>
        </w:rPr>
        <w:t xml:space="preserve"> לרבות ב</w:t>
      </w:r>
      <w:hyperlink r:id="rId22" w:history="1">
        <w:r w:rsidR="00BB2FA5" w:rsidRPr="00BB2FA5">
          <w:rPr>
            <w:rFonts w:cs="FrankRuehl"/>
            <w:color w:val="0000FF"/>
            <w:sz w:val="28"/>
            <w:szCs w:val="28"/>
            <w:u w:val="single"/>
            <w:rtl/>
          </w:rPr>
          <w:t>מ"י 344-06-18</w:t>
        </w:r>
      </w:hyperlink>
      <w:r>
        <w:rPr>
          <w:rFonts w:cs="FrankRuehl"/>
          <w:sz w:val="28"/>
          <w:szCs w:val="28"/>
          <w:rtl/>
        </w:rPr>
        <w:t>, על אף כל הודעת עיקול. ככל שתיוותר יתרת חובה, תשולם כפי שקבעתי. ככל שתיוותר יתרת זכות תוחזר לנאשם בכפוף להיעדר כל הוראת עיקול;</w:t>
      </w:r>
    </w:p>
    <w:p w14:paraId="5DB48972" w14:textId="77777777" w:rsidR="008954D9" w:rsidRDefault="008954D9" w:rsidP="008954D9">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xml:space="preserve">₪ שלא לעבור כל עבירה </w:t>
      </w:r>
      <w:r>
        <w:rPr>
          <w:rFonts w:cs="FrankRuehl" w:hint="cs"/>
          <w:sz w:val="28"/>
          <w:szCs w:val="28"/>
          <w:rtl/>
        </w:rPr>
        <w:t>לפי פקודת הסמים</w:t>
      </w:r>
      <w:r>
        <w:rPr>
          <w:rFonts w:cs="FrankRuehl"/>
          <w:sz w:val="28"/>
          <w:szCs w:val="28"/>
          <w:rtl/>
        </w:rPr>
        <w:t xml:space="preserve">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7209C2DD" w14:textId="77777777" w:rsidR="008954D9" w:rsidRDefault="008954D9" w:rsidP="008954D9">
      <w:pPr>
        <w:spacing w:line="360" w:lineRule="auto"/>
        <w:rPr>
          <w:rFonts w:ascii="FrankRuehl" w:hAnsi="FrankRuehl" w:cs="FrankRuehl"/>
          <w:sz w:val="28"/>
          <w:szCs w:val="28"/>
        </w:rPr>
      </w:pPr>
    </w:p>
    <w:p w14:paraId="7B857A10" w14:textId="77777777" w:rsidR="008954D9" w:rsidRDefault="008954D9" w:rsidP="008954D9">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p>
    <w:p w14:paraId="4AA8B9AA" w14:textId="77777777" w:rsidR="008954D9" w:rsidRDefault="00BB2FA5" w:rsidP="008954D9">
      <w:pPr>
        <w:spacing w:line="360" w:lineRule="auto"/>
        <w:rPr>
          <w:rFonts w:ascii="FrankRuehl" w:hAnsi="FrankRuehl" w:cs="FrankRuehl"/>
          <w:sz w:val="28"/>
          <w:szCs w:val="28"/>
          <w:rtl/>
        </w:rPr>
      </w:pPr>
      <w:r w:rsidRPr="00BB2FA5">
        <w:rPr>
          <w:rFonts w:ascii="FrankRuehl" w:hAnsi="FrankRuehl" w:cs="FrankRuehl"/>
          <w:color w:val="FFFFFF"/>
          <w:sz w:val="2"/>
          <w:szCs w:val="2"/>
          <w:rtl/>
        </w:rPr>
        <w:t>5129371</w:t>
      </w:r>
      <w:r w:rsidR="008954D9">
        <w:rPr>
          <w:rFonts w:ascii="FrankRuehl" w:hAnsi="FrankRuehl" w:cs="FrankRuehl"/>
          <w:sz w:val="28"/>
          <w:szCs w:val="28"/>
          <w:rtl/>
        </w:rPr>
        <w:t>יש לשלוח לשירות המבחן ולממונה על עבודות שירות.</w:t>
      </w:r>
    </w:p>
    <w:p w14:paraId="45E7805B" w14:textId="77777777" w:rsidR="008954D9" w:rsidRPr="00BB2FA5" w:rsidRDefault="00BB2FA5" w:rsidP="008954D9">
      <w:pPr>
        <w:rPr>
          <w:rFonts w:ascii="FrankRuehl" w:hAnsi="FrankRuehl" w:cs="FrankRuehl"/>
          <w:color w:val="FFFFFF"/>
          <w:sz w:val="2"/>
          <w:szCs w:val="2"/>
          <w:rtl/>
        </w:rPr>
      </w:pPr>
      <w:r w:rsidRPr="00BB2FA5">
        <w:rPr>
          <w:rFonts w:ascii="FrankRuehl" w:hAnsi="FrankRuehl" w:cs="FrankRuehl"/>
          <w:color w:val="FFFFFF"/>
          <w:sz w:val="2"/>
          <w:szCs w:val="2"/>
          <w:rtl/>
        </w:rPr>
        <w:t>54678313</w:t>
      </w:r>
    </w:p>
    <w:p w14:paraId="5D33F57A" w14:textId="77777777" w:rsidR="008954D9" w:rsidRDefault="008954D9" w:rsidP="008954D9">
      <w:pPr>
        <w:spacing w:line="360" w:lineRule="auto"/>
        <w:rPr>
          <w:rFonts w:ascii="FrankRuehl" w:hAnsi="FrankRuehl" w:cs="FrankRuehl"/>
          <w:sz w:val="28"/>
          <w:szCs w:val="28"/>
        </w:rPr>
      </w:pPr>
      <w:r>
        <w:rPr>
          <w:rFonts w:ascii="FrankRuehl" w:hAnsi="FrankRuehl" w:cs="FrankRuehl"/>
          <w:sz w:val="28"/>
          <w:szCs w:val="28"/>
          <w:rtl/>
        </w:rPr>
        <w:t>זכות ערעור כחוק לבית המשפט המחוזי בירושלים בתוך 45 יום מהיום.</w:t>
      </w:r>
    </w:p>
    <w:p w14:paraId="2D5D4208" w14:textId="77777777" w:rsidR="008954D9" w:rsidRPr="002B7D23" w:rsidRDefault="00BB2FA5" w:rsidP="008954D9">
      <w:pPr>
        <w:rPr>
          <w:rFonts w:ascii="David" w:hAnsi="David"/>
          <w:sz w:val="26"/>
          <w:szCs w:val="26"/>
          <w:rtl/>
        </w:rPr>
      </w:pPr>
      <w:bookmarkStart w:id="8" w:name="Nitan"/>
      <w:r>
        <w:rPr>
          <w:rFonts w:ascii="David" w:hAnsi="David"/>
          <w:sz w:val="26"/>
          <w:szCs w:val="26"/>
          <w:rtl/>
        </w:rPr>
        <w:t xml:space="preserve">ניתן היום, כ"ה חשוון התשפ"ב, 31 באוקטובר 2020 במעמד הצדדים.| </w:t>
      </w:r>
      <w:bookmarkEnd w:id="8"/>
    </w:p>
    <w:p w14:paraId="6DBAF848" w14:textId="77777777" w:rsidR="008954D9" w:rsidRPr="002B7D23" w:rsidRDefault="008954D9" w:rsidP="00BB2FA5">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8D3D805" w14:textId="77777777" w:rsidR="008954D9" w:rsidRPr="00076A12" w:rsidRDefault="00076A12" w:rsidP="008954D9">
      <w:pPr>
        <w:jc w:val="center"/>
        <w:rPr>
          <w:rFonts w:ascii="David" w:hAnsi="David"/>
          <w:color w:val="FFFFFF"/>
          <w:sz w:val="2"/>
          <w:szCs w:val="2"/>
          <w:rtl/>
        </w:rPr>
      </w:pPr>
      <w:r w:rsidRPr="00076A12">
        <w:rPr>
          <w:rFonts w:ascii="David" w:hAnsi="David"/>
          <w:color w:val="FFFFFF"/>
          <w:sz w:val="2"/>
          <w:szCs w:val="2"/>
          <w:rtl/>
        </w:rPr>
        <w:t>5129371</w:t>
      </w:r>
    </w:p>
    <w:p w14:paraId="32130704" w14:textId="77777777" w:rsidR="009F2F94" w:rsidRPr="00076A12" w:rsidRDefault="00076A12" w:rsidP="00BB2FA5">
      <w:pPr>
        <w:keepNext/>
        <w:rPr>
          <w:rFonts w:ascii="David" w:hAnsi="David"/>
          <w:color w:val="FFFFFF"/>
          <w:sz w:val="2"/>
          <w:szCs w:val="2"/>
          <w:rtl/>
        </w:rPr>
      </w:pPr>
      <w:r w:rsidRPr="00076A12">
        <w:rPr>
          <w:rFonts w:ascii="David" w:hAnsi="David"/>
          <w:color w:val="FFFFFF"/>
          <w:sz w:val="2"/>
          <w:szCs w:val="2"/>
          <w:rtl/>
        </w:rPr>
        <w:t>54678313</w:t>
      </w:r>
    </w:p>
    <w:p w14:paraId="1F00FE12" w14:textId="77777777" w:rsidR="00BB2FA5" w:rsidRDefault="00BB2FA5" w:rsidP="00BB2FA5">
      <w:pPr>
        <w:rPr>
          <w:rtl/>
        </w:rPr>
      </w:pPr>
    </w:p>
    <w:p w14:paraId="041FB54F" w14:textId="77777777" w:rsidR="00BB2FA5" w:rsidRDefault="00BB2FA5" w:rsidP="00BB2FA5">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F7B5717" w14:textId="77777777" w:rsidR="00076A12" w:rsidRPr="00076A12" w:rsidRDefault="00076A12" w:rsidP="00076A12">
      <w:pPr>
        <w:keepNext/>
        <w:rPr>
          <w:rFonts w:ascii="David" w:hAnsi="David"/>
          <w:color w:val="000000"/>
          <w:sz w:val="22"/>
          <w:szCs w:val="22"/>
          <w:rtl/>
        </w:rPr>
      </w:pPr>
    </w:p>
    <w:p w14:paraId="49C8DA75" w14:textId="77777777" w:rsidR="00076A12" w:rsidRPr="00076A12" w:rsidRDefault="00076A12" w:rsidP="00076A12">
      <w:pPr>
        <w:keepNext/>
        <w:rPr>
          <w:rFonts w:ascii="David" w:hAnsi="David"/>
          <w:color w:val="000000"/>
          <w:sz w:val="22"/>
          <w:szCs w:val="22"/>
          <w:rtl/>
        </w:rPr>
      </w:pPr>
      <w:r w:rsidRPr="00076A12">
        <w:rPr>
          <w:rFonts w:ascii="David" w:hAnsi="David"/>
          <w:color w:val="000000"/>
          <w:sz w:val="22"/>
          <w:szCs w:val="22"/>
          <w:rtl/>
        </w:rPr>
        <w:t>דוד שאול גבאי ריכטר 54678313-/</w:t>
      </w:r>
    </w:p>
    <w:p w14:paraId="397190D2" w14:textId="77777777" w:rsidR="00BB2FA5" w:rsidRPr="00BB2FA5" w:rsidRDefault="00076A12" w:rsidP="00076A12">
      <w:pPr>
        <w:rPr>
          <w:color w:val="0000FF"/>
          <w:u w:val="single"/>
        </w:rPr>
      </w:pPr>
      <w:r w:rsidRPr="00076A12">
        <w:rPr>
          <w:color w:val="000000"/>
          <w:u w:val="single"/>
          <w:rtl/>
        </w:rPr>
        <w:t>נוסח מסמך זה כפוף לשינויי ניסוח ועריכה</w:t>
      </w:r>
    </w:p>
    <w:sectPr w:rsidR="00BB2FA5" w:rsidRPr="00BB2FA5" w:rsidSect="00076A12">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4076B" w14:textId="77777777" w:rsidR="00C731A7" w:rsidRDefault="00C731A7" w:rsidP="00A37D37">
      <w:r>
        <w:separator/>
      </w:r>
    </w:p>
  </w:endnote>
  <w:endnote w:type="continuationSeparator" w:id="0">
    <w:p w14:paraId="1D60B0BC" w14:textId="77777777" w:rsidR="00C731A7" w:rsidRDefault="00C731A7" w:rsidP="00A37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57F54" w14:textId="77777777" w:rsidR="00076A12" w:rsidRDefault="00076A12" w:rsidP="00076A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629BD3" w14:textId="77777777" w:rsidR="00F57D8E" w:rsidRPr="00076A12" w:rsidRDefault="00076A12" w:rsidP="00076A12">
    <w:pPr>
      <w:pStyle w:val="a5"/>
      <w:pBdr>
        <w:top w:val="single" w:sz="4" w:space="1" w:color="auto"/>
        <w:between w:val="single" w:sz="4" w:space="0" w:color="auto"/>
      </w:pBdr>
      <w:spacing w:after="60"/>
      <w:jc w:val="center"/>
      <w:rPr>
        <w:rFonts w:ascii="FrankRuehl" w:hAnsi="FrankRuehl" w:cs="FrankRuehl"/>
        <w:color w:val="000000"/>
      </w:rPr>
    </w:pPr>
    <w:r w:rsidRPr="00076A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E2BF7" w14:textId="77777777" w:rsidR="00076A12" w:rsidRDefault="00076A12" w:rsidP="00076A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08CA">
      <w:rPr>
        <w:rFonts w:ascii="FrankRuehl" w:hAnsi="FrankRuehl" w:cs="FrankRuehl"/>
        <w:noProof/>
        <w:rtl/>
      </w:rPr>
      <w:t>1</w:t>
    </w:r>
    <w:r>
      <w:rPr>
        <w:rFonts w:ascii="FrankRuehl" w:hAnsi="FrankRuehl" w:cs="FrankRuehl"/>
        <w:rtl/>
      </w:rPr>
      <w:fldChar w:fldCharType="end"/>
    </w:r>
  </w:p>
  <w:p w14:paraId="77E99B49" w14:textId="77777777" w:rsidR="00F57D8E" w:rsidRPr="00076A12" w:rsidRDefault="00076A12" w:rsidP="00076A12">
    <w:pPr>
      <w:pStyle w:val="a5"/>
      <w:pBdr>
        <w:top w:val="single" w:sz="4" w:space="1" w:color="auto"/>
        <w:between w:val="single" w:sz="4" w:space="0" w:color="auto"/>
      </w:pBdr>
      <w:spacing w:after="60"/>
      <w:jc w:val="center"/>
      <w:rPr>
        <w:rFonts w:ascii="FrankRuehl" w:hAnsi="FrankRuehl" w:cs="FrankRuehl"/>
        <w:color w:val="000000"/>
      </w:rPr>
    </w:pPr>
    <w:r w:rsidRPr="00076A12">
      <w:rPr>
        <w:rFonts w:ascii="FrankRuehl" w:hAnsi="FrankRuehl" w:cs="FrankRuehl"/>
        <w:color w:val="000000"/>
      </w:rPr>
      <w:pict w14:anchorId="51E67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18D1B" w14:textId="77777777" w:rsidR="00C731A7" w:rsidRDefault="00C731A7" w:rsidP="00A37D37">
      <w:r>
        <w:separator/>
      </w:r>
    </w:p>
  </w:footnote>
  <w:footnote w:type="continuationSeparator" w:id="0">
    <w:p w14:paraId="78364845" w14:textId="77777777" w:rsidR="00C731A7" w:rsidRDefault="00C731A7" w:rsidP="00A37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72E12" w14:textId="77777777" w:rsidR="00BB2FA5" w:rsidRPr="00076A12" w:rsidRDefault="00076A12" w:rsidP="00076A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56456-03-19</w:t>
    </w:r>
    <w:r>
      <w:rPr>
        <w:rFonts w:ascii="David" w:hAnsi="David"/>
        <w:color w:val="000000"/>
        <w:sz w:val="22"/>
        <w:szCs w:val="22"/>
        <w:rtl/>
      </w:rPr>
      <w:tab/>
      <w:t xml:space="preserve"> מדינת ישראל נ' סלמאן אבו זקיקה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5A09B" w14:textId="77777777" w:rsidR="00BB2FA5" w:rsidRPr="00076A12" w:rsidRDefault="00076A12" w:rsidP="00076A1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56456-03-19</w:t>
    </w:r>
    <w:r>
      <w:rPr>
        <w:rFonts w:ascii="David" w:hAnsi="David"/>
        <w:color w:val="000000"/>
        <w:sz w:val="22"/>
        <w:szCs w:val="22"/>
        <w:rtl/>
      </w:rPr>
      <w:tab/>
      <w:t xml:space="preserve"> מדינת ישראל נ' סלמאן אבו זקיקה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87469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54D9"/>
    <w:rsid w:val="00076A12"/>
    <w:rsid w:val="001B5A3B"/>
    <w:rsid w:val="00436E6E"/>
    <w:rsid w:val="005508CA"/>
    <w:rsid w:val="0059638C"/>
    <w:rsid w:val="006D7576"/>
    <w:rsid w:val="008954D9"/>
    <w:rsid w:val="008E0CD7"/>
    <w:rsid w:val="009C3FC5"/>
    <w:rsid w:val="009F2F94"/>
    <w:rsid w:val="00A37D37"/>
    <w:rsid w:val="00BB2FA5"/>
    <w:rsid w:val="00C731A7"/>
    <w:rsid w:val="00DF6ADA"/>
    <w:rsid w:val="00F236D1"/>
    <w:rsid w:val="00F57D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EFCF62"/>
  <w15:chartTrackingRefBased/>
  <w15:docId w15:val="{FAFCEC02-A192-4EDB-8E0E-B361CD2F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54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54D9"/>
    <w:pPr>
      <w:tabs>
        <w:tab w:val="center" w:pos="4153"/>
        <w:tab w:val="right" w:pos="8306"/>
      </w:tabs>
    </w:pPr>
  </w:style>
  <w:style w:type="character" w:customStyle="1" w:styleId="a4">
    <w:name w:val="כותרת עליונה תו"/>
    <w:link w:val="a3"/>
    <w:rsid w:val="008954D9"/>
    <w:rPr>
      <w:rFonts w:ascii="Times New Roman" w:eastAsia="Times New Roman" w:hAnsi="Times New Roman" w:cs="David"/>
      <w:sz w:val="24"/>
      <w:szCs w:val="24"/>
    </w:rPr>
  </w:style>
  <w:style w:type="paragraph" w:styleId="a5">
    <w:name w:val="footer"/>
    <w:basedOn w:val="a"/>
    <w:link w:val="a6"/>
    <w:rsid w:val="008954D9"/>
    <w:pPr>
      <w:tabs>
        <w:tab w:val="center" w:pos="4153"/>
        <w:tab w:val="right" w:pos="8306"/>
      </w:tabs>
    </w:pPr>
  </w:style>
  <w:style w:type="character" w:customStyle="1" w:styleId="a6">
    <w:name w:val="כותרת תחתונה תו"/>
    <w:link w:val="a5"/>
    <w:rsid w:val="008954D9"/>
    <w:rPr>
      <w:rFonts w:ascii="Times New Roman" w:eastAsia="Times New Roman" w:hAnsi="Times New Roman" w:cs="David"/>
      <w:sz w:val="24"/>
      <w:szCs w:val="24"/>
    </w:rPr>
  </w:style>
  <w:style w:type="table" w:styleId="a7">
    <w:name w:val="Table Grid"/>
    <w:basedOn w:val="a1"/>
    <w:rsid w:val="008954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54D9"/>
  </w:style>
  <w:style w:type="character" w:styleId="Hyperlink">
    <w:name w:val="Hyperlink"/>
    <w:rsid w:val="00BB2F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2191452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0301/40j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597584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4264928"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1210</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7246</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3539071</vt:i4>
      </vt:variant>
      <vt:variant>
        <vt:i4>45</vt:i4>
      </vt:variant>
      <vt:variant>
        <vt:i4>0</vt:i4>
      </vt:variant>
      <vt:variant>
        <vt:i4>5</vt:i4>
      </vt:variant>
      <vt:variant>
        <vt:lpwstr>http://www.nevo.co.il/case/24264928</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3801214</vt:i4>
      </vt:variant>
      <vt:variant>
        <vt:i4>36</vt:i4>
      </vt:variant>
      <vt:variant>
        <vt:i4>0</vt:i4>
      </vt:variant>
      <vt:variant>
        <vt:i4>5</vt:i4>
      </vt:variant>
      <vt:variant>
        <vt:lpwstr>http://www.nevo.co.il/case/25975844</vt:lpwstr>
      </vt:variant>
      <vt:variant>
        <vt:lpwstr/>
      </vt:variant>
      <vt:variant>
        <vt:i4>3997809</vt:i4>
      </vt:variant>
      <vt:variant>
        <vt:i4>33</vt:i4>
      </vt:variant>
      <vt:variant>
        <vt:i4>0</vt:i4>
      </vt:variant>
      <vt:variant>
        <vt:i4>5</vt:i4>
      </vt:variant>
      <vt:variant>
        <vt:lpwstr>http://www.nevo.co.il/case/21914524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56456</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סלמאן אבו זקיקה</vt:lpwstr>
  </property>
  <property fmtid="{D5CDD505-2E9C-101B-9397-08002B2CF9AE}" pid="10" name="LAWYER">
    <vt:lpwstr>מאיר לוברבאום;פיראס דראושה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20201031</vt:lpwstr>
  </property>
  <property fmtid="{D5CDD505-2E9C-101B-9397-08002B2CF9AE}" pid="14" name="TYPE_N_DATE">
    <vt:lpwstr>38020201031</vt:lpwstr>
  </property>
  <property fmtid="{D5CDD505-2E9C-101B-9397-08002B2CF9AE}" pid="15" name="WORDNUMPAGES">
    <vt:lpwstr>5</vt:lpwstr>
  </property>
  <property fmtid="{D5CDD505-2E9C-101B-9397-08002B2CF9AE}" pid="16" name="TYPE_ABS_DATE">
    <vt:lpwstr>380020201031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21914524;25975844;24264928</vt:lpwstr>
  </property>
  <property fmtid="{D5CDD505-2E9C-101B-9397-08002B2CF9AE}" pid="36" name="LAWLISTTMP1">
    <vt:lpwstr>4216/007.a;007.c</vt:lpwstr>
  </property>
  <property fmtid="{D5CDD505-2E9C-101B-9397-08002B2CF9AE}" pid="37" name="LAWLISTTMP2">
    <vt:lpwstr>70301/040i;40ja</vt:lpwstr>
  </property>
</Properties>
</file>