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B6591" w:rsidRPr="00D53E25" w14:paraId="006D1D2A" w14:textId="77777777" w:rsidTr="006F59B6">
        <w:trPr>
          <w:trHeight w:hRule="exact" w:val="418"/>
          <w:jc w:val="center"/>
        </w:trPr>
        <w:tc>
          <w:tcPr>
            <w:tcW w:w="8721" w:type="dxa"/>
            <w:gridSpan w:val="2"/>
          </w:tcPr>
          <w:p w14:paraId="23BF6407" w14:textId="77777777" w:rsidR="00FB6591" w:rsidRPr="00D53E25" w:rsidRDefault="00FB6591" w:rsidP="00F367A4">
            <w:pPr>
              <w:pStyle w:val="a3"/>
              <w:jc w:val="center"/>
              <w:rPr>
                <w:rFonts w:ascii="Tahoma" w:hAnsi="Tahoma" w:cs="Tahoma"/>
                <w:color w:val="000080"/>
                <w:rtl/>
              </w:rPr>
            </w:pPr>
            <w:bookmarkStart w:id="0" w:name="FirstLawyer"/>
            <w:bookmarkStart w:id="1" w:name="LastJudge"/>
            <w:r w:rsidRPr="00D53E25">
              <w:rPr>
                <w:rFonts w:ascii="Tahoma" w:hAnsi="Tahoma" w:cs="FrankRuehl"/>
                <w:b/>
                <w:bCs/>
                <w:color w:val="000080"/>
                <w:sz w:val="28"/>
                <w:szCs w:val="28"/>
                <w:rtl/>
              </w:rPr>
              <w:t>בית משפט השלום בירושלים</w:t>
            </w:r>
          </w:p>
        </w:tc>
      </w:tr>
      <w:tr w:rsidR="00FB6591" w:rsidRPr="00D53E25" w14:paraId="01F3D8C2" w14:textId="77777777" w:rsidTr="006F59B6">
        <w:trPr>
          <w:trHeight w:val="337"/>
          <w:jc w:val="center"/>
        </w:trPr>
        <w:tc>
          <w:tcPr>
            <w:tcW w:w="5054" w:type="dxa"/>
          </w:tcPr>
          <w:p w14:paraId="750485B5" w14:textId="77777777" w:rsidR="00FB6591" w:rsidRPr="00D53E25" w:rsidRDefault="00FB6591" w:rsidP="00F367A4">
            <w:pPr>
              <w:rPr>
                <w:rFonts w:cs="FrankRuehl"/>
                <w:sz w:val="28"/>
                <w:szCs w:val="28"/>
                <w:rtl/>
              </w:rPr>
            </w:pPr>
            <w:r w:rsidRPr="00D53E25">
              <w:rPr>
                <w:rFonts w:cs="FrankRuehl"/>
                <w:sz w:val="28"/>
                <w:szCs w:val="28"/>
                <w:rtl/>
              </w:rPr>
              <w:t>ת"פ</w:t>
            </w:r>
            <w:r w:rsidRPr="00D53E25">
              <w:rPr>
                <w:rFonts w:cs="FrankRuehl" w:hint="cs"/>
                <w:sz w:val="28"/>
                <w:szCs w:val="28"/>
                <w:rtl/>
              </w:rPr>
              <w:t xml:space="preserve"> </w:t>
            </w:r>
            <w:r w:rsidRPr="00D53E25">
              <w:rPr>
                <w:rFonts w:cs="FrankRuehl"/>
                <w:sz w:val="28"/>
                <w:szCs w:val="28"/>
                <w:rtl/>
              </w:rPr>
              <w:t>6163-03-19</w:t>
            </w:r>
            <w:r w:rsidRPr="00D53E25">
              <w:rPr>
                <w:rFonts w:cs="FrankRuehl" w:hint="cs"/>
                <w:sz w:val="28"/>
                <w:szCs w:val="28"/>
                <w:rtl/>
              </w:rPr>
              <w:t xml:space="preserve"> </w:t>
            </w:r>
            <w:r w:rsidRPr="00D53E25">
              <w:rPr>
                <w:rFonts w:cs="FrankRuehl"/>
                <w:sz w:val="28"/>
                <w:szCs w:val="28"/>
                <w:rtl/>
              </w:rPr>
              <w:t>מדינת ישראל נ' רווח</w:t>
            </w:r>
          </w:p>
          <w:p w14:paraId="498A6C76" w14:textId="77777777" w:rsidR="00FB6591" w:rsidRPr="00D53E25" w:rsidRDefault="00FB6591" w:rsidP="00F367A4">
            <w:pPr>
              <w:pStyle w:val="a3"/>
              <w:rPr>
                <w:rFonts w:cs="FrankRuehl"/>
                <w:sz w:val="28"/>
                <w:szCs w:val="28"/>
                <w:rtl/>
              </w:rPr>
            </w:pPr>
          </w:p>
        </w:tc>
        <w:tc>
          <w:tcPr>
            <w:tcW w:w="3667" w:type="dxa"/>
          </w:tcPr>
          <w:p w14:paraId="5E6FCC0C" w14:textId="77777777" w:rsidR="00FB6591" w:rsidRPr="00D53E25" w:rsidRDefault="00FB6591" w:rsidP="00F367A4">
            <w:pPr>
              <w:pStyle w:val="a3"/>
              <w:jc w:val="right"/>
              <w:rPr>
                <w:rFonts w:cs="FrankRuehl"/>
                <w:sz w:val="28"/>
                <w:szCs w:val="28"/>
                <w:rtl/>
              </w:rPr>
            </w:pPr>
          </w:p>
        </w:tc>
      </w:tr>
    </w:tbl>
    <w:p w14:paraId="02CF2947" w14:textId="77777777" w:rsidR="00FB6591" w:rsidRPr="00D53E25" w:rsidRDefault="00FB6591" w:rsidP="00FB6591">
      <w:pPr>
        <w:pStyle w:val="a3"/>
        <w:rPr>
          <w:rtl/>
        </w:rPr>
      </w:pPr>
      <w:r w:rsidRPr="00D53E25">
        <w:rPr>
          <w:rFonts w:hint="cs"/>
          <w:rtl/>
        </w:rPr>
        <w:t xml:space="preserve"> </w:t>
      </w:r>
    </w:p>
    <w:p w14:paraId="606F2F02" w14:textId="77777777" w:rsidR="00FB6591" w:rsidRPr="00D53E25" w:rsidRDefault="00FB6591" w:rsidP="00FB6591">
      <w:pPr>
        <w:rPr>
          <w:rtl/>
        </w:rPr>
      </w:pPr>
    </w:p>
    <w:p w14:paraId="246B42A1" w14:textId="77777777" w:rsidR="00FB6591" w:rsidRPr="00D53E25" w:rsidRDefault="00FB6591" w:rsidP="00FB659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B6591" w:rsidRPr="00D53E25" w14:paraId="1708AF3B" w14:textId="77777777" w:rsidTr="00FB6591">
        <w:trPr>
          <w:trHeight w:val="295"/>
          <w:jc w:val="center"/>
        </w:trPr>
        <w:tc>
          <w:tcPr>
            <w:tcW w:w="923" w:type="dxa"/>
            <w:tcBorders>
              <w:top w:val="nil"/>
              <w:left w:val="nil"/>
              <w:bottom w:val="nil"/>
              <w:right w:val="nil"/>
            </w:tcBorders>
            <w:shd w:val="clear" w:color="auto" w:fill="auto"/>
          </w:tcPr>
          <w:p w14:paraId="41E7E3B2" w14:textId="77777777" w:rsidR="00FB6591" w:rsidRPr="00D53E25" w:rsidRDefault="00FB6591" w:rsidP="00FB6591">
            <w:pPr>
              <w:jc w:val="both"/>
              <w:rPr>
                <w:rFonts w:ascii="Arial" w:hAnsi="Arial" w:cs="FrankRuehl"/>
                <w:b/>
                <w:bCs/>
                <w:sz w:val="28"/>
                <w:szCs w:val="28"/>
              </w:rPr>
            </w:pPr>
            <w:r w:rsidRPr="00D53E25">
              <w:rPr>
                <w:rFonts w:ascii="Arial" w:hAnsi="Arial" w:cs="FrankRuehl" w:hint="cs"/>
                <w:b/>
                <w:bCs/>
                <w:sz w:val="28"/>
                <w:szCs w:val="28"/>
                <w:rtl/>
              </w:rPr>
              <w:t>ב</w:t>
            </w:r>
            <w:r w:rsidRPr="00D53E25">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7816E8E5" w14:textId="77777777" w:rsidR="00FB6591" w:rsidRPr="00D53E25" w:rsidRDefault="00FB6591" w:rsidP="00F367A4">
            <w:pPr>
              <w:rPr>
                <w:rFonts w:ascii="Arial" w:hAnsi="Arial" w:cs="FrankRuehl"/>
                <w:b/>
                <w:bCs/>
                <w:sz w:val="28"/>
                <w:szCs w:val="28"/>
                <w:rtl/>
              </w:rPr>
            </w:pPr>
            <w:r w:rsidRPr="00D53E25">
              <w:rPr>
                <w:rFonts w:ascii="Arial" w:hAnsi="Arial" w:cs="FrankRuehl" w:hint="cs"/>
                <w:b/>
                <w:bCs/>
                <w:sz w:val="28"/>
                <w:szCs w:val="28"/>
                <w:rtl/>
              </w:rPr>
              <w:t>כבוד ה</w:t>
            </w:r>
            <w:r w:rsidRPr="00D53E25">
              <w:rPr>
                <w:rFonts w:ascii="Arial" w:hAnsi="Arial" w:cs="FrankRuehl"/>
                <w:b/>
                <w:bCs/>
                <w:sz w:val="28"/>
                <w:szCs w:val="28"/>
                <w:rtl/>
              </w:rPr>
              <w:t>שופט</w:t>
            </w:r>
            <w:r w:rsidRPr="00D53E25">
              <w:rPr>
                <w:rFonts w:ascii="Arial" w:hAnsi="Arial" w:cs="FrankRuehl" w:hint="cs"/>
                <w:b/>
                <w:bCs/>
                <w:sz w:val="28"/>
                <w:szCs w:val="28"/>
                <w:rtl/>
              </w:rPr>
              <w:t xml:space="preserve">  </w:t>
            </w:r>
            <w:r w:rsidRPr="00D53E25">
              <w:rPr>
                <w:rFonts w:ascii="Arial" w:hAnsi="Arial" w:cs="FrankRuehl"/>
                <w:b/>
                <w:bCs/>
                <w:sz w:val="28"/>
                <w:szCs w:val="28"/>
                <w:rtl/>
              </w:rPr>
              <w:t>דוד שאול גבאי ריכטר</w:t>
            </w:r>
          </w:p>
          <w:p w14:paraId="21F1931A" w14:textId="77777777" w:rsidR="00FB6591" w:rsidRPr="00D53E25" w:rsidRDefault="00FB6591" w:rsidP="00F367A4">
            <w:pPr>
              <w:rPr>
                <w:rFonts w:cs="FrankRuehl"/>
                <w:b/>
                <w:bCs/>
                <w:sz w:val="28"/>
                <w:szCs w:val="28"/>
                <w:rtl/>
              </w:rPr>
            </w:pPr>
          </w:p>
          <w:p w14:paraId="4BA5144D" w14:textId="77777777" w:rsidR="00FB6591" w:rsidRPr="00D53E25" w:rsidRDefault="00FB6591" w:rsidP="00FB6591">
            <w:pPr>
              <w:jc w:val="both"/>
              <w:rPr>
                <w:rFonts w:ascii="Arial" w:hAnsi="Arial" w:cs="FrankRuehl"/>
                <w:b/>
                <w:bCs/>
                <w:sz w:val="28"/>
                <w:szCs w:val="28"/>
              </w:rPr>
            </w:pPr>
          </w:p>
        </w:tc>
      </w:tr>
      <w:tr w:rsidR="00FB6591" w:rsidRPr="00D53E25" w14:paraId="5C1D490A" w14:textId="77777777" w:rsidTr="00FB6591">
        <w:trPr>
          <w:trHeight w:val="355"/>
          <w:jc w:val="center"/>
        </w:trPr>
        <w:tc>
          <w:tcPr>
            <w:tcW w:w="923" w:type="dxa"/>
            <w:tcBorders>
              <w:top w:val="nil"/>
              <w:left w:val="nil"/>
              <w:bottom w:val="nil"/>
              <w:right w:val="nil"/>
            </w:tcBorders>
            <w:shd w:val="clear" w:color="auto" w:fill="auto"/>
          </w:tcPr>
          <w:p w14:paraId="43373B6E" w14:textId="77777777" w:rsidR="00FB6591" w:rsidRPr="00D53E25" w:rsidRDefault="00FB6591" w:rsidP="00FB6591">
            <w:pPr>
              <w:jc w:val="both"/>
              <w:rPr>
                <w:rFonts w:ascii="Arial" w:hAnsi="Arial" w:cs="FrankRuehl"/>
                <w:b/>
                <w:bCs/>
                <w:sz w:val="28"/>
                <w:szCs w:val="28"/>
              </w:rPr>
            </w:pPr>
            <w:bookmarkStart w:id="2" w:name="FirstAppellant"/>
            <w:r w:rsidRPr="00D53E25">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38EFD25D" w14:textId="77777777" w:rsidR="00FB6591" w:rsidRPr="00D53E25" w:rsidRDefault="00FB6591" w:rsidP="00F367A4">
            <w:pPr>
              <w:rPr>
                <w:rFonts w:cs="FrankRuehl"/>
                <w:b/>
                <w:bCs/>
                <w:sz w:val="28"/>
                <w:szCs w:val="28"/>
              </w:rPr>
            </w:pPr>
            <w:r w:rsidRPr="00D53E25">
              <w:rPr>
                <w:rFonts w:ascii="Arial" w:hAnsi="Arial" w:cs="FrankRuehl"/>
                <w:b/>
                <w:bCs/>
                <w:sz w:val="28"/>
                <w:szCs w:val="28"/>
                <w:rtl/>
              </w:rPr>
              <w:t>מדינת ישראל</w:t>
            </w:r>
            <w:r w:rsidRPr="00D53E25">
              <w:rPr>
                <w:rFonts w:ascii="Arial" w:hAnsi="Arial" w:cs="FrankRuehl"/>
                <w:b/>
                <w:bCs/>
                <w:sz w:val="28"/>
                <w:szCs w:val="28"/>
                <w:rtl/>
              </w:rPr>
              <w:br/>
            </w:r>
            <w:r w:rsidRPr="00D53E25">
              <w:rPr>
                <w:rFonts w:cs="FrankRuehl" w:hint="cs"/>
                <w:b/>
                <w:bCs/>
                <w:sz w:val="28"/>
                <w:szCs w:val="28"/>
                <w:rtl/>
              </w:rPr>
              <w:t xml:space="preserve">ע"י עו"ד כרמית כהן, תביעות ירושלים </w:t>
            </w:r>
          </w:p>
        </w:tc>
        <w:tc>
          <w:tcPr>
            <w:tcW w:w="3771" w:type="dxa"/>
            <w:tcBorders>
              <w:top w:val="nil"/>
              <w:left w:val="nil"/>
              <w:bottom w:val="nil"/>
              <w:right w:val="nil"/>
            </w:tcBorders>
            <w:shd w:val="clear" w:color="auto" w:fill="auto"/>
          </w:tcPr>
          <w:p w14:paraId="636606BC" w14:textId="77777777" w:rsidR="00FB6591" w:rsidRPr="00D53E25" w:rsidRDefault="00FB6591" w:rsidP="00FB6591">
            <w:pPr>
              <w:jc w:val="both"/>
              <w:rPr>
                <w:rFonts w:ascii="Arial" w:hAnsi="Arial" w:cs="FrankRuehl"/>
                <w:b/>
                <w:bCs/>
                <w:sz w:val="28"/>
                <w:szCs w:val="28"/>
              </w:rPr>
            </w:pPr>
          </w:p>
        </w:tc>
      </w:tr>
      <w:bookmarkEnd w:id="2"/>
      <w:tr w:rsidR="00FB6591" w:rsidRPr="00D53E25" w14:paraId="2B50AC4C" w14:textId="77777777" w:rsidTr="00FB6591">
        <w:trPr>
          <w:trHeight w:val="355"/>
          <w:jc w:val="center"/>
        </w:trPr>
        <w:tc>
          <w:tcPr>
            <w:tcW w:w="923" w:type="dxa"/>
            <w:tcBorders>
              <w:top w:val="nil"/>
              <w:left w:val="nil"/>
              <w:bottom w:val="nil"/>
              <w:right w:val="nil"/>
            </w:tcBorders>
            <w:shd w:val="clear" w:color="auto" w:fill="auto"/>
          </w:tcPr>
          <w:p w14:paraId="6A87F04D" w14:textId="77777777" w:rsidR="00FB6591" w:rsidRPr="00D53E25" w:rsidRDefault="00FB6591" w:rsidP="00FB6591">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C1ABAD9" w14:textId="77777777" w:rsidR="00FB6591" w:rsidRPr="00D53E25" w:rsidRDefault="00FB6591" w:rsidP="00FB6591">
            <w:pPr>
              <w:jc w:val="both"/>
              <w:rPr>
                <w:rFonts w:cs="FrankRuehl"/>
                <w:b/>
                <w:bCs/>
                <w:sz w:val="28"/>
                <w:szCs w:val="28"/>
                <w:rtl/>
              </w:rPr>
            </w:pPr>
          </w:p>
        </w:tc>
        <w:tc>
          <w:tcPr>
            <w:tcW w:w="3771" w:type="dxa"/>
            <w:tcBorders>
              <w:top w:val="nil"/>
              <w:left w:val="nil"/>
              <w:bottom w:val="nil"/>
              <w:right w:val="nil"/>
            </w:tcBorders>
            <w:shd w:val="clear" w:color="auto" w:fill="auto"/>
          </w:tcPr>
          <w:p w14:paraId="287F00DB" w14:textId="77777777" w:rsidR="00FB6591" w:rsidRPr="00D53E25" w:rsidRDefault="00FB6591" w:rsidP="00FB6591">
            <w:pPr>
              <w:jc w:val="right"/>
              <w:rPr>
                <w:rFonts w:ascii="Arial" w:hAnsi="Arial" w:cs="FrankRuehl"/>
                <w:b/>
                <w:bCs/>
                <w:sz w:val="28"/>
                <w:szCs w:val="28"/>
                <w:rtl/>
              </w:rPr>
            </w:pPr>
            <w:r w:rsidRPr="00D53E25">
              <w:rPr>
                <w:rFonts w:ascii="Arial" w:hAnsi="Arial" w:cs="FrankRuehl" w:hint="cs"/>
                <w:b/>
                <w:bCs/>
                <w:sz w:val="28"/>
                <w:szCs w:val="28"/>
                <w:rtl/>
              </w:rPr>
              <w:t>ה</w:t>
            </w:r>
            <w:r w:rsidRPr="00D53E25">
              <w:rPr>
                <w:rFonts w:ascii="Arial" w:hAnsi="Arial" w:cs="FrankRuehl"/>
                <w:b/>
                <w:bCs/>
                <w:sz w:val="28"/>
                <w:szCs w:val="28"/>
                <w:rtl/>
              </w:rPr>
              <w:t>מאשימה</w:t>
            </w:r>
          </w:p>
        </w:tc>
      </w:tr>
      <w:tr w:rsidR="00FB6591" w:rsidRPr="00D53E25" w14:paraId="7F08AD4F" w14:textId="77777777" w:rsidTr="00FB6591">
        <w:trPr>
          <w:trHeight w:val="355"/>
          <w:jc w:val="center"/>
        </w:trPr>
        <w:tc>
          <w:tcPr>
            <w:tcW w:w="923" w:type="dxa"/>
            <w:tcBorders>
              <w:top w:val="nil"/>
              <w:left w:val="nil"/>
              <w:bottom w:val="nil"/>
              <w:right w:val="nil"/>
            </w:tcBorders>
            <w:shd w:val="clear" w:color="auto" w:fill="auto"/>
          </w:tcPr>
          <w:p w14:paraId="50EEB82D" w14:textId="77777777" w:rsidR="00FB6591" w:rsidRPr="00D53E25" w:rsidRDefault="00FB6591" w:rsidP="00FB6591">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711C64A5" w14:textId="77777777" w:rsidR="00FB6591" w:rsidRPr="00D53E25" w:rsidRDefault="00FB6591" w:rsidP="00FB6591">
            <w:pPr>
              <w:jc w:val="center"/>
              <w:rPr>
                <w:rFonts w:ascii="Arial" w:hAnsi="Arial" w:cs="FrankRuehl"/>
                <w:b/>
                <w:bCs/>
                <w:sz w:val="28"/>
                <w:szCs w:val="28"/>
                <w:rtl/>
              </w:rPr>
            </w:pPr>
          </w:p>
          <w:p w14:paraId="694E0706" w14:textId="77777777" w:rsidR="00FB6591" w:rsidRPr="00D53E25" w:rsidRDefault="00FB6591" w:rsidP="00FB6591">
            <w:pPr>
              <w:jc w:val="center"/>
              <w:rPr>
                <w:rFonts w:ascii="Arial" w:hAnsi="Arial" w:cs="FrankRuehl"/>
                <w:b/>
                <w:bCs/>
                <w:sz w:val="28"/>
                <w:szCs w:val="28"/>
                <w:rtl/>
              </w:rPr>
            </w:pPr>
            <w:r w:rsidRPr="00D53E25">
              <w:rPr>
                <w:rFonts w:ascii="Arial" w:hAnsi="Arial" w:cs="FrankRuehl"/>
                <w:b/>
                <w:bCs/>
                <w:sz w:val="28"/>
                <w:szCs w:val="28"/>
                <w:rtl/>
              </w:rPr>
              <w:t>נגד</w:t>
            </w:r>
          </w:p>
          <w:p w14:paraId="71705F66" w14:textId="77777777" w:rsidR="00FB6591" w:rsidRPr="00D53E25" w:rsidRDefault="00FB6591" w:rsidP="00FB6591">
            <w:pPr>
              <w:jc w:val="both"/>
              <w:rPr>
                <w:rFonts w:ascii="Arial" w:hAnsi="Arial" w:cs="FrankRuehl"/>
                <w:b/>
                <w:bCs/>
                <w:sz w:val="28"/>
                <w:szCs w:val="28"/>
              </w:rPr>
            </w:pPr>
          </w:p>
        </w:tc>
      </w:tr>
      <w:tr w:rsidR="00FB6591" w:rsidRPr="00D53E25" w14:paraId="7D55357A" w14:textId="77777777" w:rsidTr="00FB6591">
        <w:trPr>
          <w:trHeight w:val="355"/>
          <w:jc w:val="center"/>
        </w:trPr>
        <w:tc>
          <w:tcPr>
            <w:tcW w:w="923" w:type="dxa"/>
            <w:tcBorders>
              <w:top w:val="nil"/>
              <w:left w:val="nil"/>
              <w:bottom w:val="nil"/>
              <w:right w:val="nil"/>
            </w:tcBorders>
            <w:shd w:val="clear" w:color="auto" w:fill="auto"/>
          </w:tcPr>
          <w:p w14:paraId="0AEDA737" w14:textId="77777777" w:rsidR="00FB6591" w:rsidRPr="00D53E25" w:rsidRDefault="00FB6591" w:rsidP="00F367A4">
            <w:pPr>
              <w:rPr>
                <w:rFonts w:ascii="Arial" w:hAnsi="Arial" w:cs="FrankRuehl"/>
                <w:b/>
                <w:bCs/>
                <w:sz w:val="28"/>
                <w:szCs w:val="28"/>
                <w:rtl/>
              </w:rPr>
            </w:pPr>
          </w:p>
        </w:tc>
        <w:tc>
          <w:tcPr>
            <w:tcW w:w="4126" w:type="dxa"/>
            <w:tcBorders>
              <w:top w:val="nil"/>
              <w:left w:val="nil"/>
              <w:bottom w:val="nil"/>
              <w:right w:val="nil"/>
            </w:tcBorders>
            <w:shd w:val="clear" w:color="auto" w:fill="auto"/>
          </w:tcPr>
          <w:p w14:paraId="5A3491AA" w14:textId="77777777" w:rsidR="00FB6591" w:rsidRPr="00D53E25" w:rsidRDefault="00FB6591" w:rsidP="00F367A4">
            <w:pPr>
              <w:rPr>
                <w:rFonts w:cs="FrankRuehl"/>
                <w:b/>
                <w:bCs/>
                <w:sz w:val="28"/>
                <w:szCs w:val="28"/>
                <w:rtl/>
              </w:rPr>
            </w:pPr>
            <w:r w:rsidRPr="00D53E25">
              <w:rPr>
                <w:rFonts w:ascii="Arial" w:hAnsi="Arial" w:cs="FrankRuehl"/>
                <w:b/>
                <w:bCs/>
                <w:sz w:val="28"/>
                <w:szCs w:val="28"/>
                <w:rtl/>
              </w:rPr>
              <w:t>מתן מתניה רווח</w:t>
            </w:r>
            <w:r w:rsidRPr="00D53E25">
              <w:rPr>
                <w:rFonts w:cs="FrankRuehl" w:hint="cs"/>
                <w:b/>
                <w:bCs/>
                <w:sz w:val="28"/>
                <w:szCs w:val="28"/>
                <w:rtl/>
              </w:rPr>
              <w:t xml:space="preserve"> ת.ז. </w:t>
            </w:r>
            <w:r w:rsidR="00D53E25">
              <w:rPr>
                <w:rFonts w:cs="FrankRuehl"/>
                <w:b/>
                <w:bCs/>
                <w:sz w:val="28"/>
                <w:szCs w:val="28"/>
              </w:rPr>
              <w:t>xxxxxxxx</w:t>
            </w:r>
            <w:r w:rsidRPr="00D53E25">
              <w:rPr>
                <w:rFonts w:cs="FrankRuehl"/>
                <w:b/>
                <w:bCs/>
                <w:sz w:val="28"/>
                <w:szCs w:val="28"/>
                <w:rtl/>
              </w:rPr>
              <w:br/>
            </w:r>
            <w:r w:rsidRPr="00D53E25">
              <w:rPr>
                <w:rFonts w:cs="FrankRuehl" w:hint="cs"/>
                <w:b/>
                <w:bCs/>
                <w:sz w:val="28"/>
                <w:szCs w:val="28"/>
                <w:rtl/>
              </w:rPr>
              <w:t xml:space="preserve">ע"י ב"כ עוה"ד אכרם חליחל </w:t>
            </w:r>
            <w:r w:rsidRPr="00D53E25">
              <w:rPr>
                <w:rFonts w:cs="FrankRuehl"/>
                <w:b/>
                <w:bCs/>
                <w:sz w:val="28"/>
                <w:szCs w:val="28"/>
                <w:rtl/>
              </w:rPr>
              <w:br/>
            </w:r>
          </w:p>
        </w:tc>
        <w:tc>
          <w:tcPr>
            <w:tcW w:w="3771" w:type="dxa"/>
            <w:tcBorders>
              <w:top w:val="nil"/>
              <w:left w:val="nil"/>
              <w:bottom w:val="nil"/>
              <w:right w:val="nil"/>
            </w:tcBorders>
            <w:shd w:val="clear" w:color="auto" w:fill="auto"/>
          </w:tcPr>
          <w:p w14:paraId="2DC518CD" w14:textId="77777777" w:rsidR="00FB6591" w:rsidRPr="00D53E25" w:rsidRDefault="00FB6591" w:rsidP="00FB6591">
            <w:pPr>
              <w:jc w:val="right"/>
              <w:rPr>
                <w:rFonts w:ascii="Arial" w:hAnsi="Arial" w:cs="FrankRuehl"/>
                <w:b/>
                <w:bCs/>
                <w:sz w:val="28"/>
                <w:szCs w:val="28"/>
              </w:rPr>
            </w:pPr>
          </w:p>
        </w:tc>
      </w:tr>
      <w:tr w:rsidR="00FB6591" w:rsidRPr="00D53E25" w14:paraId="03324995" w14:textId="77777777" w:rsidTr="00FB6591">
        <w:trPr>
          <w:trHeight w:val="355"/>
          <w:jc w:val="center"/>
        </w:trPr>
        <w:tc>
          <w:tcPr>
            <w:tcW w:w="923" w:type="dxa"/>
            <w:tcBorders>
              <w:top w:val="nil"/>
              <w:left w:val="nil"/>
              <w:bottom w:val="nil"/>
              <w:right w:val="nil"/>
            </w:tcBorders>
            <w:shd w:val="clear" w:color="auto" w:fill="auto"/>
          </w:tcPr>
          <w:p w14:paraId="48F194B0" w14:textId="77777777" w:rsidR="00FB6591" w:rsidRPr="00D53E25" w:rsidRDefault="00FB6591" w:rsidP="00FB6591">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6E1F814" w14:textId="77777777" w:rsidR="00FB6591" w:rsidRPr="00D53E25" w:rsidRDefault="00FB6591" w:rsidP="00FB6591">
            <w:pPr>
              <w:jc w:val="both"/>
              <w:rPr>
                <w:rFonts w:cs="FrankRuehl"/>
                <w:b/>
                <w:bCs/>
                <w:sz w:val="28"/>
                <w:szCs w:val="28"/>
                <w:rtl/>
              </w:rPr>
            </w:pPr>
          </w:p>
        </w:tc>
        <w:tc>
          <w:tcPr>
            <w:tcW w:w="3771" w:type="dxa"/>
            <w:tcBorders>
              <w:top w:val="nil"/>
              <w:left w:val="nil"/>
              <w:bottom w:val="nil"/>
              <w:right w:val="nil"/>
            </w:tcBorders>
            <w:shd w:val="clear" w:color="auto" w:fill="auto"/>
          </w:tcPr>
          <w:p w14:paraId="55F716CB" w14:textId="77777777" w:rsidR="00FB6591" w:rsidRPr="00D53E25" w:rsidRDefault="00FB6591" w:rsidP="00FB6591">
            <w:pPr>
              <w:jc w:val="right"/>
              <w:rPr>
                <w:rFonts w:ascii="Arial" w:hAnsi="Arial" w:cs="FrankRuehl"/>
                <w:b/>
                <w:bCs/>
                <w:sz w:val="28"/>
                <w:szCs w:val="28"/>
              </w:rPr>
            </w:pPr>
            <w:r w:rsidRPr="00D53E25">
              <w:rPr>
                <w:rFonts w:ascii="Arial" w:hAnsi="Arial" w:cs="FrankRuehl" w:hint="cs"/>
                <w:b/>
                <w:bCs/>
                <w:sz w:val="28"/>
                <w:szCs w:val="28"/>
                <w:rtl/>
              </w:rPr>
              <w:t>ה</w:t>
            </w:r>
            <w:r w:rsidRPr="00D53E25">
              <w:rPr>
                <w:rFonts w:ascii="Arial" w:hAnsi="Arial" w:cs="FrankRuehl"/>
                <w:b/>
                <w:bCs/>
                <w:sz w:val="28"/>
                <w:szCs w:val="28"/>
                <w:rtl/>
              </w:rPr>
              <w:t>נאש</w:t>
            </w:r>
            <w:r w:rsidRPr="00D53E25">
              <w:rPr>
                <w:rFonts w:ascii="Arial" w:hAnsi="Arial" w:cs="FrankRuehl" w:hint="cs"/>
                <w:b/>
                <w:bCs/>
                <w:sz w:val="28"/>
                <w:szCs w:val="28"/>
                <w:rtl/>
              </w:rPr>
              <w:t>ם</w:t>
            </w:r>
          </w:p>
        </w:tc>
      </w:tr>
    </w:tbl>
    <w:p w14:paraId="3B3D98D2" w14:textId="77777777" w:rsidR="006F59B6" w:rsidRDefault="006F59B6" w:rsidP="00D53E25">
      <w:pPr>
        <w:rPr>
          <w:rtl/>
        </w:rPr>
      </w:pPr>
    </w:p>
    <w:p w14:paraId="451C72E7" w14:textId="77777777" w:rsidR="006F59B6" w:rsidRPr="006F59B6" w:rsidRDefault="006F59B6" w:rsidP="006F59B6">
      <w:pPr>
        <w:spacing w:after="120" w:line="240" w:lineRule="exact"/>
        <w:ind w:left="283" w:hanging="283"/>
        <w:jc w:val="both"/>
        <w:rPr>
          <w:rFonts w:ascii="FrankRuehl" w:hAnsi="FrankRuehl" w:cs="FrankRuehl"/>
          <w:rtl/>
        </w:rPr>
      </w:pPr>
    </w:p>
    <w:p w14:paraId="6F70E4C0" w14:textId="77777777" w:rsidR="004350C6" w:rsidRDefault="004350C6" w:rsidP="004350C6">
      <w:pPr>
        <w:rPr>
          <w:rtl/>
        </w:rPr>
      </w:pPr>
      <w:bookmarkStart w:id="3" w:name="LawTable"/>
      <w:bookmarkEnd w:id="3"/>
    </w:p>
    <w:p w14:paraId="59049BF9" w14:textId="77777777" w:rsidR="004350C6" w:rsidRPr="004350C6" w:rsidRDefault="004350C6" w:rsidP="004350C6">
      <w:pPr>
        <w:spacing w:before="120" w:after="120" w:line="240" w:lineRule="exact"/>
        <w:ind w:left="283" w:hanging="283"/>
        <w:jc w:val="both"/>
        <w:rPr>
          <w:rFonts w:ascii="FrankRuehl" w:hAnsi="FrankRuehl" w:cs="FrankRuehl"/>
          <w:rtl/>
        </w:rPr>
      </w:pPr>
    </w:p>
    <w:p w14:paraId="20E093F9" w14:textId="77777777" w:rsidR="004350C6" w:rsidRPr="004350C6" w:rsidRDefault="004350C6" w:rsidP="004350C6">
      <w:pPr>
        <w:spacing w:before="120" w:after="120" w:line="240" w:lineRule="exact"/>
        <w:ind w:left="283" w:hanging="283"/>
        <w:jc w:val="both"/>
        <w:rPr>
          <w:rFonts w:ascii="FrankRuehl" w:hAnsi="FrankRuehl" w:cs="FrankRuehl"/>
          <w:rtl/>
        </w:rPr>
      </w:pPr>
    </w:p>
    <w:p w14:paraId="62997C3D" w14:textId="77777777" w:rsidR="004350C6" w:rsidRPr="004350C6" w:rsidRDefault="004350C6" w:rsidP="004350C6">
      <w:pPr>
        <w:spacing w:before="120" w:after="120" w:line="240" w:lineRule="exact"/>
        <w:ind w:left="283" w:hanging="283"/>
        <w:jc w:val="both"/>
        <w:rPr>
          <w:rFonts w:ascii="FrankRuehl" w:hAnsi="FrankRuehl" w:cs="FrankRuehl"/>
          <w:rtl/>
        </w:rPr>
      </w:pPr>
      <w:r w:rsidRPr="004350C6">
        <w:rPr>
          <w:rFonts w:ascii="FrankRuehl" w:hAnsi="FrankRuehl" w:cs="FrankRuehl"/>
          <w:rtl/>
        </w:rPr>
        <w:t xml:space="preserve">חקיקה שאוזכרה: </w:t>
      </w:r>
    </w:p>
    <w:p w14:paraId="3540269F" w14:textId="77777777" w:rsidR="004350C6" w:rsidRPr="004350C6" w:rsidRDefault="004350C6" w:rsidP="004350C6">
      <w:pPr>
        <w:spacing w:before="120" w:after="120" w:line="240" w:lineRule="exact"/>
        <w:ind w:left="283" w:hanging="283"/>
        <w:jc w:val="both"/>
        <w:rPr>
          <w:rFonts w:ascii="FrankRuehl" w:hAnsi="FrankRuehl" w:cs="FrankRuehl"/>
          <w:rtl/>
        </w:rPr>
      </w:pPr>
      <w:hyperlink r:id="rId7" w:history="1">
        <w:r w:rsidRPr="004350C6">
          <w:rPr>
            <w:rFonts w:ascii="FrankRuehl" w:hAnsi="FrankRuehl" w:cs="FrankRuehl"/>
            <w:color w:val="0000FF"/>
            <w:rtl/>
          </w:rPr>
          <w:t>פקודת הסמים המסוכנים [נוסח חדש], תשל"ג-1973</w:t>
        </w:r>
      </w:hyperlink>
      <w:r w:rsidRPr="004350C6">
        <w:rPr>
          <w:rFonts w:ascii="FrankRuehl" w:hAnsi="FrankRuehl" w:cs="FrankRuehl"/>
          <w:rtl/>
        </w:rPr>
        <w:t xml:space="preserve">: סע'  </w:t>
      </w:r>
      <w:hyperlink r:id="rId8" w:history="1">
        <w:r w:rsidRPr="004350C6">
          <w:rPr>
            <w:rFonts w:ascii="FrankRuehl" w:hAnsi="FrankRuehl" w:cs="FrankRuehl"/>
            <w:color w:val="0000FF"/>
            <w:rtl/>
          </w:rPr>
          <w:t>7.א.</w:t>
        </w:r>
      </w:hyperlink>
      <w:r w:rsidRPr="004350C6">
        <w:rPr>
          <w:rFonts w:ascii="FrankRuehl" w:hAnsi="FrankRuehl" w:cs="FrankRuehl"/>
          <w:rtl/>
        </w:rPr>
        <w:t xml:space="preserve">, </w:t>
      </w:r>
      <w:hyperlink r:id="rId9" w:history="1">
        <w:r w:rsidRPr="004350C6">
          <w:rPr>
            <w:rFonts w:ascii="FrankRuehl" w:hAnsi="FrankRuehl" w:cs="FrankRuehl"/>
            <w:color w:val="0000FF"/>
            <w:rtl/>
          </w:rPr>
          <w:t>7.ג</w:t>
        </w:r>
      </w:hyperlink>
    </w:p>
    <w:p w14:paraId="79168244" w14:textId="77777777" w:rsidR="004350C6" w:rsidRPr="004350C6" w:rsidRDefault="004350C6" w:rsidP="004350C6">
      <w:pPr>
        <w:spacing w:before="120" w:after="120" w:line="240" w:lineRule="exact"/>
        <w:ind w:left="283" w:hanging="283"/>
        <w:jc w:val="both"/>
        <w:rPr>
          <w:rFonts w:ascii="FrankRuehl" w:hAnsi="FrankRuehl" w:cs="FrankRuehl"/>
          <w:rtl/>
        </w:rPr>
      </w:pPr>
      <w:hyperlink r:id="rId10" w:history="1">
        <w:r w:rsidRPr="004350C6">
          <w:rPr>
            <w:rFonts w:ascii="FrankRuehl" w:hAnsi="FrankRuehl" w:cs="FrankRuehl"/>
            <w:color w:val="0000FF"/>
            <w:rtl/>
          </w:rPr>
          <w:t>חוק העונשין, תשל"ז-1977</w:t>
        </w:r>
      </w:hyperlink>
      <w:r w:rsidRPr="004350C6">
        <w:rPr>
          <w:rFonts w:ascii="FrankRuehl" w:hAnsi="FrankRuehl" w:cs="FrankRuehl"/>
          <w:rtl/>
        </w:rPr>
        <w:t xml:space="preserve">: סע'  </w:t>
      </w:r>
      <w:hyperlink r:id="rId11" w:history="1">
        <w:r w:rsidRPr="004350C6">
          <w:rPr>
            <w:rFonts w:ascii="FrankRuehl" w:hAnsi="FrankRuehl" w:cs="FrankRuehl"/>
            <w:color w:val="0000FF"/>
            <w:rtl/>
          </w:rPr>
          <w:t>40ט'</w:t>
        </w:r>
      </w:hyperlink>
      <w:r w:rsidRPr="004350C6">
        <w:rPr>
          <w:rFonts w:ascii="FrankRuehl" w:hAnsi="FrankRuehl" w:cs="FrankRuehl"/>
          <w:rtl/>
        </w:rPr>
        <w:t xml:space="preserve">, </w:t>
      </w:r>
      <w:hyperlink r:id="rId12" w:history="1">
        <w:r w:rsidRPr="004350C6">
          <w:rPr>
            <w:rFonts w:ascii="FrankRuehl" w:hAnsi="FrankRuehl" w:cs="FrankRuehl"/>
            <w:color w:val="0000FF"/>
            <w:rtl/>
          </w:rPr>
          <w:t>40יא</w:t>
        </w:r>
      </w:hyperlink>
    </w:p>
    <w:p w14:paraId="6F90691B" w14:textId="77777777" w:rsidR="004350C6" w:rsidRPr="004350C6" w:rsidRDefault="004350C6" w:rsidP="004350C6">
      <w:pPr>
        <w:rPr>
          <w:rtl/>
        </w:rPr>
      </w:pPr>
      <w:bookmarkStart w:id="4" w:name="LawTable_End"/>
      <w:bookmarkEnd w:id="4"/>
    </w:p>
    <w:p w14:paraId="121D1B23" w14:textId="77777777" w:rsidR="00FB6591" w:rsidRPr="00D53E25" w:rsidRDefault="00FB6591" w:rsidP="00FB659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6591" w14:paraId="33BD7758" w14:textId="77777777" w:rsidTr="00FB6591">
        <w:trPr>
          <w:trHeight w:val="355"/>
          <w:jc w:val="center"/>
        </w:trPr>
        <w:tc>
          <w:tcPr>
            <w:tcW w:w="8820" w:type="dxa"/>
            <w:tcBorders>
              <w:top w:val="nil"/>
              <w:left w:val="nil"/>
              <w:bottom w:val="nil"/>
              <w:right w:val="nil"/>
            </w:tcBorders>
            <w:shd w:val="clear" w:color="auto" w:fill="auto"/>
          </w:tcPr>
          <w:p w14:paraId="01A6B79B" w14:textId="77777777" w:rsidR="00D53E25" w:rsidRPr="00D53E25" w:rsidRDefault="00D53E25" w:rsidP="00D53E25">
            <w:pPr>
              <w:jc w:val="center"/>
              <w:rPr>
                <w:rFonts w:ascii="Arial" w:hAnsi="Arial" w:cs="FrankRuehl"/>
                <w:b/>
                <w:bCs/>
                <w:sz w:val="32"/>
                <w:szCs w:val="32"/>
                <w:u w:val="single"/>
                <w:rtl/>
              </w:rPr>
            </w:pPr>
            <w:bookmarkStart w:id="5" w:name="PsakDin" w:colFirst="0" w:colLast="0"/>
            <w:bookmarkEnd w:id="0"/>
            <w:bookmarkEnd w:id="1"/>
            <w:r w:rsidRPr="00D53E25">
              <w:rPr>
                <w:rFonts w:ascii="Arial" w:hAnsi="Arial" w:cs="FrankRuehl"/>
                <w:b/>
                <w:bCs/>
                <w:sz w:val="32"/>
                <w:szCs w:val="32"/>
                <w:u w:val="single"/>
                <w:rtl/>
              </w:rPr>
              <w:t>גזר דין</w:t>
            </w:r>
          </w:p>
          <w:p w14:paraId="73DE5706" w14:textId="77777777" w:rsidR="00FB6591" w:rsidRPr="00D53E25" w:rsidRDefault="00FB6591" w:rsidP="00D53E25">
            <w:pPr>
              <w:jc w:val="center"/>
              <w:rPr>
                <w:rFonts w:ascii="Arial" w:hAnsi="Arial" w:cs="FrankRuehl"/>
                <w:bCs/>
                <w:sz w:val="32"/>
                <w:szCs w:val="32"/>
                <w:u w:val="single"/>
                <w:rtl/>
              </w:rPr>
            </w:pPr>
          </w:p>
        </w:tc>
      </w:tr>
      <w:bookmarkEnd w:id="5"/>
    </w:tbl>
    <w:p w14:paraId="06983B39" w14:textId="77777777" w:rsidR="00FB6591" w:rsidRPr="00B05847" w:rsidRDefault="00FB6591" w:rsidP="00FB6591">
      <w:pPr>
        <w:rPr>
          <w:rFonts w:ascii="Arial" w:hAnsi="Arial"/>
          <w:rtl/>
        </w:rPr>
      </w:pPr>
    </w:p>
    <w:p w14:paraId="19249B6D" w14:textId="77777777" w:rsidR="00FB6591" w:rsidRDefault="00FB6591" w:rsidP="00FB6591">
      <w:pPr>
        <w:rPr>
          <w:rFonts w:ascii="Arial" w:hAnsi="Arial"/>
          <w:rtl/>
        </w:rPr>
      </w:pPr>
    </w:p>
    <w:p w14:paraId="2C6B7466" w14:textId="77777777" w:rsidR="00FB6591" w:rsidRPr="006D385E" w:rsidRDefault="00FB6591" w:rsidP="00FB6591">
      <w:pPr>
        <w:spacing w:after="160" w:line="259" w:lineRule="auto"/>
        <w:rPr>
          <w:rFonts w:ascii="FrankRuehl" w:hAnsi="FrankRuehl" w:cs="FrankRuehl"/>
          <w:b/>
          <w:bCs/>
          <w:sz w:val="28"/>
          <w:szCs w:val="28"/>
          <w:u w:val="single"/>
        </w:rPr>
      </w:pPr>
      <w:r w:rsidRPr="006D385E">
        <w:rPr>
          <w:rFonts w:ascii="FrankRuehl" w:hAnsi="FrankRuehl" w:cs="FrankRuehl"/>
          <w:b/>
          <w:bCs/>
          <w:sz w:val="28"/>
          <w:szCs w:val="28"/>
          <w:u w:val="single"/>
          <w:rtl/>
        </w:rPr>
        <w:t>כתב האישום</w:t>
      </w:r>
    </w:p>
    <w:p w14:paraId="315D31B1" w14:textId="77777777" w:rsidR="00FB6591" w:rsidRPr="006D385E" w:rsidRDefault="00FB6591" w:rsidP="00FB6591">
      <w:pPr>
        <w:spacing w:after="160" w:line="360" w:lineRule="auto"/>
        <w:jc w:val="both"/>
        <w:rPr>
          <w:rFonts w:ascii="FrankRuehl" w:hAnsi="FrankRuehl" w:cs="FrankRuehl"/>
          <w:sz w:val="28"/>
          <w:szCs w:val="28"/>
        </w:rPr>
      </w:pPr>
      <w:bookmarkStart w:id="6" w:name="ABSTRACT_START"/>
      <w:bookmarkEnd w:id="6"/>
      <w:r w:rsidRPr="006D385E">
        <w:rPr>
          <w:rFonts w:ascii="FrankRuehl" w:hAnsi="FrankRuehl" w:cs="FrankRuehl"/>
          <w:sz w:val="28"/>
          <w:szCs w:val="28"/>
          <w:rtl/>
        </w:rPr>
        <w:t xml:space="preserve">הנאשם הורשע על פי הודאתו בעבירות ובעובדות המנויות בכתב האישום, בכך שביום 8.1.2018, בשעות הצהרים המאוחרות, החזיק הנאשם בתיק גב 1.5073 גרם </w:t>
      </w:r>
      <w:r>
        <w:rPr>
          <w:rFonts w:ascii="FrankRuehl" w:hAnsi="FrankRuehl" w:cs="FrankRuehl"/>
          <w:sz w:val="28"/>
          <w:szCs w:val="28"/>
          <w:rtl/>
        </w:rPr>
        <w:t>קנביס</w:t>
      </w:r>
      <w:r w:rsidRPr="006D385E">
        <w:rPr>
          <w:rFonts w:ascii="FrankRuehl" w:hAnsi="FrankRuehl" w:cs="FrankRuehl"/>
          <w:sz w:val="28"/>
          <w:szCs w:val="28"/>
          <w:rtl/>
        </w:rPr>
        <w:t xml:space="preserve"> ו - 0.80 מ"ל סם מסוג </w:t>
      </w:r>
      <w:r w:rsidRPr="006D385E">
        <w:rPr>
          <w:rFonts w:ascii="FrankRuehl" w:hAnsi="FrankRuehl" w:cs="FrankRuehl"/>
          <w:sz w:val="28"/>
          <w:szCs w:val="28"/>
        </w:rPr>
        <w:t>DELTA 9 THC</w:t>
      </w:r>
      <w:r w:rsidRPr="006D385E">
        <w:rPr>
          <w:rFonts w:ascii="FrankRuehl" w:hAnsi="FrankRuehl" w:cs="FrankRuehl"/>
          <w:sz w:val="28"/>
          <w:szCs w:val="28"/>
          <w:rtl/>
        </w:rPr>
        <w:t xml:space="preserve">. בגין  מעשים אלה הורשע הנאשם בעבירה של החזקת סמים לשימוש עצמי, עבירה לפי סעיפים </w:t>
      </w:r>
      <w:hyperlink r:id="rId13" w:history="1">
        <w:r w:rsidR="006F59B6" w:rsidRPr="006F59B6">
          <w:rPr>
            <w:rStyle w:val="Hyperlink"/>
            <w:rFonts w:ascii="FrankRuehl" w:hAnsi="FrankRuehl" w:cs="FrankRuehl"/>
            <w:sz w:val="28"/>
            <w:szCs w:val="28"/>
            <w:rtl/>
          </w:rPr>
          <w:t>7(א) + 7(ג)</w:t>
        </w:r>
      </w:hyperlink>
      <w:r w:rsidRPr="006D385E">
        <w:rPr>
          <w:rFonts w:ascii="FrankRuehl" w:hAnsi="FrankRuehl" w:cs="FrankRuehl"/>
          <w:sz w:val="28"/>
          <w:szCs w:val="28"/>
          <w:rtl/>
        </w:rPr>
        <w:t xml:space="preserve"> ל</w:t>
      </w:r>
      <w:hyperlink r:id="rId14" w:history="1">
        <w:r w:rsidR="00D53E25" w:rsidRPr="00D53E25">
          <w:rPr>
            <w:rFonts w:ascii="FrankRuehl" w:hAnsi="FrankRuehl" w:cs="FrankRuehl"/>
            <w:color w:val="0000FF"/>
            <w:sz w:val="28"/>
            <w:szCs w:val="28"/>
            <w:u w:val="single"/>
            <w:rtl/>
          </w:rPr>
          <w:t>פקודת הסמים המסוכנים</w:t>
        </w:r>
      </w:hyperlink>
      <w:r w:rsidRPr="006D385E">
        <w:rPr>
          <w:rFonts w:ascii="FrankRuehl" w:hAnsi="FrankRuehl" w:cs="FrankRuehl"/>
          <w:sz w:val="28"/>
          <w:szCs w:val="28"/>
          <w:rtl/>
        </w:rPr>
        <w:t xml:space="preserve"> (נוסח חדש), התשל"ג – 1973.</w:t>
      </w:r>
    </w:p>
    <w:p w14:paraId="5F481576" w14:textId="77777777" w:rsidR="00FB6591" w:rsidRPr="006D385E" w:rsidRDefault="00FB6591" w:rsidP="00FB6591">
      <w:pPr>
        <w:spacing w:after="160" w:line="360" w:lineRule="auto"/>
        <w:jc w:val="both"/>
        <w:rPr>
          <w:rFonts w:ascii="FrankRuehl" w:hAnsi="FrankRuehl" w:cs="FrankRuehl"/>
          <w:b/>
          <w:bCs/>
          <w:sz w:val="28"/>
          <w:szCs w:val="28"/>
          <w:u w:val="single"/>
        </w:rPr>
      </w:pPr>
      <w:bookmarkStart w:id="7" w:name="ABSTRACT_END"/>
      <w:bookmarkEnd w:id="7"/>
    </w:p>
    <w:p w14:paraId="6B6C389D" w14:textId="77777777" w:rsidR="00FB6591" w:rsidRPr="006D385E" w:rsidRDefault="00FB6591" w:rsidP="00FB6591">
      <w:pPr>
        <w:spacing w:after="160" w:line="360" w:lineRule="auto"/>
        <w:jc w:val="both"/>
        <w:rPr>
          <w:rFonts w:ascii="FrankRuehl" w:hAnsi="FrankRuehl" w:cs="FrankRuehl"/>
          <w:b/>
          <w:bCs/>
          <w:sz w:val="28"/>
          <w:szCs w:val="28"/>
          <w:u w:val="single"/>
          <w:rtl/>
        </w:rPr>
      </w:pPr>
      <w:r w:rsidRPr="006D385E">
        <w:rPr>
          <w:rFonts w:ascii="FrankRuehl" w:hAnsi="FrankRuehl" w:cs="FrankRuehl"/>
          <w:b/>
          <w:bCs/>
          <w:sz w:val="28"/>
          <w:szCs w:val="28"/>
          <w:u w:val="single"/>
          <w:rtl/>
        </w:rPr>
        <w:lastRenderedPageBreak/>
        <w:t>תסקירי שירות המבחן</w:t>
      </w:r>
    </w:p>
    <w:p w14:paraId="31C4DCB1"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sz w:val="28"/>
          <w:szCs w:val="28"/>
          <w:rtl/>
        </w:rPr>
        <w:t>מהתסקיר הראשון שהוגש בעניינו של הנאשם עולה</w:t>
      </w:r>
      <w:r>
        <w:rPr>
          <w:rFonts w:ascii="FrankRuehl" w:hAnsi="FrankRuehl" w:cs="FrankRuehl" w:hint="cs"/>
          <w:sz w:val="28"/>
          <w:szCs w:val="28"/>
          <w:rtl/>
        </w:rPr>
        <w:t>,</w:t>
      </w:r>
      <w:r w:rsidRPr="006D385E">
        <w:rPr>
          <w:rFonts w:ascii="FrankRuehl" w:hAnsi="FrankRuehl" w:cs="FrankRuehl"/>
          <w:sz w:val="28"/>
          <w:szCs w:val="28"/>
          <w:rtl/>
        </w:rPr>
        <w:t xml:space="preserve"> כי הוא בן 26, רווק המתגורר בירושלים. שירות המבחן סקר בהרחבה את קורות חייו של הנאשם מהן עולה</w:t>
      </w:r>
      <w:r>
        <w:rPr>
          <w:rFonts w:ascii="FrankRuehl" w:hAnsi="FrankRuehl" w:cs="FrankRuehl" w:hint="cs"/>
          <w:sz w:val="28"/>
          <w:szCs w:val="28"/>
          <w:rtl/>
        </w:rPr>
        <w:t>,</w:t>
      </w:r>
      <w:r w:rsidRPr="006D385E">
        <w:rPr>
          <w:rFonts w:ascii="FrankRuehl" w:hAnsi="FrankRuehl" w:cs="FrankRuehl"/>
          <w:sz w:val="28"/>
          <w:szCs w:val="28"/>
          <w:rtl/>
        </w:rPr>
        <w:t xml:space="preserve"> כי סיים 12 שנות לימוד ללא תעודת בגרות. </w:t>
      </w:r>
      <w:r>
        <w:rPr>
          <w:rFonts w:ascii="FrankRuehl" w:hAnsi="FrankRuehl" w:cs="FrankRuehl" w:hint="cs"/>
          <w:sz w:val="28"/>
          <w:szCs w:val="28"/>
          <w:rtl/>
        </w:rPr>
        <w:t xml:space="preserve">ילדותו ונעוריו היו מורכבים, לרבות חוויות קשות שנחשף אליהן, מחוץ למסגרת המשפחתית והותירו בו חותם. משפחתו הגגרה לתקופה לא ארוכה לאמריקה, ובעקבות קשיים כלכליים, שבה המשפחה הקטנה (הנאשם ואמו בלבד) לישראל. </w:t>
      </w:r>
      <w:r w:rsidRPr="006D385E">
        <w:rPr>
          <w:rFonts w:ascii="FrankRuehl" w:hAnsi="FrankRuehl" w:cs="FrankRuehl"/>
          <w:sz w:val="28"/>
          <w:szCs w:val="28"/>
          <w:rtl/>
        </w:rPr>
        <w:t xml:space="preserve">בגיל המתאים התגייס לצה"ל – לחיל האוויר, אך שוחרר לאחר 10 חודשי שירות על רקע נפשי, </w:t>
      </w:r>
      <w:r>
        <w:rPr>
          <w:rFonts w:ascii="FrankRuehl" w:hAnsi="FrankRuehl" w:cs="FrankRuehl" w:hint="cs"/>
          <w:sz w:val="28"/>
          <w:szCs w:val="28"/>
          <w:rtl/>
        </w:rPr>
        <w:t xml:space="preserve">לנוכח </w:t>
      </w:r>
      <w:r w:rsidRPr="006D385E">
        <w:rPr>
          <w:rFonts w:ascii="FrankRuehl" w:hAnsi="FrankRuehl" w:cs="FrankRuehl"/>
          <w:sz w:val="28"/>
          <w:szCs w:val="28"/>
          <w:rtl/>
        </w:rPr>
        <w:t xml:space="preserve">קשייו להסתגל למסגרת הצבאית. לאחר שחרורו עבד </w:t>
      </w:r>
      <w:r>
        <w:rPr>
          <w:rFonts w:ascii="FrankRuehl" w:hAnsi="FrankRuehl" w:cs="FrankRuehl" w:hint="cs"/>
          <w:sz w:val="28"/>
          <w:szCs w:val="28"/>
          <w:rtl/>
        </w:rPr>
        <w:t xml:space="preserve">הנאשם </w:t>
      </w:r>
      <w:r w:rsidRPr="006D385E">
        <w:rPr>
          <w:rFonts w:ascii="FrankRuehl" w:hAnsi="FrankRuehl" w:cs="FrankRuehl"/>
          <w:sz w:val="28"/>
          <w:szCs w:val="28"/>
          <w:rtl/>
        </w:rPr>
        <w:t>בעבודות מזדמנות בעיקר בתחום הבישול במלונות בירושלים. הנאשם שיתף, כי נחשף לראשונה לשימוש באלכוהול ו</w:t>
      </w:r>
      <w:r>
        <w:rPr>
          <w:rFonts w:ascii="FrankRuehl" w:hAnsi="FrankRuehl" w:cs="FrankRuehl"/>
          <w:sz w:val="28"/>
          <w:szCs w:val="28"/>
          <w:rtl/>
        </w:rPr>
        <w:t>קנביס</w:t>
      </w:r>
      <w:r w:rsidRPr="006D385E">
        <w:rPr>
          <w:rFonts w:ascii="FrankRuehl" w:hAnsi="FrankRuehl" w:cs="FrankRuehl"/>
          <w:sz w:val="28"/>
          <w:szCs w:val="28"/>
          <w:rtl/>
        </w:rPr>
        <w:t xml:space="preserve"> בגיל 16, כאשר השימוש היה בנסיבות חברתיות. בגיל 21, החל לצרוך סמים באופן יומיומי, עד גיל 24, אז נעצר בגין עבירות של סחר בסמים. בעברו הפלילי של הנאשם 4 הרשעות קודמות בגין עבירות רכוש, סמים והפרת הוראה חוקית. הנאשם הופנה פעמיים לשירות המבחן. בשנת 2017 במסגרת הרשעתו בתיק הסחר בסמים, הופנה לקהילת "בית אביבה", אך לאחר ארבעה חודשים הוחלט על הפסקת טיפולו בקהילה בשל הפרת תנאים. שירות המבחן ניסה לשלב את הנאשם ב"מלכישוע", אך הוא לא התקבל משום שהוחלט, כי אינו  מתאים לטיפול במסגרתם. בהתייחסות לעבירה הנדונה, שירות המבחן התרשם, כי הנאשם נטל אחריות חלקית לביצועה. הנאשם סיפר, כי באותה תקופה נמנע משימוש בסמים בשל צו המבחן שהוטל עליו במסגרת תיק הסחר, ולדבריו הסמים נותרו בחזקתו. שירות המבחן ציין, כי במהלך הקשר עם הנאשם, מסר 3 בדיקות לגילוי שרידי סם, מתוך ארבע אליהן זומן. שתיים מהבדיקות נמצאו נקיות ואילו הבדיקה האחרונה נמצאה עם שרידי סם מסוג אקסטזי. הנאשם מסר, כי מטופל על </w:t>
      </w:r>
      <w:r>
        <w:rPr>
          <w:rFonts w:ascii="FrankRuehl" w:hAnsi="FrankRuehl" w:cs="FrankRuehl" w:hint="cs"/>
          <w:sz w:val="28"/>
          <w:szCs w:val="28"/>
          <w:rtl/>
        </w:rPr>
        <w:t>י</w:t>
      </w:r>
      <w:r w:rsidRPr="006D385E">
        <w:rPr>
          <w:rFonts w:ascii="FrankRuehl" w:hAnsi="FrankRuehl" w:cs="FrankRuehl"/>
          <w:sz w:val="28"/>
          <w:szCs w:val="28"/>
          <w:rtl/>
        </w:rPr>
        <w:t>די פסיכולוגית פרטית, אך לא נתן הסכמתו לכך ששירות המבחן יצור קשר עם הפסיכולוגית. שירות המבחן התרשם, כי הנאשם גילה נכונות ראשונית לשיתוף פעולה, ולכן ביקש לדחות את הדיון בעניינו על מנת למצות את התהליך הטיפולי.</w:t>
      </w:r>
    </w:p>
    <w:p w14:paraId="68533D4D" w14:textId="77777777" w:rsidR="00FB6591"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sz w:val="28"/>
          <w:szCs w:val="28"/>
          <w:rtl/>
        </w:rPr>
        <w:t>מהתסקיר השני שהוגש בעניינו של הנאשם עולה, כי במהלך תקופת הדחיה לא הגיע הנאשם לכל שש הבדיקות לגילוי שרידי סם אליהן זומן. חרף ניסיונות השירות ליצ</w:t>
      </w:r>
      <w:r>
        <w:rPr>
          <w:rFonts w:ascii="FrankRuehl" w:hAnsi="FrankRuehl" w:cs="FrankRuehl" w:hint="cs"/>
          <w:sz w:val="28"/>
          <w:szCs w:val="28"/>
          <w:rtl/>
        </w:rPr>
        <w:t>ו</w:t>
      </w:r>
      <w:r w:rsidRPr="006D385E">
        <w:rPr>
          <w:rFonts w:ascii="FrankRuehl" w:hAnsi="FrankRuehl" w:cs="FrankRuehl"/>
          <w:sz w:val="28"/>
          <w:szCs w:val="28"/>
          <w:rtl/>
        </w:rPr>
        <w:t xml:space="preserve">ר עמו קשר ולרתום אותו לטיפול, </w:t>
      </w:r>
      <w:r>
        <w:rPr>
          <w:rFonts w:ascii="FrankRuehl" w:hAnsi="FrankRuehl" w:cs="FrankRuehl" w:hint="cs"/>
          <w:sz w:val="28"/>
          <w:szCs w:val="28"/>
          <w:rtl/>
        </w:rPr>
        <w:t xml:space="preserve">הביע </w:t>
      </w:r>
      <w:r w:rsidRPr="006D385E">
        <w:rPr>
          <w:rFonts w:ascii="FrankRuehl" w:hAnsi="FrankRuehl" w:cs="FrankRuehl"/>
          <w:sz w:val="28"/>
          <w:szCs w:val="28"/>
          <w:rtl/>
        </w:rPr>
        <w:t xml:space="preserve">הנאשם אמביוולנטיות בנוגע לרצונו להשתלב בטיפול. שירות המבחן העריך, כי מאסר בפועל עלול לגרום להשלכות הרסניות על חייו של הנאשם, לפיכך המליץ על הפעלת המאסר המותנה בדרך של עבודות שירות. </w:t>
      </w:r>
    </w:p>
    <w:p w14:paraId="5C63AC5B" w14:textId="77777777" w:rsidR="00FB6591" w:rsidRDefault="00FB6591" w:rsidP="00FB6591">
      <w:pPr>
        <w:spacing w:after="160" w:line="360" w:lineRule="auto"/>
        <w:jc w:val="both"/>
        <w:rPr>
          <w:rFonts w:ascii="FrankRuehl" w:hAnsi="FrankRuehl" w:cs="FrankRuehl"/>
          <w:sz w:val="28"/>
          <w:szCs w:val="28"/>
          <w:rtl/>
        </w:rPr>
      </w:pPr>
      <w:r>
        <w:rPr>
          <w:rFonts w:ascii="FrankRuehl" w:hAnsi="FrankRuehl" w:cs="FrankRuehl" w:hint="cs"/>
          <w:sz w:val="28"/>
          <w:szCs w:val="28"/>
          <w:rtl/>
        </w:rPr>
        <w:t>בתסקיר השלישי נבחנה אפשרות שילובו בבית משפט קהילתי, אך בשל סיבה טכנית, הדבר לא התאפשר.</w:t>
      </w:r>
    </w:p>
    <w:p w14:paraId="76D802C9" w14:textId="77777777" w:rsidR="00FB6591" w:rsidRDefault="00FB6591" w:rsidP="00FB6591">
      <w:pPr>
        <w:spacing w:after="160" w:line="360" w:lineRule="auto"/>
        <w:jc w:val="both"/>
        <w:rPr>
          <w:rFonts w:ascii="FrankRuehl" w:hAnsi="FrankRuehl" w:cs="FrankRuehl"/>
          <w:sz w:val="28"/>
          <w:szCs w:val="28"/>
          <w:rtl/>
        </w:rPr>
      </w:pPr>
      <w:r>
        <w:rPr>
          <w:rFonts w:ascii="FrankRuehl" w:hAnsi="FrankRuehl" w:cs="FrankRuehl" w:hint="cs"/>
          <w:sz w:val="28"/>
          <w:szCs w:val="28"/>
          <w:rtl/>
        </w:rPr>
        <w:lastRenderedPageBreak/>
        <w:t>מהתסקיר הרביעי עלה, כי הנאשם השתלב, ביוזמתו ביחידה לטיפול בהתמכרויות סמוך למקום מגוריו (מבשרת ציון). נוכח השינוי בעמדתו של הנאשם ביחס לטיפול, המליץ שירות המבחן על דחיית הדיון לצורך מיצוי אפיק זה.</w:t>
      </w:r>
    </w:p>
    <w:p w14:paraId="57EFD028" w14:textId="77777777" w:rsidR="00FB6591" w:rsidRPr="006D385E" w:rsidRDefault="00FB6591" w:rsidP="00FB6591">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בתסקיר החמישי והאחרון ציין שירות המבחן, כי הנאשם המשיך את הטיפול ביחידת ההתמכרויות תוך שיתוף פעולה מלא ומסירת בדיקות שתן. התברר כי הנאשם מתקשה להפסיק להשתמש בקנביס וכי הוא נאבק בצורך זה. בתקופת הדחייה קיבל הנאשם רישיון לשימוש בקנביס רפואי על-רקע אבחונו כמי שסובל מפוסט טראומה (לא הוצגו מסמכים לשירות המבחן שהסתמך על החלטת וועדת אבחון וממצאיה אך הוגש לי רישיון עדכני). שירות המבחן סבר שהואיל והנאשם מצוי בטיפול ובמעקב של יחידת ההתמכרויות במבשרת ציון, יש מקום לסיים את ההליך בדרך של הטלת צו מבחן, שיבטיח את המשך הטיפול והמעקב, של"ץ בהיקף 150 שעות, והארכת המאסר המותנה. שירות המבחן סבר, כי הארכת המאסר המותנה תרתיע את הנאשם לעתיד לבוא. אציין כי הערות שירות המבחן לעניין שימושו הנאשם בקנביס מעבר לאמור ברישיון או שלא בהתאם לרישיון אינן יכולות להיזקף לחובתו של הנאשם, כיוון שלא הובאו ראיות בעניין. </w:t>
      </w:r>
    </w:p>
    <w:p w14:paraId="2611612E" w14:textId="77777777" w:rsidR="00FB6591" w:rsidRPr="006D385E" w:rsidRDefault="00FB6591" w:rsidP="00FB6591">
      <w:pPr>
        <w:spacing w:after="160" w:line="360" w:lineRule="auto"/>
        <w:jc w:val="both"/>
        <w:rPr>
          <w:rFonts w:ascii="FrankRuehl" w:hAnsi="FrankRuehl" w:cs="FrankRuehl"/>
          <w:b/>
          <w:bCs/>
          <w:sz w:val="28"/>
          <w:szCs w:val="28"/>
          <w:u w:val="single"/>
          <w:rtl/>
        </w:rPr>
      </w:pPr>
    </w:p>
    <w:p w14:paraId="03C9E29A" w14:textId="77777777" w:rsidR="00FB6591" w:rsidRPr="006D385E" w:rsidRDefault="00FB6591" w:rsidP="00FB6591">
      <w:pPr>
        <w:spacing w:after="160"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ראיות ו</w:t>
      </w:r>
      <w:r w:rsidRPr="006D385E">
        <w:rPr>
          <w:rFonts w:ascii="FrankRuehl" w:hAnsi="FrankRuehl" w:cs="FrankRuehl"/>
          <w:b/>
          <w:bCs/>
          <w:sz w:val="28"/>
          <w:szCs w:val="28"/>
          <w:u w:val="single"/>
          <w:rtl/>
        </w:rPr>
        <w:t>טיעונים לעונש</w:t>
      </w:r>
    </w:p>
    <w:p w14:paraId="7306ECF5"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sz w:val="28"/>
          <w:szCs w:val="28"/>
          <w:rtl/>
        </w:rPr>
        <w:t xml:space="preserve">מחד, </w:t>
      </w:r>
      <w:r>
        <w:rPr>
          <w:rFonts w:ascii="FrankRuehl" w:hAnsi="FrankRuehl" w:cs="FrankRuehl" w:hint="cs"/>
          <w:sz w:val="28"/>
          <w:szCs w:val="28"/>
          <w:rtl/>
        </w:rPr>
        <w:t xml:space="preserve">סברה ב"כ </w:t>
      </w:r>
      <w:r w:rsidRPr="006D385E">
        <w:rPr>
          <w:rFonts w:ascii="FrankRuehl" w:hAnsi="FrankRuehl" w:cs="FrankRuehl"/>
          <w:sz w:val="28"/>
          <w:szCs w:val="28"/>
          <w:rtl/>
        </w:rPr>
        <w:t>המאשימה</w:t>
      </w:r>
      <w:r>
        <w:rPr>
          <w:rFonts w:ascii="FrankRuehl" w:hAnsi="FrankRuehl" w:cs="FrankRuehl" w:hint="cs"/>
          <w:sz w:val="28"/>
          <w:szCs w:val="28"/>
          <w:rtl/>
        </w:rPr>
        <w:t xml:space="preserve">, </w:t>
      </w:r>
      <w:r w:rsidRPr="006D385E">
        <w:rPr>
          <w:rFonts w:ascii="FrankRuehl" w:hAnsi="FrankRuehl" w:cs="FrankRuehl"/>
          <w:sz w:val="28"/>
          <w:szCs w:val="28"/>
          <w:rtl/>
        </w:rPr>
        <w:t xml:space="preserve">כי </w:t>
      </w:r>
      <w:r>
        <w:rPr>
          <w:rFonts w:ascii="FrankRuehl" w:hAnsi="FrankRuehl" w:cs="FrankRuehl" w:hint="cs"/>
          <w:sz w:val="28"/>
          <w:szCs w:val="28"/>
          <w:rtl/>
        </w:rPr>
        <w:t xml:space="preserve">במכלול הנסיבות, מתחם הענישה צריך לעמוד על מאסר מותנה ועד מספר חודשים במאסר בפועל. ב"כ המאשימה ציינה לחומרה את מכלול הנסיבות ובמיוחד את העובדה שהעבירה בוצעה שעה שתלוי ועומד נגד הנאשם מאסר מותנה משמעותי שלא הרתיעו. התובעת ביקשה להפעיל את המאסר המותנה במצטבר להטלת עונש מאסר בפועל באמצע המתחם וענישה נלווית. </w:t>
      </w:r>
    </w:p>
    <w:p w14:paraId="6BBD69FD" w14:textId="77777777" w:rsidR="00FB6591" w:rsidRPr="00FB6591" w:rsidRDefault="00FB6591" w:rsidP="00FB6591">
      <w:pPr>
        <w:spacing w:after="160" w:line="360" w:lineRule="auto"/>
        <w:jc w:val="both"/>
        <w:rPr>
          <w:rFonts w:ascii="Calibri" w:hAnsi="Calibri" w:cs="FrankRuehl"/>
          <w:sz w:val="28"/>
          <w:szCs w:val="28"/>
          <w:rtl/>
        </w:rPr>
      </w:pPr>
      <w:r w:rsidRPr="006D385E">
        <w:rPr>
          <w:rFonts w:ascii="FrankRuehl" w:hAnsi="FrankRuehl" w:cs="FrankRuehl"/>
          <w:sz w:val="28"/>
          <w:szCs w:val="28"/>
          <w:rtl/>
        </w:rPr>
        <w:t>מאידך, הסניגור טוען</w:t>
      </w:r>
      <w:r>
        <w:rPr>
          <w:rFonts w:ascii="FrankRuehl" w:hAnsi="FrankRuehl" w:cs="FrankRuehl" w:hint="cs"/>
          <w:sz w:val="28"/>
          <w:szCs w:val="28"/>
          <w:rtl/>
        </w:rPr>
        <w:t>,</w:t>
      </w:r>
      <w:r w:rsidRPr="006D385E">
        <w:rPr>
          <w:rFonts w:ascii="FrankRuehl" w:hAnsi="FrankRuehl" w:cs="FrankRuehl"/>
          <w:sz w:val="28"/>
          <w:szCs w:val="28"/>
          <w:rtl/>
        </w:rPr>
        <w:t xml:space="preserve"> כי ניתן להסתפק </w:t>
      </w:r>
      <w:r>
        <w:rPr>
          <w:rFonts w:ascii="FrankRuehl" w:hAnsi="FrankRuehl" w:cs="FrankRuehl" w:hint="cs"/>
          <w:sz w:val="28"/>
          <w:szCs w:val="28"/>
          <w:rtl/>
        </w:rPr>
        <w:t xml:space="preserve">בהמלצת שירות המבחן בשל נסיבותיו האישיות של הנאשם העולות מהתסקיר. כמו כן הופניתי לחוות דעתו של הפסיכיאטר ד"ר דורון עמנואל, ממנה עולה כי הנאשם סובל מפוסט טראומה מורכבת, וכי הוא מגיב פיזית באופן קשה לתרופות אנטי פסיכוטיות, ולכן השתמש בקנביס בגדר </w:t>
      </w:r>
      <w:r w:rsidRPr="00FB6591">
        <w:rPr>
          <w:rFonts w:ascii="Calibri" w:hAnsi="Calibri" w:cs="FrankRuehl"/>
          <w:sz w:val="28"/>
          <w:szCs w:val="28"/>
        </w:rPr>
        <w:t>self-medication</w:t>
      </w:r>
      <w:r w:rsidRPr="00FB6591">
        <w:rPr>
          <w:rFonts w:ascii="Calibri" w:hAnsi="Calibri" w:cs="FrankRuehl" w:hint="cs"/>
          <w:sz w:val="28"/>
          <w:szCs w:val="28"/>
          <w:rtl/>
        </w:rPr>
        <w:t>. לכן המליץ ד"ר עמנואל על מתן רישיון לקנביס רפואי.</w:t>
      </w:r>
    </w:p>
    <w:p w14:paraId="5C97F9D5" w14:textId="77777777" w:rsidR="00FB6591" w:rsidRPr="006D385E" w:rsidRDefault="00FB6591" w:rsidP="00FB6591">
      <w:pPr>
        <w:spacing w:after="160" w:line="360" w:lineRule="auto"/>
        <w:jc w:val="both"/>
        <w:rPr>
          <w:rFonts w:ascii="FrankRuehl" w:hAnsi="FrankRuehl" w:cs="FrankRuehl"/>
          <w:b/>
          <w:bCs/>
          <w:sz w:val="28"/>
          <w:szCs w:val="28"/>
          <w:u w:val="single"/>
          <w:rtl/>
        </w:rPr>
      </w:pPr>
    </w:p>
    <w:p w14:paraId="4D584203" w14:textId="77777777" w:rsidR="00FB6591" w:rsidRPr="006D385E" w:rsidRDefault="00FB6591" w:rsidP="00FB6591">
      <w:pPr>
        <w:spacing w:after="160" w:line="360" w:lineRule="auto"/>
        <w:jc w:val="both"/>
        <w:rPr>
          <w:rFonts w:ascii="FrankRuehl" w:hAnsi="FrankRuehl" w:cs="FrankRuehl"/>
          <w:b/>
          <w:bCs/>
          <w:sz w:val="28"/>
          <w:szCs w:val="28"/>
          <w:u w:val="single"/>
          <w:rtl/>
        </w:rPr>
      </w:pPr>
      <w:r w:rsidRPr="006D385E">
        <w:rPr>
          <w:rFonts w:ascii="FrankRuehl" w:hAnsi="FrankRuehl" w:cs="FrankRuehl"/>
          <w:b/>
          <w:bCs/>
          <w:sz w:val="28"/>
          <w:szCs w:val="28"/>
          <w:u w:val="single"/>
          <w:rtl/>
        </w:rPr>
        <w:t xml:space="preserve">קביעת מתחם הענישה </w:t>
      </w:r>
      <w:r w:rsidRPr="006D385E">
        <w:rPr>
          <w:rFonts w:ascii="FrankRuehl" w:hAnsi="FrankRuehl"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4DE93A91" w14:textId="77777777" w:rsidR="00FB6591" w:rsidRPr="006D385E" w:rsidRDefault="00FB6591" w:rsidP="00FB6591">
      <w:pPr>
        <w:spacing w:after="160" w:line="360" w:lineRule="auto"/>
        <w:jc w:val="both"/>
        <w:rPr>
          <w:rFonts w:ascii="FrankRuehl" w:hAnsi="FrankRuehl" w:cs="FrankRuehl"/>
          <w:b/>
          <w:bCs/>
          <w:sz w:val="28"/>
          <w:szCs w:val="28"/>
          <w:u w:val="single"/>
          <w:rtl/>
        </w:rPr>
      </w:pPr>
    </w:p>
    <w:p w14:paraId="07789F7A" w14:textId="77777777" w:rsidR="00FB6591" w:rsidRPr="006D385E" w:rsidRDefault="00FB6591" w:rsidP="00FB6591">
      <w:pPr>
        <w:spacing w:after="160" w:line="360" w:lineRule="auto"/>
        <w:jc w:val="both"/>
        <w:rPr>
          <w:rFonts w:ascii="FrankRuehl" w:hAnsi="FrankRuehl" w:cs="FrankRuehl"/>
          <w:b/>
          <w:bCs/>
          <w:sz w:val="28"/>
          <w:szCs w:val="28"/>
          <w:u w:val="single"/>
          <w:rtl/>
        </w:rPr>
      </w:pPr>
      <w:r w:rsidRPr="006D385E">
        <w:rPr>
          <w:rFonts w:ascii="FrankRuehl" w:hAnsi="FrankRuehl" w:cs="FrankRuehl"/>
          <w:b/>
          <w:bCs/>
          <w:sz w:val="28"/>
          <w:szCs w:val="28"/>
          <w:u w:val="single"/>
          <w:rtl/>
        </w:rPr>
        <w:t xml:space="preserve">אשר לערך המוגן </w:t>
      </w:r>
      <w:r w:rsidRPr="006D385E">
        <w:rPr>
          <w:rFonts w:ascii="FrankRuehl" w:hAnsi="FrankRuehl" w:cs="FrankRuehl"/>
          <w:sz w:val="28"/>
          <w:szCs w:val="28"/>
          <w:rtl/>
        </w:rPr>
        <w:t>– העבירות אותן עבר הנאשם פוגעות בערך המוגן של  שמירה על שלום הציבור ובריאותו מפני נגע הסמים</w:t>
      </w:r>
      <w:r>
        <w:rPr>
          <w:rFonts w:ascii="FrankRuehl" w:hAnsi="FrankRuehl" w:cs="FrankRuehl" w:hint="cs"/>
          <w:sz w:val="28"/>
          <w:szCs w:val="28"/>
          <w:rtl/>
        </w:rPr>
        <w:t>. תוצאות השימוש בסמים ידועות. בעניינו מידת הפגיעה בערך המוגן נמוכה.</w:t>
      </w:r>
      <w:r w:rsidRPr="006D385E">
        <w:rPr>
          <w:rFonts w:ascii="FrankRuehl" w:hAnsi="FrankRuehl" w:cs="FrankRuehl"/>
          <w:b/>
          <w:bCs/>
          <w:sz w:val="28"/>
          <w:szCs w:val="28"/>
          <w:u w:val="single"/>
          <w:rtl/>
        </w:rPr>
        <w:t xml:space="preserve"> </w:t>
      </w:r>
    </w:p>
    <w:p w14:paraId="398AB3C8"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b/>
          <w:bCs/>
          <w:sz w:val="28"/>
          <w:szCs w:val="28"/>
          <w:u w:val="single"/>
          <w:rtl/>
        </w:rPr>
        <w:t xml:space="preserve">נסיבות הקשורות בביצוע העבירה, לפי </w:t>
      </w:r>
      <w:hyperlink r:id="rId15" w:history="1">
        <w:r w:rsidR="006F59B6" w:rsidRPr="006F59B6">
          <w:rPr>
            <w:rStyle w:val="Hyperlink"/>
            <w:rFonts w:ascii="FrankRuehl" w:hAnsi="FrankRuehl" w:cs="FrankRuehl"/>
            <w:b/>
            <w:bCs/>
            <w:sz w:val="28"/>
            <w:szCs w:val="28"/>
            <w:rtl/>
          </w:rPr>
          <w:t>סעיף 40ט'</w:t>
        </w:r>
      </w:hyperlink>
      <w:r w:rsidRPr="006D385E">
        <w:rPr>
          <w:rFonts w:ascii="FrankRuehl" w:hAnsi="FrankRuehl" w:cs="FrankRuehl"/>
          <w:b/>
          <w:bCs/>
          <w:sz w:val="28"/>
          <w:szCs w:val="28"/>
          <w:u w:val="single"/>
          <w:rtl/>
        </w:rPr>
        <w:t xml:space="preserve"> ל</w:t>
      </w:r>
      <w:hyperlink r:id="rId16" w:history="1">
        <w:r w:rsidR="00D53E25" w:rsidRPr="00D53E25">
          <w:rPr>
            <w:rFonts w:ascii="FrankRuehl" w:hAnsi="FrankRuehl" w:cs="FrankRuehl"/>
            <w:b/>
            <w:bCs/>
            <w:color w:val="0000FF"/>
            <w:sz w:val="28"/>
            <w:szCs w:val="28"/>
            <w:u w:val="single"/>
            <w:rtl/>
          </w:rPr>
          <w:t>חוק העונשין</w:t>
        </w:r>
      </w:hyperlink>
      <w:r w:rsidRPr="006D385E">
        <w:rPr>
          <w:rFonts w:ascii="FrankRuehl" w:hAnsi="FrankRuehl" w:cs="FrankRuehl"/>
          <w:b/>
          <w:bCs/>
          <w:sz w:val="28"/>
          <w:szCs w:val="28"/>
          <w:rtl/>
        </w:rPr>
        <w:t xml:space="preserve"> – </w:t>
      </w:r>
      <w:r w:rsidRPr="006D385E">
        <w:rPr>
          <w:rFonts w:ascii="FrankRuehl" w:hAnsi="FrankRuehl" w:cs="FrankRuehl"/>
          <w:sz w:val="28"/>
          <w:szCs w:val="28"/>
          <w:rtl/>
        </w:rPr>
        <w:t xml:space="preserve">בין הנסיבות הקשורות בביצוע העבירה יש לשקול את אלה, לעניין קביעת המתחם: סביר להניח מנסיבות ביצוע העבירה כי מדובר בעבירה מתכוננת; </w:t>
      </w:r>
      <w:r>
        <w:rPr>
          <w:rFonts w:ascii="FrankRuehl" w:hAnsi="FrankRuehl" w:cs="FrankRuehl"/>
          <w:sz w:val="28"/>
          <w:szCs w:val="28"/>
          <w:rtl/>
        </w:rPr>
        <w:t>מדובר בכמות מזערי</w:t>
      </w:r>
      <w:r>
        <w:rPr>
          <w:rFonts w:ascii="FrankRuehl" w:hAnsi="FrankRuehl" w:cs="FrankRuehl" w:hint="cs"/>
          <w:sz w:val="28"/>
          <w:szCs w:val="28"/>
          <w:rtl/>
        </w:rPr>
        <w:t xml:space="preserve">ת, </w:t>
      </w:r>
      <w:r w:rsidRPr="006D385E">
        <w:rPr>
          <w:rFonts w:ascii="FrankRuehl" w:hAnsi="FrankRuehl" w:cs="FrankRuehl"/>
          <w:sz w:val="28"/>
          <w:szCs w:val="28"/>
          <w:rtl/>
        </w:rPr>
        <w:t xml:space="preserve">המתאימה לשימוש עצמי מתמשך בסמים, והנזק שעלול להיגרם הוא בעיקר לנאשם עצמו. הנאשם אדם בוגר שיכול היה להימנע מביצוע המעשים. </w:t>
      </w:r>
      <w:r>
        <w:rPr>
          <w:rFonts w:ascii="FrankRuehl" w:hAnsi="FrankRuehl" w:cs="FrankRuehl" w:hint="cs"/>
          <w:sz w:val="28"/>
          <w:szCs w:val="28"/>
          <w:rtl/>
        </w:rPr>
        <w:t>יחד עם זאת, התמכרותו הקשתה עליו להימנע מביצוע העבירה.</w:t>
      </w:r>
    </w:p>
    <w:p w14:paraId="191FDCCB" w14:textId="77777777" w:rsidR="00FB6591" w:rsidRPr="006D385E" w:rsidRDefault="00FB6591" w:rsidP="00FB6591">
      <w:pPr>
        <w:spacing w:after="160" w:line="360" w:lineRule="auto"/>
        <w:jc w:val="both"/>
        <w:rPr>
          <w:rFonts w:ascii="FrankRuehl" w:hAnsi="FrankRuehl" w:cs="FrankRuehl"/>
          <w:b/>
          <w:bCs/>
          <w:sz w:val="28"/>
          <w:szCs w:val="28"/>
          <w:u w:val="single"/>
          <w:rtl/>
        </w:rPr>
      </w:pPr>
    </w:p>
    <w:p w14:paraId="7666291D"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b/>
          <w:bCs/>
          <w:sz w:val="28"/>
          <w:szCs w:val="28"/>
          <w:u w:val="single"/>
          <w:rtl/>
        </w:rPr>
        <w:t>מדיניות הענישה הנוהגת</w:t>
      </w:r>
      <w:r w:rsidRPr="006D385E">
        <w:rPr>
          <w:rFonts w:ascii="FrankRuehl" w:hAnsi="FrankRuehl" w:cs="FrankRuehl"/>
          <w:b/>
          <w:bCs/>
          <w:sz w:val="28"/>
          <w:szCs w:val="28"/>
          <w:rtl/>
        </w:rPr>
        <w:t xml:space="preserve"> – </w:t>
      </w:r>
      <w:r w:rsidRPr="006D385E">
        <w:rPr>
          <w:rFonts w:ascii="FrankRuehl" w:hAnsi="FrankRuehl" w:cs="FrankRuehl"/>
          <w:sz w:val="28"/>
          <w:szCs w:val="28"/>
          <w:rtl/>
        </w:rPr>
        <w:t xml:space="preserve">עבירה של שימוש עצמי, בוודאי מסוג זה ובכמות המתוארת, דינה להסתיים בענישה מינימלית של מאסר על תנאי </w:t>
      </w:r>
      <w:r>
        <w:rPr>
          <w:rFonts w:ascii="FrankRuehl" w:hAnsi="FrankRuehl" w:cs="FrankRuehl"/>
          <w:sz w:val="28"/>
          <w:szCs w:val="28"/>
          <w:rtl/>
        </w:rPr>
        <w:t>ושל"ץ ועד מספר חודשי מאסר בפועל</w:t>
      </w:r>
      <w:r>
        <w:rPr>
          <w:rFonts w:ascii="FrankRuehl" w:hAnsi="FrankRuehl" w:cs="FrankRuehl" w:hint="cs"/>
          <w:sz w:val="28"/>
          <w:szCs w:val="28"/>
          <w:rtl/>
        </w:rPr>
        <w:t xml:space="preserve"> כפי שטענה המאשימה.</w:t>
      </w:r>
    </w:p>
    <w:p w14:paraId="484447C7" w14:textId="77777777" w:rsidR="00FB6591" w:rsidRPr="006D385E" w:rsidRDefault="00FB6591" w:rsidP="00FB6591">
      <w:pPr>
        <w:spacing w:after="160" w:line="360" w:lineRule="auto"/>
        <w:jc w:val="both"/>
        <w:rPr>
          <w:rFonts w:ascii="FrankRuehl" w:hAnsi="FrankRuehl" w:cs="FrankRuehl"/>
          <w:b/>
          <w:bCs/>
          <w:sz w:val="28"/>
          <w:szCs w:val="28"/>
          <w:u w:val="single"/>
          <w:rtl/>
        </w:rPr>
      </w:pPr>
    </w:p>
    <w:p w14:paraId="7E827C13"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b/>
          <w:bCs/>
          <w:sz w:val="28"/>
          <w:szCs w:val="28"/>
          <w:u w:val="single"/>
          <w:rtl/>
        </w:rPr>
        <w:t>מתחם הענישה</w:t>
      </w:r>
      <w:r w:rsidRPr="006D385E">
        <w:rPr>
          <w:rFonts w:ascii="FrankRuehl" w:hAnsi="FrankRuehl" w:cs="FrankRuehl"/>
          <w:sz w:val="28"/>
          <w:szCs w:val="28"/>
          <w:rtl/>
        </w:rPr>
        <w:t xml:space="preserve"> – לפיכך, מתחם הענישה צריך לעמוד על מאסר על תנאי ועד חצי שנה של מאסר בפועל שיכול וירוצו בעבודות שירות. </w:t>
      </w:r>
    </w:p>
    <w:p w14:paraId="6EDEDC7C" w14:textId="77777777" w:rsidR="00FB6591" w:rsidRPr="006D385E" w:rsidRDefault="00FB6591" w:rsidP="00FB6591">
      <w:pPr>
        <w:spacing w:after="160" w:line="360" w:lineRule="auto"/>
        <w:jc w:val="both"/>
        <w:rPr>
          <w:rFonts w:ascii="FrankRuehl" w:hAnsi="FrankRuehl" w:cs="FrankRuehl"/>
          <w:b/>
          <w:bCs/>
          <w:sz w:val="28"/>
          <w:szCs w:val="28"/>
          <w:rtl/>
        </w:rPr>
      </w:pPr>
    </w:p>
    <w:p w14:paraId="76BD7D5A" w14:textId="77777777" w:rsidR="00FB6591" w:rsidRPr="006D385E"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b/>
          <w:bCs/>
          <w:sz w:val="28"/>
          <w:szCs w:val="28"/>
          <w:u w:val="single"/>
          <w:rtl/>
        </w:rPr>
        <w:t xml:space="preserve">נסיבות שאינן קשורות בביצוע העבירה לפי </w:t>
      </w:r>
      <w:hyperlink r:id="rId17" w:history="1">
        <w:r w:rsidR="006F59B6" w:rsidRPr="006F59B6">
          <w:rPr>
            <w:rStyle w:val="Hyperlink"/>
            <w:rFonts w:ascii="FrankRuehl" w:hAnsi="FrankRuehl" w:cs="FrankRuehl"/>
            <w:b/>
            <w:bCs/>
            <w:sz w:val="28"/>
            <w:szCs w:val="28"/>
            <w:rtl/>
          </w:rPr>
          <w:t>סעיף 40י"א</w:t>
        </w:r>
      </w:hyperlink>
      <w:r w:rsidRPr="006D385E">
        <w:rPr>
          <w:rFonts w:ascii="FrankRuehl" w:hAnsi="FrankRuehl" w:cs="FrankRuehl"/>
          <w:b/>
          <w:bCs/>
          <w:sz w:val="28"/>
          <w:szCs w:val="28"/>
          <w:u w:val="single"/>
          <w:rtl/>
        </w:rPr>
        <w:t xml:space="preserve"> ל</w:t>
      </w:r>
      <w:hyperlink r:id="rId18" w:history="1">
        <w:r w:rsidR="00D53E25" w:rsidRPr="00D53E25">
          <w:rPr>
            <w:rFonts w:ascii="FrankRuehl" w:hAnsi="FrankRuehl" w:cs="FrankRuehl"/>
            <w:b/>
            <w:bCs/>
            <w:color w:val="0000FF"/>
            <w:sz w:val="28"/>
            <w:szCs w:val="28"/>
            <w:u w:val="single"/>
            <w:rtl/>
          </w:rPr>
          <w:t>חוק העונשין</w:t>
        </w:r>
      </w:hyperlink>
      <w:r w:rsidRPr="006D385E">
        <w:rPr>
          <w:rFonts w:ascii="FrankRuehl" w:hAnsi="FrankRuehl" w:cs="FrankRuehl"/>
          <w:b/>
          <w:bCs/>
          <w:sz w:val="28"/>
          <w:szCs w:val="28"/>
          <w:rtl/>
        </w:rPr>
        <w:t xml:space="preserve"> – </w:t>
      </w:r>
      <w:r w:rsidRPr="006D385E">
        <w:rPr>
          <w:rFonts w:ascii="FrankRuehl" w:hAnsi="FrankRuehl" w:cs="FrankRuehl"/>
          <w:sz w:val="28"/>
          <w:szCs w:val="28"/>
          <w:rtl/>
        </w:rPr>
        <w:t>ניתן  לתת משקל לנסיבות הבאות שאינן קשורות בביצוע העבירה, במסגרת גזירת העונש בתוך המתחם: לחומרא שקלתי כי אין זו הפעם הראשונה שהנאשם מסתבך בפלילים בעבירות מסוג זה; הנאשם ריצה מאסר בפועל בגין עבירות סמים</w:t>
      </w:r>
      <w:r>
        <w:rPr>
          <w:rFonts w:ascii="FrankRuehl" w:hAnsi="FrankRuehl" w:cs="FrankRuehl" w:hint="cs"/>
          <w:sz w:val="28"/>
          <w:szCs w:val="28"/>
          <w:rtl/>
        </w:rPr>
        <w:t>,</w:t>
      </w:r>
      <w:r w:rsidRPr="006D385E">
        <w:rPr>
          <w:rFonts w:ascii="FrankRuehl" w:hAnsi="FrankRuehl" w:cs="FrankRuehl"/>
          <w:sz w:val="28"/>
          <w:szCs w:val="28"/>
          <w:rtl/>
        </w:rPr>
        <w:t xml:space="preserve"> כשלצידו מאסר מותנה של חצי שנה</w:t>
      </w:r>
      <w:r>
        <w:rPr>
          <w:rFonts w:ascii="FrankRuehl" w:hAnsi="FrankRuehl" w:cs="FrankRuehl" w:hint="cs"/>
          <w:sz w:val="28"/>
          <w:szCs w:val="28"/>
          <w:rtl/>
        </w:rPr>
        <w:t xml:space="preserve"> אותו הטלתי עליו ב</w:t>
      </w:r>
      <w:hyperlink r:id="rId19" w:history="1">
        <w:r w:rsidR="00D53E25" w:rsidRPr="00D53E25">
          <w:rPr>
            <w:rFonts w:ascii="FrankRuehl" w:hAnsi="FrankRuehl" w:cs="FrankRuehl"/>
            <w:color w:val="0000FF"/>
            <w:sz w:val="28"/>
            <w:szCs w:val="28"/>
            <w:u w:val="single"/>
            <w:rtl/>
          </w:rPr>
          <w:t>ת"פ 56059-07-17</w:t>
        </w:r>
      </w:hyperlink>
      <w:r>
        <w:rPr>
          <w:rFonts w:ascii="FrankRuehl" w:hAnsi="FrankRuehl" w:cs="FrankRuehl" w:hint="cs"/>
          <w:sz w:val="28"/>
          <w:szCs w:val="28"/>
          <w:rtl/>
        </w:rPr>
        <w:t xml:space="preserve"> (</w:t>
      </w:r>
      <w:r w:rsidRPr="00A149C2">
        <w:rPr>
          <w:rFonts w:ascii="FrankRuehl" w:hAnsi="FrankRuehl" w:cs="FrankRuehl" w:hint="cs"/>
          <w:b/>
          <w:bCs/>
          <w:sz w:val="28"/>
          <w:szCs w:val="28"/>
          <w:rtl/>
        </w:rPr>
        <w:t>תיק התנאי</w:t>
      </w:r>
      <w:r>
        <w:rPr>
          <w:rFonts w:ascii="FrankRuehl" w:hAnsi="FrankRuehl" w:cs="FrankRuehl" w:hint="cs"/>
          <w:sz w:val="28"/>
          <w:szCs w:val="28"/>
          <w:rtl/>
        </w:rPr>
        <w:t>), שהוא בר-הפעלה בענייננו (</w:t>
      </w:r>
      <w:r w:rsidRPr="00094FA3">
        <w:rPr>
          <w:rFonts w:ascii="FrankRuehl" w:hAnsi="FrankRuehl" w:cs="FrankRuehl" w:hint="cs"/>
          <w:b/>
          <w:bCs/>
          <w:sz w:val="28"/>
          <w:szCs w:val="28"/>
          <w:rtl/>
        </w:rPr>
        <w:t>המאסר המותנה</w:t>
      </w:r>
      <w:r>
        <w:rPr>
          <w:rFonts w:ascii="FrankRuehl" w:hAnsi="FrankRuehl" w:cs="FrankRuehl" w:hint="cs"/>
          <w:sz w:val="28"/>
          <w:szCs w:val="28"/>
          <w:rtl/>
        </w:rPr>
        <w:t xml:space="preserve">). קיים רישום פלילי נוסף בעבירות הפרת הוראה חוקית, גניבה ושימוש עצמי. לאורך כל חייו, ולאורך היכרותי עם הנאשם במסגרת ההליך הקודם וההליך הנוכחי, ניתן לומר כי מדובר באדם שנפשו פצועה, והוא נמצא במאבק מתמיד עם עצמו ועם נטייתו להתמכר לסמים, בין היתר בשל חוויות קשות שחווה בילדותו. גם בהליך הנוכחי וגם בהליך הקודם, יחסו של הנאשם לטיפול היה מורכב ורב-ערכי. עם זאת, בהליך שלפניי הנאשם יזם את הפניה ליחידת ההתמכרויות במקום מגוריו והוא דבק בתהליך הטיפולי זה חודשים רבים, לא בלי קשיים. עצם ההתמודדות עם הקשיים מלמדת על שיפור ביכולתו "להיאבק בשדים הפנימיים שלו". הגם ששימוש בסמים הוא פלילי ומנוגד לחוק, הנאשם אינו מבצע את המעשים ממוטיבציה פלילית, אלא בשל קשייו. אני סבור, כי בסופו של יום ולאחר תהליך ארוך, המלצת שירות המבחן נכונה וראויה, והיא כוללת בחובה רכיב הרתעתי (הארכת המאסר המותנה), רכיב חינוכי וגמולי (של"ץ) ורכיב פיקוחי (צו פיקוח). הגם שאין זו ההזדמנות הראשונה שמצאתי לתת לנאשם, אני סבור שזו הדרך הנכונה והצודקת ללכת בה. בין היתר לקחתי בחשבון את העובדה שלנאשם אושר שימוש בקנביס לצרכים רפואיים וכן לקחתי בחשבון את דבריו של ד"ר עמנואל. לכן נראה שמתקיימים הטעמים המצדיקים את הארכת המאסר המותנה. מעבר לאמור, העובדה שהמאסר המותנה הוא לתקופה ממושכת, מבלי להבחין בין שימוש עצמי (מקרנו) לבין עבירות אחרות </w:t>
      </w:r>
      <w:r>
        <w:rPr>
          <w:rFonts w:ascii="FrankRuehl" w:hAnsi="FrankRuehl" w:cs="FrankRuehl"/>
          <w:sz w:val="28"/>
          <w:szCs w:val="28"/>
          <w:rtl/>
        </w:rPr>
        <w:t>–</w:t>
      </w:r>
      <w:r>
        <w:rPr>
          <w:rFonts w:ascii="FrankRuehl" w:hAnsi="FrankRuehl" w:cs="FrankRuehl" w:hint="cs"/>
          <w:sz w:val="28"/>
          <w:szCs w:val="28"/>
          <w:rtl/>
        </w:rPr>
        <w:t xml:space="preserve"> הגם שנועד להרתיע, והדבר נרשם במפורש בגזר הדין </w:t>
      </w:r>
      <w:r>
        <w:rPr>
          <w:rFonts w:ascii="FrankRuehl" w:hAnsi="FrankRuehl" w:cs="FrankRuehl"/>
          <w:sz w:val="28"/>
          <w:szCs w:val="28"/>
          <w:rtl/>
        </w:rPr>
        <w:t>–</w:t>
      </w:r>
      <w:r>
        <w:rPr>
          <w:rFonts w:ascii="FrankRuehl" w:hAnsi="FrankRuehl" w:cs="FrankRuehl" w:hint="cs"/>
          <w:sz w:val="28"/>
          <w:szCs w:val="28"/>
          <w:rtl/>
        </w:rPr>
        <w:t xml:space="preserve"> הרי שבמכלול הנסיבות, ולנוכח משך התקופה שבה מצוי הנאשם בטיפול, נדמה שלא יהא זה מידתי להפעיל את המאסר המותנה, בגין שימוש עצמי. יחד עם זאת מובהר לנאשם כי הארכת המאסר המותנה, מהווה חרב פיפיות, משום שבהזדמנות חלילה אם תגיע, בית המשפט שיגזור את הדין ייאלץ להפעיל את המאסר המותנה ללא שיקול דעת.</w:t>
      </w:r>
    </w:p>
    <w:p w14:paraId="5E7ECCB8" w14:textId="77777777" w:rsidR="00FB6591" w:rsidRDefault="00FB6591" w:rsidP="00FB6591">
      <w:pPr>
        <w:spacing w:after="160" w:line="360" w:lineRule="auto"/>
        <w:jc w:val="both"/>
        <w:rPr>
          <w:rFonts w:ascii="FrankRuehl" w:hAnsi="FrankRuehl" w:cs="FrankRuehl"/>
          <w:b/>
          <w:bCs/>
          <w:sz w:val="28"/>
          <w:szCs w:val="28"/>
          <w:u w:val="single"/>
          <w:rtl/>
        </w:rPr>
      </w:pPr>
    </w:p>
    <w:p w14:paraId="4180A5C1" w14:textId="77777777" w:rsidR="00FB6591" w:rsidRDefault="00FB6591" w:rsidP="00FB6591">
      <w:pPr>
        <w:spacing w:after="160" w:line="360" w:lineRule="auto"/>
        <w:jc w:val="both"/>
        <w:rPr>
          <w:rFonts w:ascii="FrankRuehl" w:hAnsi="FrankRuehl" w:cs="FrankRuehl"/>
          <w:sz w:val="28"/>
          <w:szCs w:val="28"/>
          <w:rtl/>
        </w:rPr>
      </w:pPr>
      <w:r w:rsidRPr="006D385E">
        <w:rPr>
          <w:rFonts w:ascii="FrankRuehl" w:hAnsi="FrankRuehl" w:cs="FrankRuehl"/>
          <w:b/>
          <w:bCs/>
          <w:sz w:val="28"/>
          <w:szCs w:val="28"/>
          <w:u w:val="single"/>
          <w:rtl/>
        </w:rPr>
        <w:t>המיקום במתחם</w:t>
      </w:r>
      <w:r w:rsidRPr="006D385E">
        <w:rPr>
          <w:rFonts w:ascii="FrankRuehl" w:hAnsi="FrankRuehl" w:cs="FrankRuehl"/>
          <w:sz w:val="28"/>
          <w:szCs w:val="28"/>
          <w:rtl/>
        </w:rPr>
        <w:t xml:space="preserve"> – </w:t>
      </w:r>
      <w:r>
        <w:rPr>
          <w:rFonts w:ascii="FrankRuehl" w:hAnsi="FrankRuehl" w:cs="FrankRuehl" w:hint="cs"/>
          <w:sz w:val="28"/>
          <w:szCs w:val="28"/>
          <w:rtl/>
        </w:rPr>
        <w:t>אלמלא אותן נסיבות שציינתי, היה מקום להעמיד את הנאשם בחלק העליון של המתחם.</w:t>
      </w:r>
    </w:p>
    <w:p w14:paraId="7F63C110" w14:textId="77777777" w:rsidR="00FB6591" w:rsidRDefault="00FB6591" w:rsidP="00FB6591">
      <w:pPr>
        <w:spacing w:after="160" w:line="360" w:lineRule="auto"/>
        <w:jc w:val="both"/>
        <w:rPr>
          <w:rFonts w:ascii="FrankRuehl" w:hAnsi="FrankRuehl" w:cs="FrankRuehl"/>
          <w:sz w:val="28"/>
          <w:szCs w:val="28"/>
          <w:rtl/>
        </w:rPr>
      </w:pPr>
      <w:r>
        <w:rPr>
          <w:rFonts w:ascii="FrankRuehl" w:hAnsi="FrankRuehl" w:cs="FrankRuehl" w:hint="cs"/>
          <w:sz w:val="28"/>
          <w:szCs w:val="28"/>
          <w:rtl/>
        </w:rPr>
        <w:t xml:space="preserve"> </w:t>
      </w:r>
    </w:p>
    <w:p w14:paraId="30F28EDB" w14:textId="77777777" w:rsidR="00FB6591" w:rsidRPr="00A149C2" w:rsidRDefault="00FB6591" w:rsidP="00FB6591">
      <w:pPr>
        <w:spacing w:after="160" w:line="360" w:lineRule="auto"/>
        <w:jc w:val="both"/>
        <w:rPr>
          <w:rFonts w:ascii="FrankRuehl" w:hAnsi="FrankRuehl" w:cs="FrankRuehl"/>
          <w:b/>
          <w:bCs/>
          <w:sz w:val="28"/>
          <w:szCs w:val="28"/>
          <w:u w:val="single"/>
          <w:rtl/>
        </w:rPr>
      </w:pPr>
      <w:r w:rsidRPr="00A149C2">
        <w:rPr>
          <w:rFonts w:ascii="FrankRuehl" w:hAnsi="FrankRuehl" w:cs="FrankRuehl" w:hint="cs"/>
          <w:b/>
          <w:bCs/>
          <w:sz w:val="28"/>
          <w:szCs w:val="28"/>
          <w:u w:val="single"/>
          <w:rtl/>
        </w:rPr>
        <w:t>גזירת הדין</w:t>
      </w:r>
    </w:p>
    <w:p w14:paraId="645F2DC4" w14:textId="77777777" w:rsidR="00FB6591" w:rsidRDefault="00FB6591" w:rsidP="00FB6591">
      <w:pPr>
        <w:spacing w:line="360" w:lineRule="auto"/>
        <w:jc w:val="both"/>
        <w:rPr>
          <w:rFonts w:ascii="FrankRuehl" w:hAnsi="FrankRuehl" w:cs="FrankRuehl"/>
          <w:sz w:val="28"/>
          <w:szCs w:val="28"/>
          <w:rtl/>
        </w:rPr>
      </w:pPr>
      <w:r w:rsidRPr="00A149C2">
        <w:rPr>
          <w:rFonts w:ascii="FrankRuehl" w:hAnsi="FrankRuehl" w:cs="FrankRuehl"/>
          <w:sz w:val="28"/>
          <w:szCs w:val="28"/>
          <w:rtl/>
        </w:rPr>
        <w:t>נוכח כל האמור, גוזר על הנאשם את העונשים הבאים:</w:t>
      </w:r>
    </w:p>
    <w:p w14:paraId="326B999C" w14:textId="77777777" w:rsidR="00FB6591" w:rsidRDefault="00FB6591" w:rsidP="00FB6591">
      <w:pPr>
        <w:pStyle w:val="a9"/>
        <w:numPr>
          <w:ilvl w:val="0"/>
          <w:numId w:val="1"/>
        </w:numPr>
        <w:spacing w:line="360" w:lineRule="auto"/>
        <w:jc w:val="both"/>
        <w:rPr>
          <w:rFonts w:ascii="FrankRuehl" w:hAnsi="FrankRuehl" w:cs="FrankRuehl"/>
          <w:sz w:val="28"/>
          <w:szCs w:val="28"/>
        </w:rPr>
      </w:pPr>
      <w:r w:rsidRPr="0038258C">
        <w:rPr>
          <w:rFonts w:ascii="FrankRuehl" w:hAnsi="FrankRuehl" w:cs="FrankRuehl" w:hint="cs"/>
          <w:b/>
          <w:bCs/>
          <w:sz w:val="28"/>
          <w:szCs w:val="28"/>
          <w:rtl/>
        </w:rPr>
        <w:t>מחדש</w:t>
      </w:r>
      <w:r>
        <w:rPr>
          <w:rFonts w:ascii="FrankRuehl" w:hAnsi="FrankRuehl" w:cs="FrankRuehl" w:hint="cs"/>
          <w:sz w:val="28"/>
          <w:szCs w:val="28"/>
          <w:rtl/>
        </w:rPr>
        <w:t xml:space="preserve"> את המאסר המותנה מתיק התנאי למשך שנה מהיום </w:t>
      </w:r>
      <w:r>
        <w:rPr>
          <w:rFonts w:ascii="FrankRuehl" w:hAnsi="FrankRuehl" w:cs="FrankRuehl"/>
          <w:sz w:val="28"/>
          <w:szCs w:val="28"/>
          <w:rtl/>
        </w:rPr>
        <w:t>–</w:t>
      </w:r>
      <w:r>
        <w:rPr>
          <w:rFonts w:ascii="FrankRuehl" w:hAnsi="FrankRuehl" w:cs="FrankRuehl" w:hint="cs"/>
          <w:sz w:val="28"/>
          <w:szCs w:val="28"/>
          <w:rtl/>
        </w:rPr>
        <w:t xml:space="preserve"> משמעות הדבר היא שתלוי ועומד נגד הנאשם מאסר על-תנאי של 6 חודשים לתקופה של שנה מהיום, בכל עבירה לפי </w:t>
      </w:r>
      <w:hyperlink r:id="rId20" w:history="1">
        <w:r w:rsidR="00D53E25" w:rsidRPr="00D53E25">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w:t>
      </w:r>
    </w:p>
    <w:p w14:paraId="64F0D49B" w14:textId="77777777" w:rsidR="00FB6591" w:rsidRDefault="00FB6591" w:rsidP="00FB6591">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של"ץ בהיקף 150 שעות על-פי תוכנית שיכין שירות המבחן ויגיש לבית המשפט בתוך 30 יום מהיום. השל"ץ לא יחל לפני 18.4.2021;</w:t>
      </w:r>
    </w:p>
    <w:p w14:paraId="06191D79" w14:textId="77777777" w:rsidR="00FB6591" w:rsidRDefault="00FB6591" w:rsidP="00FB6591">
      <w:pPr>
        <w:pStyle w:val="a9"/>
        <w:numPr>
          <w:ilvl w:val="0"/>
          <w:numId w:val="1"/>
        </w:numPr>
        <w:spacing w:line="360" w:lineRule="auto"/>
        <w:jc w:val="both"/>
        <w:rPr>
          <w:rFonts w:ascii="FrankRuehl" w:hAnsi="FrankRuehl" w:cs="FrankRuehl"/>
          <w:sz w:val="28"/>
          <w:szCs w:val="28"/>
        </w:rPr>
      </w:pPr>
      <w:r>
        <w:rPr>
          <w:rFonts w:ascii="FrankRuehl" w:hAnsi="FrankRuehl" w:cs="FrankRuehl" w:hint="cs"/>
          <w:sz w:val="28"/>
          <w:szCs w:val="28"/>
          <w:rtl/>
        </w:rPr>
        <w:t>צו מבחן למשך 18 חודשים מהיום.</w:t>
      </w:r>
    </w:p>
    <w:p w14:paraId="0C8C524C" w14:textId="77777777" w:rsidR="00FB6591" w:rsidRDefault="00FB6591" w:rsidP="00FB6591">
      <w:pPr>
        <w:spacing w:line="360" w:lineRule="auto"/>
        <w:jc w:val="both"/>
        <w:rPr>
          <w:rFonts w:ascii="FrankRuehl" w:hAnsi="FrankRuehl" w:cs="FrankRuehl"/>
          <w:sz w:val="28"/>
          <w:szCs w:val="28"/>
          <w:rtl/>
        </w:rPr>
      </w:pPr>
      <w:r>
        <w:rPr>
          <w:rFonts w:ascii="FrankRuehl" w:hAnsi="FrankRuehl" w:cs="FrankRuehl" w:hint="cs"/>
          <w:sz w:val="28"/>
          <w:szCs w:val="28"/>
          <w:rtl/>
        </w:rPr>
        <w:t>הבהרתי לנאשם, כי אם לא יקיים את הוראות שירות המבחן במסגרת צו השל"ץ או צו המבחן, ניתן יהיה להפקיע את הצווים ולהטיל עליו כל עונש חלופי לרבות מאסר.</w:t>
      </w:r>
    </w:p>
    <w:p w14:paraId="7E3DEEF2" w14:textId="77777777" w:rsidR="00FB6591" w:rsidRDefault="00FB6591" w:rsidP="00FB6591">
      <w:pPr>
        <w:spacing w:line="360" w:lineRule="auto"/>
        <w:jc w:val="both"/>
        <w:rPr>
          <w:rFonts w:ascii="FrankRuehl" w:hAnsi="FrankRuehl" w:cs="FrankRuehl"/>
          <w:sz w:val="28"/>
          <w:szCs w:val="28"/>
          <w:rtl/>
        </w:rPr>
      </w:pPr>
    </w:p>
    <w:p w14:paraId="2904A2BE" w14:textId="77777777" w:rsidR="00FB6591" w:rsidRDefault="00FB6591" w:rsidP="00FB6591">
      <w:pPr>
        <w:spacing w:line="360" w:lineRule="auto"/>
        <w:jc w:val="both"/>
        <w:rPr>
          <w:rFonts w:ascii="FrankRuehl" w:hAnsi="FrankRuehl" w:cs="FrankRuehl"/>
          <w:sz w:val="28"/>
          <w:szCs w:val="28"/>
          <w:rtl/>
        </w:rPr>
      </w:pPr>
      <w:r>
        <w:rPr>
          <w:rFonts w:ascii="FrankRuehl" w:hAnsi="FrankRuehl" w:cs="FrankRuehl" w:hint="cs"/>
          <w:sz w:val="28"/>
          <w:szCs w:val="28"/>
          <w:rtl/>
        </w:rPr>
        <w:t>יש להשמיד את המוצגים.</w:t>
      </w:r>
    </w:p>
    <w:p w14:paraId="31E40AFF" w14:textId="77777777" w:rsidR="00FB6591" w:rsidRDefault="00FB6591" w:rsidP="00FB6591">
      <w:pPr>
        <w:spacing w:line="360" w:lineRule="auto"/>
        <w:jc w:val="both"/>
        <w:rPr>
          <w:rFonts w:ascii="FrankRuehl" w:hAnsi="FrankRuehl" w:cs="FrankRuehl"/>
          <w:sz w:val="28"/>
          <w:szCs w:val="28"/>
          <w:rtl/>
        </w:rPr>
      </w:pPr>
    </w:p>
    <w:p w14:paraId="1486A66A" w14:textId="77777777" w:rsidR="00FB6591" w:rsidRDefault="00FB6591" w:rsidP="00FB6591">
      <w:pPr>
        <w:spacing w:line="360" w:lineRule="auto"/>
        <w:jc w:val="both"/>
        <w:rPr>
          <w:rFonts w:ascii="FrankRuehl" w:hAnsi="FrankRuehl" w:cs="FrankRuehl" w:hint="cs"/>
          <w:sz w:val="28"/>
          <w:szCs w:val="28"/>
          <w:rtl/>
        </w:rPr>
      </w:pPr>
      <w:r>
        <w:rPr>
          <w:rFonts w:ascii="FrankRuehl" w:hAnsi="FrankRuehl" w:cs="FrankRuehl" w:hint="cs"/>
          <w:sz w:val="28"/>
          <w:szCs w:val="28"/>
          <w:rtl/>
        </w:rPr>
        <w:t xml:space="preserve">יש לשלוח לשירות המבחן. </w:t>
      </w:r>
      <w:r w:rsidR="006465AC">
        <w:rPr>
          <w:rFonts w:ascii="FrankRuehl" w:hAnsi="FrankRuehl" w:cs="FrankRuehl" w:hint="cs"/>
          <w:sz w:val="28"/>
          <w:szCs w:val="28"/>
          <w:rtl/>
        </w:rPr>
        <w:t xml:space="preserve"> </w:t>
      </w:r>
    </w:p>
    <w:p w14:paraId="0CAAF8D1" w14:textId="77777777" w:rsidR="00FB6591" w:rsidRDefault="00FB6591" w:rsidP="00FB6591">
      <w:pPr>
        <w:rPr>
          <w:rFonts w:ascii="FrankRuehl" w:hAnsi="FrankRuehl" w:cs="FrankRuehl"/>
          <w:sz w:val="28"/>
          <w:szCs w:val="28"/>
          <w:rtl/>
        </w:rPr>
      </w:pPr>
    </w:p>
    <w:p w14:paraId="16182845" w14:textId="77777777" w:rsidR="00FB6591" w:rsidRPr="0038258C" w:rsidRDefault="00FB6591" w:rsidP="00FB6591">
      <w:pPr>
        <w:rPr>
          <w:rFonts w:ascii="FrankRuehl" w:hAnsi="FrankRuehl" w:cs="FrankRuehl"/>
          <w:sz w:val="28"/>
          <w:szCs w:val="28"/>
          <w:rtl/>
        </w:rPr>
      </w:pPr>
      <w:r>
        <w:rPr>
          <w:rFonts w:ascii="FrankRuehl" w:hAnsi="FrankRuehl" w:cs="FrankRuehl" w:hint="cs"/>
          <w:sz w:val="28"/>
          <w:szCs w:val="28"/>
          <w:rtl/>
        </w:rPr>
        <w:t>זכות ערעור כחוק.</w:t>
      </w:r>
    </w:p>
    <w:p w14:paraId="37CD9757" w14:textId="77777777" w:rsidR="00FB6591" w:rsidRPr="00D53E25" w:rsidRDefault="00D53E25" w:rsidP="00FB6591">
      <w:pPr>
        <w:rPr>
          <w:rFonts w:ascii="FrankRuehl" w:hAnsi="FrankRuehl" w:cs="FrankRuehl"/>
          <w:color w:val="FFFFFF"/>
          <w:sz w:val="2"/>
          <w:szCs w:val="2"/>
          <w:rtl/>
        </w:rPr>
      </w:pPr>
      <w:r w:rsidRPr="00D53E25">
        <w:rPr>
          <w:rFonts w:ascii="FrankRuehl" w:hAnsi="FrankRuehl" w:cs="FrankRuehl"/>
          <w:color w:val="FFFFFF"/>
          <w:sz w:val="2"/>
          <w:szCs w:val="2"/>
          <w:rtl/>
        </w:rPr>
        <w:t>5129371</w:t>
      </w:r>
    </w:p>
    <w:p w14:paraId="6533A7E4" w14:textId="77777777" w:rsidR="00FB6591" w:rsidRPr="0038258C" w:rsidRDefault="00D53E25" w:rsidP="00FB6591">
      <w:pPr>
        <w:rPr>
          <w:rFonts w:cs="FrankRuehl"/>
          <w:sz w:val="28"/>
          <w:szCs w:val="28"/>
          <w:rtl/>
        </w:rPr>
      </w:pPr>
      <w:bookmarkStart w:id="8" w:name="Nitan"/>
      <w:r w:rsidRPr="00D53E25">
        <w:rPr>
          <w:rFonts w:ascii="Arial" w:hAnsi="Arial"/>
          <w:color w:val="FFFFFF"/>
          <w:sz w:val="2"/>
          <w:szCs w:val="2"/>
          <w:rtl/>
        </w:rPr>
        <w:t>54678313</w:t>
      </w:r>
      <w:r>
        <w:rPr>
          <w:rFonts w:ascii="Arial" w:hAnsi="Arial"/>
          <w:rtl/>
        </w:rPr>
        <w:t xml:space="preserve">ניתן היום,  ט' אדר תשפ"א, 21 פברואר 2021, במעמד הצדדים. </w:t>
      </w:r>
      <w:bookmarkEnd w:id="8"/>
    </w:p>
    <w:p w14:paraId="09BCB404" w14:textId="77777777" w:rsidR="00FB6591" w:rsidRDefault="00FB6591" w:rsidP="00D53E2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52BD4B" w14:textId="77777777" w:rsidR="00FB6591" w:rsidRDefault="00FB6591" w:rsidP="00FB6591">
      <w:pPr>
        <w:jc w:val="center"/>
        <w:rPr>
          <w:rFonts w:ascii="Arial" w:hAnsi="Arial" w:cs="FrankRuehl"/>
          <w:sz w:val="28"/>
          <w:szCs w:val="28"/>
          <w:rtl/>
        </w:rPr>
      </w:pPr>
    </w:p>
    <w:p w14:paraId="2C34B6CC" w14:textId="77777777" w:rsidR="00D53E25" w:rsidRDefault="00D53E25" w:rsidP="00D53E25">
      <w:pPr>
        <w:rPr>
          <w:rtl/>
        </w:rPr>
      </w:pPr>
    </w:p>
    <w:p w14:paraId="7D556DB2" w14:textId="77777777" w:rsidR="00D53E25" w:rsidRDefault="00D53E25" w:rsidP="00D53E25">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515E51B4" w14:textId="77777777" w:rsidR="006F59B6" w:rsidRPr="006F59B6" w:rsidRDefault="006F59B6" w:rsidP="006F59B6">
      <w:pPr>
        <w:keepNext/>
        <w:rPr>
          <w:rFonts w:ascii="David" w:hAnsi="David"/>
          <w:color w:val="000000"/>
          <w:sz w:val="22"/>
          <w:szCs w:val="22"/>
          <w:rtl/>
        </w:rPr>
      </w:pPr>
    </w:p>
    <w:p w14:paraId="2A7152F7" w14:textId="77777777" w:rsidR="006F59B6" w:rsidRPr="006F59B6" w:rsidRDefault="006F59B6" w:rsidP="006F59B6">
      <w:pPr>
        <w:keepNext/>
        <w:rPr>
          <w:rFonts w:ascii="David" w:hAnsi="David"/>
          <w:color w:val="000000"/>
          <w:sz w:val="22"/>
          <w:szCs w:val="22"/>
          <w:rtl/>
        </w:rPr>
      </w:pPr>
      <w:r w:rsidRPr="006F59B6">
        <w:rPr>
          <w:rFonts w:ascii="David" w:hAnsi="David"/>
          <w:color w:val="000000"/>
          <w:sz w:val="22"/>
          <w:szCs w:val="22"/>
          <w:rtl/>
        </w:rPr>
        <w:t>דוד שאול גבאי ריכטר 54678313-/</w:t>
      </w:r>
    </w:p>
    <w:p w14:paraId="588888C6" w14:textId="77777777" w:rsidR="00D53E25" w:rsidRPr="00D53E25" w:rsidRDefault="006F59B6" w:rsidP="006F59B6">
      <w:pPr>
        <w:rPr>
          <w:color w:val="0000FF"/>
          <w:u w:val="single"/>
        </w:rPr>
      </w:pPr>
      <w:r w:rsidRPr="006F59B6">
        <w:rPr>
          <w:color w:val="000000"/>
          <w:u w:val="single"/>
          <w:rtl/>
        </w:rPr>
        <w:t>נוסח מסמך זה כפוף לשינויי ניסוח ועריכה</w:t>
      </w:r>
    </w:p>
    <w:sectPr w:rsidR="00D53E25" w:rsidRPr="00D53E25" w:rsidSect="006F59B6">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B8606" w14:textId="77777777" w:rsidR="00BB5792" w:rsidRDefault="00BB5792" w:rsidP="00780BAE">
      <w:r>
        <w:separator/>
      </w:r>
    </w:p>
  </w:endnote>
  <w:endnote w:type="continuationSeparator" w:id="0">
    <w:p w14:paraId="3BFC6856" w14:textId="77777777" w:rsidR="00BB5792" w:rsidRDefault="00BB5792" w:rsidP="0078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2C59" w14:textId="77777777" w:rsidR="006F59B6" w:rsidRDefault="006F59B6" w:rsidP="006F59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062D12" w14:textId="77777777" w:rsidR="00F367A4" w:rsidRPr="006F59B6" w:rsidRDefault="006F59B6" w:rsidP="006F59B6">
    <w:pPr>
      <w:pStyle w:val="a5"/>
      <w:pBdr>
        <w:top w:val="single" w:sz="4" w:space="1" w:color="auto"/>
        <w:between w:val="single" w:sz="4" w:space="0" w:color="auto"/>
      </w:pBdr>
      <w:spacing w:after="60"/>
      <w:jc w:val="center"/>
      <w:rPr>
        <w:rFonts w:ascii="FrankRuehl" w:hAnsi="FrankRuehl" w:cs="FrankRuehl"/>
        <w:color w:val="000000"/>
      </w:rPr>
    </w:pPr>
    <w:r w:rsidRPr="006F59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AAE1C" w14:textId="77777777" w:rsidR="006F59B6" w:rsidRDefault="006F59B6" w:rsidP="006F59B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64E69">
      <w:rPr>
        <w:rFonts w:ascii="FrankRuehl" w:hAnsi="FrankRuehl" w:cs="FrankRuehl"/>
        <w:noProof/>
        <w:rtl/>
      </w:rPr>
      <w:t>1</w:t>
    </w:r>
    <w:r>
      <w:rPr>
        <w:rFonts w:ascii="FrankRuehl" w:hAnsi="FrankRuehl" w:cs="FrankRuehl"/>
        <w:rtl/>
      </w:rPr>
      <w:fldChar w:fldCharType="end"/>
    </w:r>
  </w:p>
  <w:p w14:paraId="62A63AE4" w14:textId="77777777" w:rsidR="00F367A4" w:rsidRPr="006F59B6" w:rsidRDefault="006F59B6" w:rsidP="006F59B6">
    <w:pPr>
      <w:pStyle w:val="a5"/>
      <w:pBdr>
        <w:top w:val="single" w:sz="4" w:space="1" w:color="auto"/>
        <w:between w:val="single" w:sz="4" w:space="0" w:color="auto"/>
      </w:pBdr>
      <w:spacing w:after="60"/>
      <w:jc w:val="center"/>
      <w:rPr>
        <w:rFonts w:ascii="FrankRuehl" w:hAnsi="FrankRuehl" w:cs="FrankRuehl"/>
        <w:color w:val="000000"/>
      </w:rPr>
    </w:pPr>
    <w:r w:rsidRPr="006F59B6">
      <w:rPr>
        <w:rFonts w:ascii="FrankRuehl" w:hAnsi="FrankRuehl" w:cs="FrankRuehl"/>
        <w:color w:val="000000"/>
      </w:rPr>
      <w:pict w14:anchorId="7A261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B8E772" w14:textId="77777777" w:rsidR="00BB5792" w:rsidRDefault="00BB5792" w:rsidP="00780BAE">
      <w:r>
        <w:separator/>
      </w:r>
    </w:p>
  </w:footnote>
  <w:footnote w:type="continuationSeparator" w:id="0">
    <w:p w14:paraId="2A57163D" w14:textId="77777777" w:rsidR="00BB5792" w:rsidRDefault="00BB5792" w:rsidP="0078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FB632" w14:textId="77777777" w:rsidR="00D53E25" w:rsidRPr="006F59B6" w:rsidRDefault="006F59B6" w:rsidP="006F59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6163-03-19</w:t>
    </w:r>
    <w:r>
      <w:rPr>
        <w:rFonts w:ascii="David" w:hAnsi="David"/>
        <w:color w:val="000000"/>
        <w:sz w:val="22"/>
        <w:szCs w:val="22"/>
        <w:rtl/>
      </w:rPr>
      <w:tab/>
      <w:t xml:space="preserve"> מדינת ישראל נ' מתן מתניה רווח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A1966" w14:textId="77777777" w:rsidR="00D53E25" w:rsidRPr="006F59B6" w:rsidRDefault="006F59B6" w:rsidP="006F59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6163-03-19</w:t>
    </w:r>
    <w:r>
      <w:rPr>
        <w:rFonts w:ascii="David" w:hAnsi="David"/>
        <w:color w:val="000000"/>
        <w:sz w:val="22"/>
        <w:szCs w:val="22"/>
        <w:rtl/>
      </w:rPr>
      <w:tab/>
      <w:t xml:space="preserve"> מדינת ישראל נ' מתן מתניה רווח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63A54"/>
    <w:multiLevelType w:val="hybridMultilevel"/>
    <w:tmpl w:val="C2B6380A"/>
    <w:lvl w:ilvl="0" w:tplc="03D6AA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2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6591"/>
    <w:rsid w:val="000219AE"/>
    <w:rsid w:val="0006277B"/>
    <w:rsid w:val="001B5A3B"/>
    <w:rsid w:val="004350C6"/>
    <w:rsid w:val="006465AC"/>
    <w:rsid w:val="006F59B6"/>
    <w:rsid w:val="00764E69"/>
    <w:rsid w:val="00780BAE"/>
    <w:rsid w:val="00975652"/>
    <w:rsid w:val="009A19EA"/>
    <w:rsid w:val="00A32E0D"/>
    <w:rsid w:val="00AD1449"/>
    <w:rsid w:val="00BB5792"/>
    <w:rsid w:val="00D53E25"/>
    <w:rsid w:val="00DB2802"/>
    <w:rsid w:val="00F367A4"/>
    <w:rsid w:val="00FB65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DB519F"/>
  <w15:chartTrackingRefBased/>
  <w15:docId w15:val="{32F15DC0-A2ED-4018-B261-C82D699B0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65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6591"/>
    <w:pPr>
      <w:tabs>
        <w:tab w:val="center" w:pos="4153"/>
        <w:tab w:val="right" w:pos="8306"/>
      </w:tabs>
    </w:pPr>
  </w:style>
  <w:style w:type="character" w:customStyle="1" w:styleId="a4">
    <w:name w:val="כותרת עליונה תו"/>
    <w:link w:val="a3"/>
    <w:rsid w:val="00FB6591"/>
    <w:rPr>
      <w:rFonts w:ascii="Times New Roman" w:eastAsia="Times New Roman" w:hAnsi="Times New Roman" w:cs="David"/>
      <w:sz w:val="24"/>
      <w:szCs w:val="24"/>
    </w:rPr>
  </w:style>
  <w:style w:type="paragraph" w:styleId="a5">
    <w:name w:val="footer"/>
    <w:basedOn w:val="a"/>
    <w:link w:val="a6"/>
    <w:rsid w:val="00FB6591"/>
    <w:pPr>
      <w:tabs>
        <w:tab w:val="center" w:pos="4153"/>
        <w:tab w:val="right" w:pos="8306"/>
      </w:tabs>
    </w:pPr>
  </w:style>
  <w:style w:type="character" w:customStyle="1" w:styleId="a6">
    <w:name w:val="כותרת תחתונה תו"/>
    <w:link w:val="a5"/>
    <w:rsid w:val="00FB6591"/>
    <w:rPr>
      <w:rFonts w:ascii="Times New Roman" w:eastAsia="Times New Roman" w:hAnsi="Times New Roman" w:cs="David"/>
      <w:sz w:val="24"/>
      <w:szCs w:val="24"/>
    </w:rPr>
  </w:style>
  <w:style w:type="table" w:styleId="a7">
    <w:name w:val="Table Grid"/>
    <w:basedOn w:val="a1"/>
    <w:rsid w:val="00FB65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6591"/>
  </w:style>
  <w:style w:type="paragraph" w:styleId="a9">
    <w:name w:val="List Paragraph"/>
    <w:basedOn w:val="a"/>
    <w:qFormat/>
    <w:rsid w:val="00FB6591"/>
    <w:pPr>
      <w:ind w:left="720"/>
      <w:contextualSpacing/>
    </w:pPr>
  </w:style>
  <w:style w:type="character" w:styleId="Hyperlink">
    <w:name w:val="Hyperlink"/>
    <w:rsid w:val="00D53E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40j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2856999"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1526</Words>
  <Characters>7632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9140</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3473530</vt:i4>
      </vt:variant>
      <vt:variant>
        <vt:i4>36</vt:i4>
      </vt:variant>
      <vt:variant>
        <vt:i4>0</vt:i4>
      </vt:variant>
      <vt:variant>
        <vt:i4>5</vt:i4>
      </vt:variant>
      <vt:variant>
        <vt:lpwstr>http://www.nevo.co.il/case/22856999</vt:lpwstr>
      </vt:variant>
      <vt:variant>
        <vt:lpwstr/>
      </vt:variant>
      <vt:variant>
        <vt:i4>7995492</vt:i4>
      </vt:variant>
      <vt:variant>
        <vt:i4>33</vt:i4>
      </vt:variant>
      <vt:variant>
        <vt:i4>0</vt:i4>
      </vt:variant>
      <vt:variant>
        <vt:i4>5</vt:i4>
      </vt:variant>
      <vt:variant>
        <vt:lpwstr>http://www.nevo.co.il/law/70301</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6163</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מתן מתניה רווח</vt:lpwstr>
  </property>
  <property fmtid="{D5CDD505-2E9C-101B-9397-08002B2CF9AE}" pid="10" name="LAWYER">
    <vt:lpwstr>כרמית כהן;אכרם חליחל</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20210221</vt:lpwstr>
  </property>
  <property fmtid="{D5CDD505-2E9C-101B-9397-08002B2CF9AE}" pid="14" name="TYPE_N_DATE">
    <vt:lpwstr>38020210221</vt:lpwstr>
  </property>
  <property fmtid="{D5CDD505-2E9C-101B-9397-08002B2CF9AE}" pid="15" name="WORDNUMPAGES">
    <vt:lpwstr>6</vt:lpwstr>
  </property>
  <property fmtid="{D5CDD505-2E9C-101B-9397-08002B2CF9AE}" pid="16" name="TYPE_ABS_DATE">
    <vt:lpwstr>380020210221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22856999</vt:lpwstr>
  </property>
  <property fmtid="{D5CDD505-2E9C-101B-9397-08002B2CF9AE}" pid="36" name="LAWLISTTMP1">
    <vt:lpwstr>4216/007.a;007.c</vt:lpwstr>
  </property>
  <property fmtid="{D5CDD505-2E9C-101B-9397-08002B2CF9AE}" pid="37" name="LAWLISTTMP2">
    <vt:lpwstr>70301/040i;40ja</vt:lpwstr>
  </property>
</Properties>
</file>