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7"/>
        <w:gridCol w:w="3572"/>
      </w:tblGrid>
      <w:tr w:rsidR="00432C4B" w:rsidRPr="008E581B" w14:paraId="64BFCC36" w14:textId="77777777" w:rsidTr="003578AA">
        <w:trPr>
          <w:trHeight w:hRule="exact" w:val="418"/>
          <w:jc w:val="center"/>
        </w:trPr>
        <w:tc>
          <w:tcPr>
            <w:tcW w:w="8529" w:type="dxa"/>
            <w:gridSpan w:val="2"/>
          </w:tcPr>
          <w:p w14:paraId="5B805167" w14:textId="77777777" w:rsidR="00432C4B" w:rsidRPr="008E581B" w:rsidRDefault="00432C4B" w:rsidP="00FF5ED0">
            <w:pPr>
              <w:pStyle w:val="a3"/>
              <w:jc w:val="center"/>
              <w:rPr>
                <w:rFonts w:ascii="Tahoma" w:hAnsi="Tahoma" w:cs="Tahoma"/>
                <w:color w:val="000080"/>
                <w:rtl/>
              </w:rPr>
            </w:pPr>
            <w:bookmarkStart w:id="0" w:name="LastJudge"/>
            <w:r w:rsidRPr="008E581B">
              <w:rPr>
                <w:rFonts w:ascii="Tahoma" w:hAnsi="Tahoma" w:cs="Tahoma"/>
                <w:b/>
                <w:bCs/>
                <w:color w:val="000080"/>
                <w:rtl/>
              </w:rPr>
              <w:t>בית משפט השלום בנתניה</w:t>
            </w:r>
          </w:p>
        </w:tc>
      </w:tr>
      <w:tr w:rsidR="00432C4B" w:rsidRPr="008E581B" w14:paraId="2B0D264D" w14:textId="77777777" w:rsidTr="003578AA">
        <w:trPr>
          <w:trHeight w:val="337"/>
          <w:jc w:val="center"/>
        </w:trPr>
        <w:tc>
          <w:tcPr>
            <w:tcW w:w="4957" w:type="dxa"/>
          </w:tcPr>
          <w:p w14:paraId="2D0A0DC2" w14:textId="77777777" w:rsidR="00432C4B" w:rsidRPr="008E581B" w:rsidRDefault="00432C4B" w:rsidP="00FF5ED0">
            <w:pPr>
              <w:rPr>
                <w:rFonts w:cs="FrankRuehl"/>
                <w:sz w:val="28"/>
                <w:szCs w:val="28"/>
                <w:rtl/>
              </w:rPr>
            </w:pPr>
            <w:r w:rsidRPr="008E581B">
              <w:rPr>
                <w:rFonts w:cs="FrankRuehl"/>
                <w:sz w:val="28"/>
                <w:szCs w:val="28"/>
                <w:rtl/>
              </w:rPr>
              <w:t>ת"פ</w:t>
            </w:r>
            <w:r w:rsidRPr="008E581B">
              <w:rPr>
                <w:rFonts w:cs="FrankRuehl" w:hint="cs"/>
                <w:sz w:val="28"/>
                <w:szCs w:val="28"/>
                <w:rtl/>
              </w:rPr>
              <w:t xml:space="preserve"> </w:t>
            </w:r>
            <w:r w:rsidRPr="008E581B">
              <w:rPr>
                <w:rFonts w:cs="FrankRuehl"/>
                <w:sz w:val="28"/>
                <w:szCs w:val="28"/>
                <w:rtl/>
              </w:rPr>
              <w:t>62073-03-19</w:t>
            </w:r>
            <w:r w:rsidRPr="008E581B">
              <w:rPr>
                <w:rFonts w:cs="FrankRuehl" w:hint="cs"/>
                <w:sz w:val="28"/>
                <w:szCs w:val="28"/>
                <w:rtl/>
              </w:rPr>
              <w:t xml:space="preserve"> </w:t>
            </w:r>
            <w:r w:rsidRPr="008E581B">
              <w:rPr>
                <w:rFonts w:cs="FrankRuehl"/>
                <w:sz w:val="28"/>
                <w:szCs w:val="28"/>
                <w:rtl/>
              </w:rPr>
              <w:t>מדינת ישראל נ' שווכי(עציר)</w:t>
            </w:r>
          </w:p>
        </w:tc>
        <w:tc>
          <w:tcPr>
            <w:tcW w:w="3572" w:type="dxa"/>
          </w:tcPr>
          <w:p w14:paraId="75BE92A8" w14:textId="77777777" w:rsidR="00432C4B" w:rsidRPr="008E581B" w:rsidRDefault="00432C4B" w:rsidP="00FF5ED0">
            <w:pPr>
              <w:pStyle w:val="a3"/>
              <w:jc w:val="right"/>
              <w:rPr>
                <w:rFonts w:cs="FrankRuehl"/>
                <w:sz w:val="28"/>
                <w:szCs w:val="28"/>
                <w:rtl/>
              </w:rPr>
            </w:pPr>
          </w:p>
        </w:tc>
      </w:tr>
    </w:tbl>
    <w:p w14:paraId="328327C6" w14:textId="77777777" w:rsidR="00432C4B" w:rsidRPr="008E581B" w:rsidRDefault="00432C4B" w:rsidP="00432C4B">
      <w:pPr>
        <w:pStyle w:val="a3"/>
        <w:rPr>
          <w:rtl/>
        </w:rPr>
      </w:pPr>
      <w:r w:rsidRPr="008E581B">
        <w:rPr>
          <w:rFonts w:hint="cs"/>
          <w:rtl/>
        </w:rPr>
        <w:t xml:space="preserve"> </w:t>
      </w:r>
    </w:p>
    <w:p w14:paraId="6C999B90" w14:textId="77777777" w:rsidR="00432C4B" w:rsidRPr="008E581B" w:rsidRDefault="00432C4B" w:rsidP="00432C4B">
      <w:pPr>
        <w:rPr>
          <w:rFonts w:ascii="David" w:hAnsi="David"/>
          <w:bCs/>
          <w:sz w:val="28"/>
          <w:szCs w:val="28"/>
          <w:rtl/>
        </w:rPr>
      </w:pPr>
    </w:p>
    <w:p w14:paraId="5BF1CBD6" w14:textId="77777777" w:rsidR="00432C4B" w:rsidRPr="008E581B" w:rsidRDefault="00432C4B" w:rsidP="00432C4B">
      <w:pPr>
        <w:rPr>
          <w:rFonts w:ascii="David" w:hAnsi="David"/>
          <w:bCs/>
          <w:sz w:val="28"/>
          <w:szCs w:val="28"/>
        </w:rPr>
      </w:pPr>
      <w:r w:rsidRPr="008E581B">
        <w:rPr>
          <w:rFonts w:ascii="David" w:hAnsi="David"/>
          <w:bCs/>
          <w:sz w:val="28"/>
          <w:szCs w:val="28"/>
          <w:rtl/>
        </w:rPr>
        <w:softHyphen/>
      </w:r>
      <w:r w:rsidRPr="008E581B">
        <w:rPr>
          <w:rFonts w:ascii="David" w:hAnsi="David"/>
          <w:bCs/>
          <w:sz w:val="28"/>
          <w:szCs w:val="28"/>
          <w:rtl/>
        </w:rPr>
        <w:softHyphen/>
        <w:t>לפני:</w:t>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t>כבוד השופט גיא אבנון</w:t>
      </w:r>
    </w:p>
    <w:p w14:paraId="6625B991" w14:textId="77777777" w:rsidR="00432C4B" w:rsidRPr="008E581B" w:rsidRDefault="00432C4B" w:rsidP="00432C4B">
      <w:pPr>
        <w:rPr>
          <w:rFonts w:ascii="David" w:hAnsi="David"/>
          <w:bCs/>
          <w:sz w:val="28"/>
          <w:szCs w:val="28"/>
          <w:rtl/>
        </w:rPr>
      </w:pPr>
    </w:p>
    <w:p w14:paraId="504CCDEF" w14:textId="77777777" w:rsidR="00432C4B" w:rsidRPr="008E581B" w:rsidRDefault="00432C4B" w:rsidP="00432C4B">
      <w:pPr>
        <w:rPr>
          <w:rFonts w:ascii="David" w:hAnsi="David"/>
          <w:bCs/>
          <w:sz w:val="28"/>
          <w:szCs w:val="28"/>
          <w:rtl/>
        </w:rPr>
      </w:pPr>
      <w:r w:rsidRPr="008E581B">
        <w:rPr>
          <w:rFonts w:ascii="David" w:hAnsi="David"/>
          <w:bCs/>
          <w:sz w:val="28"/>
          <w:szCs w:val="28"/>
          <w:rtl/>
        </w:rPr>
        <w:t>ה</w:t>
      </w:r>
      <w:bookmarkStart w:id="1" w:name="FirstAppellant"/>
      <w:r w:rsidRPr="008E581B">
        <w:rPr>
          <w:rFonts w:ascii="David" w:hAnsi="David"/>
          <w:bCs/>
          <w:sz w:val="28"/>
          <w:szCs w:val="28"/>
          <w:rtl/>
        </w:rPr>
        <w:t>מאשימ</w:t>
      </w:r>
      <w:bookmarkEnd w:id="1"/>
      <w:r w:rsidRPr="008E581B">
        <w:rPr>
          <w:rFonts w:ascii="David" w:hAnsi="David"/>
          <w:bCs/>
          <w:sz w:val="28"/>
          <w:szCs w:val="28"/>
          <w:rtl/>
        </w:rPr>
        <w:t>ה:</w:t>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t>מדינת ישראל</w:t>
      </w:r>
    </w:p>
    <w:p w14:paraId="2D8536FF" w14:textId="77777777" w:rsidR="00432C4B" w:rsidRPr="008E581B" w:rsidRDefault="00432C4B" w:rsidP="00432C4B">
      <w:pPr>
        <w:rPr>
          <w:rFonts w:ascii="David" w:hAnsi="David"/>
          <w:bCs/>
          <w:sz w:val="28"/>
          <w:szCs w:val="28"/>
          <w:rtl/>
        </w:rPr>
      </w:pP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t>באמצעות תביעות מרכז – שלוחת נתניה</w:t>
      </w:r>
    </w:p>
    <w:p w14:paraId="6A9BA110" w14:textId="77777777" w:rsidR="00432C4B" w:rsidRPr="008E581B" w:rsidRDefault="00432C4B" w:rsidP="00432C4B">
      <w:pPr>
        <w:rPr>
          <w:rFonts w:ascii="David" w:hAnsi="David"/>
          <w:bCs/>
          <w:sz w:val="28"/>
          <w:szCs w:val="28"/>
          <w:rtl/>
        </w:rPr>
      </w:pPr>
    </w:p>
    <w:p w14:paraId="6F7EC724" w14:textId="77777777" w:rsidR="00432C4B" w:rsidRPr="008E581B" w:rsidRDefault="00432C4B" w:rsidP="00432C4B">
      <w:pPr>
        <w:rPr>
          <w:rFonts w:ascii="David" w:hAnsi="David"/>
          <w:bCs/>
          <w:sz w:val="28"/>
          <w:szCs w:val="28"/>
          <w:rtl/>
        </w:rPr>
      </w:pP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t>נ ג ד</w:t>
      </w:r>
    </w:p>
    <w:p w14:paraId="6DAA923B" w14:textId="77777777" w:rsidR="00432C4B" w:rsidRPr="008E581B" w:rsidRDefault="00432C4B" w:rsidP="00432C4B">
      <w:pPr>
        <w:rPr>
          <w:rFonts w:ascii="David" w:hAnsi="David"/>
          <w:bCs/>
          <w:sz w:val="28"/>
          <w:szCs w:val="28"/>
          <w:rtl/>
        </w:rPr>
      </w:pPr>
    </w:p>
    <w:p w14:paraId="43B8DFD6" w14:textId="77777777" w:rsidR="00432C4B" w:rsidRPr="008E581B" w:rsidRDefault="00432C4B" w:rsidP="00432C4B">
      <w:pPr>
        <w:rPr>
          <w:rFonts w:ascii="David" w:hAnsi="David"/>
          <w:bCs/>
          <w:sz w:val="28"/>
          <w:szCs w:val="28"/>
          <w:rtl/>
        </w:rPr>
      </w:pPr>
      <w:r w:rsidRPr="008E581B">
        <w:rPr>
          <w:rFonts w:ascii="David" w:hAnsi="David"/>
          <w:bCs/>
          <w:sz w:val="28"/>
          <w:szCs w:val="28"/>
          <w:rtl/>
        </w:rPr>
        <w:t>הנאשם:</w:t>
      </w:r>
      <w:r w:rsidRPr="008E581B">
        <w:rPr>
          <w:rFonts w:ascii="David" w:hAnsi="David"/>
          <w:bCs/>
          <w:sz w:val="28"/>
          <w:szCs w:val="28"/>
          <w:rtl/>
        </w:rPr>
        <w:tab/>
      </w:r>
      <w:r w:rsidRPr="008E581B">
        <w:rPr>
          <w:rFonts w:ascii="David" w:hAnsi="David"/>
          <w:bCs/>
          <w:sz w:val="28"/>
          <w:szCs w:val="28"/>
          <w:rtl/>
        </w:rPr>
        <w:tab/>
      </w:r>
      <w:r w:rsidRPr="008E581B">
        <w:rPr>
          <w:rFonts w:ascii="David" w:hAnsi="David"/>
          <w:bCs/>
          <w:sz w:val="28"/>
          <w:szCs w:val="28"/>
          <w:rtl/>
        </w:rPr>
        <w:tab/>
        <w:t>בלאל שווכי</w:t>
      </w:r>
    </w:p>
    <w:p w14:paraId="266FFF11" w14:textId="77777777" w:rsidR="00432C4B" w:rsidRPr="008E581B" w:rsidRDefault="00432C4B" w:rsidP="00432C4B">
      <w:pPr>
        <w:rPr>
          <w:rFonts w:ascii="David" w:hAnsi="David"/>
          <w:bCs/>
          <w:sz w:val="28"/>
          <w:szCs w:val="28"/>
          <w:rtl/>
        </w:rPr>
      </w:pPr>
    </w:p>
    <w:p w14:paraId="3198FF5A" w14:textId="77777777" w:rsidR="00432C4B" w:rsidRPr="008E581B" w:rsidRDefault="00432C4B" w:rsidP="00432C4B">
      <w:pPr>
        <w:rPr>
          <w:rFonts w:ascii="David" w:hAnsi="David"/>
          <w:b/>
          <w:sz w:val="28"/>
          <w:szCs w:val="28"/>
          <w:rtl/>
        </w:rPr>
      </w:pPr>
      <w:bookmarkStart w:id="2" w:name="FirstLawyer"/>
      <w:r w:rsidRPr="008E581B">
        <w:rPr>
          <w:rFonts w:ascii="David" w:hAnsi="David"/>
          <w:b/>
          <w:sz w:val="28"/>
          <w:szCs w:val="28"/>
          <w:rtl/>
        </w:rPr>
        <w:t>בשם</w:t>
      </w:r>
      <w:bookmarkEnd w:id="2"/>
      <w:r w:rsidRPr="008E581B">
        <w:rPr>
          <w:rFonts w:ascii="David" w:hAnsi="David"/>
          <w:b/>
          <w:sz w:val="28"/>
          <w:szCs w:val="28"/>
          <w:rtl/>
        </w:rPr>
        <w:t xml:space="preserve"> המאשימה:</w:t>
      </w:r>
      <w:r w:rsidRPr="008E581B">
        <w:rPr>
          <w:rFonts w:ascii="David" w:hAnsi="David"/>
          <w:b/>
          <w:sz w:val="28"/>
          <w:szCs w:val="28"/>
          <w:rtl/>
        </w:rPr>
        <w:tab/>
      </w:r>
      <w:r w:rsidRPr="008E581B">
        <w:rPr>
          <w:rFonts w:ascii="David" w:hAnsi="David"/>
          <w:b/>
          <w:sz w:val="28"/>
          <w:szCs w:val="28"/>
          <w:rtl/>
        </w:rPr>
        <w:tab/>
        <w:t>עו"ד אלמוג בן חמו ועו"ד שיר זהבי</w:t>
      </w:r>
    </w:p>
    <w:p w14:paraId="5588E0CF" w14:textId="77777777" w:rsidR="003578AA" w:rsidRDefault="00432C4B" w:rsidP="00432C4B">
      <w:pPr>
        <w:rPr>
          <w:rFonts w:ascii="David" w:hAnsi="David"/>
          <w:b/>
          <w:sz w:val="28"/>
          <w:szCs w:val="28"/>
          <w:rtl/>
        </w:rPr>
      </w:pPr>
      <w:r w:rsidRPr="008E581B">
        <w:rPr>
          <w:rFonts w:ascii="David" w:hAnsi="David"/>
          <w:b/>
          <w:sz w:val="28"/>
          <w:szCs w:val="28"/>
          <w:rtl/>
        </w:rPr>
        <w:t>בשם הנאשם:</w:t>
      </w:r>
      <w:r w:rsidRPr="008E581B">
        <w:rPr>
          <w:rFonts w:ascii="David" w:hAnsi="David"/>
          <w:b/>
          <w:sz w:val="28"/>
          <w:szCs w:val="28"/>
          <w:rtl/>
        </w:rPr>
        <w:tab/>
      </w:r>
      <w:r w:rsidRPr="008E581B">
        <w:rPr>
          <w:rFonts w:ascii="David" w:hAnsi="David"/>
          <w:b/>
          <w:sz w:val="28"/>
          <w:szCs w:val="28"/>
          <w:rtl/>
        </w:rPr>
        <w:tab/>
      </w:r>
      <w:r w:rsidRPr="008E581B">
        <w:rPr>
          <w:rFonts w:ascii="David" w:hAnsi="David"/>
          <w:b/>
          <w:sz w:val="28"/>
          <w:szCs w:val="28"/>
          <w:rtl/>
        </w:rPr>
        <w:tab/>
        <w:t>עו"ד איתמר צור</w:t>
      </w:r>
    </w:p>
    <w:p w14:paraId="7F25391E" w14:textId="77777777" w:rsidR="003578AA" w:rsidRPr="003578AA" w:rsidRDefault="003578AA" w:rsidP="003578AA">
      <w:pPr>
        <w:spacing w:after="120" w:line="240" w:lineRule="exact"/>
        <w:ind w:left="283" w:hanging="283"/>
        <w:jc w:val="both"/>
        <w:rPr>
          <w:rFonts w:ascii="FrankRuehl" w:hAnsi="FrankRuehl" w:cs="FrankRuehl"/>
          <w:rtl/>
        </w:rPr>
      </w:pPr>
    </w:p>
    <w:p w14:paraId="520D1E85" w14:textId="77777777" w:rsidR="0032780D" w:rsidRPr="0032780D" w:rsidRDefault="0032780D" w:rsidP="0032780D">
      <w:pPr>
        <w:spacing w:before="120" w:after="120" w:line="240" w:lineRule="exact"/>
        <w:ind w:left="283" w:hanging="283"/>
        <w:jc w:val="both"/>
        <w:rPr>
          <w:rFonts w:ascii="FrankRuehl" w:hAnsi="FrankRuehl" w:cs="FrankRuehl"/>
          <w:rtl/>
        </w:rPr>
      </w:pPr>
    </w:p>
    <w:p w14:paraId="5C58C070" w14:textId="77777777" w:rsidR="00401AEA" w:rsidRDefault="00401AEA" w:rsidP="00401AEA">
      <w:pPr>
        <w:jc w:val="center"/>
        <w:rPr>
          <w:rFonts w:ascii="David" w:hAnsi="David"/>
          <w:sz w:val="28"/>
          <w:szCs w:val="28"/>
          <w:rtl/>
        </w:rPr>
      </w:pPr>
      <w:bookmarkStart w:id="3" w:name="LawTable"/>
      <w:bookmarkEnd w:id="3"/>
    </w:p>
    <w:p w14:paraId="53DB66A6" w14:textId="77777777" w:rsidR="00401AEA" w:rsidRPr="00401AEA" w:rsidRDefault="00401AEA" w:rsidP="00401AEA">
      <w:pPr>
        <w:spacing w:before="120" w:after="120" w:line="240" w:lineRule="exact"/>
        <w:ind w:left="283" w:hanging="283"/>
        <w:jc w:val="both"/>
        <w:rPr>
          <w:rFonts w:ascii="FrankRuehl" w:hAnsi="FrankRuehl" w:cs="FrankRuehl"/>
          <w:rtl/>
        </w:rPr>
      </w:pPr>
    </w:p>
    <w:p w14:paraId="22FDBF9B" w14:textId="77777777" w:rsidR="00401AEA" w:rsidRPr="00401AEA" w:rsidRDefault="00401AEA" w:rsidP="00401AEA">
      <w:pPr>
        <w:spacing w:before="120" w:after="120" w:line="240" w:lineRule="exact"/>
        <w:ind w:left="283" w:hanging="283"/>
        <w:jc w:val="both"/>
        <w:rPr>
          <w:rFonts w:ascii="FrankRuehl" w:hAnsi="FrankRuehl" w:cs="FrankRuehl"/>
          <w:rtl/>
        </w:rPr>
      </w:pPr>
    </w:p>
    <w:p w14:paraId="7BAC53DA" w14:textId="77777777" w:rsidR="00401AEA" w:rsidRPr="00401AEA" w:rsidRDefault="00401AEA" w:rsidP="00401AEA">
      <w:pPr>
        <w:spacing w:before="120" w:after="120" w:line="240" w:lineRule="exact"/>
        <w:ind w:left="283" w:hanging="283"/>
        <w:jc w:val="both"/>
        <w:rPr>
          <w:rFonts w:ascii="FrankRuehl" w:hAnsi="FrankRuehl" w:cs="FrankRuehl"/>
          <w:rtl/>
        </w:rPr>
      </w:pPr>
      <w:r w:rsidRPr="00401AEA">
        <w:rPr>
          <w:rFonts w:ascii="FrankRuehl" w:hAnsi="FrankRuehl" w:cs="FrankRuehl"/>
          <w:rtl/>
        </w:rPr>
        <w:t xml:space="preserve">חקיקה שאוזכרה: </w:t>
      </w:r>
    </w:p>
    <w:p w14:paraId="1D19DB64" w14:textId="77777777" w:rsidR="00401AEA" w:rsidRPr="00401AEA" w:rsidRDefault="00401AEA" w:rsidP="00401AEA">
      <w:pPr>
        <w:spacing w:before="120" w:after="120" w:line="240" w:lineRule="exact"/>
        <w:ind w:left="283" w:hanging="283"/>
        <w:jc w:val="both"/>
        <w:rPr>
          <w:rFonts w:ascii="FrankRuehl" w:hAnsi="FrankRuehl" w:cs="FrankRuehl"/>
          <w:rtl/>
        </w:rPr>
      </w:pPr>
      <w:hyperlink r:id="rId6" w:history="1">
        <w:r w:rsidRPr="00401AEA">
          <w:rPr>
            <w:rFonts w:ascii="FrankRuehl" w:hAnsi="FrankRuehl" w:cs="FrankRuehl"/>
            <w:color w:val="0000FF"/>
            <w:rtl/>
          </w:rPr>
          <w:t>פקודת הסמים המסוכנים [נוסח חדש], תשל"ג-1973</w:t>
        </w:r>
      </w:hyperlink>
      <w:r w:rsidRPr="00401AEA">
        <w:rPr>
          <w:rFonts w:ascii="FrankRuehl" w:hAnsi="FrankRuehl" w:cs="FrankRuehl"/>
          <w:rtl/>
        </w:rPr>
        <w:t xml:space="preserve">: סע'  </w:t>
      </w:r>
      <w:hyperlink r:id="rId7" w:history="1">
        <w:r w:rsidRPr="00401AEA">
          <w:rPr>
            <w:rFonts w:ascii="FrankRuehl" w:hAnsi="FrankRuehl" w:cs="FrankRuehl"/>
            <w:color w:val="0000FF"/>
            <w:rtl/>
          </w:rPr>
          <w:t>7(א)</w:t>
        </w:r>
      </w:hyperlink>
      <w:r w:rsidRPr="00401AEA">
        <w:rPr>
          <w:rFonts w:ascii="FrankRuehl" w:hAnsi="FrankRuehl" w:cs="FrankRuehl"/>
          <w:rtl/>
        </w:rPr>
        <w:t xml:space="preserve">, </w:t>
      </w:r>
      <w:hyperlink r:id="rId8" w:history="1">
        <w:r w:rsidRPr="00401AEA">
          <w:rPr>
            <w:rFonts w:ascii="FrankRuehl" w:hAnsi="FrankRuehl" w:cs="FrankRuehl"/>
            <w:color w:val="0000FF"/>
            <w:rtl/>
          </w:rPr>
          <w:t>7(ג)</w:t>
        </w:r>
      </w:hyperlink>
    </w:p>
    <w:p w14:paraId="04025549" w14:textId="77777777" w:rsidR="00401AEA" w:rsidRPr="00401AEA" w:rsidRDefault="00401AEA" w:rsidP="00401AEA">
      <w:pPr>
        <w:spacing w:before="120" w:after="120" w:line="240" w:lineRule="exact"/>
        <w:ind w:left="283" w:hanging="283"/>
        <w:jc w:val="both"/>
        <w:rPr>
          <w:rFonts w:ascii="FrankRuehl" w:hAnsi="FrankRuehl" w:cs="FrankRuehl"/>
          <w:rtl/>
        </w:rPr>
      </w:pPr>
      <w:hyperlink r:id="rId9" w:history="1">
        <w:r w:rsidRPr="00401AEA">
          <w:rPr>
            <w:rFonts w:ascii="FrankRuehl" w:hAnsi="FrankRuehl" w:cs="FrankRuehl"/>
            <w:color w:val="0000FF"/>
            <w:rtl/>
          </w:rPr>
          <w:t>פקודת בתי הסוהר [נוסח חדש], תשל"ב-1971</w:t>
        </w:r>
      </w:hyperlink>
      <w:r w:rsidRPr="00401AEA">
        <w:rPr>
          <w:rFonts w:ascii="FrankRuehl" w:hAnsi="FrankRuehl" w:cs="FrankRuehl"/>
          <w:rtl/>
        </w:rPr>
        <w:t xml:space="preserve">: סע'  </w:t>
      </w:r>
      <w:hyperlink r:id="rId10" w:history="1">
        <w:r w:rsidRPr="00401AEA">
          <w:rPr>
            <w:rFonts w:ascii="FrankRuehl" w:hAnsi="FrankRuehl" w:cs="FrankRuehl"/>
            <w:color w:val="0000FF"/>
            <w:rtl/>
          </w:rPr>
          <w:t>52(ב)(1)</w:t>
        </w:r>
      </w:hyperlink>
    </w:p>
    <w:p w14:paraId="688E8FB5" w14:textId="77777777" w:rsidR="00401AEA" w:rsidRPr="00401AEA" w:rsidRDefault="00401AEA" w:rsidP="00401AEA">
      <w:pPr>
        <w:jc w:val="center"/>
        <w:rPr>
          <w:rFonts w:ascii="David" w:hAnsi="David"/>
          <w:sz w:val="28"/>
          <w:szCs w:val="28"/>
          <w:rtl/>
        </w:rPr>
      </w:pPr>
      <w:bookmarkStart w:id="4" w:name="LawTable_End"/>
      <w:bookmarkEnd w:id="4"/>
    </w:p>
    <w:p w14:paraId="402C09D1" w14:textId="77777777" w:rsidR="00432C4B" w:rsidRPr="0032780D" w:rsidRDefault="00432C4B" w:rsidP="0032780D">
      <w:pPr>
        <w:jc w:val="center"/>
        <w:rPr>
          <w:rFonts w:ascii="David" w:hAnsi="David"/>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2C4B" w:rsidRPr="00015FC8" w14:paraId="0F69C9BA" w14:textId="77777777" w:rsidTr="00432C4B">
        <w:trPr>
          <w:trHeight w:val="355"/>
          <w:jc w:val="center"/>
        </w:trPr>
        <w:tc>
          <w:tcPr>
            <w:tcW w:w="8820" w:type="dxa"/>
            <w:tcBorders>
              <w:top w:val="nil"/>
              <w:left w:val="nil"/>
              <w:bottom w:val="nil"/>
              <w:right w:val="nil"/>
            </w:tcBorders>
            <w:shd w:val="clear" w:color="auto" w:fill="auto"/>
          </w:tcPr>
          <w:p w14:paraId="74816273" w14:textId="77777777" w:rsidR="008E581B" w:rsidRPr="008E581B" w:rsidRDefault="008E581B" w:rsidP="008E581B">
            <w:pPr>
              <w:jc w:val="center"/>
              <w:rPr>
                <w:rFonts w:ascii="David" w:eastAsia="Calibri" w:hAnsi="David"/>
                <w:bCs/>
                <w:sz w:val="28"/>
                <w:szCs w:val="28"/>
                <w:u w:val="single"/>
                <w:rtl/>
              </w:rPr>
            </w:pPr>
            <w:bookmarkStart w:id="5" w:name="PsakDin" w:colFirst="0" w:colLast="0"/>
            <w:bookmarkEnd w:id="0"/>
            <w:r w:rsidRPr="008E581B">
              <w:rPr>
                <w:rFonts w:ascii="David" w:eastAsia="Calibri" w:hAnsi="David"/>
                <w:bCs/>
                <w:sz w:val="28"/>
                <w:szCs w:val="28"/>
                <w:u w:val="single"/>
                <w:rtl/>
              </w:rPr>
              <w:t>גזר דין</w:t>
            </w:r>
          </w:p>
          <w:p w14:paraId="22AAD994" w14:textId="77777777" w:rsidR="00432C4B" w:rsidRPr="008E581B" w:rsidRDefault="00432C4B" w:rsidP="008E581B">
            <w:pPr>
              <w:jc w:val="center"/>
              <w:rPr>
                <w:rFonts w:ascii="David" w:hAnsi="David"/>
                <w:bCs/>
                <w:sz w:val="28"/>
                <w:szCs w:val="28"/>
                <w:u w:val="single"/>
                <w:rtl/>
              </w:rPr>
            </w:pPr>
          </w:p>
        </w:tc>
      </w:tr>
    </w:tbl>
    <w:p w14:paraId="686C9892" w14:textId="77777777" w:rsidR="00432C4B" w:rsidRPr="00015FC8" w:rsidRDefault="00432C4B" w:rsidP="00432C4B">
      <w:pPr>
        <w:spacing w:line="360" w:lineRule="auto"/>
        <w:ind w:firstLine="720"/>
        <w:jc w:val="both"/>
        <w:rPr>
          <w:rFonts w:ascii="FrankRuehl" w:hAnsi="FrankRuehl" w:cs="FrankRuehl"/>
          <w:sz w:val="28"/>
          <w:szCs w:val="28"/>
        </w:rPr>
      </w:pPr>
      <w:bookmarkStart w:id="6" w:name="ABSTRACT_START"/>
      <w:bookmarkEnd w:id="5"/>
      <w:bookmarkEnd w:id="6"/>
      <w:r w:rsidRPr="00015FC8">
        <w:rPr>
          <w:rFonts w:ascii="FrankRuehl" w:hAnsi="FrankRuehl" w:cs="FrankRuehl"/>
          <w:sz w:val="28"/>
          <w:szCs w:val="28"/>
          <w:rtl/>
        </w:rPr>
        <w:t>הנאשם הורשע בהתאם להודאתו ב</w:t>
      </w:r>
      <w:r w:rsidRPr="00015FC8">
        <w:rPr>
          <w:rFonts w:ascii="FrankRuehl" w:eastAsia="Calibri" w:hAnsi="FrankRuehl" w:cs="Miriam"/>
          <w:sz w:val="28"/>
          <w:rtl/>
        </w:rPr>
        <w:t>החזקת סמים שלא לצריכה עצמית</w:t>
      </w:r>
      <w:r w:rsidRPr="00015FC8">
        <w:rPr>
          <w:rFonts w:ascii="FrankRuehl" w:hAnsi="FrankRuehl" w:cs="FrankRuehl"/>
          <w:sz w:val="28"/>
          <w:szCs w:val="28"/>
          <w:rtl/>
        </w:rPr>
        <w:t xml:space="preserve">, לפי </w:t>
      </w:r>
      <w:hyperlink r:id="rId11" w:history="1">
        <w:r w:rsidR="003578AA" w:rsidRPr="003578AA">
          <w:rPr>
            <w:rStyle w:val="Hyperlink"/>
            <w:rFonts w:ascii="FrankRuehl" w:hAnsi="FrankRuehl" w:cs="FrankRuehl"/>
            <w:sz w:val="28"/>
            <w:szCs w:val="28"/>
            <w:rtl/>
          </w:rPr>
          <w:t>סעיפים 7(א)</w:t>
        </w:r>
      </w:hyperlink>
      <w:r w:rsidRPr="00015FC8">
        <w:rPr>
          <w:rFonts w:ascii="FrankRuehl" w:hAnsi="FrankRuehl" w:cs="FrankRuehl"/>
          <w:sz w:val="28"/>
          <w:szCs w:val="28"/>
          <w:rtl/>
        </w:rPr>
        <w:t xml:space="preserve"> ו-</w:t>
      </w:r>
      <w:hyperlink r:id="rId12" w:history="1">
        <w:r w:rsidR="003578AA" w:rsidRPr="003578AA">
          <w:rPr>
            <w:rStyle w:val="Hyperlink"/>
            <w:rFonts w:ascii="FrankRuehl" w:hAnsi="FrankRuehl" w:cs="FrankRuehl"/>
            <w:sz w:val="28"/>
            <w:szCs w:val="28"/>
            <w:rtl/>
          </w:rPr>
          <w:t>7(ג)</w:t>
        </w:r>
      </w:hyperlink>
      <w:r w:rsidRPr="00015FC8">
        <w:rPr>
          <w:rFonts w:ascii="FrankRuehl" w:hAnsi="FrankRuehl" w:cs="FrankRuehl"/>
          <w:sz w:val="28"/>
          <w:szCs w:val="28"/>
          <w:rtl/>
        </w:rPr>
        <w:t xml:space="preserve"> רישא ל</w:t>
      </w:r>
      <w:hyperlink r:id="rId13" w:history="1">
        <w:r w:rsidR="008E581B" w:rsidRPr="008E581B">
          <w:rPr>
            <w:rFonts w:ascii="FrankRuehl" w:hAnsi="FrankRuehl" w:cs="FrankRuehl"/>
            <w:color w:val="0000FF"/>
            <w:sz w:val="28"/>
            <w:szCs w:val="28"/>
            <w:u w:val="single"/>
            <w:rtl/>
          </w:rPr>
          <w:t>פקודת הסמים המסוכנים</w:t>
        </w:r>
      </w:hyperlink>
      <w:r w:rsidRPr="00015FC8">
        <w:rPr>
          <w:rFonts w:ascii="FrankRuehl" w:hAnsi="FrankRuehl" w:cs="FrankRuehl"/>
          <w:sz w:val="28"/>
          <w:szCs w:val="28"/>
          <w:rtl/>
        </w:rPr>
        <w:t xml:space="preserve"> [נוסח חדש], תשל"ג-1973 (להלן: </w:t>
      </w:r>
      <w:r w:rsidRPr="00015FC8">
        <w:rPr>
          <w:rFonts w:ascii="FrankRuehl" w:hAnsi="FrankRuehl" w:cs="Miriam"/>
          <w:b/>
          <w:sz w:val="28"/>
          <w:rtl/>
        </w:rPr>
        <w:t>פקודת הסמים</w:t>
      </w:r>
      <w:r w:rsidRPr="00015FC8">
        <w:rPr>
          <w:rFonts w:ascii="FrankRuehl" w:hAnsi="FrankRuehl" w:cs="FrankRuehl"/>
          <w:sz w:val="28"/>
          <w:szCs w:val="28"/>
          <w:rtl/>
        </w:rPr>
        <w:t xml:space="preserve">). ביום 19.8.18 החזיק הנאשם בתחתוניו 50 יחידות סם מסוכן מסוג </w:t>
      </w:r>
      <w:r w:rsidRPr="00015FC8">
        <w:rPr>
          <w:rFonts w:ascii="FrankRuehl" w:hAnsi="FrankRuehl" w:cs="FrankRuehl"/>
          <w:sz w:val="22"/>
          <w:szCs w:val="22"/>
        </w:rPr>
        <w:t>LSD</w:t>
      </w:r>
      <w:r w:rsidRPr="00015FC8">
        <w:rPr>
          <w:rFonts w:ascii="FrankRuehl" w:hAnsi="FrankRuehl" w:cs="FrankRuehl"/>
          <w:sz w:val="28"/>
          <w:szCs w:val="28"/>
          <w:rtl/>
        </w:rPr>
        <w:t>, זאת בעודו נתון במשמורת חוקית בבית סוהר רימונים. הנאשם הופנה לקבלת תסקיר מבחן וחוו</w:t>
      </w:r>
      <w:r>
        <w:rPr>
          <w:rFonts w:ascii="FrankRuehl" w:hAnsi="FrankRuehl" w:cs="FrankRuehl"/>
          <w:sz w:val="28"/>
          <w:szCs w:val="28"/>
          <w:rtl/>
        </w:rPr>
        <w:t>ת דעת הממונה על עבודות שירות.</w:t>
      </w:r>
    </w:p>
    <w:p w14:paraId="2925F521" w14:textId="77777777" w:rsidR="00432C4B" w:rsidRPr="00015FC8" w:rsidRDefault="00432C4B" w:rsidP="00432C4B">
      <w:pPr>
        <w:spacing w:line="360" w:lineRule="auto"/>
        <w:jc w:val="both"/>
        <w:rPr>
          <w:rFonts w:ascii="FrankRuehl" w:hAnsi="FrankRuehl" w:cs="FrankRuehl"/>
          <w:sz w:val="28"/>
          <w:szCs w:val="28"/>
          <w:rtl/>
        </w:rPr>
      </w:pPr>
    </w:p>
    <w:p w14:paraId="3039AF88" w14:textId="77777777" w:rsidR="00432C4B" w:rsidRPr="00015FC8" w:rsidRDefault="00432C4B" w:rsidP="00432C4B">
      <w:pPr>
        <w:spacing w:line="360" w:lineRule="auto"/>
        <w:jc w:val="both"/>
        <w:rPr>
          <w:rFonts w:ascii="FrankRuehl" w:eastAsia="Calibri" w:hAnsi="FrankRuehl" w:cs="Miriam"/>
          <w:sz w:val="28"/>
          <w:rtl/>
        </w:rPr>
      </w:pPr>
      <w:bookmarkStart w:id="7" w:name="ABSTRACT_END"/>
      <w:bookmarkEnd w:id="7"/>
      <w:r w:rsidRPr="00015FC8">
        <w:rPr>
          <w:rFonts w:ascii="FrankRuehl" w:eastAsia="Calibri" w:hAnsi="FrankRuehl" w:cs="Miriam"/>
          <w:sz w:val="28"/>
          <w:rtl/>
        </w:rPr>
        <w:t>תסקירי מבחן</w:t>
      </w:r>
    </w:p>
    <w:p w14:paraId="300FC541" w14:textId="77777777" w:rsidR="00432C4B" w:rsidRPr="00015FC8" w:rsidRDefault="00432C4B" w:rsidP="00432C4B">
      <w:pPr>
        <w:spacing w:line="360" w:lineRule="auto"/>
        <w:jc w:val="both"/>
        <w:rPr>
          <w:rFonts w:ascii="FrankRuehl" w:eastAsia="Calibri" w:hAnsi="FrankRuehl" w:cs="Miriam"/>
          <w:sz w:val="28"/>
          <w:rtl/>
        </w:rPr>
      </w:pPr>
    </w:p>
    <w:p w14:paraId="680F2813" w14:textId="77777777" w:rsidR="00432C4B" w:rsidRPr="00015FC8" w:rsidRDefault="00432C4B" w:rsidP="00432C4B">
      <w:pPr>
        <w:spacing w:line="360" w:lineRule="auto"/>
        <w:jc w:val="both"/>
        <w:rPr>
          <w:rFonts w:ascii="FrankRuehl" w:eastAsia="Calibri" w:hAnsi="FrankRuehl" w:cs="FrankRuehl"/>
          <w:sz w:val="28"/>
          <w:szCs w:val="28"/>
          <w:rtl/>
        </w:rPr>
      </w:pPr>
      <w:r w:rsidRPr="00015FC8">
        <w:rPr>
          <w:rFonts w:ascii="FrankRuehl" w:eastAsia="Calibri" w:hAnsi="FrankRuehl" w:cs="Miriam"/>
          <w:sz w:val="28"/>
          <w:rtl/>
        </w:rPr>
        <w:t>1.</w:t>
      </w:r>
      <w:r w:rsidRPr="00015FC8">
        <w:rPr>
          <w:rFonts w:ascii="FrankRuehl" w:eastAsia="Calibri" w:hAnsi="FrankRuehl" w:cs="Miriam"/>
          <w:sz w:val="28"/>
          <w:rtl/>
        </w:rPr>
        <w:tab/>
      </w:r>
      <w:r w:rsidRPr="00015FC8">
        <w:rPr>
          <w:rFonts w:ascii="FrankRuehl" w:eastAsia="Calibri" w:hAnsi="FrankRuehl" w:cs="FrankRuehl" w:hint="cs"/>
          <w:sz w:val="28"/>
          <w:szCs w:val="28"/>
          <w:rtl/>
        </w:rPr>
        <w:t xml:space="preserve">בתסקיר מיום 8.3.21 נסקרו קורותיו של הנאשם, כבן 29, סיים 12 שנות לימוד ללא תעודת בגרות. מגיל צעיר ניהל אורח חיים עברייני וריצה מאסרים ממושכים. לאחר שחרורו ממאסרו האחרון בחודש אוגוסט 2019 עבד כטבח ולאחר מכן כמאבטח. הוא סיפר כי במהלך עבודתו הותקף מאחור בסכין. לטענתו, תחילה רצה לנקום בתוקפיו, אך בעקבות טיפול שעבר בבית הסוהר, השכיל להימנע מתגובה אלימה. לאחר תקופת אבטלה החל לעסוק בשיפוצים, והוא מעוניין להקים עסק עצמאי ולעבוד במכירות. עוד סיפר הנאשם כי התארס וכי הוא מעוניין </w:t>
      </w:r>
      <w:r w:rsidRPr="00015FC8">
        <w:rPr>
          <w:rFonts w:ascii="FrankRuehl" w:eastAsia="Calibri" w:hAnsi="FrankRuehl" w:cs="FrankRuehl" w:hint="cs"/>
          <w:sz w:val="28"/>
          <w:szCs w:val="28"/>
          <w:rtl/>
        </w:rPr>
        <w:lastRenderedPageBreak/>
        <w:t>להתחתן בתום המשפט ולאחר שיתייצב מבחינה תעסוקתית. לטענתו, הוא מצר על הצער והבושה שהסב להוריו. הנאשם סיפר כי החל להשתמש בסם מסוג קנאביס בהיותו כבן 17, בהמשך החל להשתמש בסמים סינטטיים במסגרת חברתית, ומגיל 24 הוא מעשן סמים מסוג קנאביס עם הפוגות, כשלאחרונה הצליח להימנע מכך. בדיקות שתן שמסר נמצאו נקיות משרידי סם. קצינת המבחן המליצה לנאשם להשתתף בטיפול בתחום ההתמכרויות, אך הוא התקשה להכיר בדפוסיו ההתמכרותיים, וחשש להתקרב לחברת מכורים ולתת בהם אמון. משכך הומלץ לו לפנות לאבחון.</w:t>
      </w:r>
    </w:p>
    <w:p w14:paraId="28815C76" w14:textId="77777777" w:rsidR="00432C4B" w:rsidRPr="00015FC8" w:rsidRDefault="00432C4B" w:rsidP="00432C4B">
      <w:pPr>
        <w:spacing w:line="360" w:lineRule="auto"/>
        <w:ind w:firstLine="720"/>
        <w:jc w:val="both"/>
        <w:rPr>
          <w:rFonts w:ascii="FrankRuehl" w:eastAsia="Calibri" w:hAnsi="FrankRuehl" w:cs="FrankRuehl"/>
          <w:sz w:val="28"/>
          <w:szCs w:val="28"/>
          <w:rtl/>
        </w:rPr>
      </w:pPr>
      <w:r w:rsidRPr="00015FC8">
        <w:rPr>
          <w:rFonts w:ascii="FrankRuehl" w:eastAsia="Calibri" w:hAnsi="FrankRuehl" w:cs="FrankRuehl" w:hint="cs"/>
          <w:sz w:val="28"/>
          <w:szCs w:val="28"/>
          <w:rtl/>
        </w:rPr>
        <w:t xml:space="preserve"> </w:t>
      </w:r>
    </w:p>
    <w:p w14:paraId="05C4E281" w14:textId="77777777" w:rsidR="00432C4B" w:rsidRPr="00015FC8" w:rsidRDefault="00432C4B" w:rsidP="00432C4B">
      <w:pPr>
        <w:spacing w:line="360" w:lineRule="auto"/>
        <w:ind w:firstLine="720"/>
        <w:jc w:val="both"/>
        <w:rPr>
          <w:rFonts w:ascii="FrankRuehl" w:eastAsia="Calibri" w:hAnsi="FrankRuehl" w:cs="FrankRuehl"/>
          <w:sz w:val="28"/>
          <w:szCs w:val="28"/>
          <w:rtl/>
        </w:rPr>
      </w:pPr>
      <w:r w:rsidRPr="00015FC8">
        <w:rPr>
          <w:rFonts w:ascii="FrankRuehl" w:eastAsia="Calibri" w:hAnsi="FrankRuehl" w:cs="FrankRuehl" w:hint="cs"/>
          <w:sz w:val="28"/>
          <w:szCs w:val="28"/>
          <w:rtl/>
        </w:rPr>
        <w:t>לחובתו של הנאשם חמש הרשעות קודמות בעבירות רכוש ואלימות, בגינן נדון למאסרים בפועל המצטבר</w:t>
      </w:r>
      <w:r>
        <w:rPr>
          <w:rFonts w:ascii="FrankRuehl" w:eastAsia="Calibri" w:hAnsi="FrankRuehl" w:cs="FrankRuehl" w:hint="cs"/>
          <w:sz w:val="28"/>
          <w:szCs w:val="28"/>
          <w:rtl/>
        </w:rPr>
        <w:t>ים לכדי כשש שנים</w:t>
      </w:r>
      <w:r w:rsidRPr="00015FC8">
        <w:rPr>
          <w:rFonts w:ascii="FrankRuehl" w:eastAsia="Calibri" w:hAnsi="FrankRuehl" w:cs="FrankRuehl" w:hint="cs"/>
          <w:sz w:val="28"/>
          <w:szCs w:val="28"/>
          <w:rtl/>
        </w:rPr>
        <w:t>. אשר לנסיבות העבירה דנן, הנאשם לא פירט כמעט דבר עקב חששו, לדבריו, כי גורמים עברייניים יתנכלו לו. הוא הביע חרטה אך נראה שחש כי לא הייתה בידיו ברירה אמיתית, והטיל אשמה על גורמים אחרים. לאחר ביצוע העבירה הועבר לאגף בו שולב בקבוצה טיפולית לצורך הימנעות משימוש בסם. קצינת המבחן התרשמה כי הליכים משפטיים קודמים לא היוו גורם מרתיע ומציב גבול, כי התקשה לשמור על יציבות טיפולית ותעסוקתית, וכי קיים סיכו</w:t>
      </w:r>
      <w:r>
        <w:rPr>
          <w:rFonts w:ascii="FrankRuehl" w:eastAsia="Calibri" w:hAnsi="FrankRuehl" w:cs="FrankRuehl" w:hint="cs"/>
          <w:sz w:val="28"/>
          <w:szCs w:val="28"/>
          <w:rtl/>
        </w:rPr>
        <w:t>ן</w:t>
      </w:r>
      <w:r w:rsidRPr="00015FC8">
        <w:rPr>
          <w:rFonts w:ascii="FrankRuehl" w:eastAsia="Calibri" w:hAnsi="FrankRuehl" w:cs="FrankRuehl" w:hint="cs"/>
          <w:sz w:val="28"/>
          <w:szCs w:val="28"/>
          <w:rtl/>
        </w:rPr>
        <w:t xml:space="preserve"> להישנות עבירות. לאור רצון שהביע הנאשם לערוך שינוי בדפוסי התנהגותו, הומלץ על דחיית הדיון. </w:t>
      </w:r>
    </w:p>
    <w:p w14:paraId="6D3214D9" w14:textId="77777777" w:rsidR="00432C4B" w:rsidRPr="00015FC8" w:rsidRDefault="00432C4B" w:rsidP="00432C4B">
      <w:pPr>
        <w:spacing w:line="360" w:lineRule="auto"/>
        <w:ind w:firstLine="720"/>
        <w:jc w:val="both"/>
        <w:rPr>
          <w:rFonts w:ascii="FrankRuehl" w:eastAsia="Calibri" w:hAnsi="FrankRuehl" w:cs="FrankRuehl"/>
          <w:sz w:val="28"/>
          <w:szCs w:val="28"/>
          <w:rtl/>
        </w:rPr>
      </w:pPr>
    </w:p>
    <w:p w14:paraId="3556CC8F" w14:textId="77777777" w:rsidR="00432C4B" w:rsidRPr="00015FC8" w:rsidRDefault="00432C4B" w:rsidP="00432C4B">
      <w:pPr>
        <w:spacing w:line="360" w:lineRule="auto"/>
        <w:ind w:firstLine="720"/>
        <w:jc w:val="both"/>
        <w:rPr>
          <w:rFonts w:ascii="FrankRuehl" w:eastAsia="Calibri" w:hAnsi="FrankRuehl" w:cs="FrankRuehl"/>
          <w:sz w:val="28"/>
          <w:szCs w:val="28"/>
          <w:rtl/>
        </w:rPr>
      </w:pPr>
      <w:r w:rsidRPr="00015FC8">
        <w:rPr>
          <w:rFonts w:ascii="FrankRuehl" w:eastAsia="Calibri" w:hAnsi="FrankRuehl" w:cs="FrankRuehl" w:hint="cs"/>
          <w:sz w:val="28"/>
          <w:szCs w:val="28"/>
          <w:rtl/>
        </w:rPr>
        <w:t xml:space="preserve">מתסקיר מיום 13.6.21 עלה כי הנאשם הגיע אמנם לפגישת אבחון, אך מסר כי אינו מעוניין בטיפול קבוצתי או במסגרת של מרכז יום, בטענה כי הוא מעדיף להשקיע את מרצו וזמנו בעבודה. הוא זומן לפגישות נוספות אליהן לא טרח להגיע, וכשהואיל בטובו להתייצב, חזר על טענתו כי הוא מתקשה לתת אמון בגורמי הטיפול ומטעם זה נמנע מלשתף פעולה. שירות המבחן המליץ להסתפק במאסר שירוצה בעבודות שירות, מחשש כי השמתו בחברה עבריינית תביא לנסיגה במצבו.  </w:t>
      </w:r>
    </w:p>
    <w:p w14:paraId="5DF24A03" w14:textId="77777777" w:rsidR="00432C4B" w:rsidRPr="00015FC8" w:rsidRDefault="00432C4B" w:rsidP="00432C4B">
      <w:pPr>
        <w:spacing w:line="360" w:lineRule="auto"/>
        <w:ind w:firstLine="720"/>
        <w:jc w:val="both"/>
        <w:rPr>
          <w:rFonts w:ascii="FrankRuehl" w:eastAsia="Calibri" w:hAnsi="FrankRuehl" w:cs="FrankRuehl"/>
          <w:sz w:val="28"/>
          <w:szCs w:val="28"/>
          <w:rtl/>
        </w:rPr>
      </w:pPr>
    </w:p>
    <w:p w14:paraId="330E3A8B" w14:textId="77777777" w:rsidR="00432C4B" w:rsidRPr="00015FC8" w:rsidRDefault="00432C4B" w:rsidP="00432C4B">
      <w:pPr>
        <w:spacing w:line="360" w:lineRule="auto"/>
        <w:ind w:firstLine="720"/>
        <w:jc w:val="both"/>
        <w:rPr>
          <w:rFonts w:ascii="FrankRuehl" w:eastAsia="Calibri" w:hAnsi="FrankRuehl" w:cs="FrankRuehl"/>
          <w:sz w:val="28"/>
          <w:szCs w:val="28"/>
          <w:rtl/>
        </w:rPr>
      </w:pPr>
      <w:r w:rsidRPr="00015FC8">
        <w:rPr>
          <w:rFonts w:ascii="FrankRuehl" w:eastAsia="Calibri" w:hAnsi="FrankRuehl" w:cs="FrankRuehl" w:hint="cs"/>
          <w:sz w:val="28"/>
          <w:szCs w:val="28"/>
          <w:rtl/>
        </w:rPr>
        <w:t>לאחר שנשמעו טיעוני הצדדים לעונש ביום 2.11.21, ולבקשת הנאשם שהתחייב לשתף פעולה בתוכנית טיפולית, מצאתי להפנות</w:t>
      </w:r>
      <w:r>
        <w:rPr>
          <w:rFonts w:ascii="FrankRuehl" w:eastAsia="Calibri" w:hAnsi="FrankRuehl" w:cs="FrankRuehl" w:hint="cs"/>
          <w:sz w:val="28"/>
          <w:szCs w:val="28"/>
          <w:rtl/>
        </w:rPr>
        <w:t>ו</w:t>
      </w:r>
      <w:r w:rsidRPr="00015FC8">
        <w:rPr>
          <w:rFonts w:ascii="FrankRuehl" w:eastAsia="Calibri" w:hAnsi="FrankRuehl" w:cs="FrankRuehl" w:hint="cs"/>
          <w:sz w:val="28"/>
          <w:szCs w:val="28"/>
          <w:rtl/>
        </w:rPr>
        <w:t xml:space="preserve"> לשירות המבחן פעם נוספת. בתסקיר מיום 8.2.22 עלה כי חרף התחייבותו של הנאשם, הוא ניתק מגע עם שירות המבחן. רק בחודש ינואר 2022 יצר קשר והגיע לפגישה, סיפר כי הוא מתגורר עם משפחתו ועובד כנהג הסעות מזה כחצי שנה, טען כי הוא מעוניין לערוך שינוי בחייו ולהשתלב בטיפול. התרשמותם של גורמי הטיפול הייתה כי הנאשם ביקש להשתקם אך בשל חששו ממאסר. הוא התייצב פעם אחת בלבד לבדיקת שתן, אשר נמצאה נקיה משרידי סם. מאוחר יותר נעצר בגין חשד לביצוע עבירת פציעה כשהעבריין מזוין. קצינת המבחן העריכה כי הנאשם מעוניין לערוך שינוי בחייו, אך הוא דל כוחות, אינו מצליח לגייס את עצמו לשינוי משמעותי, וקיים סיכון גבוה להישנות עבירות. משכך נמנעה מהמלצה שיקומית, והמליצה לגזור עליו מאסר בפועל ולהפנותו לטיפול בין כותלי הכלא.</w:t>
      </w:r>
    </w:p>
    <w:p w14:paraId="43E8BE16" w14:textId="77777777" w:rsidR="00432C4B" w:rsidRPr="00015FC8" w:rsidRDefault="00432C4B" w:rsidP="00432C4B">
      <w:pPr>
        <w:spacing w:line="360" w:lineRule="auto"/>
        <w:ind w:firstLine="720"/>
        <w:jc w:val="both"/>
        <w:rPr>
          <w:rFonts w:ascii="FrankRuehl" w:eastAsia="Calibri" w:hAnsi="FrankRuehl" w:cs="FrankRuehl"/>
          <w:sz w:val="28"/>
          <w:szCs w:val="28"/>
          <w:rtl/>
        </w:rPr>
      </w:pPr>
    </w:p>
    <w:p w14:paraId="52D138CB" w14:textId="77777777" w:rsidR="00432C4B" w:rsidRPr="00015FC8" w:rsidRDefault="00432C4B" w:rsidP="00432C4B">
      <w:pPr>
        <w:spacing w:line="360" w:lineRule="auto"/>
        <w:jc w:val="both"/>
        <w:rPr>
          <w:rFonts w:ascii="Miriam" w:hAnsi="Miriam" w:cs="Miriam"/>
          <w:b/>
          <w:rtl/>
        </w:rPr>
      </w:pPr>
      <w:r w:rsidRPr="00015FC8">
        <w:rPr>
          <w:rFonts w:ascii="Miriam" w:hAnsi="Miriam" w:cs="Miriam"/>
          <w:b/>
          <w:rtl/>
        </w:rPr>
        <w:t>טיעוני הצדדים לעונש</w:t>
      </w:r>
    </w:p>
    <w:p w14:paraId="3F7CA5AD" w14:textId="77777777" w:rsidR="00432C4B" w:rsidRPr="00015FC8" w:rsidRDefault="00432C4B" w:rsidP="00432C4B">
      <w:pPr>
        <w:spacing w:line="360" w:lineRule="auto"/>
        <w:jc w:val="both"/>
        <w:rPr>
          <w:rFonts w:ascii="FrankRuehl" w:hAnsi="FrankRuehl" w:cs="FrankRuehl"/>
          <w:sz w:val="28"/>
          <w:szCs w:val="28"/>
          <w:rtl/>
        </w:rPr>
      </w:pPr>
    </w:p>
    <w:p w14:paraId="2BECC733" w14:textId="77777777" w:rsidR="00432C4B" w:rsidRPr="00015FC8" w:rsidRDefault="00432C4B" w:rsidP="00432C4B">
      <w:pPr>
        <w:spacing w:line="360" w:lineRule="auto"/>
        <w:jc w:val="both"/>
        <w:rPr>
          <w:rFonts w:ascii="FrankRuehl" w:hAnsi="FrankRuehl" w:cs="FrankRuehl"/>
          <w:sz w:val="28"/>
          <w:szCs w:val="28"/>
          <w:rtl/>
        </w:rPr>
      </w:pPr>
      <w:r w:rsidRPr="00015FC8">
        <w:rPr>
          <w:rFonts w:ascii="FrankRuehl" w:hAnsi="FrankRuehl" w:cs="FrankRuehl"/>
          <w:sz w:val="28"/>
          <w:szCs w:val="28"/>
          <w:rtl/>
        </w:rPr>
        <w:t>2.</w:t>
      </w:r>
      <w:r w:rsidRPr="00015FC8">
        <w:rPr>
          <w:rFonts w:ascii="FrankRuehl" w:hAnsi="FrankRuehl" w:cs="FrankRuehl"/>
          <w:sz w:val="28"/>
          <w:szCs w:val="28"/>
          <w:rtl/>
        </w:rPr>
        <w:tab/>
        <w:t xml:space="preserve">כאמור, טיעוני הצדדים נשמעו בשתי פעימות. </w:t>
      </w:r>
      <w:r w:rsidRPr="00015FC8">
        <w:rPr>
          <w:rFonts w:ascii="Miriam" w:hAnsi="Miriam" w:cs="Miriam"/>
          <w:b/>
          <w:rtl/>
        </w:rPr>
        <w:t xml:space="preserve">ב"כ המאשימה </w:t>
      </w:r>
      <w:r w:rsidRPr="00015FC8">
        <w:rPr>
          <w:rFonts w:ascii="FrankRuehl" w:hAnsi="FrankRuehl" w:cs="FrankRuehl"/>
          <w:sz w:val="28"/>
          <w:szCs w:val="28"/>
          <w:rtl/>
        </w:rPr>
        <w:t xml:space="preserve">עמד על הערכים המוגנים שנפגעו כתוצאה ממעשיו של הנאשם, וביקש לקבוע מתחם ענישה בין 24-12 חודשי מאסר בפועל. אשר לקביעת העונש בתוך המתחם, הוגש גיליון הרישום הפלילי (עת/1) ממנו עולה כי לחובת הנאשם 5 הרשעות קודמות בעבירות רכוש ואלימות, בגינן נדון למאסרים בפועל. הנאשם הודה אמנם במעשיו, אך לא שיתף פעולה באופן מלא עם שירות המבחן. בצד הבעת חרטה, הטיל אחריות על גורמים אחרים. משכך עתר לגזור את עונשו באמצע המתחם, לצד מאסר מותנה, קנס והתחייבות. בטיעון משלים מיום 8.3.22 טען כי רצונו של הנאשם להשתקם הוא מן הפה ולחוץ בלבד, כשבינתיים נעצר והוגש כנגדו כתב אישום. לפיכך חזר על עתירת המאשימה לעונש.  </w:t>
      </w:r>
    </w:p>
    <w:p w14:paraId="35A2B1D7" w14:textId="77777777" w:rsidR="00432C4B" w:rsidRPr="00015FC8" w:rsidRDefault="00432C4B" w:rsidP="00432C4B">
      <w:pPr>
        <w:spacing w:line="360" w:lineRule="auto"/>
        <w:jc w:val="both"/>
        <w:rPr>
          <w:rFonts w:ascii="FrankRuehl" w:hAnsi="FrankRuehl" w:cs="FrankRuehl"/>
          <w:sz w:val="28"/>
          <w:szCs w:val="28"/>
          <w:rtl/>
        </w:rPr>
      </w:pPr>
      <w:r w:rsidRPr="00015FC8">
        <w:rPr>
          <w:rFonts w:ascii="FrankRuehl" w:hAnsi="FrankRuehl" w:cs="FrankRuehl"/>
          <w:sz w:val="28"/>
          <w:szCs w:val="28"/>
          <w:rtl/>
        </w:rPr>
        <w:tab/>
        <w:t xml:space="preserve"> </w:t>
      </w:r>
    </w:p>
    <w:p w14:paraId="3D8D556E" w14:textId="77777777" w:rsidR="00432C4B" w:rsidRPr="00015FC8" w:rsidRDefault="00432C4B" w:rsidP="00432C4B">
      <w:pPr>
        <w:spacing w:line="360" w:lineRule="auto"/>
        <w:jc w:val="both"/>
        <w:rPr>
          <w:rFonts w:ascii="FrankRuehl" w:hAnsi="FrankRuehl" w:cs="FrankRuehl"/>
          <w:sz w:val="28"/>
          <w:szCs w:val="28"/>
          <w:rtl/>
        </w:rPr>
      </w:pPr>
      <w:r w:rsidRPr="00015FC8">
        <w:rPr>
          <w:rFonts w:ascii="FrankRuehl" w:hAnsi="FrankRuehl" w:cs="FrankRuehl"/>
          <w:sz w:val="28"/>
          <w:szCs w:val="28"/>
          <w:rtl/>
        </w:rPr>
        <w:tab/>
      </w:r>
      <w:r w:rsidRPr="00015FC8">
        <w:rPr>
          <w:rFonts w:ascii="FrankRuehl" w:hAnsi="FrankRuehl" w:cs="Miriam"/>
          <w:b/>
          <w:sz w:val="28"/>
          <w:rtl/>
        </w:rPr>
        <w:t>ב"כ הנאשם</w:t>
      </w:r>
      <w:r w:rsidRPr="00015FC8">
        <w:rPr>
          <w:rFonts w:ascii="FrankRuehl" w:hAnsi="FrankRuehl" w:cs="FrankRuehl"/>
          <w:sz w:val="28"/>
          <w:szCs w:val="28"/>
          <w:rtl/>
        </w:rPr>
        <w:t xml:space="preserve"> ביקש לקבוע מתחם ענישה בין מספר חודשי מאסר בעבודות שירות ועד 10 חודשי מאסר בפועל. </w:t>
      </w:r>
      <w:r w:rsidRPr="00015FC8">
        <w:rPr>
          <w:rFonts w:ascii="FrankRuehl" w:hAnsi="FrankRuehl" w:cs="FrankRuehl"/>
          <w:b/>
          <w:sz w:val="28"/>
          <w:szCs w:val="28"/>
          <w:rtl/>
        </w:rPr>
        <w:t xml:space="preserve">הוא עמד על כך שזו הרשעתו </w:t>
      </w:r>
      <w:r w:rsidRPr="00015FC8">
        <w:rPr>
          <w:rFonts w:ascii="FrankRuehl" w:hAnsi="FrankRuehl" w:cs="FrankRuehl"/>
          <w:sz w:val="28"/>
          <w:szCs w:val="28"/>
          <w:rtl/>
        </w:rPr>
        <w:t xml:space="preserve">היחידה של הנאשם בתחום הסמים, בה הודה בהזדמנות הראשונה, קיבל אחריות והביע חרטה.  בדיון הראשון ביקש לתת משקל לשיקום שערך הנאשם בחייו, היותו משוחרר מזה כשנתיים, נקי מסמים, עובד כנהג הסעות, זאת לאחר עשור מתוכו 'בילה' כמעט 6 שנים בין כותלי בית הסוהר. הנאשם בחר להתמודד, החליט לטפל בעצמו, הצליח להישמר נקי מסמים, השתדל לשתף פעולה עם שירות המבחן, התארס ועושה כל מאמץ כדי להתפרנס בכבוד. אשר על כן ביקש להסתפק בעונש מאסר שירוצה בעבודות שירות, באופן שיאפשר לנאשם להמשיך בשיקום בו החל. בטיעון משלים מיום 8.3.22, אשר נערך כשהנאשם עצור (בתיק אחר), ביקש ב"כ הנאשם לא להתעלם מהניסיון שעשה הנאשם לשנות את אורחות חייו. לדבריו, דובר בניסיון שיקום כן ואמיתי, והנאשם החזיק מעמד תקופה משמעותית. הוא ביקש להותיר בידו תקווה ולגזור את עונשו לחודשי מאסר בודדים.  </w:t>
      </w:r>
      <w:r w:rsidRPr="00015FC8">
        <w:rPr>
          <w:rFonts w:ascii="Miriam" w:hAnsi="Miriam" w:cs="Miriam"/>
          <w:b/>
          <w:rtl/>
        </w:rPr>
        <w:t xml:space="preserve">הנאשם </w:t>
      </w:r>
      <w:r w:rsidRPr="00015FC8">
        <w:rPr>
          <w:rFonts w:ascii="FrankRuehl" w:hAnsi="FrankRuehl" w:cs="FrankRuehl"/>
          <w:sz w:val="28"/>
          <w:szCs w:val="28"/>
          <w:rtl/>
        </w:rPr>
        <w:t xml:space="preserve">סיפר כי "עשיתי הכל כדי לא לחזור לבית סוהר", וכי הוא סומך על בית המשפט. </w:t>
      </w:r>
    </w:p>
    <w:p w14:paraId="72132C02" w14:textId="77777777" w:rsidR="00432C4B" w:rsidRPr="00015FC8" w:rsidRDefault="00432C4B" w:rsidP="00432C4B">
      <w:pPr>
        <w:spacing w:line="360" w:lineRule="auto"/>
        <w:jc w:val="both"/>
        <w:rPr>
          <w:rFonts w:ascii="FrankRuehl" w:hAnsi="FrankRuehl" w:cs="FrankRuehl"/>
          <w:sz w:val="28"/>
          <w:szCs w:val="28"/>
          <w:rtl/>
        </w:rPr>
      </w:pPr>
    </w:p>
    <w:p w14:paraId="648C3AC4" w14:textId="77777777" w:rsidR="00432C4B" w:rsidRPr="00015FC8" w:rsidRDefault="00432C4B" w:rsidP="00432C4B">
      <w:pPr>
        <w:spacing w:line="360" w:lineRule="auto"/>
        <w:jc w:val="both"/>
        <w:rPr>
          <w:rFonts w:ascii="Miriam" w:hAnsi="Miriam" w:cs="Miriam"/>
          <w:b/>
          <w:rtl/>
        </w:rPr>
      </w:pPr>
      <w:r w:rsidRPr="00015FC8">
        <w:rPr>
          <w:rFonts w:ascii="Miriam" w:hAnsi="Miriam" w:cs="Miriam"/>
          <w:b/>
          <w:rtl/>
        </w:rPr>
        <w:t>דיון</w:t>
      </w:r>
    </w:p>
    <w:p w14:paraId="72B75CB9" w14:textId="77777777" w:rsidR="00432C4B" w:rsidRPr="00015FC8" w:rsidRDefault="00432C4B" w:rsidP="00432C4B">
      <w:pPr>
        <w:spacing w:line="360" w:lineRule="auto"/>
        <w:jc w:val="both"/>
        <w:rPr>
          <w:rFonts w:ascii="Miriam" w:hAnsi="Miriam" w:cs="Miriam"/>
          <w:b/>
          <w:rtl/>
        </w:rPr>
      </w:pPr>
      <w:r w:rsidRPr="00015FC8">
        <w:rPr>
          <w:rFonts w:ascii="Miriam" w:hAnsi="Miriam" w:cs="Miriam"/>
          <w:b/>
          <w:rtl/>
        </w:rPr>
        <w:tab/>
      </w:r>
    </w:p>
    <w:p w14:paraId="7F6D1825" w14:textId="77777777" w:rsidR="00432C4B" w:rsidRPr="00015FC8" w:rsidRDefault="00432C4B" w:rsidP="00432C4B">
      <w:pPr>
        <w:spacing w:line="360" w:lineRule="auto"/>
        <w:jc w:val="both"/>
        <w:rPr>
          <w:rFonts w:ascii="Miriam" w:hAnsi="Miriam" w:cs="Miriam"/>
          <w:b/>
          <w:rtl/>
        </w:rPr>
      </w:pPr>
      <w:r w:rsidRPr="00015FC8">
        <w:rPr>
          <w:rFonts w:ascii="Miriam" w:hAnsi="Miriam" w:cs="Miriam"/>
          <w:b/>
          <w:rtl/>
        </w:rPr>
        <w:t>קביעת מתחם העונש ההולם</w:t>
      </w:r>
    </w:p>
    <w:p w14:paraId="174435DC" w14:textId="77777777" w:rsidR="00432C4B" w:rsidRPr="00015FC8" w:rsidRDefault="00432C4B" w:rsidP="00432C4B">
      <w:pPr>
        <w:spacing w:line="360" w:lineRule="auto"/>
        <w:jc w:val="both"/>
        <w:rPr>
          <w:rFonts w:ascii="FrankRuehl" w:hAnsi="FrankRuehl" w:cs="Miriam"/>
          <w:b/>
          <w:sz w:val="28"/>
          <w:rtl/>
        </w:rPr>
      </w:pPr>
    </w:p>
    <w:p w14:paraId="2ED2FA7C" w14:textId="77777777" w:rsidR="00432C4B" w:rsidRPr="00015FC8" w:rsidRDefault="00432C4B" w:rsidP="00432C4B">
      <w:pPr>
        <w:spacing w:line="360" w:lineRule="auto"/>
        <w:jc w:val="both"/>
        <w:rPr>
          <w:rFonts w:ascii="FrankRuehl" w:hAnsi="FrankRuehl" w:cs="FrankRuehl"/>
          <w:sz w:val="28"/>
          <w:szCs w:val="28"/>
          <w:rtl/>
        </w:rPr>
      </w:pPr>
      <w:r w:rsidRPr="00015FC8">
        <w:rPr>
          <w:rFonts w:ascii="FrankRuehl" w:eastAsia="Calibri" w:hAnsi="FrankRuehl" w:cs="FrankRuehl"/>
          <w:sz w:val="28"/>
          <w:szCs w:val="28"/>
          <w:rtl/>
        </w:rPr>
        <w:t>3.</w:t>
      </w:r>
      <w:r w:rsidRPr="00015FC8">
        <w:rPr>
          <w:rFonts w:ascii="FrankRuehl" w:eastAsia="Calibri" w:hAnsi="FrankRuehl" w:cs="FrankRuehl"/>
          <w:sz w:val="28"/>
          <w:szCs w:val="28"/>
          <w:rtl/>
        </w:rPr>
        <w:tab/>
        <w:t>פעם אחר פעם עמדו בתי המשפט על הנזק העצום הנגרם לחברה כתוצאה מנגע הסמים, עבירות הפוגעות בבריאות הציבור, בשלומו, בביטחונו, בסדר הציבורי, ומהוות אחד ממחוללי הפשיעה העיקריים וזרז לביצוע עבירות נוספות, בעיקר רכוש ואלימות. "</w:t>
      </w:r>
      <w:r w:rsidRPr="00015FC8">
        <w:rPr>
          <w:rFonts w:ascii="FrankRuehl" w:eastAsia="Calibri" w:hAnsi="FrankRuehl" w:cs="Miriam"/>
          <w:sz w:val="28"/>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015FC8">
        <w:rPr>
          <w:rFonts w:ascii="FrankRuehl" w:eastAsia="Calibri" w:hAnsi="FrankRuehl" w:cs="FrankRuehl"/>
          <w:sz w:val="28"/>
          <w:szCs w:val="28"/>
          <w:rtl/>
        </w:rPr>
        <w:t xml:space="preserve">" – </w:t>
      </w:r>
      <w:hyperlink r:id="rId14" w:history="1">
        <w:r w:rsidR="008E581B" w:rsidRPr="008E581B">
          <w:rPr>
            <w:rFonts w:ascii="FrankRuehl" w:eastAsia="Calibri" w:hAnsi="FrankRuehl" w:cs="FrankRuehl"/>
            <w:color w:val="0000FF"/>
            <w:sz w:val="28"/>
            <w:szCs w:val="28"/>
            <w:u w:val="single"/>
            <w:rtl/>
          </w:rPr>
          <w:t>רע"פ 6869/17</w:t>
        </w:r>
      </w:hyperlink>
      <w:r w:rsidRPr="00015FC8">
        <w:rPr>
          <w:rFonts w:ascii="FrankRuehl" w:eastAsia="Calibri" w:hAnsi="FrankRuehl" w:cs="FrankRuehl"/>
          <w:sz w:val="28"/>
          <w:szCs w:val="28"/>
          <w:rtl/>
        </w:rPr>
        <w:t xml:space="preserve"> </w:t>
      </w:r>
      <w:r w:rsidRPr="00015FC8">
        <w:rPr>
          <w:rFonts w:ascii="FrankRuehl" w:eastAsia="Calibri" w:hAnsi="FrankRuehl" w:cs="Miriam"/>
          <w:sz w:val="28"/>
          <w:rtl/>
        </w:rPr>
        <w:t>יבגני פילברג נ' מדינת ישראל</w:t>
      </w:r>
      <w:r w:rsidRPr="00015FC8">
        <w:rPr>
          <w:rFonts w:ascii="FrankRuehl" w:eastAsia="Calibri" w:hAnsi="FrankRuehl" w:cs="FrankRuehl"/>
          <w:sz w:val="28"/>
          <w:szCs w:val="28"/>
          <w:rtl/>
        </w:rPr>
        <w:t xml:space="preserve"> (11.9.17). החזקת סמים בין כותלי בית הסוהר טומנת בחובה פגיעה בניהולו התקין של בית הסוהר, ומגבירה פשיעה ואלימות בין כתליו. </w:t>
      </w:r>
      <w:r w:rsidRPr="00015FC8">
        <w:rPr>
          <w:rFonts w:ascii="FrankRuehl" w:hAnsi="FrankRuehl" w:cs="FrankRuehl"/>
          <w:sz w:val="28"/>
          <w:szCs w:val="28"/>
          <w:rtl/>
        </w:rPr>
        <w:t xml:space="preserve">אמנם, הסם בו החזיק הנאשם – </w:t>
      </w:r>
      <w:r w:rsidRPr="00015FC8">
        <w:rPr>
          <w:rFonts w:ascii="FrankRuehl" w:hAnsi="FrankRuehl" w:cs="FrankRuehl"/>
          <w:sz w:val="22"/>
          <w:szCs w:val="22"/>
        </w:rPr>
        <w:t>LSD</w:t>
      </w:r>
      <w:r w:rsidRPr="00015FC8">
        <w:rPr>
          <w:rFonts w:ascii="FrankRuehl" w:hAnsi="FrankRuehl" w:cs="FrankRuehl"/>
          <w:sz w:val="28"/>
          <w:szCs w:val="28"/>
          <w:rtl/>
        </w:rPr>
        <w:t xml:space="preserve">, אינו מסוג הסמים הקשים. מנגד, מטרת ההחזקה – שלא לצריכה עצמית, כמות הסם – 50 טבליות, העולה פי 17 על </w:t>
      </w:r>
      <w:r>
        <w:rPr>
          <w:rFonts w:ascii="FrankRuehl" w:hAnsi="FrankRuehl" w:cs="FrankRuehl" w:hint="cs"/>
          <w:sz w:val="28"/>
          <w:szCs w:val="28"/>
          <w:rtl/>
        </w:rPr>
        <w:t xml:space="preserve">החזקה הקבועה </w:t>
      </w:r>
      <w:r w:rsidRPr="00015FC8">
        <w:rPr>
          <w:rFonts w:ascii="FrankRuehl" w:hAnsi="FrankRuehl" w:cs="FrankRuehl"/>
          <w:sz w:val="28"/>
          <w:szCs w:val="28"/>
          <w:rtl/>
        </w:rPr>
        <w:t>בתוספת השנייה</w:t>
      </w:r>
      <w:r>
        <w:rPr>
          <w:rFonts w:ascii="FrankRuehl" w:hAnsi="FrankRuehl" w:cs="FrankRuehl" w:hint="cs"/>
          <w:sz w:val="28"/>
          <w:szCs w:val="28"/>
          <w:rtl/>
        </w:rPr>
        <w:t xml:space="preserve"> לפקודת הסמים</w:t>
      </w:r>
      <w:r w:rsidRPr="00015FC8">
        <w:rPr>
          <w:rFonts w:ascii="FrankRuehl" w:hAnsi="FrankRuehl" w:cs="FrankRuehl"/>
          <w:sz w:val="28"/>
          <w:szCs w:val="28"/>
          <w:rtl/>
        </w:rPr>
        <w:t>, והעיקר – החזקת הסמים בין כותלי בית הסוהר, נסיבות אלו מבססות משנה חומרה, מגבירות את החשש לשלומם של קורבנות פוטנציאליים</w:t>
      </w:r>
      <w:r>
        <w:rPr>
          <w:rFonts w:ascii="FrankRuehl" w:hAnsi="FrankRuehl" w:cs="FrankRuehl" w:hint="cs"/>
          <w:sz w:val="28"/>
          <w:szCs w:val="28"/>
          <w:rtl/>
        </w:rPr>
        <w:t>,</w:t>
      </w:r>
      <w:r w:rsidRPr="00015FC8">
        <w:rPr>
          <w:rFonts w:ascii="FrankRuehl" w:hAnsi="FrankRuehl" w:cs="FrankRuehl"/>
          <w:sz w:val="28"/>
          <w:szCs w:val="28"/>
          <w:rtl/>
        </w:rPr>
        <w:t xml:space="preserve"> ומהוות הפרה בוטה של הסדר הציבורי והמשמעת בבית הסוהר. </w:t>
      </w:r>
    </w:p>
    <w:p w14:paraId="6EE03E69" w14:textId="77777777" w:rsidR="00432C4B" w:rsidRPr="00015FC8" w:rsidRDefault="00432C4B" w:rsidP="00432C4B">
      <w:pPr>
        <w:spacing w:line="360" w:lineRule="auto"/>
        <w:ind w:firstLine="720"/>
        <w:jc w:val="both"/>
        <w:rPr>
          <w:rFonts w:ascii="FrankRuehl" w:hAnsi="FrankRuehl" w:cs="FrankRuehl"/>
          <w:sz w:val="28"/>
          <w:szCs w:val="28"/>
          <w:rtl/>
        </w:rPr>
      </w:pPr>
    </w:p>
    <w:p w14:paraId="2BC73A68" w14:textId="77777777" w:rsidR="00432C4B" w:rsidRPr="00015FC8" w:rsidRDefault="00432C4B" w:rsidP="00432C4B">
      <w:pPr>
        <w:spacing w:line="360" w:lineRule="auto"/>
        <w:ind w:firstLine="720"/>
        <w:jc w:val="both"/>
        <w:rPr>
          <w:rFonts w:ascii="FrankRuehl" w:hAnsi="FrankRuehl" w:cs="FrankRuehl"/>
          <w:sz w:val="28"/>
          <w:szCs w:val="28"/>
          <w:rtl/>
        </w:rPr>
      </w:pPr>
      <w:r w:rsidRPr="00015FC8">
        <w:rPr>
          <w:rFonts w:ascii="FrankRuehl" w:hAnsi="FrankRuehl" w:cs="FrankRuehl"/>
          <w:sz w:val="28"/>
          <w:szCs w:val="28"/>
          <w:rtl/>
        </w:rPr>
        <w:t xml:space="preserve">עיינתי בפסקי הדין שהגישו הצדדים. כן ראו </w:t>
      </w:r>
      <w:hyperlink r:id="rId15" w:history="1">
        <w:r w:rsidR="008E581B" w:rsidRPr="008E581B">
          <w:rPr>
            <w:rFonts w:ascii="FrankRuehl" w:eastAsia="Calibri" w:hAnsi="FrankRuehl" w:cs="FrankRuehl"/>
            <w:color w:val="0000FF"/>
            <w:sz w:val="28"/>
            <w:szCs w:val="28"/>
            <w:u w:val="single"/>
            <w:rtl/>
          </w:rPr>
          <w:t>רע"פ 4144/15</w:t>
        </w:r>
      </w:hyperlink>
      <w:r w:rsidRPr="00015FC8">
        <w:rPr>
          <w:rFonts w:ascii="FrankRuehl" w:eastAsia="Calibri" w:hAnsi="FrankRuehl" w:cs="FrankRuehl"/>
          <w:sz w:val="28"/>
          <w:szCs w:val="28"/>
          <w:rtl/>
        </w:rPr>
        <w:t xml:space="preserve"> </w:t>
      </w:r>
      <w:r w:rsidRPr="00015FC8">
        <w:rPr>
          <w:rFonts w:ascii="FrankRuehl" w:eastAsia="Calibri" w:hAnsi="FrankRuehl" w:cs="Miriam"/>
          <w:b/>
          <w:sz w:val="28"/>
          <w:rtl/>
        </w:rPr>
        <w:t xml:space="preserve">אדם אבו אלטיף נ' מדינת ישראל </w:t>
      </w:r>
      <w:r w:rsidRPr="00015FC8">
        <w:rPr>
          <w:rFonts w:ascii="FrankRuehl" w:eastAsia="Calibri" w:hAnsi="FrankRuehl" w:cs="FrankRuehl"/>
          <w:sz w:val="28"/>
          <w:szCs w:val="28"/>
          <w:rtl/>
        </w:rPr>
        <w:t xml:space="preserve">(16.6.15); </w:t>
      </w:r>
      <w:hyperlink r:id="rId16" w:history="1">
        <w:r w:rsidR="008E581B" w:rsidRPr="008E581B">
          <w:rPr>
            <w:rFonts w:ascii="FrankRuehl" w:eastAsia="Calibri" w:hAnsi="FrankRuehl" w:cs="FrankRuehl"/>
            <w:color w:val="0000FF"/>
            <w:sz w:val="28"/>
            <w:szCs w:val="28"/>
            <w:u w:val="single"/>
            <w:rtl/>
          </w:rPr>
          <w:t>רע"פ 1485/10</w:t>
        </w:r>
      </w:hyperlink>
      <w:r w:rsidRPr="00015FC8">
        <w:rPr>
          <w:rFonts w:ascii="FrankRuehl" w:eastAsia="Calibri" w:hAnsi="FrankRuehl" w:cs="FrankRuehl"/>
          <w:sz w:val="28"/>
          <w:szCs w:val="28"/>
          <w:rtl/>
        </w:rPr>
        <w:t xml:space="preserve"> </w:t>
      </w:r>
      <w:r w:rsidRPr="00015FC8">
        <w:rPr>
          <w:rFonts w:ascii="FrankRuehl" w:eastAsia="Calibri" w:hAnsi="FrankRuehl" w:cs="Miriam"/>
          <w:b/>
          <w:sz w:val="28"/>
          <w:rtl/>
        </w:rPr>
        <w:t xml:space="preserve">אודליה סתוי זאן נ' מדינת ישראל </w:t>
      </w:r>
      <w:r w:rsidRPr="00015FC8">
        <w:rPr>
          <w:rFonts w:ascii="FrankRuehl" w:eastAsia="Calibri" w:hAnsi="FrankRuehl" w:cs="FrankRuehl"/>
          <w:sz w:val="28"/>
          <w:szCs w:val="28"/>
          <w:rtl/>
        </w:rPr>
        <w:t xml:space="preserve">(2.3.10). </w:t>
      </w:r>
      <w:r w:rsidRPr="00015FC8">
        <w:rPr>
          <w:rFonts w:ascii="FrankRuehl" w:hAnsi="FrankRuehl" w:cs="FrankRuehl"/>
          <w:b/>
          <w:sz w:val="28"/>
          <w:szCs w:val="28"/>
          <w:rtl/>
        </w:rPr>
        <w:t xml:space="preserve">לאחר שנתתי דעתי לנסיבות ביצוע העבירה, לעקרון ההלימה, למצווה להילחם באופן תדיר ועיקש בנגע הסמים, ולמדיניות הענישה, </w:t>
      </w:r>
      <w:r w:rsidRPr="00015FC8">
        <w:rPr>
          <w:rFonts w:ascii="Miriam" w:hAnsi="Miriam" w:cs="Miriam"/>
          <w:b/>
          <w:rtl/>
        </w:rPr>
        <w:t>מצאתי לקבוע את מתחם העונש בין 20-8 חודשי מאסר בפועל</w:t>
      </w:r>
      <w:r w:rsidRPr="00015FC8">
        <w:rPr>
          <w:rFonts w:ascii="FrankRuehl" w:hAnsi="FrankRuehl" w:cs="FrankRuehl"/>
          <w:b/>
          <w:sz w:val="28"/>
          <w:szCs w:val="28"/>
          <w:rtl/>
        </w:rPr>
        <w:t>.</w:t>
      </w:r>
    </w:p>
    <w:p w14:paraId="15186FCA" w14:textId="77777777" w:rsidR="00432C4B" w:rsidRPr="00015FC8" w:rsidRDefault="00432C4B" w:rsidP="00432C4B">
      <w:pPr>
        <w:spacing w:line="360" w:lineRule="auto"/>
        <w:jc w:val="both"/>
        <w:rPr>
          <w:rFonts w:ascii="FrankRuehl" w:hAnsi="FrankRuehl" w:cs="FrankRuehl"/>
          <w:sz w:val="28"/>
          <w:szCs w:val="28"/>
          <w:rtl/>
        </w:rPr>
      </w:pPr>
    </w:p>
    <w:p w14:paraId="65856136" w14:textId="77777777" w:rsidR="00432C4B" w:rsidRPr="00015FC8" w:rsidRDefault="00432C4B" w:rsidP="00432C4B">
      <w:pPr>
        <w:spacing w:line="360" w:lineRule="auto"/>
        <w:jc w:val="both"/>
        <w:rPr>
          <w:rFonts w:ascii="FrankRuehl" w:hAnsi="FrankRuehl" w:cs="Miriam"/>
          <w:b/>
          <w:sz w:val="28"/>
          <w:rtl/>
        </w:rPr>
      </w:pPr>
      <w:r w:rsidRPr="00015FC8">
        <w:rPr>
          <w:rFonts w:ascii="FrankRuehl" w:hAnsi="FrankRuehl" w:cs="Miriam"/>
          <w:b/>
          <w:sz w:val="28"/>
          <w:rtl/>
        </w:rPr>
        <w:t>גזירת העונש המתאים לנאשם</w:t>
      </w:r>
    </w:p>
    <w:p w14:paraId="48EF43BC" w14:textId="77777777" w:rsidR="00432C4B" w:rsidRPr="00015FC8" w:rsidRDefault="00432C4B" w:rsidP="00432C4B">
      <w:pPr>
        <w:spacing w:line="360" w:lineRule="auto"/>
        <w:jc w:val="both"/>
        <w:rPr>
          <w:rFonts w:ascii="FrankRuehl" w:hAnsi="FrankRuehl" w:cs="Miriam"/>
          <w:b/>
          <w:sz w:val="28"/>
          <w:rtl/>
        </w:rPr>
      </w:pPr>
    </w:p>
    <w:p w14:paraId="1E066B73" w14:textId="77777777" w:rsidR="00432C4B" w:rsidRPr="00015FC8" w:rsidRDefault="00432C4B" w:rsidP="00432C4B">
      <w:pPr>
        <w:spacing w:line="360" w:lineRule="auto"/>
        <w:jc w:val="both"/>
        <w:rPr>
          <w:rFonts w:ascii="FrankRuehl" w:hAnsi="FrankRuehl" w:cs="FrankRuehl"/>
          <w:sz w:val="28"/>
          <w:szCs w:val="28"/>
          <w:rtl/>
        </w:rPr>
      </w:pPr>
      <w:r w:rsidRPr="00015FC8">
        <w:rPr>
          <w:rFonts w:ascii="FrankRuehl" w:hAnsi="FrankRuehl" w:cs="FrankRuehl"/>
          <w:sz w:val="28"/>
          <w:szCs w:val="28"/>
          <w:rtl/>
        </w:rPr>
        <w:t>4.</w:t>
      </w:r>
      <w:r w:rsidRPr="00015FC8">
        <w:rPr>
          <w:rFonts w:ascii="FrankRuehl" w:hAnsi="FrankRuehl" w:cs="FrankRuehl"/>
          <w:sz w:val="28"/>
          <w:szCs w:val="28"/>
          <w:rtl/>
        </w:rPr>
        <w:tab/>
      </w:r>
      <w:r w:rsidRPr="00015FC8">
        <w:rPr>
          <w:rFonts w:ascii="FrankRuehl" w:hAnsi="FrankRuehl" w:cs="Miriam"/>
          <w:b/>
          <w:sz w:val="28"/>
          <w:rtl/>
        </w:rPr>
        <w:t xml:space="preserve">לקולה: </w:t>
      </w:r>
      <w:r w:rsidRPr="00015FC8">
        <w:rPr>
          <w:rFonts w:ascii="FrankRuehl" w:hAnsi="FrankRuehl" w:cs="FrankRuehl"/>
          <w:sz w:val="28"/>
          <w:szCs w:val="28"/>
          <w:rtl/>
        </w:rPr>
        <w:t>הנאשם הודה בהזדמנות הראשונה, נטל אחריות על מעשיו וחסך זמן שיפוטי. עוד מצאתי לזקוף לזכותו את ניסיונו, למצער הראשוני, לערוך שינוי בחייו. כן לקחתי בחשבון את העובדה כי מדובר בהרשעתו היחידה בעבירות סמים.</w:t>
      </w:r>
      <w:r>
        <w:rPr>
          <w:rFonts w:ascii="FrankRuehl" w:hAnsi="FrankRuehl" w:cs="FrankRuehl" w:hint="cs"/>
          <w:sz w:val="28"/>
          <w:szCs w:val="28"/>
          <w:rtl/>
        </w:rPr>
        <w:t xml:space="preserve"> </w:t>
      </w:r>
      <w:r w:rsidRPr="00015FC8">
        <w:rPr>
          <w:rFonts w:ascii="FrankRuehl" w:hAnsi="FrankRuehl" w:cs="Miriam"/>
          <w:b/>
          <w:sz w:val="28"/>
          <w:rtl/>
        </w:rPr>
        <w:t>לחומרה:</w:t>
      </w:r>
      <w:r w:rsidRPr="00015FC8">
        <w:rPr>
          <w:rFonts w:ascii="FrankRuehl" w:hAnsi="FrankRuehl" w:cs="FrankRuehl"/>
          <w:sz w:val="28"/>
          <w:szCs w:val="28"/>
          <w:rtl/>
        </w:rPr>
        <w:t xml:space="preserve"> הנאשם בן כ-30, ומרבית חייו הבוגרים הוא נכנס ויוצא את בתי הסוהר. ביצוע העבירה בתוככי בית הסוהר מעיד כי מורא הדין ממנו והלאה. הניסיונות לאפשר לנאשם להשתקם והאמון שניתן בו, לבקשתו, לא צלחו, כשהלה לא השכיל לנצל את ההזדמנויות שניתנו לו. במצב דברים זה, אין לו להלין אלא על עצמו. </w:t>
      </w:r>
    </w:p>
    <w:p w14:paraId="7754E0AF" w14:textId="77777777" w:rsidR="00432C4B" w:rsidRPr="00015FC8" w:rsidRDefault="00432C4B" w:rsidP="00432C4B">
      <w:pPr>
        <w:spacing w:line="360" w:lineRule="auto"/>
        <w:jc w:val="both"/>
        <w:rPr>
          <w:rFonts w:ascii="FrankRuehl" w:hAnsi="FrankRuehl" w:cs="FrankRuehl"/>
          <w:sz w:val="28"/>
          <w:szCs w:val="28"/>
          <w:rtl/>
        </w:rPr>
      </w:pPr>
    </w:p>
    <w:p w14:paraId="0E3C8579" w14:textId="77777777" w:rsidR="00432C4B" w:rsidRPr="00015FC8" w:rsidRDefault="00432C4B" w:rsidP="00432C4B">
      <w:pPr>
        <w:spacing w:line="360" w:lineRule="auto"/>
        <w:jc w:val="both"/>
        <w:rPr>
          <w:rFonts w:ascii="FrankRuehl" w:hAnsi="FrankRuehl" w:cs="FrankRuehl"/>
          <w:sz w:val="28"/>
          <w:szCs w:val="28"/>
          <w:rtl/>
        </w:rPr>
      </w:pPr>
      <w:r>
        <w:rPr>
          <w:rFonts w:ascii="FrankRuehl" w:hAnsi="FrankRuehl" w:cs="FrankRuehl" w:hint="cs"/>
          <w:sz w:val="28"/>
          <w:szCs w:val="28"/>
          <w:rtl/>
        </w:rPr>
        <w:t>5.</w:t>
      </w:r>
      <w:r w:rsidRPr="00015FC8">
        <w:rPr>
          <w:rFonts w:ascii="FrankRuehl" w:hAnsi="FrankRuehl" w:cs="FrankRuehl"/>
          <w:sz w:val="28"/>
          <w:szCs w:val="28"/>
          <w:rtl/>
        </w:rPr>
        <w:tab/>
        <w:t>החלטתי לגזור על הנאשם את העונשים הבאים:</w:t>
      </w:r>
    </w:p>
    <w:p w14:paraId="42D93C03" w14:textId="77777777" w:rsidR="00432C4B" w:rsidRPr="00015FC8" w:rsidRDefault="00432C4B" w:rsidP="00432C4B">
      <w:pPr>
        <w:spacing w:line="360" w:lineRule="auto"/>
        <w:ind w:firstLine="720"/>
        <w:jc w:val="both"/>
        <w:rPr>
          <w:rFonts w:ascii="FrankRuehl" w:eastAsia="Calibri" w:hAnsi="FrankRuehl" w:cs="FrankRuehl"/>
          <w:sz w:val="28"/>
          <w:szCs w:val="28"/>
          <w:rtl/>
        </w:rPr>
      </w:pPr>
      <w:r w:rsidRPr="00015FC8">
        <w:rPr>
          <w:rFonts w:ascii="FrankRuehl" w:eastAsia="Calibri" w:hAnsi="FrankRuehl" w:cs="FrankRuehl"/>
          <w:sz w:val="28"/>
          <w:szCs w:val="28"/>
          <w:rtl/>
        </w:rPr>
        <w:t>א.</w:t>
      </w:r>
      <w:r w:rsidRPr="00015FC8">
        <w:rPr>
          <w:rFonts w:ascii="FrankRuehl" w:eastAsia="Calibri" w:hAnsi="FrankRuehl" w:cs="FrankRuehl"/>
          <w:sz w:val="28"/>
          <w:szCs w:val="28"/>
          <w:rtl/>
        </w:rPr>
        <w:tab/>
        <w:t>12 חודשי מאסר בפועל, במצטבר לכל עונש מאסר אחר שהוא מרצה.</w:t>
      </w:r>
    </w:p>
    <w:p w14:paraId="22E01CC1" w14:textId="77777777" w:rsidR="00432C4B" w:rsidRPr="00015FC8" w:rsidRDefault="00432C4B" w:rsidP="00432C4B">
      <w:pPr>
        <w:spacing w:line="360" w:lineRule="auto"/>
        <w:ind w:left="1440" w:hanging="720"/>
        <w:jc w:val="both"/>
        <w:rPr>
          <w:rFonts w:ascii="FrankRuehl" w:hAnsi="FrankRuehl" w:cs="FrankRuehl"/>
          <w:sz w:val="28"/>
          <w:szCs w:val="28"/>
          <w:rtl/>
        </w:rPr>
      </w:pPr>
      <w:r w:rsidRPr="00015FC8">
        <w:rPr>
          <w:rFonts w:ascii="FrankRuehl" w:eastAsia="Calibri" w:hAnsi="FrankRuehl" w:cs="FrankRuehl"/>
          <w:sz w:val="28"/>
          <w:szCs w:val="28"/>
          <w:rtl/>
        </w:rPr>
        <w:t>ב.</w:t>
      </w:r>
      <w:r w:rsidRPr="00015FC8">
        <w:rPr>
          <w:rFonts w:ascii="FrankRuehl" w:eastAsia="Calibri" w:hAnsi="FrankRuehl" w:cs="FrankRuehl"/>
          <w:sz w:val="28"/>
          <w:szCs w:val="28"/>
          <w:rtl/>
        </w:rPr>
        <w:tab/>
        <w:t>6 חודשי מאסר אותם לא ירצה הנאשם אלא אם יעבור תוך שלוש שנים</w:t>
      </w:r>
      <w:r>
        <w:rPr>
          <w:rFonts w:ascii="FrankRuehl" w:eastAsia="Calibri" w:hAnsi="FrankRuehl" w:cs="FrankRuehl" w:hint="cs"/>
          <w:sz w:val="28"/>
          <w:szCs w:val="28"/>
          <w:rtl/>
        </w:rPr>
        <w:t xml:space="preserve"> מהיום</w:t>
      </w:r>
      <w:r w:rsidRPr="00015FC8">
        <w:rPr>
          <w:rFonts w:ascii="FrankRuehl" w:eastAsia="Calibri" w:hAnsi="FrankRuehl" w:cs="FrankRuehl"/>
          <w:sz w:val="28"/>
          <w:szCs w:val="28"/>
          <w:rtl/>
        </w:rPr>
        <w:t xml:space="preserve"> עבירה על פקודת הסמים מסוג פשע </w:t>
      </w:r>
      <w:r w:rsidRPr="00015FC8">
        <w:rPr>
          <w:rFonts w:ascii="FrankRuehl" w:hAnsi="FrankRuehl" w:cs="FrankRuehl"/>
          <w:sz w:val="28"/>
          <w:szCs w:val="28"/>
          <w:rtl/>
        </w:rPr>
        <w:t xml:space="preserve">או עבירה </w:t>
      </w:r>
      <w:r>
        <w:rPr>
          <w:rFonts w:ascii="FrankRuehl" w:hAnsi="FrankRuehl" w:cs="FrankRuehl" w:hint="cs"/>
          <w:sz w:val="28"/>
          <w:szCs w:val="28"/>
          <w:rtl/>
        </w:rPr>
        <w:t xml:space="preserve">בחפץ אסור מסוכן בין כותלי בית הסוהר, לפי </w:t>
      </w:r>
      <w:hyperlink r:id="rId17" w:history="1">
        <w:r w:rsidR="003578AA" w:rsidRPr="003578AA">
          <w:rPr>
            <w:rStyle w:val="Hyperlink"/>
            <w:rFonts w:ascii="FrankRuehl" w:hAnsi="FrankRuehl" w:cs="FrankRuehl" w:hint="eastAsia"/>
            <w:sz w:val="28"/>
            <w:szCs w:val="28"/>
            <w:rtl/>
          </w:rPr>
          <w:t>סעיף</w:t>
        </w:r>
        <w:r w:rsidR="003578AA" w:rsidRPr="003578AA">
          <w:rPr>
            <w:rStyle w:val="Hyperlink"/>
            <w:rFonts w:ascii="FrankRuehl" w:hAnsi="FrankRuehl" w:cs="FrankRuehl"/>
            <w:sz w:val="28"/>
            <w:szCs w:val="28"/>
            <w:rtl/>
          </w:rPr>
          <w:t xml:space="preserve"> 52(ב)(1)</w:t>
        </w:r>
      </w:hyperlink>
      <w:r>
        <w:rPr>
          <w:rFonts w:ascii="FrankRuehl" w:hAnsi="FrankRuehl" w:cs="FrankRuehl"/>
          <w:sz w:val="28"/>
          <w:szCs w:val="28"/>
          <w:rtl/>
        </w:rPr>
        <w:t xml:space="preserve"> ל</w:t>
      </w:r>
      <w:hyperlink r:id="rId18" w:history="1">
        <w:r w:rsidR="008E581B" w:rsidRPr="008E581B">
          <w:rPr>
            <w:rFonts w:ascii="FrankRuehl" w:hAnsi="FrankRuehl" w:cs="FrankRuehl"/>
            <w:color w:val="0000FF"/>
            <w:sz w:val="28"/>
            <w:szCs w:val="28"/>
            <w:u w:val="single"/>
            <w:rtl/>
          </w:rPr>
          <w:t>פקודת בתי הסוהר</w:t>
        </w:r>
      </w:hyperlink>
      <w:r>
        <w:rPr>
          <w:rFonts w:ascii="FrankRuehl" w:hAnsi="FrankRuehl" w:cs="FrankRuehl" w:hint="cs"/>
          <w:sz w:val="28"/>
          <w:szCs w:val="28"/>
          <w:rtl/>
        </w:rPr>
        <w:t xml:space="preserve"> [נוסח חדש], תשל"ב-1971.</w:t>
      </w:r>
    </w:p>
    <w:p w14:paraId="0ABBCD8A" w14:textId="77777777" w:rsidR="00432C4B" w:rsidRDefault="00432C4B" w:rsidP="00432C4B">
      <w:pPr>
        <w:spacing w:line="360" w:lineRule="auto"/>
        <w:ind w:left="1440"/>
        <w:jc w:val="both"/>
        <w:rPr>
          <w:rFonts w:ascii="FrankRuehl" w:eastAsia="Calibri" w:hAnsi="FrankRuehl" w:cs="FrankRuehl"/>
          <w:sz w:val="28"/>
          <w:szCs w:val="28"/>
          <w:rtl/>
        </w:rPr>
      </w:pPr>
      <w:r w:rsidRPr="00015FC8">
        <w:rPr>
          <w:rFonts w:ascii="FrankRuehl" w:eastAsia="Calibri" w:hAnsi="FrankRuehl" w:cs="FrankRuehl"/>
          <w:sz w:val="28"/>
          <w:szCs w:val="28"/>
          <w:rtl/>
        </w:rPr>
        <w:t xml:space="preserve">3 חודשי מאסר אותם לא ירצה הנאשם אלא אם יעבור תוך שלוש שנים </w:t>
      </w:r>
      <w:r>
        <w:rPr>
          <w:rFonts w:ascii="FrankRuehl" w:eastAsia="Calibri" w:hAnsi="FrankRuehl" w:cs="FrankRuehl" w:hint="cs"/>
          <w:sz w:val="28"/>
          <w:szCs w:val="28"/>
          <w:rtl/>
        </w:rPr>
        <w:t xml:space="preserve">מהיום </w:t>
      </w:r>
      <w:r w:rsidRPr="00015FC8">
        <w:rPr>
          <w:rFonts w:ascii="FrankRuehl" w:eastAsia="Calibri" w:hAnsi="FrankRuehl" w:cs="FrankRuehl"/>
          <w:sz w:val="28"/>
          <w:szCs w:val="28"/>
          <w:rtl/>
        </w:rPr>
        <w:t>עבירה על פקודת הסמים מסוג עוון.</w:t>
      </w:r>
    </w:p>
    <w:p w14:paraId="61C8EE2A" w14:textId="77777777" w:rsidR="00432C4B" w:rsidRPr="00015FC8" w:rsidRDefault="00432C4B" w:rsidP="00432C4B">
      <w:pPr>
        <w:spacing w:line="360" w:lineRule="auto"/>
        <w:ind w:left="1440"/>
        <w:jc w:val="both"/>
        <w:rPr>
          <w:rFonts w:ascii="FrankRuehl" w:eastAsia="Calibri" w:hAnsi="FrankRuehl" w:cs="FrankRuehl"/>
          <w:sz w:val="28"/>
          <w:szCs w:val="28"/>
          <w:rtl/>
        </w:rPr>
      </w:pPr>
      <w:r>
        <w:rPr>
          <w:rFonts w:ascii="FrankRuehl" w:eastAsia="Calibri" w:hAnsi="FrankRuehl" w:cs="FrankRuehl" w:hint="cs"/>
          <w:sz w:val="28"/>
          <w:szCs w:val="28"/>
          <w:rtl/>
        </w:rPr>
        <w:t>למען הסר ספק, המאסרים על-תנאי נכנסים לתוקף לאלתר.</w:t>
      </w:r>
    </w:p>
    <w:p w14:paraId="7465A296" w14:textId="77777777" w:rsidR="00432C4B" w:rsidRPr="00015FC8" w:rsidRDefault="008E581B" w:rsidP="00432C4B">
      <w:pPr>
        <w:spacing w:line="360" w:lineRule="auto"/>
        <w:ind w:left="1440" w:hanging="720"/>
        <w:jc w:val="both"/>
        <w:rPr>
          <w:rFonts w:ascii="FrankRuehl" w:eastAsia="Calibri" w:hAnsi="FrankRuehl" w:cs="FrankRuehl"/>
          <w:sz w:val="28"/>
          <w:szCs w:val="28"/>
          <w:rtl/>
        </w:rPr>
      </w:pPr>
      <w:r w:rsidRPr="008E581B">
        <w:rPr>
          <w:rFonts w:ascii="FrankRuehl" w:eastAsia="Calibri" w:hAnsi="FrankRuehl" w:cs="FrankRuehl"/>
          <w:color w:val="FFFFFF"/>
          <w:sz w:val="2"/>
          <w:szCs w:val="2"/>
          <w:rtl/>
        </w:rPr>
        <w:t>5129371</w:t>
      </w:r>
      <w:r w:rsidR="00432C4B" w:rsidRPr="00015FC8">
        <w:rPr>
          <w:rFonts w:ascii="FrankRuehl" w:eastAsia="Calibri" w:hAnsi="FrankRuehl" w:cs="FrankRuehl"/>
          <w:sz w:val="28"/>
          <w:szCs w:val="28"/>
          <w:rtl/>
        </w:rPr>
        <w:t xml:space="preserve">ג. </w:t>
      </w:r>
      <w:r w:rsidR="00432C4B" w:rsidRPr="00015FC8">
        <w:rPr>
          <w:rFonts w:ascii="FrankRuehl" w:eastAsia="Calibri" w:hAnsi="FrankRuehl" w:cs="FrankRuehl"/>
          <w:sz w:val="28"/>
          <w:szCs w:val="28"/>
          <w:rtl/>
        </w:rPr>
        <w:tab/>
        <w:t>קנס בסך 2,000 ₪ או 14 ימי מאסר תמורתו. הקנס ישולם ב-5 תשלומים חודשיים שווים ורצופים, החל מיום 10.5.22 ובכל 10 בחודש שלאחריו. לא ישולם איזה מהתשלומים במועדו, תעמוד יתרת הקנס לפירעון מידי.</w:t>
      </w:r>
    </w:p>
    <w:p w14:paraId="7A1B52D1" w14:textId="77777777" w:rsidR="00432C4B" w:rsidRPr="008E581B" w:rsidRDefault="008E581B" w:rsidP="00432C4B">
      <w:pPr>
        <w:spacing w:line="360" w:lineRule="auto"/>
        <w:ind w:firstLine="720"/>
        <w:jc w:val="both"/>
        <w:rPr>
          <w:rFonts w:ascii="FrankRuehl" w:eastAsia="Calibri" w:hAnsi="FrankRuehl" w:cs="Miriam"/>
          <w:b/>
          <w:color w:val="FFFFFF"/>
          <w:sz w:val="2"/>
          <w:szCs w:val="2"/>
          <w:u w:val="single"/>
          <w:rtl/>
        </w:rPr>
      </w:pPr>
      <w:r w:rsidRPr="008E581B">
        <w:rPr>
          <w:rFonts w:ascii="FrankRuehl" w:eastAsia="Calibri" w:hAnsi="FrankRuehl" w:cs="Miriam"/>
          <w:b/>
          <w:color w:val="FFFFFF"/>
          <w:sz w:val="2"/>
          <w:szCs w:val="2"/>
          <w:u w:val="single"/>
          <w:rtl/>
        </w:rPr>
        <w:t>54678313</w:t>
      </w:r>
    </w:p>
    <w:p w14:paraId="054525B9" w14:textId="77777777" w:rsidR="00432C4B" w:rsidRPr="00015FC8" w:rsidRDefault="00432C4B" w:rsidP="00432C4B">
      <w:pPr>
        <w:spacing w:line="360" w:lineRule="auto"/>
        <w:ind w:firstLine="720"/>
        <w:jc w:val="both"/>
        <w:rPr>
          <w:rFonts w:ascii="FrankRuehl" w:eastAsia="Calibri" w:hAnsi="FrankRuehl" w:cs="Miriam"/>
          <w:b/>
          <w:sz w:val="28"/>
          <w:u w:val="single"/>
          <w:rtl/>
        </w:rPr>
      </w:pPr>
      <w:r w:rsidRPr="00015FC8">
        <w:rPr>
          <w:rFonts w:ascii="FrankRuehl" w:eastAsia="Calibri" w:hAnsi="FrankRuehl" w:cs="Miriam"/>
          <w:b/>
          <w:sz w:val="28"/>
          <w:u w:val="single"/>
          <w:rtl/>
        </w:rPr>
        <w:t>זכות ערעור לבית המשפט המחוזי תוך 45 ימים מהיום.</w:t>
      </w:r>
    </w:p>
    <w:p w14:paraId="48C4DF2E" w14:textId="77777777" w:rsidR="00432C4B" w:rsidRPr="000F2247" w:rsidRDefault="008E581B" w:rsidP="00432C4B">
      <w:pPr>
        <w:spacing w:line="360" w:lineRule="auto"/>
        <w:jc w:val="both"/>
        <w:rPr>
          <w:rFonts w:ascii="Arial" w:hAnsi="Arial"/>
          <w:b/>
          <w:bCs/>
          <w:sz w:val="26"/>
          <w:szCs w:val="26"/>
          <w:rtl/>
        </w:rPr>
      </w:pPr>
      <w:bookmarkStart w:id="8" w:name="Nitan"/>
      <w:r>
        <w:rPr>
          <w:rFonts w:ascii="FrankRuehl" w:hAnsi="FrankRuehl" w:cs="FrankRuehl"/>
          <w:sz w:val="28"/>
          <w:szCs w:val="28"/>
          <w:rtl/>
        </w:rPr>
        <w:t xml:space="preserve">ניתן היום,  כ"ו אדר ב' תשפ"ב, 29 מרץ 2022, במעמד הצדדים.  </w:t>
      </w:r>
      <w:bookmarkEnd w:id="8"/>
      <w:r w:rsidR="00432C4B" w:rsidRPr="00015FC8">
        <w:rPr>
          <w:rFonts w:ascii="FrankRuehl" w:hAnsi="FrankRuehl" w:cs="FrankRuehl"/>
          <w:sz w:val="28"/>
          <w:szCs w:val="28"/>
          <w:rtl/>
        </w:rPr>
        <w:t>המזכירות תעביר עותק מגזר הדין לשירות המבחן.</w:t>
      </w:r>
    </w:p>
    <w:p w14:paraId="43B2D1A9" w14:textId="77777777" w:rsidR="008E581B" w:rsidRDefault="008E581B" w:rsidP="008E581B">
      <w:pPr>
        <w:rPr>
          <w:rtl/>
        </w:rPr>
      </w:pPr>
    </w:p>
    <w:p w14:paraId="3E221417" w14:textId="77777777" w:rsidR="008E581B" w:rsidRDefault="008E581B" w:rsidP="008E581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3C698C13" w14:textId="77777777" w:rsidR="003578AA" w:rsidRPr="003578AA" w:rsidRDefault="003578AA" w:rsidP="003578AA">
      <w:pPr>
        <w:keepNext/>
        <w:rPr>
          <w:rFonts w:ascii="David" w:hAnsi="David"/>
          <w:color w:val="000000"/>
          <w:sz w:val="22"/>
          <w:szCs w:val="22"/>
          <w:rtl/>
        </w:rPr>
      </w:pPr>
    </w:p>
    <w:p w14:paraId="382F86F3" w14:textId="77777777" w:rsidR="003578AA" w:rsidRPr="003578AA" w:rsidRDefault="003578AA" w:rsidP="003578AA">
      <w:pPr>
        <w:keepNext/>
        <w:rPr>
          <w:rFonts w:ascii="David" w:hAnsi="David"/>
          <w:color w:val="000000"/>
          <w:sz w:val="22"/>
          <w:szCs w:val="22"/>
          <w:rtl/>
        </w:rPr>
      </w:pPr>
      <w:r w:rsidRPr="003578AA">
        <w:rPr>
          <w:rFonts w:ascii="David" w:hAnsi="David"/>
          <w:color w:val="000000"/>
          <w:sz w:val="22"/>
          <w:szCs w:val="22"/>
          <w:rtl/>
        </w:rPr>
        <w:t>גיא אבנון 54678313-/</w:t>
      </w:r>
    </w:p>
    <w:p w14:paraId="1258EE26" w14:textId="77777777" w:rsidR="008E581B" w:rsidRPr="008E581B" w:rsidRDefault="003578AA" w:rsidP="003578AA">
      <w:pPr>
        <w:rPr>
          <w:color w:val="0000FF"/>
          <w:u w:val="single"/>
        </w:rPr>
      </w:pPr>
      <w:r w:rsidRPr="003578AA">
        <w:rPr>
          <w:color w:val="000000"/>
          <w:u w:val="single"/>
          <w:rtl/>
        </w:rPr>
        <w:t>נוסח מסמך זה כפוף לשינויי ניסוח ועריכה</w:t>
      </w:r>
    </w:p>
    <w:sectPr w:rsidR="008E581B" w:rsidRPr="008E581B" w:rsidSect="003578AA">
      <w:headerReference w:type="even" r:id="rId20"/>
      <w:headerReference w:type="default" r:id="rId21"/>
      <w:footerReference w:type="even" r:id="rId22"/>
      <w:footerReference w:type="default" r:id="rId23"/>
      <w:pgSz w:w="11907" w:h="16840" w:code="9"/>
      <w:pgMar w:top="1701" w:right="1797" w:bottom="851" w:left="1797" w:header="283" w:footer="283"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B04BA" w14:textId="77777777" w:rsidR="00D16B67" w:rsidRDefault="00D16B67" w:rsidP="00DA759A">
      <w:r>
        <w:separator/>
      </w:r>
    </w:p>
  </w:endnote>
  <w:endnote w:type="continuationSeparator" w:id="0">
    <w:p w14:paraId="4E0F667D" w14:textId="77777777" w:rsidR="00D16B67" w:rsidRDefault="00D16B67" w:rsidP="00DA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5B4CA" w14:textId="77777777" w:rsidR="003578AA" w:rsidRDefault="003578AA" w:rsidP="003578A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B55FDB" w14:textId="77777777" w:rsidR="00FF5ED0" w:rsidRPr="003578AA" w:rsidRDefault="003578AA" w:rsidP="003578AA">
    <w:pPr>
      <w:pStyle w:val="a5"/>
      <w:pBdr>
        <w:top w:val="single" w:sz="4" w:space="1" w:color="auto"/>
        <w:between w:val="single" w:sz="4" w:space="0" w:color="auto"/>
      </w:pBdr>
      <w:spacing w:after="60"/>
      <w:jc w:val="center"/>
      <w:rPr>
        <w:rFonts w:ascii="FrankRuehl" w:hAnsi="FrankRuehl" w:cs="FrankRuehl"/>
        <w:color w:val="000000"/>
      </w:rPr>
    </w:pPr>
    <w:r w:rsidRPr="003578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D6D3D" w14:textId="77777777" w:rsidR="003578AA" w:rsidRDefault="003578AA" w:rsidP="003578A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4536">
      <w:rPr>
        <w:rFonts w:ascii="FrankRuehl" w:hAnsi="FrankRuehl" w:cs="FrankRuehl"/>
        <w:noProof/>
        <w:rtl/>
      </w:rPr>
      <w:t>1</w:t>
    </w:r>
    <w:r>
      <w:rPr>
        <w:rFonts w:ascii="FrankRuehl" w:hAnsi="FrankRuehl" w:cs="FrankRuehl"/>
        <w:rtl/>
      </w:rPr>
      <w:fldChar w:fldCharType="end"/>
    </w:r>
  </w:p>
  <w:p w14:paraId="38847402" w14:textId="77777777" w:rsidR="00FF5ED0" w:rsidRPr="003578AA" w:rsidRDefault="003578AA" w:rsidP="003578AA">
    <w:pPr>
      <w:pStyle w:val="a5"/>
      <w:pBdr>
        <w:top w:val="single" w:sz="4" w:space="1" w:color="auto"/>
        <w:between w:val="single" w:sz="4" w:space="0" w:color="auto"/>
      </w:pBdr>
      <w:spacing w:after="60"/>
      <w:jc w:val="center"/>
      <w:rPr>
        <w:rFonts w:ascii="FrankRuehl" w:hAnsi="FrankRuehl" w:cs="FrankRuehl"/>
        <w:color w:val="000000"/>
      </w:rPr>
    </w:pPr>
    <w:r w:rsidRPr="003578AA">
      <w:rPr>
        <w:rFonts w:ascii="FrankRuehl" w:hAnsi="FrankRuehl" w:cs="FrankRuehl"/>
        <w:color w:val="000000"/>
      </w:rPr>
      <w:pict w14:anchorId="7785DF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8E039" w14:textId="77777777" w:rsidR="00D16B67" w:rsidRDefault="00D16B67" w:rsidP="00DA759A">
      <w:r>
        <w:separator/>
      </w:r>
    </w:p>
  </w:footnote>
  <w:footnote w:type="continuationSeparator" w:id="0">
    <w:p w14:paraId="27CF74A3" w14:textId="77777777" w:rsidR="00D16B67" w:rsidRDefault="00D16B67" w:rsidP="00DA7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57563" w14:textId="77777777" w:rsidR="008E581B" w:rsidRPr="003578AA" w:rsidRDefault="003578AA" w:rsidP="003578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62073-03-19</w:t>
    </w:r>
    <w:r>
      <w:rPr>
        <w:rFonts w:ascii="David" w:hAnsi="David"/>
        <w:color w:val="000000"/>
        <w:sz w:val="22"/>
        <w:szCs w:val="22"/>
        <w:rtl/>
      </w:rPr>
      <w:tab/>
      <w:t xml:space="preserve"> מדינת ישראל נ' בלאל שווכי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56A32" w14:textId="77777777" w:rsidR="008E581B" w:rsidRPr="003578AA" w:rsidRDefault="003578AA" w:rsidP="003578A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62073-03-19</w:t>
    </w:r>
    <w:r>
      <w:rPr>
        <w:rFonts w:ascii="David" w:hAnsi="David"/>
        <w:color w:val="000000"/>
        <w:sz w:val="22"/>
        <w:szCs w:val="22"/>
        <w:rtl/>
      </w:rPr>
      <w:tab/>
      <w:t xml:space="preserve"> מדינת ישראל נ' בלאל שווכי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2C4B"/>
    <w:rsid w:val="001B5A3B"/>
    <w:rsid w:val="00310B87"/>
    <w:rsid w:val="0032780D"/>
    <w:rsid w:val="003578AA"/>
    <w:rsid w:val="003D3C86"/>
    <w:rsid w:val="00401AEA"/>
    <w:rsid w:val="00432C4B"/>
    <w:rsid w:val="008E581B"/>
    <w:rsid w:val="00904EE8"/>
    <w:rsid w:val="00A34BAB"/>
    <w:rsid w:val="00B11C49"/>
    <w:rsid w:val="00CA1549"/>
    <w:rsid w:val="00D16B67"/>
    <w:rsid w:val="00DA759A"/>
    <w:rsid w:val="00ED4536"/>
    <w:rsid w:val="00FF5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73B2B3"/>
  <w15:chartTrackingRefBased/>
  <w15:docId w15:val="{0C823FA0-D988-4B0D-BB50-C20EE8EF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2C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2C4B"/>
    <w:pPr>
      <w:tabs>
        <w:tab w:val="center" w:pos="4153"/>
        <w:tab w:val="right" w:pos="8306"/>
      </w:tabs>
    </w:pPr>
  </w:style>
  <w:style w:type="character" w:customStyle="1" w:styleId="a4">
    <w:name w:val="כותרת עליונה תו"/>
    <w:link w:val="a3"/>
    <w:rsid w:val="00432C4B"/>
    <w:rPr>
      <w:rFonts w:ascii="Times New Roman" w:eastAsia="Times New Roman" w:hAnsi="Times New Roman" w:cs="David"/>
      <w:sz w:val="24"/>
      <w:szCs w:val="24"/>
    </w:rPr>
  </w:style>
  <w:style w:type="paragraph" w:styleId="a5">
    <w:name w:val="footer"/>
    <w:basedOn w:val="a"/>
    <w:link w:val="a6"/>
    <w:rsid w:val="00432C4B"/>
    <w:pPr>
      <w:tabs>
        <w:tab w:val="center" w:pos="4153"/>
        <w:tab w:val="right" w:pos="8306"/>
      </w:tabs>
    </w:pPr>
  </w:style>
  <w:style w:type="character" w:customStyle="1" w:styleId="a6">
    <w:name w:val="כותרת תחתונה תו"/>
    <w:link w:val="a5"/>
    <w:rsid w:val="00432C4B"/>
    <w:rPr>
      <w:rFonts w:ascii="Times New Roman" w:eastAsia="Times New Roman" w:hAnsi="Times New Roman" w:cs="David"/>
      <w:sz w:val="24"/>
      <w:szCs w:val="24"/>
    </w:rPr>
  </w:style>
  <w:style w:type="character" w:styleId="a7">
    <w:name w:val="page number"/>
    <w:rsid w:val="00432C4B"/>
  </w:style>
  <w:style w:type="table" w:customStyle="1" w:styleId="1">
    <w:name w:val="רשת טבלה1"/>
    <w:basedOn w:val="a1"/>
    <w:next w:val="a8"/>
    <w:rsid w:val="00432C4B"/>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rsid w:val="00432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E5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75015"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75015/52.b.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772368"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0356752" TargetMode="External"/><Relationship Id="rId23" Type="http://schemas.openxmlformats.org/officeDocument/2006/relationships/footer" Target="footer2.xml"/><Relationship Id="rId10" Type="http://schemas.openxmlformats.org/officeDocument/2006/relationships/hyperlink" Target="http://www.nevo.co.il/law/75015/52.b.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5015" TargetMode="External"/><Relationship Id="rId14" Type="http://schemas.openxmlformats.org/officeDocument/2006/relationships/hyperlink" Target="http://www.nevo.co.il/case/22961877"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1420</Words>
  <Characters>7104</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8257639</vt:i4>
      </vt:variant>
      <vt:variant>
        <vt:i4>36</vt:i4>
      </vt:variant>
      <vt:variant>
        <vt:i4>0</vt:i4>
      </vt:variant>
      <vt:variant>
        <vt:i4>5</vt:i4>
      </vt:variant>
      <vt:variant>
        <vt:lpwstr>http://www.nevo.co.il/law/75015</vt:lpwstr>
      </vt:variant>
      <vt:variant>
        <vt:lpwstr/>
      </vt:variant>
      <vt:variant>
        <vt:i4>3145831</vt:i4>
      </vt:variant>
      <vt:variant>
        <vt:i4>33</vt:i4>
      </vt:variant>
      <vt:variant>
        <vt:i4>0</vt:i4>
      </vt:variant>
      <vt:variant>
        <vt:i4>5</vt:i4>
      </vt:variant>
      <vt:variant>
        <vt:lpwstr>http://www.nevo.co.il/law/75015/52.b.1</vt:lpwstr>
      </vt:variant>
      <vt:variant>
        <vt:lpwstr/>
      </vt:variant>
      <vt:variant>
        <vt:i4>3735671</vt:i4>
      </vt:variant>
      <vt:variant>
        <vt:i4>30</vt:i4>
      </vt:variant>
      <vt:variant>
        <vt:i4>0</vt:i4>
      </vt:variant>
      <vt:variant>
        <vt:i4>5</vt:i4>
      </vt:variant>
      <vt:variant>
        <vt:lpwstr>http://www.nevo.co.il/case/5772368</vt:lpwstr>
      </vt:variant>
      <vt:variant>
        <vt:lpwstr/>
      </vt:variant>
      <vt:variant>
        <vt:i4>3276918</vt:i4>
      </vt:variant>
      <vt:variant>
        <vt:i4>27</vt:i4>
      </vt:variant>
      <vt:variant>
        <vt:i4>0</vt:i4>
      </vt:variant>
      <vt:variant>
        <vt:i4>5</vt:i4>
      </vt:variant>
      <vt:variant>
        <vt:lpwstr>http://www.nevo.co.il/case/20356752</vt:lpwstr>
      </vt:variant>
      <vt:variant>
        <vt:lpwstr/>
      </vt:variant>
      <vt:variant>
        <vt:i4>3997816</vt:i4>
      </vt:variant>
      <vt:variant>
        <vt:i4>24</vt:i4>
      </vt:variant>
      <vt:variant>
        <vt:i4>0</vt:i4>
      </vt:variant>
      <vt:variant>
        <vt:i4>5</vt:i4>
      </vt:variant>
      <vt:variant>
        <vt:lpwstr>http://www.nevo.co.il/case/22961877</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3145831</vt:i4>
      </vt:variant>
      <vt:variant>
        <vt:i4>12</vt:i4>
      </vt:variant>
      <vt:variant>
        <vt:i4>0</vt:i4>
      </vt:variant>
      <vt:variant>
        <vt:i4>5</vt:i4>
      </vt:variant>
      <vt:variant>
        <vt:lpwstr>http://www.nevo.co.il/law/75015/52.b.1</vt:lpwstr>
      </vt:variant>
      <vt:variant>
        <vt:lpwstr/>
      </vt:variant>
      <vt:variant>
        <vt:i4>8257639</vt:i4>
      </vt:variant>
      <vt:variant>
        <vt:i4>9</vt:i4>
      </vt:variant>
      <vt:variant>
        <vt:i4>0</vt:i4>
      </vt:variant>
      <vt:variant>
        <vt:i4>5</vt:i4>
      </vt:variant>
      <vt:variant>
        <vt:lpwstr>http://www.nevo.co.il/law/75015</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62073</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בלאל שווכי</vt:lpwstr>
  </property>
  <property fmtid="{D5CDD505-2E9C-101B-9397-08002B2CF9AE}" pid="10" name="LAWYER">
    <vt:lpwstr>אלמוג בן חמו;שיר זהבי;איתמר צור</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20220329</vt:lpwstr>
  </property>
  <property fmtid="{D5CDD505-2E9C-101B-9397-08002B2CF9AE}" pid="14" name="TYPE_N_DATE">
    <vt:lpwstr>38020220329</vt:lpwstr>
  </property>
  <property fmtid="{D5CDD505-2E9C-101B-9397-08002B2CF9AE}" pid="15" name="WORDNUMPAGES">
    <vt:lpwstr>5</vt:lpwstr>
  </property>
  <property fmtid="{D5CDD505-2E9C-101B-9397-08002B2CF9AE}" pid="16" name="TYPE_ABS_DATE">
    <vt:lpwstr>380020220329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22961877;20356752;5772368</vt:lpwstr>
  </property>
  <property fmtid="{D5CDD505-2E9C-101B-9397-08002B2CF9AE}" pid="36" name="LAWLISTTMP1">
    <vt:lpwstr>4216/007.a;007.c</vt:lpwstr>
  </property>
  <property fmtid="{D5CDD505-2E9C-101B-9397-08002B2CF9AE}" pid="37" name="LAWLISTTMP2">
    <vt:lpwstr>75015/052.b.1</vt:lpwstr>
  </property>
</Properties>
</file>