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C169A9" w:rsidRPr="008F5233" w14:paraId="63EC625E" w14:textId="77777777" w:rsidTr="000875EB">
        <w:trPr>
          <w:trHeight w:hRule="exact" w:val="418"/>
          <w:jc w:val="center"/>
        </w:trPr>
        <w:tc>
          <w:tcPr>
            <w:tcW w:w="8721" w:type="dxa"/>
            <w:gridSpan w:val="2"/>
          </w:tcPr>
          <w:p w14:paraId="4CF8128C" w14:textId="77777777" w:rsidR="00C169A9" w:rsidRPr="00643B5E" w:rsidRDefault="00C169A9" w:rsidP="000875EB">
            <w:pPr>
              <w:pStyle w:val="a3"/>
              <w:jc w:val="center"/>
              <w:rPr>
                <w:rFonts w:ascii="Tahoma" w:hAnsi="Tahoma" w:cs="Tahoma"/>
                <w:color w:val="000080"/>
                <w:rtl/>
                <w:lang w:val="en-US" w:eastAsia="en-US"/>
              </w:rPr>
            </w:pPr>
            <w:r w:rsidRPr="00643B5E">
              <w:rPr>
                <w:rFonts w:ascii="Tahoma" w:hAnsi="Tahoma" w:cs="Tahoma"/>
                <w:b/>
                <w:bCs/>
                <w:color w:val="000080"/>
                <w:rtl/>
                <w:lang w:val="en-US" w:eastAsia="en-US"/>
              </w:rPr>
              <w:t>בית משפט השלום בקריית גת</w:t>
            </w:r>
          </w:p>
        </w:tc>
      </w:tr>
      <w:tr w:rsidR="00C169A9" w:rsidRPr="008F5233" w14:paraId="06EB472F" w14:textId="77777777" w:rsidTr="000875EB">
        <w:trPr>
          <w:trHeight w:val="337"/>
          <w:jc w:val="center"/>
        </w:trPr>
        <w:tc>
          <w:tcPr>
            <w:tcW w:w="5047" w:type="dxa"/>
          </w:tcPr>
          <w:p w14:paraId="7E86A45C" w14:textId="77777777" w:rsidR="00C169A9" w:rsidRPr="008F5233" w:rsidRDefault="00C169A9" w:rsidP="000875EB">
            <w:pPr>
              <w:rPr>
                <w:b/>
                <w:bCs/>
                <w:sz w:val="26"/>
                <w:szCs w:val="26"/>
                <w:rtl/>
              </w:rPr>
            </w:pPr>
          </w:p>
        </w:tc>
        <w:tc>
          <w:tcPr>
            <w:tcW w:w="3674" w:type="dxa"/>
          </w:tcPr>
          <w:p w14:paraId="0E5C5310" w14:textId="77777777" w:rsidR="00C169A9" w:rsidRPr="00643B5E" w:rsidRDefault="00C169A9" w:rsidP="000875EB">
            <w:pPr>
              <w:pStyle w:val="a3"/>
              <w:jc w:val="right"/>
              <w:rPr>
                <w:rFonts w:cs="David"/>
                <w:b/>
                <w:bCs/>
                <w:sz w:val="26"/>
                <w:szCs w:val="26"/>
                <w:rtl/>
                <w:lang w:val="en-US" w:eastAsia="en-US"/>
              </w:rPr>
            </w:pPr>
            <w:r w:rsidRPr="00643B5E">
              <w:rPr>
                <w:rFonts w:cs="David"/>
                <w:b/>
                <w:bCs/>
                <w:sz w:val="26"/>
                <w:szCs w:val="26"/>
                <w:rtl/>
                <w:lang w:val="en-US" w:eastAsia="en-US"/>
              </w:rPr>
              <w:t>04 אוגוסט 2020</w:t>
            </w:r>
          </w:p>
        </w:tc>
      </w:tr>
      <w:tr w:rsidR="00C169A9" w:rsidRPr="008F5233" w14:paraId="676A1FB3" w14:textId="77777777" w:rsidTr="000875EB">
        <w:trPr>
          <w:trHeight w:val="337"/>
          <w:jc w:val="center"/>
        </w:trPr>
        <w:tc>
          <w:tcPr>
            <w:tcW w:w="8721" w:type="dxa"/>
            <w:gridSpan w:val="2"/>
          </w:tcPr>
          <w:p w14:paraId="0B169CA9" w14:textId="77777777" w:rsidR="00C169A9" w:rsidRPr="008F5233" w:rsidRDefault="00C169A9" w:rsidP="000875EB">
            <w:pPr>
              <w:rPr>
                <w:b/>
                <w:bCs/>
                <w:sz w:val="26"/>
                <w:szCs w:val="26"/>
                <w:rtl/>
              </w:rPr>
            </w:pPr>
            <w:r w:rsidRPr="008F5233">
              <w:rPr>
                <w:b/>
                <w:bCs/>
                <w:sz w:val="26"/>
                <w:szCs w:val="26"/>
                <w:rtl/>
              </w:rPr>
              <w:t>ת"פ 1463-04-19 מדינת ישראל נ' ארונסקי</w:t>
            </w:r>
          </w:p>
          <w:p w14:paraId="7D84B6EA" w14:textId="77777777" w:rsidR="00C169A9" w:rsidRPr="008F5233" w:rsidRDefault="00C169A9" w:rsidP="000875EB">
            <w:pPr>
              <w:rPr>
                <w:rtl/>
              </w:rPr>
            </w:pPr>
          </w:p>
        </w:tc>
      </w:tr>
    </w:tbl>
    <w:p w14:paraId="6D4EF70F" w14:textId="77777777" w:rsidR="00C169A9" w:rsidRPr="008F5233" w:rsidRDefault="00C169A9" w:rsidP="00C169A9"/>
    <w:tbl>
      <w:tblPr>
        <w:bidiVisual/>
        <w:tblW w:w="0" w:type="auto"/>
        <w:jc w:val="center"/>
        <w:tblLook w:val="0000" w:firstRow="0" w:lastRow="0" w:firstColumn="0" w:lastColumn="0" w:noHBand="0" w:noVBand="0"/>
      </w:tblPr>
      <w:tblGrid>
        <w:gridCol w:w="873"/>
        <w:gridCol w:w="7848"/>
      </w:tblGrid>
      <w:tr w:rsidR="00C169A9" w:rsidRPr="008F5233" w14:paraId="33E60C25" w14:textId="77777777" w:rsidTr="000875EB">
        <w:trPr>
          <w:trHeight w:val="337"/>
          <w:jc w:val="center"/>
        </w:trPr>
        <w:tc>
          <w:tcPr>
            <w:tcW w:w="873" w:type="dxa"/>
          </w:tcPr>
          <w:p w14:paraId="0968DCE9" w14:textId="77777777" w:rsidR="00C169A9" w:rsidRPr="008F5233" w:rsidRDefault="00C169A9" w:rsidP="000875EB">
            <w:pPr>
              <w:tabs>
                <w:tab w:val="left" w:pos="1710"/>
              </w:tabs>
              <w:rPr>
                <w:b/>
                <w:bCs/>
                <w:sz w:val="28"/>
                <w:szCs w:val="28"/>
                <w:rtl/>
              </w:rPr>
            </w:pPr>
            <w:r w:rsidRPr="008F5233">
              <w:rPr>
                <w:rFonts w:hint="cs"/>
                <w:b/>
                <w:bCs/>
                <w:sz w:val="28"/>
                <w:szCs w:val="28"/>
                <w:rtl/>
              </w:rPr>
              <w:t>בפני</w:t>
            </w:r>
          </w:p>
        </w:tc>
        <w:tc>
          <w:tcPr>
            <w:tcW w:w="7848" w:type="dxa"/>
          </w:tcPr>
          <w:p w14:paraId="16EF7DD6" w14:textId="77777777" w:rsidR="00C169A9" w:rsidRPr="008F5233" w:rsidRDefault="00C169A9" w:rsidP="000875EB">
            <w:pPr>
              <w:rPr>
                <w:rFonts w:ascii="Arial" w:hAnsi="Arial"/>
                <w:b/>
                <w:bCs/>
                <w:sz w:val="28"/>
                <w:szCs w:val="28"/>
                <w:rtl/>
              </w:rPr>
            </w:pPr>
            <w:r w:rsidRPr="008F5233">
              <w:rPr>
                <w:rFonts w:ascii="Arial" w:hAnsi="Arial" w:hint="cs"/>
                <w:b/>
                <w:bCs/>
                <w:sz w:val="28"/>
                <w:szCs w:val="28"/>
                <w:rtl/>
              </w:rPr>
              <w:t xml:space="preserve">כב' השופטת </w:t>
            </w:r>
            <w:r w:rsidRPr="008F5233">
              <w:rPr>
                <w:rFonts w:ascii="Arial" w:hAnsi="Arial"/>
                <w:b/>
                <w:bCs/>
                <w:sz w:val="28"/>
                <w:szCs w:val="28"/>
                <w:rtl/>
              </w:rPr>
              <w:t>נגה שמואלי-מאייר</w:t>
            </w:r>
            <w:r w:rsidRPr="008F5233">
              <w:rPr>
                <w:rFonts w:ascii="Arial" w:hAnsi="Arial" w:hint="cs"/>
                <w:b/>
                <w:bCs/>
                <w:sz w:val="28"/>
                <w:szCs w:val="28"/>
                <w:rtl/>
              </w:rPr>
              <w:t>, סגנית נשיא</w:t>
            </w:r>
          </w:p>
          <w:p w14:paraId="7CBB2E24" w14:textId="77777777" w:rsidR="00C169A9" w:rsidRPr="008F5233" w:rsidRDefault="00C169A9" w:rsidP="000875EB">
            <w:pPr>
              <w:tabs>
                <w:tab w:val="left" w:pos="1710"/>
              </w:tabs>
              <w:rPr>
                <w:rtl/>
              </w:rPr>
            </w:pPr>
          </w:p>
        </w:tc>
      </w:tr>
    </w:tbl>
    <w:p w14:paraId="1B6CC508" w14:textId="77777777" w:rsidR="00C169A9" w:rsidRPr="008F5233" w:rsidRDefault="00C169A9" w:rsidP="00C169A9">
      <w:pPr>
        <w:pStyle w:val="a3"/>
        <w:rPr>
          <w:rtl/>
        </w:rPr>
      </w:pPr>
      <w:bookmarkStart w:id="0" w:name="LastJudge"/>
      <w:bookmarkEnd w:id="0"/>
      <w:r w:rsidRPr="008F5233">
        <w:rPr>
          <w:rtl/>
        </w:rPr>
        <w:t xml:space="preserve"> </w:t>
      </w:r>
    </w:p>
    <w:p w14:paraId="36CF725D" w14:textId="77777777" w:rsidR="00C169A9" w:rsidRPr="008F5233" w:rsidRDefault="00C169A9" w:rsidP="00C169A9">
      <w:pPr>
        <w:spacing w:line="360" w:lineRule="auto"/>
        <w:rPr>
          <w:rFonts w:ascii="David" w:hAnsi="David"/>
          <w:sz w:val="28"/>
          <w:szCs w:val="28"/>
          <w:rtl/>
        </w:rPr>
      </w:pPr>
    </w:p>
    <w:p w14:paraId="4F6324F0" w14:textId="77777777" w:rsidR="00C169A9" w:rsidRPr="008F5233" w:rsidRDefault="00C169A9" w:rsidP="00C169A9">
      <w:pPr>
        <w:spacing w:line="360" w:lineRule="auto"/>
        <w:rPr>
          <w:rFonts w:ascii="David" w:hAnsi="David"/>
          <w:sz w:val="28"/>
          <w:szCs w:val="28"/>
          <w:rtl/>
        </w:rPr>
      </w:pPr>
    </w:p>
    <w:tbl>
      <w:tblPr>
        <w:bidiVisual/>
        <w:tblW w:w="8820" w:type="dxa"/>
        <w:jc w:val="center"/>
        <w:tblLook w:val="01E0" w:firstRow="1" w:lastRow="1" w:firstColumn="1" w:lastColumn="1" w:noHBand="0" w:noVBand="0"/>
      </w:tblPr>
      <w:tblGrid>
        <w:gridCol w:w="5603"/>
        <w:gridCol w:w="3217"/>
      </w:tblGrid>
      <w:tr w:rsidR="00C169A9" w:rsidRPr="008F5233" w14:paraId="7E910677" w14:textId="77777777" w:rsidTr="00C169A9">
        <w:trPr>
          <w:jc w:val="center"/>
        </w:trPr>
        <w:tc>
          <w:tcPr>
            <w:tcW w:w="5603" w:type="dxa"/>
            <w:shd w:val="clear" w:color="auto" w:fill="auto"/>
          </w:tcPr>
          <w:p w14:paraId="298CEC25" w14:textId="77777777" w:rsidR="00C169A9" w:rsidRPr="008F5233" w:rsidRDefault="00C169A9" w:rsidP="00C169A9">
            <w:pPr>
              <w:spacing w:line="360" w:lineRule="auto"/>
              <w:rPr>
                <w:rFonts w:ascii="David" w:hAnsi="David"/>
                <w:b/>
                <w:bCs/>
                <w:sz w:val="28"/>
                <w:szCs w:val="28"/>
                <w:rtl/>
              </w:rPr>
            </w:pPr>
            <w:bookmarkStart w:id="1" w:name="FirstAppellant"/>
            <w:bookmarkStart w:id="2" w:name="FirstLawyer"/>
            <w:r w:rsidRPr="008F5233">
              <w:rPr>
                <w:rFonts w:ascii="David" w:hAnsi="David"/>
                <w:b/>
                <w:bCs/>
                <w:sz w:val="28"/>
                <w:szCs w:val="28"/>
                <w:rtl/>
              </w:rPr>
              <w:t>מדינת ישראל</w:t>
            </w:r>
          </w:p>
          <w:p w14:paraId="1E4C22EE" w14:textId="77777777" w:rsidR="00C169A9" w:rsidRPr="008F5233" w:rsidRDefault="00C169A9" w:rsidP="00C169A9">
            <w:pPr>
              <w:spacing w:line="360" w:lineRule="auto"/>
              <w:rPr>
                <w:rFonts w:ascii="David" w:hAnsi="David"/>
                <w:b/>
                <w:bCs/>
                <w:sz w:val="28"/>
                <w:szCs w:val="28"/>
                <w:rtl/>
              </w:rPr>
            </w:pPr>
            <w:r w:rsidRPr="008F5233">
              <w:rPr>
                <w:rFonts w:ascii="David" w:hAnsi="David"/>
                <w:b/>
                <w:bCs/>
                <w:sz w:val="28"/>
                <w:szCs w:val="28"/>
                <w:rtl/>
              </w:rPr>
              <w:t xml:space="preserve">ע"י ב"כ עו"ד עמית חומרי – נוכח </w:t>
            </w:r>
          </w:p>
        </w:tc>
        <w:tc>
          <w:tcPr>
            <w:tcW w:w="3217" w:type="dxa"/>
            <w:shd w:val="clear" w:color="auto" w:fill="auto"/>
          </w:tcPr>
          <w:p w14:paraId="69E4D5FB" w14:textId="77777777" w:rsidR="00C169A9" w:rsidRPr="008F5233" w:rsidRDefault="00C169A9" w:rsidP="00C169A9">
            <w:pPr>
              <w:bidi w:val="0"/>
              <w:spacing w:line="360" w:lineRule="auto"/>
              <w:jc w:val="right"/>
              <w:rPr>
                <w:rFonts w:ascii="David" w:hAnsi="David"/>
                <w:b/>
                <w:bCs/>
                <w:sz w:val="28"/>
                <w:szCs w:val="28"/>
                <w:rtl/>
              </w:rPr>
            </w:pPr>
            <w:r w:rsidRPr="008F5233">
              <w:rPr>
                <w:rFonts w:ascii="David" w:hAnsi="David"/>
                <w:b/>
                <w:bCs/>
                <w:sz w:val="28"/>
                <w:szCs w:val="28"/>
                <w:rtl/>
              </w:rPr>
              <w:t>המאשימה</w:t>
            </w:r>
          </w:p>
          <w:p w14:paraId="0AF1F001" w14:textId="77777777" w:rsidR="00C169A9" w:rsidRPr="008F5233" w:rsidRDefault="00C169A9" w:rsidP="00C169A9">
            <w:pPr>
              <w:spacing w:line="360" w:lineRule="auto"/>
              <w:rPr>
                <w:rFonts w:ascii="David" w:hAnsi="David"/>
                <w:b/>
                <w:bCs/>
                <w:sz w:val="28"/>
                <w:szCs w:val="28"/>
                <w:rtl/>
              </w:rPr>
            </w:pPr>
          </w:p>
        </w:tc>
      </w:tr>
      <w:bookmarkEnd w:id="1"/>
      <w:bookmarkEnd w:id="2"/>
      <w:tr w:rsidR="00C169A9" w:rsidRPr="008F5233" w14:paraId="720164AD" w14:textId="77777777" w:rsidTr="00C169A9">
        <w:trPr>
          <w:jc w:val="center"/>
        </w:trPr>
        <w:tc>
          <w:tcPr>
            <w:tcW w:w="8820" w:type="dxa"/>
            <w:gridSpan w:val="2"/>
            <w:shd w:val="clear" w:color="auto" w:fill="auto"/>
          </w:tcPr>
          <w:p w14:paraId="1CB1F499" w14:textId="77777777" w:rsidR="00C169A9" w:rsidRPr="008F5233" w:rsidRDefault="00C169A9" w:rsidP="00C169A9">
            <w:pPr>
              <w:spacing w:line="360" w:lineRule="auto"/>
              <w:jc w:val="center"/>
              <w:rPr>
                <w:rFonts w:ascii="David" w:hAnsi="David"/>
                <w:b/>
                <w:bCs/>
                <w:sz w:val="28"/>
                <w:szCs w:val="28"/>
              </w:rPr>
            </w:pPr>
            <w:r w:rsidRPr="008F5233">
              <w:rPr>
                <w:rFonts w:ascii="David" w:hAnsi="David"/>
                <w:b/>
                <w:bCs/>
                <w:sz w:val="28"/>
                <w:szCs w:val="28"/>
                <w:rtl/>
              </w:rPr>
              <w:t>נ ג ד</w:t>
            </w:r>
          </w:p>
        </w:tc>
      </w:tr>
      <w:tr w:rsidR="00C169A9" w:rsidRPr="008F5233" w14:paraId="34A9BEA9" w14:textId="77777777" w:rsidTr="00C169A9">
        <w:trPr>
          <w:jc w:val="center"/>
        </w:trPr>
        <w:tc>
          <w:tcPr>
            <w:tcW w:w="5603" w:type="dxa"/>
            <w:shd w:val="clear" w:color="auto" w:fill="auto"/>
          </w:tcPr>
          <w:p w14:paraId="3A802B8C" w14:textId="77777777" w:rsidR="00C169A9" w:rsidRPr="008F5233" w:rsidRDefault="00C169A9" w:rsidP="00C169A9">
            <w:pPr>
              <w:spacing w:line="360" w:lineRule="auto"/>
              <w:rPr>
                <w:rFonts w:ascii="David" w:hAnsi="David"/>
                <w:sz w:val="28"/>
                <w:szCs w:val="28"/>
              </w:rPr>
            </w:pPr>
            <w:r w:rsidRPr="008F5233">
              <w:rPr>
                <w:rFonts w:ascii="David" w:hAnsi="David"/>
                <w:b/>
                <w:bCs/>
                <w:sz w:val="28"/>
                <w:szCs w:val="28"/>
                <w:rtl/>
              </w:rPr>
              <w:t xml:space="preserve">אלכסיי ארונסקי – נוכח </w:t>
            </w:r>
          </w:p>
          <w:p w14:paraId="62136682" w14:textId="77777777" w:rsidR="00C169A9" w:rsidRPr="008F5233" w:rsidRDefault="00C169A9" w:rsidP="00C169A9">
            <w:pPr>
              <w:spacing w:line="360" w:lineRule="auto"/>
              <w:rPr>
                <w:rFonts w:ascii="David" w:hAnsi="David"/>
                <w:b/>
                <w:bCs/>
                <w:sz w:val="28"/>
                <w:szCs w:val="28"/>
                <w:rtl/>
              </w:rPr>
            </w:pPr>
            <w:r w:rsidRPr="008F5233">
              <w:rPr>
                <w:rFonts w:ascii="David" w:hAnsi="David"/>
                <w:b/>
                <w:bCs/>
                <w:sz w:val="28"/>
                <w:szCs w:val="28"/>
                <w:rtl/>
              </w:rPr>
              <w:t xml:space="preserve">ע"י ב"כ עו"ד איתמר סיוון – נוכח </w:t>
            </w:r>
          </w:p>
        </w:tc>
        <w:tc>
          <w:tcPr>
            <w:tcW w:w="3217" w:type="dxa"/>
            <w:shd w:val="clear" w:color="auto" w:fill="auto"/>
          </w:tcPr>
          <w:p w14:paraId="1D508277" w14:textId="77777777" w:rsidR="00C169A9" w:rsidRPr="008F5233" w:rsidRDefault="00C169A9" w:rsidP="00C169A9">
            <w:pPr>
              <w:spacing w:line="360" w:lineRule="auto"/>
              <w:rPr>
                <w:rFonts w:ascii="David" w:hAnsi="David"/>
                <w:b/>
                <w:bCs/>
                <w:sz w:val="28"/>
                <w:szCs w:val="28"/>
                <w:rtl/>
              </w:rPr>
            </w:pPr>
            <w:r w:rsidRPr="008F5233">
              <w:rPr>
                <w:rFonts w:ascii="David" w:hAnsi="David"/>
                <w:b/>
                <w:bCs/>
                <w:sz w:val="28"/>
                <w:szCs w:val="28"/>
                <w:rtl/>
              </w:rPr>
              <w:t>הנאשם</w:t>
            </w:r>
          </w:p>
        </w:tc>
      </w:tr>
    </w:tbl>
    <w:p w14:paraId="6F043268" w14:textId="77777777" w:rsidR="003F697E" w:rsidRDefault="003F697E" w:rsidP="00C169A9">
      <w:pPr>
        <w:spacing w:line="360" w:lineRule="auto"/>
        <w:rPr>
          <w:rFonts w:ascii="David" w:hAnsi="David"/>
          <w:sz w:val="28"/>
          <w:szCs w:val="28"/>
          <w:rtl/>
        </w:rPr>
      </w:pPr>
    </w:p>
    <w:p w14:paraId="0F0EB7E5" w14:textId="77777777" w:rsidR="003F697E" w:rsidRPr="003F697E" w:rsidRDefault="003F697E" w:rsidP="003F697E">
      <w:pPr>
        <w:spacing w:after="120" w:line="240" w:lineRule="exact"/>
        <w:ind w:left="283" w:hanging="283"/>
        <w:jc w:val="both"/>
        <w:rPr>
          <w:rFonts w:ascii="FrankRuehl" w:hAnsi="FrankRuehl" w:cs="FrankRuehl"/>
          <w:rtl/>
        </w:rPr>
      </w:pPr>
    </w:p>
    <w:p w14:paraId="42B18643" w14:textId="77777777" w:rsidR="00965378" w:rsidRDefault="00965378" w:rsidP="00965378">
      <w:pPr>
        <w:spacing w:line="360" w:lineRule="auto"/>
        <w:jc w:val="both"/>
        <w:rPr>
          <w:rFonts w:ascii="David" w:hAnsi="David"/>
          <w:rtl/>
        </w:rPr>
      </w:pPr>
      <w:bookmarkStart w:id="3" w:name="LawTable"/>
      <w:bookmarkEnd w:id="3"/>
    </w:p>
    <w:p w14:paraId="2F78896A" w14:textId="77777777" w:rsidR="00965378" w:rsidRPr="00965378" w:rsidRDefault="00965378" w:rsidP="00965378">
      <w:pPr>
        <w:spacing w:before="120" w:after="120" w:line="240" w:lineRule="exact"/>
        <w:ind w:left="283" w:hanging="283"/>
        <w:jc w:val="both"/>
        <w:rPr>
          <w:rFonts w:ascii="FrankRuehl" w:hAnsi="FrankRuehl" w:cs="FrankRuehl"/>
          <w:rtl/>
        </w:rPr>
      </w:pPr>
    </w:p>
    <w:p w14:paraId="3E3C6F84" w14:textId="77777777" w:rsidR="00965378" w:rsidRPr="00965378" w:rsidRDefault="00965378" w:rsidP="00965378">
      <w:pPr>
        <w:spacing w:before="120" w:after="120" w:line="240" w:lineRule="exact"/>
        <w:ind w:left="283" w:hanging="283"/>
        <w:jc w:val="both"/>
        <w:rPr>
          <w:rFonts w:ascii="FrankRuehl" w:hAnsi="FrankRuehl" w:cs="FrankRuehl"/>
          <w:rtl/>
        </w:rPr>
      </w:pPr>
    </w:p>
    <w:p w14:paraId="2F8EE3C9" w14:textId="77777777" w:rsidR="00965378" w:rsidRPr="00965378" w:rsidRDefault="00965378" w:rsidP="00965378">
      <w:pPr>
        <w:spacing w:before="120" w:after="120" w:line="240" w:lineRule="exact"/>
        <w:ind w:left="283" w:hanging="283"/>
        <w:jc w:val="both"/>
        <w:rPr>
          <w:rFonts w:ascii="FrankRuehl" w:hAnsi="FrankRuehl" w:cs="FrankRuehl"/>
          <w:rtl/>
        </w:rPr>
      </w:pPr>
      <w:r w:rsidRPr="00965378">
        <w:rPr>
          <w:rFonts w:ascii="FrankRuehl" w:hAnsi="FrankRuehl" w:cs="FrankRuehl"/>
          <w:rtl/>
        </w:rPr>
        <w:t xml:space="preserve">חקיקה שאוזכרה: </w:t>
      </w:r>
    </w:p>
    <w:p w14:paraId="17C55EC7" w14:textId="77777777" w:rsidR="00965378" w:rsidRPr="00965378" w:rsidRDefault="00965378" w:rsidP="00965378">
      <w:pPr>
        <w:spacing w:before="120" w:after="120" w:line="240" w:lineRule="exact"/>
        <w:ind w:left="283" w:hanging="283"/>
        <w:jc w:val="both"/>
        <w:rPr>
          <w:rFonts w:ascii="FrankRuehl" w:hAnsi="FrankRuehl" w:cs="FrankRuehl"/>
          <w:rtl/>
        </w:rPr>
      </w:pPr>
      <w:hyperlink r:id="rId7" w:history="1">
        <w:r w:rsidRPr="00965378">
          <w:rPr>
            <w:rFonts w:ascii="FrankRuehl" w:hAnsi="FrankRuehl" w:cs="FrankRuehl"/>
            <w:color w:val="0000FF"/>
            <w:rtl/>
          </w:rPr>
          <w:t>פקודת הסמים המסוכנים [נוסח חדש], תשל"ג-1973</w:t>
        </w:r>
      </w:hyperlink>
      <w:r w:rsidRPr="00965378">
        <w:rPr>
          <w:rFonts w:ascii="FrankRuehl" w:hAnsi="FrankRuehl" w:cs="FrankRuehl"/>
          <w:rtl/>
        </w:rPr>
        <w:t xml:space="preserve">: סע'  </w:t>
      </w:r>
      <w:hyperlink r:id="rId8" w:history="1">
        <w:r w:rsidRPr="00965378">
          <w:rPr>
            <w:rFonts w:ascii="FrankRuehl" w:hAnsi="FrankRuehl" w:cs="FrankRuehl"/>
            <w:color w:val="0000FF"/>
            <w:rtl/>
          </w:rPr>
          <w:t>.7ג</w:t>
        </w:r>
      </w:hyperlink>
      <w:r w:rsidRPr="00965378">
        <w:rPr>
          <w:rFonts w:ascii="FrankRuehl" w:hAnsi="FrankRuehl" w:cs="FrankRuehl"/>
          <w:rtl/>
        </w:rPr>
        <w:t xml:space="preserve">, </w:t>
      </w:r>
      <w:hyperlink r:id="rId9" w:history="1">
        <w:r w:rsidRPr="00965378">
          <w:rPr>
            <w:rFonts w:ascii="FrankRuehl" w:hAnsi="FrankRuehl" w:cs="FrankRuehl"/>
            <w:color w:val="0000FF"/>
            <w:rtl/>
          </w:rPr>
          <w:t>7.א.</w:t>
        </w:r>
      </w:hyperlink>
      <w:r w:rsidRPr="00965378">
        <w:rPr>
          <w:rFonts w:ascii="FrankRuehl" w:hAnsi="FrankRuehl" w:cs="FrankRuehl"/>
          <w:rtl/>
        </w:rPr>
        <w:t xml:space="preserve">, </w:t>
      </w:r>
      <w:hyperlink r:id="rId10" w:history="1">
        <w:r w:rsidRPr="00965378">
          <w:rPr>
            <w:rFonts w:ascii="FrankRuehl" w:hAnsi="FrankRuehl" w:cs="FrankRuehl"/>
            <w:color w:val="0000FF"/>
            <w:rtl/>
          </w:rPr>
          <w:t>13</w:t>
        </w:r>
      </w:hyperlink>
      <w:r w:rsidRPr="00965378">
        <w:rPr>
          <w:rFonts w:ascii="FrankRuehl" w:hAnsi="FrankRuehl" w:cs="FrankRuehl"/>
          <w:rtl/>
        </w:rPr>
        <w:t xml:space="preserve">, </w:t>
      </w:r>
      <w:hyperlink r:id="rId11" w:history="1">
        <w:r w:rsidRPr="00965378">
          <w:rPr>
            <w:rFonts w:ascii="FrankRuehl" w:hAnsi="FrankRuehl" w:cs="FrankRuehl"/>
            <w:color w:val="0000FF"/>
            <w:rtl/>
          </w:rPr>
          <w:t>19.א</w:t>
        </w:r>
      </w:hyperlink>
    </w:p>
    <w:p w14:paraId="09D1BA15" w14:textId="77777777" w:rsidR="00965378" w:rsidRPr="00965378" w:rsidRDefault="00965378" w:rsidP="00965378">
      <w:pPr>
        <w:spacing w:before="120" w:after="120" w:line="240" w:lineRule="exact"/>
        <w:ind w:left="283" w:hanging="283"/>
        <w:jc w:val="both"/>
        <w:rPr>
          <w:rFonts w:ascii="FrankRuehl" w:hAnsi="FrankRuehl" w:cs="FrankRuehl"/>
          <w:rtl/>
        </w:rPr>
      </w:pPr>
      <w:hyperlink r:id="rId12" w:history="1">
        <w:r w:rsidRPr="00965378">
          <w:rPr>
            <w:rFonts w:ascii="FrankRuehl" w:hAnsi="FrankRuehl" w:cs="FrankRuehl"/>
            <w:color w:val="0000FF"/>
            <w:rtl/>
          </w:rPr>
          <w:t>חוק העונשין, תשל"ז-1977</w:t>
        </w:r>
      </w:hyperlink>
      <w:r w:rsidRPr="00965378">
        <w:rPr>
          <w:rFonts w:ascii="FrankRuehl" w:hAnsi="FrankRuehl" w:cs="FrankRuehl"/>
          <w:rtl/>
        </w:rPr>
        <w:t xml:space="preserve">: סע'  </w:t>
      </w:r>
      <w:hyperlink r:id="rId13" w:history="1">
        <w:r w:rsidRPr="00965378">
          <w:rPr>
            <w:rFonts w:ascii="FrankRuehl" w:hAnsi="FrankRuehl" w:cs="FrankRuehl"/>
            <w:color w:val="0000FF"/>
            <w:rtl/>
          </w:rPr>
          <w:t>31</w:t>
        </w:r>
      </w:hyperlink>
      <w:r w:rsidRPr="00965378">
        <w:rPr>
          <w:rFonts w:ascii="FrankRuehl" w:hAnsi="FrankRuehl" w:cs="FrankRuehl"/>
          <w:rtl/>
        </w:rPr>
        <w:t xml:space="preserve">, </w:t>
      </w:r>
      <w:hyperlink r:id="rId14" w:history="1">
        <w:r w:rsidRPr="00965378">
          <w:rPr>
            <w:rFonts w:ascii="FrankRuehl" w:hAnsi="FrankRuehl" w:cs="FrankRuehl"/>
            <w:color w:val="0000FF"/>
            <w:rtl/>
          </w:rPr>
          <w:t>32</w:t>
        </w:r>
      </w:hyperlink>
      <w:r w:rsidRPr="00965378">
        <w:rPr>
          <w:rFonts w:ascii="FrankRuehl" w:hAnsi="FrankRuehl" w:cs="FrankRuehl"/>
          <w:rtl/>
        </w:rPr>
        <w:t xml:space="preserve">, </w:t>
      </w:r>
      <w:hyperlink r:id="rId15" w:history="1">
        <w:r w:rsidRPr="00965378">
          <w:rPr>
            <w:rFonts w:ascii="FrankRuehl" w:hAnsi="FrankRuehl" w:cs="FrankRuehl"/>
            <w:color w:val="0000FF"/>
            <w:rtl/>
          </w:rPr>
          <w:t>40ג(א)</w:t>
        </w:r>
      </w:hyperlink>
      <w:r w:rsidRPr="00965378">
        <w:rPr>
          <w:rFonts w:ascii="FrankRuehl" w:hAnsi="FrankRuehl" w:cs="FrankRuehl"/>
          <w:rtl/>
        </w:rPr>
        <w:t xml:space="preserve">, </w:t>
      </w:r>
      <w:hyperlink r:id="rId16" w:history="1">
        <w:r w:rsidRPr="00965378">
          <w:rPr>
            <w:rFonts w:ascii="FrankRuehl" w:hAnsi="FrankRuehl" w:cs="FrankRuehl"/>
            <w:color w:val="0000FF"/>
            <w:rtl/>
          </w:rPr>
          <w:t>40ד(א)</w:t>
        </w:r>
      </w:hyperlink>
      <w:r w:rsidRPr="00965378">
        <w:rPr>
          <w:rFonts w:ascii="FrankRuehl" w:hAnsi="FrankRuehl" w:cs="FrankRuehl"/>
          <w:rtl/>
        </w:rPr>
        <w:t xml:space="preserve">, </w:t>
      </w:r>
      <w:hyperlink r:id="rId17" w:history="1">
        <w:r w:rsidRPr="00965378">
          <w:rPr>
            <w:rFonts w:ascii="FrankRuehl" w:hAnsi="FrankRuehl" w:cs="FrankRuehl"/>
            <w:color w:val="0000FF"/>
            <w:rtl/>
          </w:rPr>
          <w:t>40ט(א)(2)</w:t>
        </w:r>
      </w:hyperlink>
      <w:r w:rsidRPr="00965378">
        <w:rPr>
          <w:rFonts w:ascii="FrankRuehl" w:hAnsi="FrankRuehl" w:cs="FrankRuehl"/>
          <w:rtl/>
        </w:rPr>
        <w:t xml:space="preserve">, </w:t>
      </w:r>
      <w:hyperlink r:id="rId18" w:history="1">
        <w:r w:rsidRPr="00965378">
          <w:rPr>
            <w:rFonts w:ascii="FrankRuehl" w:hAnsi="FrankRuehl" w:cs="FrankRuehl"/>
            <w:color w:val="0000FF"/>
            <w:rtl/>
          </w:rPr>
          <w:t>40ט(א)(5)</w:t>
        </w:r>
      </w:hyperlink>
      <w:r w:rsidRPr="00965378">
        <w:rPr>
          <w:rFonts w:ascii="FrankRuehl" w:hAnsi="FrankRuehl" w:cs="FrankRuehl"/>
          <w:rtl/>
        </w:rPr>
        <w:t xml:space="preserve">, </w:t>
      </w:r>
      <w:hyperlink r:id="rId19" w:history="1">
        <w:r w:rsidRPr="00965378">
          <w:rPr>
            <w:rFonts w:ascii="FrankRuehl" w:hAnsi="FrankRuehl" w:cs="FrankRuehl"/>
            <w:color w:val="0000FF"/>
            <w:rtl/>
          </w:rPr>
          <w:t>40יא</w:t>
        </w:r>
      </w:hyperlink>
      <w:r w:rsidRPr="00965378">
        <w:rPr>
          <w:rFonts w:ascii="FrankRuehl" w:hAnsi="FrankRuehl" w:cs="FrankRuehl"/>
          <w:rtl/>
        </w:rPr>
        <w:t xml:space="preserve">, </w:t>
      </w:r>
      <w:hyperlink r:id="rId20" w:history="1">
        <w:r w:rsidRPr="00965378">
          <w:rPr>
            <w:rFonts w:ascii="FrankRuehl" w:hAnsi="FrankRuehl" w:cs="FrankRuehl"/>
            <w:color w:val="0000FF"/>
            <w:rtl/>
          </w:rPr>
          <w:t>40יא(3)</w:t>
        </w:r>
      </w:hyperlink>
    </w:p>
    <w:p w14:paraId="4DDC7D89" w14:textId="77777777" w:rsidR="00965378" w:rsidRPr="00965378" w:rsidRDefault="00965378" w:rsidP="00965378">
      <w:pPr>
        <w:spacing w:before="120" w:after="120" w:line="240" w:lineRule="exact"/>
        <w:ind w:left="283" w:hanging="283"/>
        <w:jc w:val="both"/>
        <w:rPr>
          <w:rFonts w:ascii="FrankRuehl" w:hAnsi="FrankRuehl" w:cs="FrankRuehl"/>
          <w:rtl/>
        </w:rPr>
      </w:pPr>
      <w:hyperlink r:id="rId21" w:history="1">
        <w:r w:rsidRPr="00965378">
          <w:rPr>
            <w:rFonts w:ascii="FrankRuehl" w:hAnsi="FrankRuehl" w:cs="FrankRuehl"/>
            <w:color w:val="0000FF"/>
            <w:rtl/>
          </w:rPr>
          <w:t>חוק הגנת הפרטיות, תשמ"א-1981</w:t>
        </w:r>
      </w:hyperlink>
      <w:r w:rsidRPr="00965378">
        <w:rPr>
          <w:rFonts w:ascii="FrankRuehl" w:hAnsi="FrankRuehl" w:cs="FrankRuehl"/>
          <w:rtl/>
        </w:rPr>
        <w:t xml:space="preserve">: סע'  </w:t>
      </w:r>
      <w:hyperlink r:id="rId22" w:history="1">
        <w:r w:rsidRPr="00965378">
          <w:rPr>
            <w:rFonts w:ascii="FrankRuehl" w:hAnsi="FrankRuehl" w:cs="FrankRuehl"/>
            <w:color w:val="0000FF"/>
            <w:rtl/>
          </w:rPr>
          <w:t>17ב</w:t>
        </w:r>
      </w:hyperlink>
      <w:r w:rsidRPr="00965378">
        <w:rPr>
          <w:rFonts w:ascii="FrankRuehl" w:hAnsi="FrankRuehl" w:cs="FrankRuehl"/>
          <w:rtl/>
        </w:rPr>
        <w:t xml:space="preserve">, </w:t>
      </w:r>
      <w:hyperlink r:id="rId23" w:history="1">
        <w:r w:rsidRPr="00965378">
          <w:rPr>
            <w:rFonts w:ascii="FrankRuehl" w:hAnsi="FrankRuehl" w:cs="FrankRuehl"/>
            <w:color w:val="0000FF"/>
            <w:rtl/>
          </w:rPr>
          <w:t>17ב(ג)</w:t>
        </w:r>
      </w:hyperlink>
    </w:p>
    <w:p w14:paraId="1EC8DCAB" w14:textId="77777777" w:rsidR="00965378" w:rsidRPr="00965378" w:rsidRDefault="00965378" w:rsidP="00965378">
      <w:pPr>
        <w:spacing w:line="360" w:lineRule="auto"/>
        <w:jc w:val="both"/>
        <w:rPr>
          <w:rFonts w:ascii="David" w:hAnsi="David"/>
          <w:rtl/>
        </w:rPr>
      </w:pPr>
      <w:bookmarkStart w:id="4" w:name="LawTable_End"/>
      <w:bookmarkEnd w:id="4"/>
    </w:p>
    <w:p w14:paraId="1AC6552E" w14:textId="77777777" w:rsidR="00C169A9" w:rsidRPr="008F5233" w:rsidRDefault="00C169A9" w:rsidP="00C169A9">
      <w:pPr>
        <w:spacing w:line="360" w:lineRule="auto"/>
        <w:jc w:val="both"/>
        <w:rPr>
          <w:rFonts w:ascii="David" w:hAnsi="David"/>
          <w:rtl/>
        </w:rPr>
      </w:pPr>
    </w:p>
    <w:tbl>
      <w:tblPr>
        <w:bidiVisual/>
        <w:tblW w:w="8820" w:type="dxa"/>
        <w:jc w:val="center"/>
        <w:tblLook w:val="01E0" w:firstRow="1" w:lastRow="1" w:firstColumn="1" w:lastColumn="1" w:noHBand="0" w:noVBand="0"/>
      </w:tblPr>
      <w:tblGrid>
        <w:gridCol w:w="8820"/>
      </w:tblGrid>
      <w:tr w:rsidR="00C169A9" w:rsidRPr="00536203" w14:paraId="0AB13BFD" w14:textId="77777777" w:rsidTr="00C169A9">
        <w:trPr>
          <w:jc w:val="center"/>
        </w:trPr>
        <w:tc>
          <w:tcPr>
            <w:tcW w:w="8820" w:type="dxa"/>
            <w:shd w:val="clear" w:color="auto" w:fill="auto"/>
          </w:tcPr>
          <w:p w14:paraId="45BE7D02" w14:textId="77777777" w:rsidR="008F5233" w:rsidRPr="008F5233" w:rsidRDefault="008F5233" w:rsidP="008F5233">
            <w:pPr>
              <w:bidi w:val="0"/>
              <w:spacing w:line="360" w:lineRule="auto"/>
              <w:jc w:val="center"/>
              <w:rPr>
                <w:rFonts w:ascii="David" w:hAnsi="David"/>
                <w:b/>
                <w:bCs/>
                <w:i/>
                <w:iCs/>
                <w:sz w:val="32"/>
                <w:szCs w:val="32"/>
                <w:u w:val="double"/>
              </w:rPr>
            </w:pPr>
            <w:bookmarkStart w:id="5" w:name="PsakDin" w:colFirst="0" w:colLast="0"/>
            <w:r w:rsidRPr="008F5233">
              <w:rPr>
                <w:rFonts w:ascii="David" w:hAnsi="David"/>
                <w:b/>
                <w:bCs/>
                <w:i/>
                <w:iCs/>
                <w:sz w:val="32"/>
                <w:szCs w:val="32"/>
                <w:u w:val="double"/>
                <w:rtl/>
              </w:rPr>
              <w:t>גזר דין</w:t>
            </w:r>
          </w:p>
          <w:p w14:paraId="37CE9184" w14:textId="77777777" w:rsidR="00C169A9" w:rsidRPr="008F5233" w:rsidRDefault="00C169A9" w:rsidP="008F5233">
            <w:pPr>
              <w:bidi w:val="0"/>
              <w:spacing w:line="360" w:lineRule="auto"/>
              <w:jc w:val="center"/>
              <w:rPr>
                <w:rFonts w:ascii="David" w:hAnsi="David"/>
                <w:b/>
                <w:bCs/>
                <w:i/>
                <w:iCs/>
                <w:sz w:val="32"/>
                <w:szCs w:val="32"/>
                <w:u w:val="double"/>
              </w:rPr>
            </w:pPr>
          </w:p>
        </w:tc>
      </w:tr>
      <w:bookmarkEnd w:id="5"/>
    </w:tbl>
    <w:p w14:paraId="4C5713E1" w14:textId="77777777" w:rsidR="00C169A9" w:rsidRPr="00536203" w:rsidRDefault="00C169A9" w:rsidP="00C169A9">
      <w:pPr>
        <w:spacing w:line="360" w:lineRule="auto"/>
        <w:jc w:val="both"/>
        <w:rPr>
          <w:rFonts w:ascii="David" w:hAnsi="David"/>
          <w:rtl/>
        </w:rPr>
      </w:pPr>
    </w:p>
    <w:p w14:paraId="43A276B4" w14:textId="77777777" w:rsidR="00C169A9" w:rsidRPr="00536203" w:rsidRDefault="00C169A9" w:rsidP="00C169A9">
      <w:pPr>
        <w:pStyle w:val="1"/>
        <w:numPr>
          <w:ilvl w:val="0"/>
          <w:numId w:val="1"/>
        </w:numPr>
        <w:spacing w:before="0" w:line="360" w:lineRule="auto"/>
        <w:ind w:left="19" w:right="-426"/>
        <w:jc w:val="both"/>
        <w:rPr>
          <w:rFonts w:ascii="David" w:hAnsi="David" w:cs="David"/>
          <w:b/>
          <w:bCs/>
          <w:color w:val="auto"/>
          <w:sz w:val="28"/>
          <w:szCs w:val="28"/>
          <w:u w:val="single"/>
          <w:rtl/>
        </w:rPr>
      </w:pPr>
      <w:r w:rsidRPr="00536203">
        <w:rPr>
          <w:rFonts w:ascii="David" w:hAnsi="David" w:cs="David"/>
          <w:b/>
          <w:bCs/>
          <w:color w:val="auto"/>
          <w:sz w:val="28"/>
          <w:szCs w:val="28"/>
          <w:u w:val="single"/>
          <w:rtl/>
        </w:rPr>
        <w:t>רקע עובדתי</w:t>
      </w:r>
    </w:p>
    <w:p w14:paraId="4AB0BAAC" w14:textId="77777777" w:rsidR="00C169A9" w:rsidRPr="00536203" w:rsidRDefault="00C169A9" w:rsidP="00C169A9">
      <w:pPr>
        <w:pStyle w:val="11"/>
        <w:numPr>
          <w:ilvl w:val="0"/>
          <w:numId w:val="2"/>
        </w:numPr>
        <w:spacing w:after="0"/>
        <w:ind w:left="-341" w:right="-426"/>
        <w:rPr>
          <w:rFonts w:ascii="David" w:hAnsi="David" w:cs="David"/>
          <w:sz w:val="24"/>
          <w:szCs w:val="24"/>
        </w:rPr>
      </w:pPr>
      <w:bookmarkStart w:id="6" w:name="ABSTRACT_START"/>
      <w:bookmarkEnd w:id="6"/>
      <w:r w:rsidRPr="00536203">
        <w:rPr>
          <w:rFonts w:ascii="David" w:hAnsi="David" w:cs="David"/>
          <w:sz w:val="24"/>
          <w:szCs w:val="24"/>
          <w:rtl/>
        </w:rPr>
        <w:t xml:space="preserve">על פי הנטען בחלק הכללי לכתב האישום המתוקן, במועדים הרלוונטיים לכתב האישום, שימש השוטר ישראל אדרי (להלן: </w:t>
      </w:r>
      <w:r w:rsidRPr="00536203">
        <w:rPr>
          <w:rFonts w:ascii="David" w:hAnsi="David" w:cs="David"/>
          <w:b/>
          <w:bCs/>
          <w:sz w:val="24"/>
          <w:szCs w:val="24"/>
          <w:rtl/>
        </w:rPr>
        <w:t>"השוטר"</w:t>
      </w:r>
      <w:r w:rsidRPr="00536203">
        <w:rPr>
          <w:rFonts w:ascii="David" w:hAnsi="David" w:cs="David"/>
          <w:sz w:val="24"/>
          <w:szCs w:val="24"/>
          <w:rtl/>
        </w:rPr>
        <w:t>), כסוכן משטרתי.</w:t>
      </w:r>
    </w:p>
    <w:p w14:paraId="78F625CF" w14:textId="77777777" w:rsidR="00C169A9" w:rsidRPr="00536203" w:rsidRDefault="00C169A9" w:rsidP="00C169A9">
      <w:pPr>
        <w:pStyle w:val="11"/>
        <w:numPr>
          <w:ilvl w:val="0"/>
          <w:numId w:val="2"/>
        </w:numPr>
        <w:spacing w:after="0"/>
        <w:ind w:left="-341" w:right="-426"/>
        <w:rPr>
          <w:rFonts w:ascii="David" w:hAnsi="David" w:cs="David"/>
          <w:sz w:val="24"/>
          <w:szCs w:val="24"/>
        </w:rPr>
      </w:pPr>
      <w:r w:rsidRPr="00536203">
        <w:rPr>
          <w:rFonts w:ascii="David" w:hAnsi="David" w:cs="David"/>
          <w:sz w:val="24"/>
          <w:szCs w:val="24"/>
          <w:rtl/>
        </w:rPr>
        <w:t xml:space="preserve">בכל המועדים הרלוונטיים לכתב האישום, השתמש הנאשם ברכב מסוג מאזדה לנטיס 323 מ"ר 9848123 (להלן: </w:t>
      </w:r>
      <w:r w:rsidRPr="00536203">
        <w:rPr>
          <w:rFonts w:ascii="David" w:hAnsi="David" w:cs="David"/>
          <w:b/>
          <w:bCs/>
          <w:sz w:val="24"/>
          <w:szCs w:val="24"/>
          <w:rtl/>
        </w:rPr>
        <w:t>"הרכב"</w:t>
      </w:r>
      <w:r w:rsidRPr="00536203">
        <w:rPr>
          <w:rFonts w:ascii="David" w:hAnsi="David" w:cs="David"/>
          <w:sz w:val="24"/>
          <w:szCs w:val="24"/>
          <w:rtl/>
        </w:rPr>
        <w:t>).</w:t>
      </w:r>
    </w:p>
    <w:p w14:paraId="1615616D" w14:textId="77777777" w:rsidR="00C169A9" w:rsidRPr="00536203" w:rsidRDefault="00C169A9" w:rsidP="00C169A9">
      <w:pPr>
        <w:pStyle w:val="11"/>
        <w:numPr>
          <w:ilvl w:val="0"/>
          <w:numId w:val="2"/>
        </w:numPr>
        <w:spacing w:after="0"/>
        <w:ind w:left="-341" w:right="-426"/>
        <w:rPr>
          <w:rFonts w:ascii="David" w:hAnsi="David" w:cs="David"/>
          <w:sz w:val="24"/>
          <w:szCs w:val="24"/>
        </w:rPr>
      </w:pPr>
      <w:bookmarkStart w:id="7" w:name="ABSTRACT_END"/>
      <w:bookmarkEnd w:id="7"/>
      <w:r w:rsidRPr="00536203">
        <w:rPr>
          <w:rFonts w:ascii="David" w:hAnsi="David" w:cs="David"/>
          <w:sz w:val="24"/>
          <w:szCs w:val="24"/>
          <w:rtl/>
        </w:rPr>
        <w:t xml:space="preserve">זאת ועוד, במועד הרלוונטי לכתב האישום, השתמש השוטר במכשיר טלפון נייד אשר סופק לו, ובו מותקנת אפליקציית "הטלגראס" (להלן: </w:t>
      </w:r>
      <w:r w:rsidRPr="00536203">
        <w:rPr>
          <w:rFonts w:ascii="David" w:hAnsi="David" w:cs="David"/>
          <w:b/>
          <w:bCs/>
          <w:sz w:val="24"/>
          <w:szCs w:val="24"/>
          <w:rtl/>
        </w:rPr>
        <w:t>"האפליקציה"</w:t>
      </w:r>
      <w:r w:rsidRPr="00536203">
        <w:rPr>
          <w:rFonts w:ascii="David" w:hAnsi="David" w:cs="David"/>
          <w:sz w:val="24"/>
          <w:szCs w:val="24"/>
          <w:rtl/>
        </w:rPr>
        <w:t>).</w:t>
      </w:r>
    </w:p>
    <w:p w14:paraId="4D474360" w14:textId="77777777" w:rsidR="00C169A9" w:rsidRPr="00536203" w:rsidRDefault="00C169A9" w:rsidP="00C169A9">
      <w:pPr>
        <w:pStyle w:val="11"/>
        <w:numPr>
          <w:ilvl w:val="0"/>
          <w:numId w:val="2"/>
        </w:numPr>
        <w:spacing w:after="0"/>
        <w:ind w:left="-341" w:right="-426"/>
        <w:rPr>
          <w:rFonts w:ascii="David" w:hAnsi="David" w:cs="David"/>
          <w:sz w:val="24"/>
          <w:szCs w:val="24"/>
        </w:rPr>
      </w:pPr>
      <w:r w:rsidRPr="00536203">
        <w:rPr>
          <w:rFonts w:ascii="David" w:hAnsi="David" w:cs="David"/>
          <w:sz w:val="24"/>
          <w:szCs w:val="24"/>
          <w:rtl/>
        </w:rPr>
        <w:lastRenderedPageBreak/>
        <w:t>על פי הנטען בעובדות כתב האישום המתוקן, ביום 08.01.2019, בסמוך לשעה 15:00, יצר השוטר קשר בהודעה באמצעות האפליקציה, עם "</w:t>
      </w:r>
      <w:r w:rsidRPr="00536203">
        <w:rPr>
          <w:rFonts w:ascii="David" w:hAnsi="David" w:cs="David"/>
          <w:sz w:val="24"/>
          <w:szCs w:val="24"/>
        </w:rPr>
        <w:t>User</w:t>
      </w:r>
      <w:r w:rsidRPr="00536203">
        <w:rPr>
          <w:rFonts w:ascii="David" w:hAnsi="David" w:cs="David"/>
          <w:sz w:val="24"/>
          <w:szCs w:val="24"/>
          <w:rtl/>
        </w:rPr>
        <w:t>" המופיע באפליקציה תחת שם המשתמש "</w:t>
      </w:r>
      <w:r w:rsidRPr="00536203">
        <w:rPr>
          <w:rFonts w:ascii="David" w:hAnsi="David" w:cs="David"/>
          <w:sz w:val="24"/>
          <w:szCs w:val="24"/>
        </w:rPr>
        <w:t>Organica II</w:t>
      </w:r>
      <w:r w:rsidRPr="00536203">
        <w:rPr>
          <w:rFonts w:ascii="David" w:hAnsi="David" w:cs="David"/>
          <w:sz w:val="24"/>
          <w:szCs w:val="24"/>
          <w:rtl/>
        </w:rPr>
        <w:t>",</w:t>
      </w:r>
      <w:r w:rsidRPr="00536203">
        <w:rPr>
          <w:rFonts w:ascii="David" w:hAnsi="David" w:cs="David"/>
          <w:sz w:val="24"/>
          <w:szCs w:val="24"/>
        </w:rPr>
        <w:t xml:space="preserve"> </w:t>
      </w:r>
      <w:r w:rsidRPr="00536203">
        <w:rPr>
          <w:rFonts w:ascii="David" w:hAnsi="David" w:cs="David"/>
          <w:sz w:val="24"/>
          <w:szCs w:val="24"/>
          <w:rtl/>
        </w:rPr>
        <w:t xml:space="preserve">בה השתמש אחר שזהותו אינה ידועה למאשימה (להלן: </w:t>
      </w:r>
      <w:r w:rsidRPr="00536203">
        <w:rPr>
          <w:rFonts w:ascii="David" w:hAnsi="David" w:cs="David"/>
          <w:b/>
          <w:bCs/>
          <w:sz w:val="24"/>
          <w:szCs w:val="24"/>
          <w:rtl/>
        </w:rPr>
        <w:t>"האחר"</w:t>
      </w:r>
      <w:r w:rsidRPr="00536203">
        <w:rPr>
          <w:rFonts w:ascii="David" w:hAnsi="David" w:cs="David"/>
          <w:sz w:val="24"/>
          <w:szCs w:val="24"/>
          <w:rtl/>
        </w:rPr>
        <w:t>), במסגרתה שאל השוטר את האחר: "כמה 2 אח?", ובתגובה לכך , השיב האחר: "200 אבל מתחילים בחמש אם מתאים לך".</w:t>
      </w:r>
    </w:p>
    <w:p w14:paraId="41F09D3B" w14:textId="77777777" w:rsidR="00C169A9" w:rsidRPr="00536203" w:rsidRDefault="00C169A9" w:rsidP="00C169A9">
      <w:pPr>
        <w:pStyle w:val="11"/>
        <w:numPr>
          <w:ilvl w:val="0"/>
          <w:numId w:val="2"/>
        </w:numPr>
        <w:spacing w:after="0"/>
        <w:ind w:left="-341" w:right="-426"/>
        <w:rPr>
          <w:rFonts w:ascii="David" w:hAnsi="David" w:cs="David"/>
          <w:sz w:val="24"/>
          <w:szCs w:val="24"/>
        </w:rPr>
      </w:pPr>
      <w:r w:rsidRPr="00536203">
        <w:rPr>
          <w:rFonts w:ascii="David" w:hAnsi="David" w:cs="David"/>
          <w:sz w:val="24"/>
          <w:szCs w:val="24"/>
          <w:rtl/>
        </w:rPr>
        <w:t>בשלב זה ציין השוטר כי הוא מעדיף מוקדם יותר, והשניים קבעו לשוחח שוב כעבור שעה.</w:t>
      </w:r>
    </w:p>
    <w:p w14:paraId="46CCB4BA" w14:textId="77777777" w:rsidR="00C169A9" w:rsidRPr="00536203" w:rsidRDefault="00C169A9" w:rsidP="00C169A9">
      <w:pPr>
        <w:pStyle w:val="11"/>
        <w:numPr>
          <w:ilvl w:val="0"/>
          <w:numId w:val="2"/>
        </w:numPr>
        <w:spacing w:after="0"/>
        <w:ind w:left="-341" w:right="-426"/>
        <w:rPr>
          <w:rFonts w:ascii="David" w:hAnsi="David" w:cs="David"/>
          <w:sz w:val="24"/>
          <w:szCs w:val="24"/>
        </w:rPr>
      </w:pPr>
      <w:r w:rsidRPr="00536203">
        <w:rPr>
          <w:rFonts w:ascii="David" w:hAnsi="David" w:cs="David"/>
          <w:sz w:val="24"/>
          <w:szCs w:val="24"/>
          <w:rtl/>
        </w:rPr>
        <w:t>באותו היום, בסמוך לשעה 16:11, פנה השוטר לאחר בהודעה באמצעות האפליקציה ובה כתב: "מה קורה אחשלי אפשר?", והאחר השיב לו: "כן אחי איזה עיר?".</w:t>
      </w:r>
    </w:p>
    <w:p w14:paraId="363E2AAC" w14:textId="77777777" w:rsidR="00C169A9" w:rsidRPr="00536203" w:rsidRDefault="00C169A9" w:rsidP="00C169A9">
      <w:pPr>
        <w:pStyle w:val="11"/>
        <w:numPr>
          <w:ilvl w:val="0"/>
          <w:numId w:val="2"/>
        </w:numPr>
        <w:spacing w:after="0"/>
        <w:ind w:left="-341" w:right="-426"/>
        <w:rPr>
          <w:rFonts w:ascii="David" w:hAnsi="David" w:cs="David"/>
          <w:sz w:val="24"/>
          <w:szCs w:val="24"/>
        </w:rPr>
      </w:pPr>
      <w:r w:rsidRPr="00536203">
        <w:rPr>
          <w:rFonts w:ascii="David" w:hAnsi="David" w:cs="David"/>
          <w:sz w:val="24"/>
          <w:szCs w:val="24"/>
          <w:rtl/>
        </w:rPr>
        <w:t>בהמשך, המשיכו השוטר והאחר להתכתב בהודעות באמצעות האפליקציה, במסגרתן ציין האחר כי אין אפשרות להגיע לאסוף את הסמים, ולאחר אימות פרטים, ביקש האחר מהשוטר כי: "תשלח לי כתובת אחי".</w:t>
      </w:r>
    </w:p>
    <w:p w14:paraId="09F7DFEE" w14:textId="77777777" w:rsidR="00C169A9" w:rsidRPr="00536203" w:rsidRDefault="00C169A9" w:rsidP="00C169A9">
      <w:pPr>
        <w:pStyle w:val="11"/>
        <w:numPr>
          <w:ilvl w:val="0"/>
          <w:numId w:val="2"/>
        </w:numPr>
        <w:spacing w:after="0"/>
        <w:ind w:left="-341" w:right="-426"/>
        <w:rPr>
          <w:rFonts w:ascii="David" w:hAnsi="David" w:cs="David"/>
          <w:sz w:val="24"/>
          <w:szCs w:val="24"/>
        </w:rPr>
      </w:pPr>
      <w:r w:rsidRPr="00536203">
        <w:rPr>
          <w:rFonts w:ascii="David" w:hAnsi="David" w:cs="David"/>
          <w:sz w:val="24"/>
          <w:szCs w:val="24"/>
          <w:rtl/>
        </w:rPr>
        <w:t>באותו מועד בסמוך לשעה 19:50, כתב הנאשם לאחר בהודעה באמצעות האפליקציה: "ואני יגיע לסונול בכניסה לעיר וניפגש שם". בתגובה לכך, שלח האחר לשוטר את ה "</w:t>
      </w:r>
      <w:r w:rsidRPr="00536203">
        <w:rPr>
          <w:rFonts w:ascii="David" w:hAnsi="David" w:cs="David"/>
          <w:sz w:val="24"/>
          <w:szCs w:val="24"/>
        </w:rPr>
        <w:t>User</w:t>
      </w:r>
      <w:r w:rsidRPr="00536203">
        <w:rPr>
          <w:rFonts w:ascii="David" w:hAnsi="David" w:cs="David"/>
          <w:sz w:val="24"/>
          <w:szCs w:val="24"/>
          <w:rtl/>
        </w:rPr>
        <w:t>" של הנאשם.</w:t>
      </w:r>
    </w:p>
    <w:p w14:paraId="05565FF7" w14:textId="77777777" w:rsidR="00C169A9" w:rsidRPr="00536203" w:rsidRDefault="00C169A9" w:rsidP="00C169A9">
      <w:pPr>
        <w:pStyle w:val="11"/>
        <w:numPr>
          <w:ilvl w:val="0"/>
          <w:numId w:val="2"/>
        </w:numPr>
        <w:spacing w:after="0"/>
        <w:ind w:left="-341" w:right="-426"/>
        <w:rPr>
          <w:rFonts w:ascii="David" w:hAnsi="David" w:cs="David"/>
          <w:sz w:val="24"/>
          <w:szCs w:val="24"/>
        </w:rPr>
      </w:pPr>
      <w:r w:rsidRPr="00536203">
        <w:rPr>
          <w:rFonts w:ascii="David" w:hAnsi="David" w:cs="David"/>
          <w:sz w:val="24"/>
          <w:szCs w:val="24"/>
          <w:rtl/>
        </w:rPr>
        <w:t>בהמשך, התכתב השוטר בהודעות באמצעות האפליקציה עם הנאשם, תחת שם המשתמש "</w:t>
      </w:r>
      <w:r w:rsidRPr="00536203">
        <w:rPr>
          <w:rFonts w:ascii="David" w:hAnsi="David" w:cs="David"/>
          <w:sz w:val="24"/>
          <w:szCs w:val="24"/>
        </w:rPr>
        <w:t>Syhn</w:t>
      </w:r>
      <w:r w:rsidRPr="00536203">
        <w:rPr>
          <w:rFonts w:ascii="David" w:hAnsi="David" w:cs="David"/>
          <w:sz w:val="24"/>
          <w:szCs w:val="24"/>
          <w:rtl/>
        </w:rPr>
        <w:t xml:space="preserve">", והשניים קבעו להיפגש בתחנת הדלק "סונול" ברחוב הדרום 2 בקרית גת (להלן: </w:t>
      </w:r>
      <w:r w:rsidRPr="00536203">
        <w:rPr>
          <w:rFonts w:ascii="David" w:hAnsi="David" w:cs="David"/>
          <w:b/>
          <w:bCs/>
          <w:sz w:val="24"/>
          <w:szCs w:val="24"/>
          <w:rtl/>
        </w:rPr>
        <w:t>"המקום"</w:t>
      </w:r>
      <w:r w:rsidRPr="00536203">
        <w:rPr>
          <w:rFonts w:ascii="David" w:hAnsi="David" w:cs="David"/>
          <w:sz w:val="24"/>
          <w:szCs w:val="24"/>
          <w:rtl/>
        </w:rPr>
        <w:t>).</w:t>
      </w:r>
    </w:p>
    <w:p w14:paraId="5DAC4A8A" w14:textId="77777777" w:rsidR="00C169A9" w:rsidRPr="00536203" w:rsidRDefault="00C169A9" w:rsidP="00C169A9">
      <w:pPr>
        <w:pStyle w:val="11"/>
        <w:numPr>
          <w:ilvl w:val="0"/>
          <w:numId w:val="2"/>
        </w:numPr>
        <w:spacing w:after="0"/>
        <w:ind w:left="-341" w:right="-426"/>
        <w:rPr>
          <w:rFonts w:ascii="David" w:hAnsi="David" w:cs="David"/>
          <w:sz w:val="24"/>
          <w:szCs w:val="24"/>
        </w:rPr>
      </w:pPr>
      <w:r w:rsidRPr="00536203">
        <w:rPr>
          <w:rFonts w:ascii="David" w:hAnsi="David" w:cs="David"/>
          <w:sz w:val="24"/>
          <w:szCs w:val="24"/>
          <w:rtl/>
        </w:rPr>
        <w:t>באותו היום, בסמוך לשעה 20:30, הגיע הנאשם למקום ברכב ונפגש עם השוטר, ובנסיבות אלו מסר הנאשם לשוטר סם מסוכן מסוג קנבוס במשקל של 2.14 גרם נטו, ואילו השוטר מסר לו בתמורה סך של 200 ₪.</w:t>
      </w:r>
    </w:p>
    <w:p w14:paraId="35B478BC" w14:textId="77777777" w:rsidR="00C169A9" w:rsidRPr="00536203" w:rsidRDefault="00C169A9" w:rsidP="00C169A9">
      <w:pPr>
        <w:pStyle w:val="11"/>
        <w:numPr>
          <w:ilvl w:val="0"/>
          <w:numId w:val="2"/>
        </w:numPr>
        <w:spacing w:after="0"/>
        <w:ind w:left="-341" w:right="-426"/>
        <w:rPr>
          <w:rFonts w:ascii="David" w:hAnsi="David" w:cs="David"/>
          <w:sz w:val="24"/>
          <w:szCs w:val="24"/>
        </w:rPr>
      </w:pPr>
      <w:r w:rsidRPr="00536203">
        <w:rPr>
          <w:rFonts w:ascii="David" w:hAnsi="David" w:cs="David"/>
          <w:sz w:val="24"/>
          <w:szCs w:val="24"/>
          <w:rtl/>
        </w:rPr>
        <w:t>בהמשך למתואר לעיל, בסמוך לשעה 20:50, שלח הנאשם הודעה קולית לשוטר, באמצעות האפליקציה, ובה שאל: "...איך החומר אהבת?". מיד ובסמוך, משהשיב השוטר כי הוא מרוצה, השיב לו הנאשם: "מבסוט עליך יא אח תודה רבה".</w:t>
      </w:r>
    </w:p>
    <w:p w14:paraId="67888DA6" w14:textId="77777777" w:rsidR="00C169A9" w:rsidRPr="00536203" w:rsidRDefault="00C169A9" w:rsidP="00C169A9">
      <w:pPr>
        <w:pStyle w:val="11"/>
        <w:numPr>
          <w:ilvl w:val="0"/>
          <w:numId w:val="2"/>
        </w:numPr>
        <w:spacing w:after="0"/>
        <w:ind w:left="-341" w:right="-426"/>
        <w:rPr>
          <w:rFonts w:ascii="David" w:hAnsi="David" w:cs="David"/>
          <w:sz w:val="24"/>
          <w:szCs w:val="24"/>
        </w:rPr>
      </w:pPr>
      <w:r w:rsidRPr="00536203">
        <w:rPr>
          <w:rFonts w:ascii="David" w:hAnsi="David" w:cs="David"/>
          <w:sz w:val="24"/>
          <w:szCs w:val="24"/>
          <w:rtl/>
        </w:rPr>
        <w:t>במקביל, פנה אף האחר לשוטר באמצעות הודעה באפליקציה וביקש ממנו כי יחווה דעתו לגבי הסחורה והשירות.</w:t>
      </w:r>
    </w:p>
    <w:p w14:paraId="7CAF12D6" w14:textId="77777777" w:rsidR="00C169A9" w:rsidRPr="00536203" w:rsidRDefault="00C169A9" w:rsidP="00C169A9">
      <w:pPr>
        <w:pStyle w:val="11"/>
        <w:numPr>
          <w:ilvl w:val="0"/>
          <w:numId w:val="2"/>
        </w:numPr>
        <w:spacing w:after="0"/>
        <w:ind w:left="-341" w:right="-426"/>
        <w:rPr>
          <w:rFonts w:ascii="David" w:hAnsi="David" w:cs="David"/>
          <w:sz w:val="24"/>
          <w:szCs w:val="24"/>
        </w:rPr>
      </w:pPr>
      <w:r w:rsidRPr="00536203">
        <w:rPr>
          <w:rFonts w:ascii="David" w:hAnsi="David" w:cs="David"/>
          <w:sz w:val="24"/>
          <w:szCs w:val="24"/>
          <w:rtl/>
        </w:rPr>
        <w:t>במעשיו כמתואר לעיל, סייע הנאשם לאחר לסחור בסם מסוכן.</w:t>
      </w:r>
    </w:p>
    <w:p w14:paraId="63728D68" w14:textId="77777777" w:rsidR="00C169A9" w:rsidRPr="00536203" w:rsidRDefault="00C169A9" w:rsidP="00C169A9">
      <w:pPr>
        <w:pStyle w:val="11"/>
        <w:numPr>
          <w:ilvl w:val="0"/>
          <w:numId w:val="2"/>
        </w:numPr>
        <w:spacing w:after="0"/>
        <w:ind w:right="-426"/>
        <w:rPr>
          <w:rFonts w:ascii="David" w:hAnsi="David" w:cs="David"/>
          <w:sz w:val="24"/>
          <w:szCs w:val="24"/>
        </w:rPr>
      </w:pPr>
      <w:r w:rsidRPr="00536203">
        <w:rPr>
          <w:rFonts w:ascii="David" w:hAnsi="David" w:cs="David"/>
          <w:sz w:val="24"/>
          <w:szCs w:val="24"/>
          <w:rtl/>
        </w:rPr>
        <w:t>עוד נטען, כי ביום 25.03.2019, בסמוך לשעה  09:37, החזיק הנאשם ברכב בסם מסוכן מסוג קנבוס במשקל של 17.60 גרם נטו, לצריכתו העצמית, וכי ביום 25.03.2019, בסמוך לשעה 19:40, בדירה ברחוב בנימין 40/6 באשקלון, החזיק הנאשם בסם מסוכן מסוג קנבוס במשקל של 2.29 גרם נטו, לצריכתו העצמית.</w:t>
      </w:r>
    </w:p>
    <w:p w14:paraId="3CA7BDC0" w14:textId="77777777" w:rsidR="00C169A9" w:rsidRPr="006511D9" w:rsidRDefault="00C169A9" w:rsidP="00C169A9">
      <w:pPr>
        <w:pStyle w:val="11"/>
        <w:numPr>
          <w:ilvl w:val="0"/>
          <w:numId w:val="2"/>
        </w:numPr>
        <w:spacing w:after="0"/>
        <w:ind w:left="-341" w:right="-426"/>
        <w:rPr>
          <w:rFonts w:ascii="David" w:hAnsi="David" w:cs="David"/>
          <w:sz w:val="24"/>
          <w:szCs w:val="24"/>
          <w:u w:val="single"/>
        </w:rPr>
      </w:pPr>
      <w:r w:rsidRPr="00536203">
        <w:rPr>
          <w:rFonts w:ascii="David" w:hAnsi="David" w:cs="David"/>
          <w:sz w:val="24"/>
          <w:szCs w:val="24"/>
          <w:rtl/>
        </w:rPr>
        <w:t xml:space="preserve">בגין אלו הורשע הנאשם </w:t>
      </w:r>
      <w:r w:rsidRPr="00536203">
        <w:rPr>
          <w:rFonts w:ascii="David" w:hAnsi="David" w:cs="David"/>
          <w:b/>
          <w:bCs/>
          <w:sz w:val="24"/>
          <w:szCs w:val="24"/>
          <w:rtl/>
        </w:rPr>
        <w:t xml:space="preserve">בסיוע לעבירה של יצוא, יבוא, מסחר, הספקת סמים מסוכנים </w:t>
      </w:r>
      <w:r w:rsidRPr="00536203">
        <w:rPr>
          <w:rFonts w:ascii="David" w:hAnsi="David" w:cs="David"/>
          <w:sz w:val="24"/>
          <w:szCs w:val="24"/>
          <w:rtl/>
        </w:rPr>
        <w:t xml:space="preserve">לפי </w:t>
      </w:r>
      <w:r w:rsidRPr="008F5233">
        <w:rPr>
          <w:rFonts w:ascii="David" w:hAnsi="David" w:cs="David"/>
          <w:color w:val="000000"/>
          <w:sz w:val="24"/>
          <w:szCs w:val="24"/>
          <w:rtl/>
        </w:rPr>
        <w:t>סעיפים</w:t>
      </w:r>
      <w:hyperlink r:id="rId24" w:history="1">
        <w:r w:rsidR="003F697E" w:rsidRPr="003F697E">
          <w:rPr>
            <w:rStyle w:val="Hyperlink"/>
            <w:rFonts w:ascii="David" w:hAnsi="David" w:cs="David"/>
            <w:sz w:val="24"/>
            <w:szCs w:val="24"/>
            <w:rtl/>
          </w:rPr>
          <w:t xml:space="preserve"> 13 + 19א</w:t>
        </w:r>
      </w:hyperlink>
      <w:r w:rsidRPr="00536203">
        <w:rPr>
          <w:rFonts w:ascii="David" w:hAnsi="David" w:cs="David"/>
          <w:sz w:val="24"/>
          <w:szCs w:val="24"/>
          <w:rtl/>
        </w:rPr>
        <w:t xml:space="preserve"> ל</w:t>
      </w:r>
      <w:hyperlink r:id="rId25" w:history="1">
        <w:r w:rsidR="008F5233" w:rsidRPr="008F5233">
          <w:rPr>
            <w:rFonts w:ascii="David" w:hAnsi="David" w:cs="David"/>
            <w:color w:val="0000FF"/>
            <w:sz w:val="24"/>
            <w:szCs w:val="24"/>
            <w:u w:val="single"/>
            <w:rtl/>
          </w:rPr>
          <w:t>פקודת הסמים המסוכנים</w:t>
        </w:r>
      </w:hyperlink>
      <w:r w:rsidRPr="00536203">
        <w:rPr>
          <w:rFonts w:ascii="David" w:hAnsi="David" w:cs="David"/>
          <w:sz w:val="24"/>
          <w:szCs w:val="24"/>
          <w:rtl/>
        </w:rPr>
        <w:t xml:space="preserve"> (נוסח חדש) תשל"ג- 1973 (להלן: </w:t>
      </w:r>
      <w:r w:rsidRPr="00536203">
        <w:rPr>
          <w:rFonts w:ascii="David" w:hAnsi="David" w:cs="David"/>
          <w:b/>
          <w:bCs/>
          <w:sz w:val="24"/>
          <w:szCs w:val="24"/>
          <w:rtl/>
        </w:rPr>
        <w:t>"פקודת הסמים המסוכנים"</w:t>
      </w:r>
      <w:r w:rsidRPr="00536203">
        <w:rPr>
          <w:rFonts w:ascii="David" w:hAnsi="David" w:cs="David"/>
          <w:sz w:val="24"/>
          <w:szCs w:val="24"/>
          <w:rtl/>
        </w:rPr>
        <w:t xml:space="preserve"> או </w:t>
      </w:r>
      <w:r w:rsidRPr="00536203">
        <w:rPr>
          <w:rFonts w:ascii="David" w:hAnsi="David" w:cs="David"/>
          <w:b/>
          <w:bCs/>
          <w:sz w:val="24"/>
          <w:szCs w:val="24"/>
          <w:rtl/>
        </w:rPr>
        <w:t>"הפקודה"</w:t>
      </w:r>
      <w:r w:rsidRPr="00536203">
        <w:rPr>
          <w:rFonts w:ascii="David" w:hAnsi="David" w:cs="David"/>
          <w:sz w:val="24"/>
          <w:szCs w:val="24"/>
          <w:rtl/>
        </w:rPr>
        <w:t>)</w:t>
      </w:r>
      <w:r w:rsidRPr="00536203">
        <w:rPr>
          <w:rFonts w:ascii="David" w:hAnsi="David" w:cs="David"/>
          <w:b/>
          <w:bCs/>
          <w:sz w:val="24"/>
          <w:szCs w:val="24"/>
          <w:rtl/>
        </w:rPr>
        <w:t xml:space="preserve"> + </w:t>
      </w:r>
      <w:hyperlink r:id="rId26" w:history="1">
        <w:r w:rsidR="003F697E" w:rsidRPr="003F697E">
          <w:rPr>
            <w:rStyle w:val="Hyperlink"/>
            <w:rFonts w:ascii="David" w:hAnsi="David" w:cs="David"/>
            <w:sz w:val="24"/>
            <w:szCs w:val="24"/>
            <w:rtl/>
          </w:rPr>
          <w:t>סעיף 31</w:t>
        </w:r>
      </w:hyperlink>
      <w:r w:rsidRPr="00536203">
        <w:rPr>
          <w:rFonts w:ascii="David" w:hAnsi="David" w:cs="David"/>
          <w:sz w:val="24"/>
          <w:szCs w:val="24"/>
          <w:rtl/>
        </w:rPr>
        <w:t xml:space="preserve"> ל</w:t>
      </w:r>
      <w:hyperlink r:id="rId27" w:history="1">
        <w:r w:rsidR="008F5233" w:rsidRPr="008F5233">
          <w:rPr>
            <w:rFonts w:ascii="David" w:hAnsi="David" w:cs="David"/>
            <w:color w:val="0000FF"/>
            <w:sz w:val="24"/>
            <w:szCs w:val="24"/>
            <w:u w:val="single"/>
            <w:rtl/>
          </w:rPr>
          <w:t>חוק העונשין</w:t>
        </w:r>
      </w:hyperlink>
      <w:r w:rsidRPr="00536203">
        <w:rPr>
          <w:rFonts w:ascii="David" w:hAnsi="David" w:cs="David"/>
          <w:sz w:val="24"/>
          <w:szCs w:val="24"/>
          <w:rtl/>
        </w:rPr>
        <w:t xml:space="preserve"> התשל"ז -1977</w:t>
      </w:r>
      <w:r w:rsidRPr="00536203">
        <w:rPr>
          <w:rFonts w:ascii="David" w:hAnsi="David" w:cs="David"/>
          <w:b/>
          <w:bCs/>
          <w:sz w:val="24"/>
          <w:szCs w:val="24"/>
          <w:rtl/>
        </w:rPr>
        <w:t xml:space="preserve">; ובעבירה של החזקת סם לצריכה עצמית, </w:t>
      </w:r>
      <w:r w:rsidRPr="006511D9">
        <w:rPr>
          <w:rFonts w:ascii="David" w:hAnsi="David" w:cs="David"/>
          <w:sz w:val="24"/>
          <w:szCs w:val="24"/>
          <w:u w:val="single"/>
          <w:rtl/>
        </w:rPr>
        <w:t xml:space="preserve">לפי סעיפים </w:t>
      </w:r>
      <w:hyperlink r:id="rId28" w:history="1">
        <w:r w:rsidR="003F697E" w:rsidRPr="003F697E">
          <w:rPr>
            <w:rStyle w:val="Hyperlink"/>
            <w:rFonts w:ascii="David" w:hAnsi="David" w:cs="David"/>
            <w:sz w:val="24"/>
            <w:szCs w:val="24"/>
            <w:rtl/>
          </w:rPr>
          <w:t>7(א) + ר(ג)</w:t>
        </w:r>
      </w:hyperlink>
      <w:r w:rsidRPr="006511D9">
        <w:rPr>
          <w:rFonts w:ascii="David" w:hAnsi="David" w:cs="David"/>
          <w:sz w:val="24"/>
          <w:szCs w:val="24"/>
          <w:u w:val="single"/>
          <w:rtl/>
        </w:rPr>
        <w:t xml:space="preserve"> סיפא לפקודה.</w:t>
      </w:r>
    </w:p>
    <w:p w14:paraId="0A2748F8" w14:textId="77777777" w:rsidR="00C169A9" w:rsidRPr="00536203" w:rsidRDefault="00C169A9" w:rsidP="00C169A9">
      <w:pPr>
        <w:pStyle w:val="aa"/>
        <w:numPr>
          <w:ilvl w:val="0"/>
          <w:numId w:val="2"/>
        </w:numPr>
        <w:spacing w:after="0"/>
        <w:ind w:left="-341" w:right="-426"/>
      </w:pPr>
      <w:r w:rsidRPr="00536203">
        <w:rPr>
          <w:rtl/>
        </w:rPr>
        <w:t xml:space="preserve">במסגרת הסדר הטיעון הצהירה המאשימה כי תגביל את עתירתה העונשית ל- 6 חודשים מאסר שיכול וירוצו בעבודות שירות וענישה נלוות, ומנגד, הוסכם כי ההגנה תוכל לטעון לעונש כראות עיניה. עוד הוסכם כי הנאשם יופנה לשירות המבחן על מנת שיתקבל תסקיר בעניינו, שיבחן לבקשת ההגנה את שאלת ביטול ההרשעה. </w:t>
      </w:r>
    </w:p>
    <w:p w14:paraId="2026F9E2" w14:textId="77777777" w:rsidR="00C169A9" w:rsidRPr="00536203" w:rsidRDefault="00C169A9" w:rsidP="00C169A9">
      <w:pPr>
        <w:pStyle w:val="11"/>
        <w:numPr>
          <w:ilvl w:val="0"/>
          <w:numId w:val="2"/>
        </w:numPr>
        <w:spacing w:after="0"/>
        <w:ind w:left="-341" w:right="-426"/>
        <w:rPr>
          <w:rFonts w:ascii="David" w:hAnsi="David" w:cs="David"/>
          <w:sz w:val="24"/>
          <w:szCs w:val="24"/>
        </w:rPr>
      </w:pPr>
      <w:r w:rsidRPr="00536203">
        <w:rPr>
          <w:rFonts w:ascii="David" w:hAnsi="David" w:cs="David"/>
          <w:sz w:val="24"/>
          <w:szCs w:val="24"/>
          <w:rtl/>
        </w:rPr>
        <w:t xml:space="preserve">בעניינו של הנאשם התקבלו </w:t>
      </w:r>
      <w:r w:rsidRPr="00536203">
        <w:rPr>
          <w:rFonts w:ascii="David" w:hAnsi="David" w:cs="David"/>
          <w:b/>
          <w:bCs/>
          <w:sz w:val="24"/>
          <w:szCs w:val="24"/>
          <w:rtl/>
        </w:rPr>
        <w:t>שני תסקירים,</w:t>
      </w:r>
      <w:r w:rsidRPr="00536203">
        <w:rPr>
          <w:rFonts w:ascii="David" w:hAnsi="David" w:cs="David"/>
          <w:sz w:val="24"/>
          <w:szCs w:val="24"/>
          <w:rtl/>
        </w:rPr>
        <w:t xml:space="preserve"> ובסופם, המליץ שירות המבחן לבטל את הרשעת הנאשם, ולהשית עליו עונש בדמות 150 שעות של"צ. בגוף התסקירים, עומד שירות המבחן על קורות חייו וחיי משפחתו של הנאשם, על מאפייניו האישיותיים, יחסו לעבירות, ההליכים הטיפוליים שנעשו בעניינו, ועוד. מטעמים של צנעת הפרט לא אעלה עלי גזר הדין את כל המפורט בתסקירים האמורים, מלבד אותם נתונים הרלוונטיים לשאלת העונש שאליהם אתייחס בהמשך.</w:t>
      </w:r>
    </w:p>
    <w:p w14:paraId="124D17E4" w14:textId="77777777" w:rsidR="00C169A9" w:rsidRPr="00536203" w:rsidRDefault="00C169A9" w:rsidP="00C169A9">
      <w:pPr>
        <w:pStyle w:val="11"/>
        <w:numPr>
          <w:ilvl w:val="0"/>
          <w:numId w:val="2"/>
        </w:numPr>
        <w:spacing w:after="0"/>
        <w:ind w:left="-341" w:right="-426"/>
        <w:rPr>
          <w:rFonts w:ascii="David" w:hAnsi="David" w:cs="David"/>
          <w:sz w:val="24"/>
          <w:szCs w:val="24"/>
        </w:rPr>
      </w:pPr>
      <w:r w:rsidRPr="00536203">
        <w:rPr>
          <w:rFonts w:ascii="David" w:hAnsi="David" w:cs="David"/>
          <w:b/>
          <w:bCs/>
          <w:sz w:val="24"/>
          <w:szCs w:val="24"/>
          <w:rtl/>
        </w:rPr>
        <w:t>מחוות דעת הממונה</w:t>
      </w:r>
      <w:r w:rsidRPr="00536203">
        <w:rPr>
          <w:rFonts w:ascii="David" w:hAnsi="David" w:cs="David"/>
          <w:sz w:val="24"/>
          <w:szCs w:val="24"/>
          <w:rtl/>
        </w:rPr>
        <w:t xml:space="preserve"> שהוגשה בעניינו של הנאשם ביום 22.07.2020, עולה כי הנאשם מתאים לביצוע עבודות שירות. </w:t>
      </w:r>
    </w:p>
    <w:p w14:paraId="329A2F90" w14:textId="77777777" w:rsidR="00C169A9" w:rsidRPr="00536203" w:rsidRDefault="00C169A9" w:rsidP="00C169A9">
      <w:pPr>
        <w:pStyle w:val="11"/>
        <w:spacing w:after="0"/>
        <w:ind w:left="-341" w:right="-426" w:firstLine="0"/>
        <w:rPr>
          <w:rFonts w:ascii="David" w:hAnsi="David" w:cs="David"/>
          <w:sz w:val="24"/>
          <w:szCs w:val="24"/>
        </w:rPr>
      </w:pPr>
    </w:p>
    <w:p w14:paraId="601F87D2" w14:textId="77777777" w:rsidR="00C169A9" w:rsidRPr="00536203" w:rsidRDefault="00C169A9" w:rsidP="00C169A9">
      <w:pPr>
        <w:pStyle w:val="1"/>
        <w:numPr>
          <w:ilvl w:val="0"/>
          <w:numId w:val="3"/>
        </w:numPr>
        <w:spacing w:before="0" w:line="360" w:lineRule="auto"/>
        <w:ind w:left="19" w:right="-426"/>
        <w:jc w:val="both"/>
        <w:rPr>
          <w:rFonts w:ascii="David" w:hAnsi="David" w:cs="David"/>
          <w:b/>
          <w:bCs/>
          <w:color w:val="auto"/>
          <w:sz w:val="28"/>
          <w:szCs w:val="28"/>
          <w:u w:val="single"/>
        </w:rPr>
      </w:pPr>
      <w:r w:rsidRPr="00536203">
        <w:rPr>
          <w:rFonts w:ascii="David" w:hAnsi="David" w:cs="David"/>
          <w:b/>
          <w:bCs/>
          <w:color w:val="auto"/>
          <w:sz w:val="28"/>
          <w:szCs w:val="28"/>
          <w:u w:val="single"/>
          <w:rtl/>
        </w:rPr>
        <w:t>טיעוני הצדדים (עיקרי הדברים)</w:t>
      </w:r>
    </w:p>
    <w:p w14:paraId="34AA5B55" w14:textId="77777777" w:rsidR="00C169A9" w:rsidRPr="00536203" w:rsidRDefault="00C169A9" w:rsidP="00C169A9">
      <w:pPr>
        <w:pStyle w:val="11"/>
        <w:numPr>
          <w:ilvl w:val="0"/>
          <w:numId w:val="2"/>
        </w:numPr>
        <w:spacing w:after="0"/>
        <w:ind w:left="-341" w:right="-426"/>
        <w:rPr>
          <w:rFonts w:ascii="David" w:hAnsi="David" w:cs="David"/>
          <w:sz w:val="24"/>
          <w:szCs w:val="24"/>
        </w:rPr>
      </w:pPr>
      <w:r w:rsidRPr="00536203">
        <w:rPr>
          <w:rFonts w:ascii="David" w:hAnsi="David" w:cs="David"/>
          <w:sz w:val="24"/>
          <w:szCs w:val="24"/>
          <w:rtl/>
        </w:rPr>
        <w:t xml:space="preserve">המאשימה עמדה על חומרת מעשיו של הנאשם, ועל הנסיבות לחומרה שנלוו אליהם והפנתה לכך שהסיוע המיוחס לנאשם בעבירת הסחר בסם הינו ממשי. לאור כל אלה, עתרה המאשימה לקבוע מתחם עונש הולם כולל הנע בין 6 לבין 12 חודשים מאסר בפועל. בסופו של יום, טענה המאשימה כי אין מקום להורות על ביטול הרשעתו של הנאשם נוכח חומרת העבירות המיוחסות לו ולאור כך שהנאשם לא הוכיח כל פגיעה קונקרטית בתעסוקתו. עם זאת, ולאור התסקירים החיוביים שהוגשו בעניינו, היותו חף מהרשעות קודמות, הודאתו והחיסכון בזמן השיפוטי, ביקשה המאשימה (כאמור) להשית על הנאשם עונש בדמות 6 חודשים מאסר בפועל שיכול וירוצה בעבודות שירות, וכן ענישה נלוות בדמות מאסרים מותנים, קנס, התחייבות כספית, פסילת רישיון נהיגה בפועל ומותנית. </w:t>
      </w:r>
    </w:p>
    <w:p w14:paraId="067E8FC5" w14:textId="77777777" w:rsidR="00C169A9" w:rsidRPr="00536203" w:rsidRDefault="00C169A9" w:rsidP="00C169A9">
      <w:pPr>
        <w:pStyle w:val="11"/>
        <w:numPr>
          <w:ilvl w:val="0"/>
          <w:numId w:val="2"/>
        </w:numPr>
        <w:spacing w:after="0"/>
        <w:ind w:left="-341" w:right="-426"/>
        <w:rPr>
          <w:rFonts w:ascii="David" w:hAnsi="David" w:cs="David"/>
          <w:sz w:val="24"/>
          <w:szCs w:val="24"/>
        </w:rPr>
      </w:pPr>
      <w:r w:rsidRPr="00536203">
        <w:rPr>
          <w:rFonts w:ascii="David" w:hAnsi="David" w:cs="David"/>
          <w:sz w:val="24"/>
          <w:szCs w:val="24"/>
          <w:rtl/>
        </w:rPr>
        <w:t xml:space="preserve">מנגד, הסנגור לא הציג (מטעמים השמורים עמו) מתחם עונש ההולם את מכלול מעשיו של הנאשם, ואולם, התנגד למתחם אותו הציגה המאשימה. לגופו של עניין, הפנה הסנגור לנסיבות המקלות שבביצוע העבירות ולכך שהמדובר באירוע בודד, לכך שהסיוע המיוחס לנאשם אינו מצוי ברף חומרה גבוה, ולכך שמעובדות כתב האישום ניתן ללמוד כי המבצע העיקרי הנו אותו אחר ולא הנאשם (בעוד שאותו אחר אינו נותן את הדין על מעשיו). לעניין נסיבות העושה הפנה הסנגור להודאתו של הנאשם במיוחס לו, לקבלת האחריות מצדו, לחסכון בזמן השיפוטי ולתסקירים החיוביים שהתקבלו בעניינו. עוד טען הסנגור כי לנאשם יגרם נזק קונקרטי ככל שהרשעתו תיוותר על כנה. בשל כל אלה, עתר בא כוח הנאשם שלא לפגוע בנאשם ובתעסוקתו בנמל אשדוד (שעובד כעת לטענתו בנמל כעובד קבלן) ולהשית עליו הענישה שהומלצה על ידי שירות המבחן. לחילופין, טען הסנגור, כי ככל שבית המשפט ימצא לנכון להותיר את הרשעת הנאשם על כנה, אזי יש מקום להסתפק בענישה בדמות מאסר מותנה, קנס, ופסילת רישיון מותנית. </w:t>
      </w:r>
    </w:p>
    <w:p w14:paraId="405E1B69" w14:textId="77777777" w:rsidR="00C169A9" w:rsidRPr="00536203" w:rsidRDefault="00C169A9" w:rsidP="00C169A9">
      <w:pPr>
        <w:pStyle w:val="11"/>
        <w:numPr>
          <w:ilvl w:val="0"/>
          <w:numId w:val="2"/>
        </w:numPr>
        <w:spacing w:after="0"/>
        <w:ind w:left="-341" w:right="-426"/>
        <w:rPr>
          <w:rFonts w:ascii="David" w:hAnsi="David" w:cs="David"/>
          <w:sz w:val="24"/>
          <w:szCs w:val="24"/>
        </w:rPr>
      </w:pPr>
      <w:r w:rsidRPr="00536203">
        <w:rPr>
          <w:rFonts w:ascii="David" w:hAnsi="David" w:cs="David"/>
          <w:sz w:val="24"/>
          <w:szCs w:val="24"/>
          <w:rtl/>
        </w:rPr>
        <w:t xml:space="preserve">למען שלמות התמונה יצוין, כי בהמשך להיתר שקיבל הסנגור מבית המשפט להמציא מסמכים התומכים בעתירתו להורות על ביטול הרשעת הנאשם, לאחר שלב הטיעונים לעונש, הלה הגיש הודעה לבית המשפט ביום 15.06.2020, בה שב וטען כי יש מקום להורות על ביטול הרשעת הנאשם. בעניין זה הפנה הסנגור לכך שהנאשם עבד עובר לאירועים שבמוקד כתב האישום בתחום אבטחת מידע; בהמשך, ולאור כתב האישום שהוגש כנגדו בתיק דנן, הנאשם הפסיק העבודה בתחום זה ואולם, מששב למקום עבודתו, מעסיקו הדירו מפרויקט שעירב את שירות בתי הסוהר והנאשם נאלץ לעבוד בתחום התקשורת באותו מקום עבודה; בהמשך לכך, הנאשם נאלץ לעזוב את מקום העבודה בשל השינוי האמור והשכר הנמוך שקיבל בעקבות כך. עוד נטען כי הנאשם מבקש לשוב לעסוק בתחום של אבטחת מידע ולהתקדם בתחום וכי יש לשקול את ביטול ההרשעה בהתחשב בהוראת </w:t>
      </w:r>
      <w:hyperlink r:id="rId29" w:history="1">
        <w:r w:rsidR="003F697E" w:rsidRPr="003F697E">
          <w:rPr>
            <w:rStyle w:val="Hyperlink"/>
            <w:rFonts w:ascii="David" w:hAnsi="David" w:cs="David"/>
            <w:sz w:val="24"/>
            <w:szCs w:val="24"/>
            <w:rtl/>
          </w:rPr>
          <w:t>סעיף 17ב</w:t>
        </w:r>
      </w:hyperlink>
      <w:r w:rsidRPr="00536203">
        <w:rPr>
          <w:rFonts w:ascii="David" w:hAnsi="David" w:cs="David"/>
          <w:sz w:val="24"/>
          <w:szCs w:val="24"/>
          <w:u w:val="single"/>
          <w:rtl/>
        </w:rPr>
        <w:t xml:space="preserve"> ל</w:t>
      </w:r>
      <w:hyperlink r:id="rId30" w:history="1">
        <w:r w:rsidR="008F5233" w:rsidRPr="008F5233">
          <w:rPr>
            <w:rFonts w:ascii="David" w:hAnsi="David" w:cs="David"/>
            <w:color w:val="0000FF"/>
            <w:sz w:val="24"/>
            <w:szCs w:val="24"/>
            <w:u w:val="single"/>
            <w:rtl/>
          </w:rPr>
          <w:t>חוק הגנת הפרטיות</w:t>
        </w:r>
      </w:hyperlink>
      <w:r w:rsidRPr="00536203">
        <w:rPr>
          <w:rFonts w:ascii="David" w:hAnsi="David" w:cs="David"/>
          <w:sz w:val="24"/>
          <w:szCs w:val="24"/>
          <w:u w:val="single"/>
          <w:rtl/>
        </w:rPr>
        <w:t>, תשמ"א-1981,</w:t>
      </w:r>
      <w:r w:rsidRPr="00536203">
        <w:rPr>
          <w:rFonts w:ascii="David" w:hAnsi="David" w:cs="David"/>
          <w:sz w:val="24"/>
          <w:szCs w:val="24"/>
          <w:rtl/>
        </w:rPr>
        <w:t xml:space="preserve"> הימנו עולה כי מי שבאמתחתו הרשעה פלילית שיש עמה קלון לא יוכל לעסוק כממונה על אבטחת מידע. </w:t>
      </w:r>
    </w:p>
    <w:p w14:paraId="754E5060" w14:textId="77777777" w:rsidR="00C169A9" w:rsidRPr="00536203" w:rsidRDefault="00C169A9" w:rsidP="00C169A9">
      <w:pPr>
        <w:pStyle w:val="11"/>
        <w:numPr>
          <w:ilvl w:val="0"/>
          <w:numId w:val="2"/>
        </w:numPr>
        <w:spacing w:after="0"/>
        <w:ind w:left="-341" w:right="-426"/>
        <w:rPr>
          <w:rFonts w:ascii="David" w:hAnsi="David" w:cs="David"/>
          <w:sz w:val="24"/>
          <w:szCs w:val="24"/>
        </w:rPr>
      </w:pPr>
      <w:r w:rsidRPr="00536203">
        <w:rPr>
          <w:rFonts w:ascii="David" w:hAnsi="David" w:cs="David"/>
          <w:sz w:val="24"/>
          <w:szCs w:val="24"/>
          <w:rtl/>
        </w:rPr>
        <w:t xml:space="preserve">הנאשם אשר קיבל את "זכות המילה האחרונה", שיתף כי הינו אדם אחראי ויצרני, ומסר כי הרשעה תפגע בתעסוקתו בתחום אבטחת המידע והלוגיסטיקה ובהתקדמותו בתחום זה. לאור האמור, ביקש הנאשם כי בית המשפט יתחשב בו לעניין העונש. </w:t>
      </w:r>
    </w:p>
    <w:p w14:paraId="586E6CC8" w14:textId="77777777" w:rsidR="00C169A9" w:rsidRPr="00536203" w:rsidRDefault="00C169A9" w:rsidP="00C169A9">
      <w:pPr>
        <w:pStyle w:val="11"/>
        <w:spacing w:after="0"/>
        <w:ind w:left="-341" w:right="-426" w:firstLine="0"/>
        <w:rPr>
          <w:rFonts w:ascii="David" w:hAnsi="David" w:cs="David"/>
          <w:sz w:val="24"/>
          <w:szCs w:val="24"/>
        </w:rPr>
      </w:pPr>
    </w:p>
    <w:p w14:paraId="1F5022E1" w14:textId="77777777" w:rsidR="00C169A9" w:rsidRPr="00536203" w:rsidRDefault="00C169A9" w:rsidP="00C169A9">
      <w:pPr>
        <w:pStyle w:val="1"/>
        <w:spacing w:before="0" w:line="360" w:lineRule="auto"/>
        <w:ind w:left="-341" w:right="-426"/>
        <w:jc w:val="center"/>
        <w:rPr>
          <w:rFonts w:ascii="David" w:hAnsi="David" w:cs="David"/>
          <w:b/>
          <w:bCs/>
          <w:color w:val="auto"/>
          <w:u w:val="single"/>
          <w:rtl/>
        </w:rPr>
      </w:pPr>
      <w:r w:rsidRPr="00536203">
        <w:rPr>
          <w:rFonts w:ascii="David" w:hAnsi="David" w:cs="David"/>
          <w:b/>
          <w:bCs/>
          <w:color w:val="auto"/>
          <w:u w:val="single"/>
          <w:rtl/>
        </w:rPr>
        <w:t>דיון והכרעה</w:t>
      </w:r>
    </w:p>
    <w:p w14:paraId="6056CCA1" w14:textId="77777777" w:rsidR="00C169A9" w:rsidRPr="00536203" w:rsidRDefault="00C169A9" w:rsidP="00C169A9">
      <w:pPr>
        <w:pStyle w:val="aa"/>
        <w:numPr>
          <w:ilvl w:val="0"/>
          <w:numId w:val="2"/>
        </w:numPr>
        <w:spacing w:after="0"/>
        <w:ind w:left="-341" w:right="-426"/>
      </w:pPr>
      <w:r w:rsidRPr="00536203">
        <w:rPr>
          <w:rtl/>
        </w:rPr>
        <w:t xml:space="preserve">בהיעדר מחלוקת בין הצדדים על כך שמכלול מעשיו של הנאשם מהווה "אירוע" אחד, ובהתאם למתווה שהותווה על ידי המחוקק </w:t>
      </w:r>
      <w:r w:rsidRPr="00536203">
        <w:rPr>
          <w:u w:val="single"/>
          <w:rtl/>
        </w:rPr>
        <w:t>בתיקון 113 ל</w:t>
      </w:r>
      <w:hyperlink r:id="rId31" w:history="1">
        <w:r w:rsidR="008F5233" w:rsidRPr="008F5233">
          <w:rPr>
            <w:color w:val="0000FF"/>
            <w:u w:val="single"/>
            <w:rtl/>
          </w:rPr>
          <w:t>חוק העונשין</w:t>
        </w:r>
      </w:hyperlink>
      <w:r w:rsidRPr="00536203">
        <w:rPr>
          <w:rtl/>
        </w:rPr>
        <w:t xml:space="preserve"> ופורש לאחר מכן בפסיקתו של בית המשפט העליון, אקבע בשלב הראשון את מתחם העונש ההולם; ולאחר מכן אגזור את העונש המתאים לנאשם, תוך בחינה אם יש מקום לסטות לקולה מהמתחם שנקבע או שמא יש לקבוע את העונש בגדרו (אודות המתווה לגזירת העונש, ראו למשל: </w:t>
      </w:r>
      <w:hyperlink r:id="rId32" w:history="1">
        <w:r w:rsidR="008F5233" w:rsidRPr="008F5233">
          <w:rPr>
            <w:color w:val="0000FF"/>
            <w:u w:val="single"/>
            <w:rtl/>
          </w:rPr>
          <w:t>ע"פ 8641/12</w:t>
        </w:r>
      </w:hyperlink>
      <w:r w:rsidRPr="00536203">
        <w:rPr>
          <w:rtl/>
        </w:rPr>
        <w:t xml:space="preserve"> </w:t>
      </w:r>
      <w:r w:rsidRPr="00536203">
        <w:rPr>
          <w:b/>
          <w:bCs/>
          <w:rtl/>
        </w:rPr>
        <w:t>מוחמד סעד נ' מדינת ישראל</w:t>
      </w:r>
      <w:r w:rsidRPr="00536203">
        <w:rPr>
          <w:rtl/>
        </w:rPr>
        <w:t>, (05.08.2013)).</w:t>
      </w:r>
    </w:p>
    <w:p w14:paraId="7CF533D8" w14:textId="77777777" w:rsidR="00C169A9" w:rsidRPr="00536203" w:rsidRDefault="00C169A9" w:rsidP="00C169A9">
      <w:pPr>
        <w:pStyle w:val="1"/>
        <w:numPr>
          <w:ilvl w:val="0"/>
          <w:numId w:val="3"/>
        </w:numPr>
        <w:spacing w:before="0" w:line="360" w:lineRule="auto"/>
        <w:ind w:left="19" w:right="-426"/>
        <w:jc w:val="both"/>
        <w:rPr>
          <w:rFonts w:ascii="David" w:hAnsi="David" w:cs="David"/>
          <w:b/>
          <w:bCs/>
          <w:color w:val="auto"/>
          <w:sz w:val="28"/>
          <w:szCs w:val="28"/>
          <w:u w:val="single"/>
        </w:rPr>
      </w:pPr>
      <w:r w:rsidRPr="00536203">
        <w:rPr>
          <w:rFonts w:ascii="David" w:hAnsi="David" w:cs="David"/>
          <w:b/>
          <w:bCs/>
          <w:color w:val="auto"/>
          <w:sz w:val="28"/>
          <w:szCs w:val="28"/>
          <w:u w:val="single"/>
          <w:rtl/>
        </w:rPr>
        <w:t>קביעת מתחם העונש ההולם</w:t>
      </w:r>
    </w:p>
    <w:p w14:paraId="65D2F33B" w14:textId="77777777" w:rsidR="00C169A9" w:rsidRPr="00536203" w:rsidRDefault="00C169A9" w:rsidP="00C169A9">
      <w:pPr>
        <w:pStyle w:val="aa"/>
        <w:numPr>
          <w:ilvl w:val="0"/>
          <w:numId w:val="2"/>
        </w:numPr>
        <w:spacing w:after="0"/>
        <w:ind w:left="-341" w:right="-426"/>
      </w:pPr>
      <w:r w:rsidRPr="00536203">
        <w:rPr>
          <w:rtl/>
        </w:rPr>
        <w:t xml:space="preserve">כאמור </w:t>
      </w:r>
      <w:hyperlink r:id="rId33" w:history="1">
        <w:r w:rsidR="003F697E" w:rsidRPr="003F697E">
          <w:rPr>
            <w:rStyle w:val="Hyperlink"/>
            <w:rFonts w:ascii="David" w:hAnsi="David" w:cs="David"/>
            <w:rtl/>
          </w:rPr>
          <w:t>בסעיף 40ג(א)</w:t>
        </w:r>
      </w:hyperlink>
      <w:r w:rsidRPr="00536203">
        <w:rPr>
          <w:u w:val="single"/>
          <w:rtl/>
        </w:rPr>
        <w:t xml:space="preserve"> ל</w:t>
      </w:r>
      <w:hyperlink r:id="rId34" w:history="1">
        <w:r w:rsidR="008F5233" w:rsidRPr="008F5233">
          <w:rPr>
            <w:color w:val="0000FF"/>
            <w:u w:val="single"/>
            <w:rtl/>
          </w:rPr>
          <w:t>חוק העונשין</w:t>
        </w:r>
      </w:hyperlink>
      <w:r w:rsidRPr="00536203">
        <w:rPr>
          <w:u w:val="single"/>
          <w:rtl/>
        </w:rPr>
        <w:t>,</w:t>
      </w:r>
      <w:r w:rsidRPr="00536203">
        <w:rPr>
          <w:rtl/>
        </w:rPr>
        <w:t xml:space="preserve"> קביעת מתחם העונש ההולם תיעשה בהתאם לעקרון ההלימה (הוא העיקרון המנחה בענישה), תוך התחשבות בנסיבות הקשורות בביצוע העבירות, בערכים החברתיים שנפגעו כתוצאה מביצוען, במידת הפגיעה בהם ובמדיניות הענישה הנוהגת.</w:t>
      </w:r>
    </w:p>
    <w:p w14:paraId="68CA11BF" w14:textId="77777777" w:rsidR="00C169A9" w:rsidRPr="00536203" w:rsidRDefault="00C169A9" w:rsidP="00C169A9">
      <w:pPr>
        <w:pStyle w:val="11"/>
        <w:numPr>
          <w:ilvl w:val="0"/>
          <w:numId w:val="2"/>
        </w:numPr>
        <w:spacing w:after="0"/>
        <w:ind w:left="-341" w:right="-426"/>
        <w:rPr>
          <w:rFonts w:ascii="David" w:hAnsi="David" w:cs="David"/>
          <w:sz w:val="24"/>
          <w:szCs w:val="24"/>
          <w:rtl/>
        </w:rPr>
      </w:pPr>
      <w:r w:rsidRPr="00536203">
        <w:rPr>
          <w:rFonts w:ascii="David" w:hAnsi="David" w:cs="David"/>
          <w:sz w:val="24"/>
          <w:szCs w:val="24"/>
          <w:rtl/>
        </w:rPr>
        <w:t>באשר</w:t>
      </w:r>
      <w:r w:rsidRPr="00536203">
        <w:rPr>
          <w:rFonts w:ascii="David" w:hAnsi="David" w:cs="David"/>
          <w:b/>
          <w:bCs/>
          <w:sz w:val="24"/>
          <w:szCs w:val="24"/>
          <w:rtl/>
        </w:rPr>
        <w:t xml:space="preserve"> לערכים החברתיים המוגנים</w:t>
      </w:r>
      <w:r w:rsidRPr="00536203">
        <w:rPr>
          <w:rFonts w:ascii="David" w:hAnsi="David" w:cs="David"/>
          <w:sz w:val="24"/>
          <w:szCs w:val="24"/>
          <w:rtl/>
        </w:rPr>
        <w:t xml:space="preserve"> אשר נפגעו כתוצאה ממעשיו של הנאשם, נדמה כי אין צורך להכביר מילים אודות החומרה הרבה הכרוכה בעבירות הסמים. </w:t>
      </w:r>
      <w:hyperlink r:id="rId35" w:history="1">
        <w:r w:rsidR="008F5233" w:rsidRPr="008F5233">
          <w:rPr>
            <w:rFonts w:ascii="David" w:hAnsi="David" w:cs="David"/>
            <w:color w:val="0000FF"/>
            <w:sz w:val="24"/>
            <w:szCs w:val="24"/>
            <w:u w:val="single"/>
            <w:rtl/>
          </w:rPr>
          <w:t>פקודת הסמים המסוכנים</w:t>
        </w:r>
      </w:hyperlink>
      <w:r w:rsidRPr="00536203">
        <w:rPr>
          <w:rFonts w:ascii="David" w:hAnsi="David" w:cs="David"/>
          <w:sz w:val="24"/>
          <w:szCs w:val="24"/>
          <w:rtl/>
        </w:rPr>
        <w:t xml:space="preserve"> נחקקה על מנת להגן על ערכים חברתיים מרכזיים ובראשם החובה להגן על שלומו של הציבור, בריאותו, בטחונו האישי ועל רכושו. הסמים המופצים מעמידים בסכנה את בריאותם וביטחונם הן של המשתמש עצמו והן של הציבור בכללותו, וזאת משום שמעבר לנזקים הגופניים המשמעותיים העשויים להיגרם כתוצאה מהשימוש בסם, נגע ההתמכרות מביא בעקבותיו גם להרחבת מעגל הפשיעה, כאשר המכור לסם מתפתה לבצע עבירות נוספות כדי לממן לעצמו את מנת הסם הבאה.</w:t>
      </w:r>
    </w:p>
    <w:p w14:paraId="2B17BB22" w14:textId="77777777" w:rsidR="00C169A9" w:rsidRPr="00536203" w:rsidRDefault="00C169A9" w:rsidP="00C169A9">
      <w:pPr>
        <w:pStyle w:val="11"/>
        <w:numPr>
          <w:ilvl w:val="0"/>
          <w:numId w:val="2"/>
        </w:numPr>
        <w:spacing w:after="0"/>
        <w:ind w:left="-341" w:right="-426"/>
        <w:rPr>
          <w:rFonts w:ascii="David" w:hAnsi="David" w:cs="David"/>
          <w:sz w:val="24"/>
          <w:szCs w:val="24"/>
        </w:rPr>
      </w:pPr>
      <w:r w:rsidRPr="00536203">
        <w:rPr>
          <w:rFonts w:ascii="David" w:hAnsi="David" w:cs="David"/>
          <w:sz w:val="24"/>
          <w:szCs w:val="24"/>
          <w:rtl/>
        </w:rPr>
        <w:t xml:space="preserve">הדברים מקבלים משנה תוקף ככל שעסקינן בעבירת הסחר הסם, כאשר לא בכדי מצא המחוקק לקבוע בצידה עונש מרבי חמור ביותר, בדמות 20 שנות מאסר. בדומה למחוקק, ובעקבותיו, גם בתי המשפט מצוּוים להילחם ביד קשה נגד עברייני הסמים, ולא כל שכן נגד אלו המספקים אותם. נגע הסמים פשה בארצנו כמגיפה ומשכך, גם על בתי המשפט לתרום את חלקם במלחמה בנגע זה באמצעות הטלת עונשים חמורים ומרתיעים. כך, שומה על בתי המשפט להעביר את המסר כי מי שנגרר אחרי מעשי עבירה המסכנים חיי אדם בצורה מפליגה, צריך לדעת אל-נכון כי אם ייתפס יטופל עניינו בכל חומרת הדין (ראו דבריו של כב' השופט מ' חשין </w:t>
      </w:r>
      <w:r w:rsidRPr="00536203">
        <w:rPr>
          <w:rFonts w:ascii="David" w:hAnsi="David" w:cs="David"/>
          <w:sz w:val="24"/>
          <w:szCs w:val="24"/>
          <w:u w:val="single"/>
          <w:rtl/>
        </w:rPr>
        <w:t>ב</w:t>
      </w:r>
      <w:hyperlink r:id="rId36" w:history="1">
        <w:r w:rsidR="008F5233" w:rsidRPr="008F5233">
          <w:rPr>
            <w:rFonts w:ascii="David" w:hAnsi="David" w:cs="David"/>
            <w:color w:val="0000FF"/>
            <w:sz w:val="24"/>
            <w:szCs w:val="24"/>
            <w:u w:val="single"/>
            <w:rtl/>
          </w:rPr>
          <w:t>ע"פ 6029/03 מדינת ישראל נ' גולן שמאי, פ"ד נח</w:t>
        </w:r>
      </w:hyperlink>
      <w:r w:rsidRPr="00536203">
        <w:rPr>
          <w:rFonts w:ascii="David" w:hAnsi="David" w:cs="David"/>
          <w:sz w:val="24"/>
          <w:szCs w:val="24"/>
          <w:rtl/>
        </w:rPr>
        <w:t xml:space="preserve"> (2) 734, 739 (2004); ודבריו של כב' השופט א' לוי </w:t>
      </w:r>
      <w:r w:rsidRPr="00536203">
        <w:rPr>
          <w:rFonts w:ascii="David" w:hAnsi="David" w:cs="David"/>
          <w:sz w:val="24"/>
          <w:szCs w:val="24"/>
          <w:u w:val="single"/>
          <w:rtl/>
        </w:rPr>
        <w:t>ב</w:t>
      </w:r>
      <w:hyperlink r:id="rId37" w:history="1">
        <w:r w:rsidR="008F5233" w:rsidRPr="008F5233">
          <w:rPr>
            <w:rFonts w:ascii="David" w:hAnsi="David" w:cs="David"/>
            <w:color w:val="0000FF"/>
            <w:sz w:val="24"/>
            <w:szCs w:val="24"/>
            <w:u w:val="single"/>
            <w:rtl/>
          </w:rPr>
          <w:t>ע"פ 7070/03</w:t>
        </w:r>
      </w:hyperlink>
      <w:r w:rsidRPr="00536203">
        <w:rPr>
          <w:rFonts w:ascii="David" w:hAnsi="David" w:cs="David"/>
          <w:sz w:val="24"/>
          <w:szCs w:val="24"/>
          <w:rtl/>
        </w:rPr>
        <w:t xml:space="preserve"> </w:t>
      </w:r>
      <w:r w:rsidRPr="00536203">
        <w:rPr>
          <w:rFonts w:ascii="David" w:hAnsi="David" w:cs="David"/>
          <w:b/>
          <w:bCs/>
          <w:sz w:val="24"/>
          <w:szCs w:val="24"/>
          <w:rtl/>
        </w:rPr>
        <w:t>עליאן זניד נ' מדינת ישראל</w:t>
      </w:r>
      <w:r w:rsidRPr="00536203">
        <w:rPr>
          <w:rFonts w:ascii="David" w:hAnsi="David" w:cs="David"/>
          <w:sz w:val="24"/>
          <w:szCs w:val="24"/>
          <w:rtl/>
        </w:rPr>
        <w:t>, [פורסם בנבו] (03.04.2006)) (הדברים נאמרים באופן כללי, כאשר ברי כי שיקול ההרתעה אינו בא במניין השיקולים שנשקלים לצורך קביעת מתחם העונש ההולם).</w:t>
      </w:r>
    </w:p>
    <w:p w14:paraId="4872CCA9" w14:textId="77777777" w:rsidR="00C169A9" w:rsidRPr="00536203" w:rsidRDefault="00C169A9" w:rsidP="00C169A9">
      <w:pPr>
        <w:pStyle w:val="11"/>
        <w:numPr>
          <w:ilvl w:val="0"/>
          <w:numId w:val="2"/>
        </w:numPr>
        <w:spacing w:after="0"/>
        <w:ind w:left="-341" w:right="-426"/>
        <w:rPr>
          <w:rFonts w:ascii="David" w:hAnsi="David" w:cs="David"/>
          <w:sz w:val="24"/>
          <w:szCs w:val="24"/>
        </w:rPr>
      </w:pPr>
      <w:r w:rsidRPr="00536203">
        <w:rPr>
          <w:rFonts w:ascii="David" w:hAnsi="David" w:cs="David"/>
          <w:sz w:val="24"/>
          <w:szCs w:val="24"/>
          <w:rtl/>
        </w:rPr>
        <w:t xml:space="preserve">לנוכח הנסיבות הקשורות בביצוע העבירות, כפי שיפורט להלן, ובייחוד בשים לב לעובדה כי הנאשם החזיק סמים לצריכתו העצמית בכמות שאינה גבוהה; סייע לסחר בסם מסוכן בהזדמנות אחת בעבור תמורה כספית; בשים לב למשקל הסם שאינו גבוה וכי המדובר בסמים "קלים" מסוג קנבוס – נדמה כי </w:t>
      </w:r>
      <w:r w:rsidRPr="00536203">
        <w:rPr>
          <w:rFonts w:ascii="David" w:hAnsi="David" w:cs="David"/>
          <w:b/>
          <w:bCs/>
          <w:sz w:val="24"/>
          <w:szCs w:val="24"/>
          <w:rtl/>
        </w:rPr>
        <w:t>מידת הפגיעה בערכים המוגנים</w:t>
      </w:r>
      <w:r w:rsidRPr="00536203">
        <w:rPr>
          <w:rFonts w:ascii="David" w:hAnsi="David" w:cs="David"/>
          <w:sz w:val="24"/>
          <w:szCs w:val="24"/>
          <w:rtl/>
        </w:rPr>
        <w:t xml:space="preserve"> במקרה הנדון הנה ממשית אך אינה מצויה ברף הגבוה ביותר. </w:t>
      </w:r>
    </w:p>
    <w:p w14:paraId="772249E8" w14:textId="77777777" w:rsidR="00C169A9" w:rsidRPr="00536203" w:rsidRDefault="00C169A9" w:rsidP="00C169A9">
      <w:pPr>
        <w:pStyle w:val="11"/>
        <w:numPr>
          <w:ilvl w:val="0"/>
          <w:numId w:val="2"/>
        </w:numPr>
        <w:spacing w:after="0"/>
        <w:ind w:left="-341" w:right="-426"/>
        <w:rPr>
          <w:rFonts w:ascii="David" w:hAnsi="David" w:cs="David"/>
          <w:sz w:val="24"/>
          <w:szCs w:val="24"/>
        </w:rPr>
      </w:pPr>
      <w:r w:rsidRPr="00536203">
        <w:rPr>
          <w:rFonts w:ascii="David" w:hAnsi="David" w:cs="David"/>
          <w:sz w:val="24"/>
          <w:szCs w:val="24"/>
          <w:rtl/>
        </w:rPr>
        <w:t xml:space="preserve">וביתר פירוט, בבחינת </w:t>
      </w:r>
      <w:r w:rsidRPr="00536203">
        <w:rPr>
          <w:rFonts w:ascii="David" w:hAnsi="David" w:cs="David"/>
          <w:b/>
          <w:bCs/>
          <w:sz w:val="24"/>
          <w:szCs w:val="24"/>
          <w:rtl/>
        </w:rPr>
        <w:t xml:space="preserve">הנסיבות הקשורות </w:t>
      </w:r>
      <w:r w:rsidRPr="00536203">
        <w:rPr>
          <w:rFonts w:ascii="David" w:hAnsi="David" w:cs="David"/>
          <w:sz w:val="24"/>
          <w:szCs w:val="24"/>
          <w:rtl/>
        </w:rPr>
        <w:t>בביצוע העבירות, נתתי דעתי בראש ובראשונה לסוג הסם אותו החזיק הנאשם לצריכתו העצמית ולסם אותו סייע לספק ולמשקלם. המדובר בסמים מסוכנים מסוג הקנבוס הנמנים עם "הסמים הקלים" ואינם מצויים במדרג חומרה גבוה מבין הסמים השונים. כמובן שהדברים נאמרים מבלי שבית המשפט מקל ראש ולו לרגע בנזקים שגם סם "קל" זה עלול להסב לנאשם ולסביבתו. בכל הנוגע למשקל הסם שסופק, הרי שהמדובר בכמות שאינה גבוהה. עם זאת ולחומרה הבאתי בחשבון כי הנאשם ביצע את המעשה לשם הפקת רווח כספי קל ומהיר, אם כי ייאמר כי בעובדות כתב האישום לא פורשה התמורה שקיבל הלה עבור הסיוע לאותו אחר, ואולם ניתן להניח שהתמורה לא הייתה גבוהה יותר מהתמורה שקיבל האחר מביצוע העסקה המושלמת (200 ₪).</w:t>
      </w:r>
    </w:p>
    <w:p w14:paraId="797A334D" w14:textId="77777777" w:rsidR="00C169A9" w:rsidRPr="00536203" w:rsidRDefault="00C169A9" w:rsidP="00C169A9">
      <w:pPr>
        <w:pStyle w:val="aa"/>
        <w:numPr>
          <w:ilvl w:val="0"/>
          <w:numId w:val="2"/>
        </w:numPr>
        <w:spacing w:after="0"/>
        <w:ind w:left="-341" w:right="-426"/>
      </w:pPr>
      <w:r w:rsidRPr="00536203">
        <w:rPr>
          <w:rtl/>
        </w:rPr>
        <w:t xml:space="preserve">בכל הנוגע לסוגיית </w:t>
      </w:r>
      <w:r w:rsidRPr="00536203">
        <w:rPr>
          <w:b/>
          <w:bCs/>
          <w:rtl/>
        </w:rPr>
        <w:t>מתחמי הענישה</w:t>
      </w:r>
      <w:r w:rsidRPr="00536203">
        <w:rPr>
          <w:rtl/>
        </w:rPr>
        <w:t xml:space="preserve"> שיש לקבוע </w:t>
      </w:r>
      <w:r w:rsidRPr="00536203">
        <w:rPr>
          <w:b/>
          <w:bCs/>
          <w:rtl/>
        </w:rPr>
        <w:t>בעניינם של המסייעים לדבר עבירה</w:t>
      </w:r>
      <w:r w:rsidRPr="00536203">
        <w:rPr>
          <w:rtl/>
        </w:rPr>
        <w:t xml:space="preserve"> יצוין, כי אין לקבוע בצורה אוטומטית כי מתחם העונש ההולם בעבירה של סיוע לסחר בסם מסוכן, הינו מחצית מהמתחם שהיה נקבע אילו היה מדובר בעבירה המוגמרת של סחר בסם. אכן, לפי </w:t>
      </w:r>
      <w:hyperlink r:id="rId38" w:history="1">
        <w:r w:rsidR="003F697E" w:rsidRPr="003F697E">
          <w:rPr>
            <w:rStyle w:val="Hyperlink"/>
            <w:rFonts w:ascii="David" w:hAnsi="David" w:cs="David"/>
            <w:rtl/>
          </w:rPr>
          <w:t>סעיף 32</w:t>
        </w:r>
      </w:hyperlink>
      <w:r w:rsidRPr="00536203">
        <w:rPr>
          <w:u w:val="single"/>
          <w:rtl/>
        </w:rPr>
        <w:t xml:space="preserve"> ל</w:t>
      </w:r>
      <w:hyperlink r:id="rId39" w:history="1">
        <w:r w:rsidR="008F5233" w:rsidRPr="008F5233">
          <w:rPr>
            <w:color w:val="0000FF"/>
            <w:u w:val="single"/>
            <w:rtl/>
          </w:rPr>
          <w:t>חוק העונשין</w:t>
        </w:r>
      </w:hyperlink>
      <w:r w:rsidRPr="00536203">
        <w:rPr>
          <w:u w:val="single"/>
          <w:rtl/>
        </w:rPr>
        <w:t>,</w:t>
      </w:r>
      <w:r w:rsidRPr="00536203">
        <w:rPr>
          <w:rtl/>
        </w:rPr>
        <w:t xml:space="preserve"> עונשו של המסייע לעבור עבירה הינו מחצית העונש שנקבע בחיקוק בשל ביצועה העיקרי. ואולם, ברי כי כשם שעונשו של כל נאשם בעבירה כזו או אחרת צריך להיבחן לגופו, כך גם קביעת מתחם העונש ההולם בעניינו של המסייע צריכה להיעשות בהתאם לכלל הפרמטרים הנקובים </w:t>
      </w:r>
      <w:hyperlink r:id="rId40" w:history="1">
        <w:r w:rsidR="003F697E" w:rsidRPr="003F697E">
          <w:rPr>
            <w:rStyle w:val="Hyperlink"/>
            <w:rFonts w:ascii="David" w:hAnsi="David" w:cs="David"/>
            <w:rtl/>
          </w:rPr>
          <w:t>בסעיף 40ג(א)</w:t>
        </w:r>
      </w:hyperlink>
      <w:r w:rsidRPr="00536203">
        <w:rPr>
          <w:u w:val="single"/>
          <w:rtl/>
        </w:rPr>
        <w:t xml:space="preserve"> לחוק</w:t>
      </w:r>
      <w:r w:rsidRPr="00536203">
        <w:rPr>
          <w:rtl/>
        </w:rPr>
        <w:t xml:space="preserve">, </w:t>
      </w:r>
      <w:r w:rsidRPr="00536203">
        <w:rPr>
          <w:b/>
          <w:bCs/>
          <w:rtl/>
        </w:rPr>
        <w:t>ובשים לב למאפייניו ומרכיביו של מעשה הסיוע עצמו</w:t>
      </w:r>
      <w:r w:rsidRPr="00536203">
        <w:rPr>
          <w:rtl/>
        </w:rPr>
        <w:t xml:space="preserve">. </w:t>
      </w:r>
    </w:p>
    <w:p w14:paraId="600F1213" w14:textId="77777777" w:rsidR="00C169A9" w:rsidRPr="00536203" w:rsidRDefault="00C169A9" w:rsidP="00C169A9">
      <w:pPr>
        <w:pStyle w:val="11"/>
        <w:numPr>
          <w:ilvl w:val="0"/>
          <w:numId w:val="2"/>
        </w:numPr>
        <w:spacing w:after="0"/>
        <w:ind w:left="-341" w:right="-426"/>
        <w:rPr>
          <w:rFonts w:ascii="David" w:hAnsi="David" w:cs="David"/>
          <w:sz w:val="24"/>
          <w:szCs w:val="24"/>
        </w:rPr>
      </w:pPr>
      <w:r w:rsidRPr="00536203">
        <w:rPr>
          <w:rFonts w:ascii="David" w:hAnsi="David" w:cs="David"/>
          <w:sz w:val="24"/>
          <w:szCs w:val="24"/>
          <w:rtl/>
        </w:rPr>
        <w:t xml:space="preserve">ברוח הדברים האמורים, נתתי דעתי למידת מעורבותו של הנאשם בביצוע העבירה. בעניין זה ולחומרה נתתי דעתי לכך שהנאשם ביצע פעולות אקטיביות לצורך הסיוע לביצוע עבירת הסחר, ובהן התכתבות עם השוטר באמצעות אפליקציית ה"טלגראס", שהינה פלטפורמה ייעודית המסייעת לסוחרי הסמים בהפצת הסמים תוך שמירה על אנונימיות, דבר המקשה על גורמי אכיפת החוק בביעור נגע הסמים; העברה פיזית של הסם לידי השוטר; ובקשה לאחר ביצוע העסקה לקבל הימנו חוות דעת בנוגע לאיכות הסם. מנגד ולקולה, נתתי דעתי לכך שמעובדות כתב האישום המתוקן עולה כי "הרוח החיה" שמאחורי העבירה היה האחר (שלא אותר ולא הועמד לדין), אליו פנה השוטר לצורך אספקת הסם, ועמו בא בדין ודברים בכל הקשור לכמות הסם ומחירו. תפקידו של הנאשם אם כן, הסתכם בכך שתיאם עם השוטר את מקום מסירת הסמים, ולמעשה שימש כשליח (ותעיד על כך גם עבירת הסיוע בה הורשע), ועל כן נראה כי מידת אשמו בביצוע העבירה אינה גבוהה באופן מיוחד. </w:t>
      </w:r>
    </w:p>
    <w:p w14:paraId="3D353B8B" w14:textId="77777777" w:rsidR="00C169A9" w:rsidRPr="00536203" w:rsidRDefault="00C169A9" w:rsidP="00C169A9">
      <w:pPr>
        <w:pStyle w:val="11"/>
        <w:numPr>
          <w:ilvl w:val="0"/>
          <w:numId w:val="2"/>
        </w:numPr>
        <w:spacing w:after="0"/>
        <w:ind w:left="-341" w:right="-426"/>
        <w:rPr>
          <w:rFonts w:ascii="David" w:hAnsi="David" w:cs="David"/>
          <w:sz w:val="24"/>
          <w:szCs w:val="24"/>
        </w:rPr>
      </w:pPr>
      <w:r w:rsidRPr="00536203">
        <w:rPr>
          <w:rFonts w:ascii="David" w:hAnsi="David" w:cs="David"/>
          <w:b/>
          <w:bCs/>
          <w:sz w:val="24"/>
          <w:szCs w:val="24"/>
          <w:rtl/>
        </w:rPr>
        <w:t>בכל הנוגע לסיבות שהביאו את הנאשם לביצוע עבירת הסיוע לסחר בסם מסוכן,</w:t>
      </w:r>
      <w:r w:rsidRPr="00536203">
        <w:rPr>
          <w:rFonts w:ascii="David" w:hAnsi="David" w:cs="David"/>
          <w:sz w:val="24"/>
          <w:szCs w:val="24"/>
          <w:rtl/>
        </w:rPr>
        <w:t xml:space="preserve"> כפי העולה מתסקירי שירות המבחן, הלה טען בשירות המבחן כי בתקופה הרלוונטית התמודד עם קשיים כלכליים על רקע שריפת הדירה בה התגורר. לדבריו, עבירת הסיוע לסחר בסם, בוצעה לאחר שקיבל הצעה מאדם אחר (אשר ממנו רכש סמים באמצעות האפליקציה), לסייע לו בהעברת הסמים לאדם שלישי, בתמורה לרווח כלכלי, ובשל מצוקתו הכלכלית, הסכים לכך. ברי כי אין בדברים האמורים כדי להצדיק את מעשיו החמורים של הנאשם. </w:t>
      </w:r>
    </w:p>
    <w:p w14:paraId="3E3A18C4" w14:textId="77777777" w:rsidR="00C169A9" w:rsidRPr="00536203" w:rsidRDefault="00C169A9" w:rsidP="00C169A9">
      <w:pPr>
        <w:pStyle w:val="11"/>
        <w:numPr>
          <w:ilvl w:val="0"/>
          <w:numId w:val="2"/>
        </w:numPr>
        <w:shd w:val="clear" w:color="auto" w:fill="FFFFFF"/>
        <w:spacing w:after="0"/>
        <w:ind w:left="-341" w:right="-426"/>
        <w:rPr>
          <w:rFonts w:ascii="David" w:hAnsi="David" w:cs="David"/>
          <w:sz w:val="24"/>
          <w:szCs w:val="24"/>
        </w:rPr>
      </w:pPr>
      <w:r w:rsidRPr="00536203">
        <w:rPr>
          <w:rFonts w:ascii="David" w:hAnsi="David" w:cs="David"/>
          <w:sz w:val="24"/>
          <w:szCs w:val="24"/>
          <w:rtl/>
        </w:rPr>
        <w:t xml:space="preserve">כמו כן, אין להתעלם מכך שהשוטר (שבין הנאשם לבינו לא הייתה הכרות מוקדמת), הוא שיזם את עסקת הסמים. ואולם, אין בכך כדי לפטור את הנאשם מאחריותו בפלילים (והדבר אף לא נטען), אך נדמה כי ניתן להעניק לכך משקל מסוים במסגרת </w:t>
      </w:r>
      <w:hyperlink r:id="rId41" w:history="1">
        <w:r w:rsidR="003F697E" w:rsidRPr="003F697E">
          <w:rPr>
            <w:rStyle w:val="Hyperlink"/>
            <w:rFonts w:ascii="David" w:hAnsi="David" w:cs="David"/>
            <w:sz w:val="24"/>
            <w:szCs w:val="24"/>
            <w:rtl/>
          </w:rPr>
          <w:t>סעיפים 40ט(א)(2)</w:t>
        </w:r>
      </w:hyperlink>
      <w:r w:rsidRPr="00536203">
        <w:rPr>
          <w:rFonts w:ascii="David" w:hAnsi="David" w:cs="David"/>
          <w:sz w:val="24"/>
          <w:szCs w:val="24"/>
          <w:u w:val="single"/>
          <w:rtl/>
        </w:rPr>
        <w:t xml:space="preserve"> ו- </w:t>
      </w:r>
      <w:hyperlink r:id="rId42" w:history="1">
        <w:r w:rsidR="003F697E" w:rsidRPr="003F697E">
          <w:rPr>
            <w:rStyle w:val="Hyperlink"/>
            <w:rFonts w:ascii="David" w:hAnsi="David" w:cs="David"/>
            <w:sz w:val="24"/>
            <w:szCs w:val="24"/>
            <w:rtl/>
          </w:rPr>
          <w:t>40ט(א)(5)</w:t>
        </w:r>
      </w:hyperlink>
      <w:r w:rsidRPr="00536203">
        <w:rPr>
          <w:rFonts w:ascii="David" w:hAnsi="David" w:cs="David"/>
          <w:sz w:val="24"/>
          <w:szCs w:val="24"/>
          <w:u w:val="single"/>
          <w:rtl/>
        </w:rPr>
        <w:t xml:space="preserve"> ל</w:t>
      </w:r>
      <w:hyperlink r:id="rId43" w:history="1">
        <w:r w:rsidR="008F5233" w:rsidRPr="008F5233">
          <w:rPr>
            <w:rFonts w:ascii="David" w:hAnsi="David" w:cs="David"/>
            <w:color w:val="0000FF"/>
            <w:sz w:val="24"/>
            <w:szCs w:val="24"/>
            <w:u w:val="single"/>
            <w:rtl/>
          </w:rPr>
          <w:t>חוק העונשין</w:t>
        </w:r>
      </w:hyperlink>
      <w:r w:rsidRPr="00536203">
        <w:rPr>
          <w:rFonts w:ascii="David" w:hAnsi="David" w:cs="David"/>
          <w:sz w:val="24"/>
          <w:szCs w:val="24"/>
          <w:rtl/>
        </w:rPr>
        <w:t xml:space="preserve"> (וראו גם, </w:t>
      </w:r>
      <w:hyperlink r:id="rId44" w:history="1">
        <w:r w:rsidR="008F5233" w:rsidRPr="008F5233">
          <w:rPr>
            <w:rFonts w:ascii="David" w:hAnsi="David" w:cs="David"/>
            <w:color w:val="0000FF"/>
            <w:sz w:val="24"/>
            <w:szCs w:val="24"/>
            <w:u w:val="single"/>
            <w:rtl/>
          </w:rPr>
          <w:t>ע"פ 1224/07</w:t>
        </w:r>
      </w:hyperlink>
      <w:r w:rsidRPr="00536203">
        <w:rPr>
          <w:rFonts w:ascii="David" w:hAnsi="David" w:cs="David"/>
          <w:sz w:val="24"/>
          <w:szCs w:val="24"/>
          <w:rtl/>
        </w:rPr>
        <w:t xml:space="preserve"> </w:t>
      </w:r>
      <w:r w:rsidRPr="00536203">
        <w:rPr>
          <w:rFonts w:ascii="David" w:hAnsi="David" w:cs="David"/>
          <w:b/>
          <w:bCs/>
          <w:sz w:val="24"/>
          <w:szCs w:val="24"/>
          <w:rtl/>
        </w:rPr>
        <w:t>אברהם בלדב נ' מדינת ישראל</w:t>
      </w:r>
      <w:r w:rsidRPr="00536203">
        <w:rPr>
          <w:rFonts w:ascii="David" w:hAnsi="David" w:cs="David"/>
          <w:sz w:val="24"/>
          <w:szCs w:val="24"/>
          <w:rtl/>
        </w:rPr>
        <w:t xml:space="preserve">, [פורסם בנבו] (10.02.2010); </w:t>
      </w:r>
      <w:r w:rsidRPr="00536203">
        <w:rPr>
          <w:rFonts w:ascii="David" w:hAnsi="David" w:cs="David"/>
          <w:sz w:val="24"/>
          <w:szCs w:val="24"/>
          <w:u w:val="single"/>
          <w:rtl/>
        </w:rPr>
        <w:t>ו</w:t>
      </w:r>
      <w:hyperlink r:id="rId45" w:history="1">
        <w:r w:rsidR="008F5233" w:rsidRPr="008F5233">
          <w:rPr>
            <w:rFonts w:ascii="David" w:hAnsi="David" w:cs="David"/>
            <w:color w:val="0000FF"/>
            <w:sz w:val="24"/>
            <w:szCs w:val="24"/>
            <w:u w:val="single"/>
            <w:rtl/>
          </w:rPr>
          <w:t>ע"פ 5268/04</w:t>
        </w:r>
      </w:hyperlink>
      <w:r w:rsidRPr="00536203">
        <w:rPr>
          <w:rFonts w:ascii="David" w:hAnsi="David" w:cs="David"/>
          <w:sz w:val="24"/>
          <w:szCs w:val="24"/>
          <w:rtl/>
        </w:rPr>
        <w:t xml:space="preserve"> </w:t>
      </w:r>
      <w:r w:rsidRPr="00536203">
        <w:rPr>
          <w:rFonts w:ascii="David" w:hAnsi="David" w:cs="David"/>
          <w:b/>
          <w:bCs/>
          <w:sz w:val="24"/>
          <w:szCs w:val="24"/>
          <w:rtl/>
        </w:rPr>
        <w:t>ליודמילה מינין נ' מדינת ישראל</w:t>
      </w:r>
      <w:r w:rsidRPr="00536203">
        <w:rPr>
          <w:rFonts w:ascii="David" w:hAnsi="David" w:cs="David"/>
          <w:sz w:val="24"/>
          <w:szCs w:val="24"/>
          <w:rtl/>
        </w:rPr>
        <w:t xml:space="preserve">, [פורסם בנבו] (07.11.2005)). אם כי, המשקל שיינתן לכך לא יהיה גבוה. שכן, אף אם היה זה השוטר שיזם את עסקת הסמים, הרי שהוא לא הפעיל על הנאשם כל לחץ ממשי, וכך גם האחר, תוך שהנאשם היה חופשי כל העת לסרב לבקשתם. </w:t>
      </w:r>
    </w:p>
    <w:p w14:paraId="55D4E5CD" w14:textId="77777777" w:rsidR="00C169A9" w:rsidRPr="00536203" w:rsidRDefault="00C169A9" w:rsidP="00C169A9">
      <w:pPr>
        <w:pStyle w:val="listparagraph"/>
        <w:numPr>
          <w:ilvl w:val="0"/>
          <w:numId w:val="2"/>
        </w:numPr>
        <w:shd w:val="clear" w:color="auto" w:fill="FFFFFF"/>
        <w:spacing w:after="0"/>
        <w:ind w:left="-341" w:right="-426"/>
        <w:rPr>
          <w:rFonts w:ascii="David" w:hAnsi="David" w:cs="David"/>
          <w:sz w:val="24"/>
          <w:szCs w:val="24"/>
        </w:rPr>
      </w:pPr>
      <w:r w:rsidRPr="00536203">
        <w:rPr>
          <w:rFonts w:ascii="David" w:hAnsi="David" w:cs="David"/>
          <w:sz w:val="24"/>
          <w:szCs w:val="24"/>
          <w:rtl/>
        </w:rPr>
        <w:t>לבסוף, כתוצאה מביצוע עבירת הסיוע לסחר בסם, לא נגרם נזק ממשי כלשהו, אולם זאת אך משום ש"הקונה" של הסם היה שוטר שהופעל על ידי משטרת ישראל. אשר על כן, אין להעניק משקל לקולה לנסיבה אחרונה זו. מה עוד, שאלו הן דרכן של עבירות הסמים, כאשר פעמים רבות לא ניתן להצביע על נזק ישיר ומידי שנגרם כתוצאה מביצוען, מה שאינו מפחית כהוא זה מהנזק הרב וארוך הטווח שהן גורמות, וניתן לשקול את הדברים גם בבחינת הנזק הפוטנציאלי הטמון בעבירות הסמים.</w:t>
      </w:r>
    </w:p>
    <w:p w14:paraId="6380D811" w14:textId="77777777" w:rsidR="00C169A9" w:rsidRPr="00536203" w:rsidRDefault="00C169A9" w:rsidP="00C169A9">
      <w:pPr>
        <w:pStyle w:val="11"/>
        <w:numPr>
          <w:ilvl w:val="0"/>
          <w:numId w:val="2"/>
        </w:numPr>
        <w:spacing w:after="0"/>
        <w:ind w:left="-341" w:right="-426"/>
        <w:rPr>
          <w:rFonts w:ascii="David" w:hAnsi="David" w:cs="David"/>
          <w:sz w:val="24"/>
          <w:szCs w:val="24"/>
          <w:rtl/>
        </w:rPr>
      </w:pPr>
      <w:r w:rsidRPr="00536203">
        <w:rPr>
          <w:rFonts w:ascii="David" w:hAnsi="David" w:cs="David"/>
          <w:sz w:val="24"/>
          <w:szCs w:val="24"/>
          <w:rtl/>
        </w:rPr>
        <w:t xml:space="preserve">בכל הנוגע </w:t>
      </w:r>
      <w:r w:rsidRPr="00536203">
        <w:rPr>
          <w:rFonts w:ascii="David" w:hAnsi="David" w:cs="David"/>
          <w:b/>
          <w:bCs/>
          <w:sz w:val="24"/>
          <w:szCs w:val="24"/>
          <w:rtl/>
        </w:rPr>
        <w:t xml:space="preserve">למדיניות הענישה הנוהגת בעבירת הסיוע לסחר בסם אותה עבר הנאשם, </w:t>
      </w:r>
      <w:r w:rsidRPr="00536203">
        <w:rPr>
          <w:rFonts w:ascii="David" w:hAnsi="David" w:cs="David"/>
          <w:sz w:val="24"/>
          <w:szCs w:val="24"/>
          <w:rtl/>
        </w:rPr>
        <w:t xml:space="preserve">ולצד חובתו הכללית של בית המשפט לנקוט ביד קשה כנגד סוחרי הסמים ולהחמיר בענישתם (ראו למשל, </w:t>
      </w:r>
      <w:hyperlink r:id="rId46" w:history="1">
        <w:r w:rsidR="008F5233" w:rsidRPr="008F5233">
          <w:rPr>
            <w:rFonts w:ascii="David" w:hAnsi="David" w:cs="David"/>
            <w:color w:val="0000FF"/>
            <w:sz w:val="24"/>
            <w:szCs w:val="24"/>
            <w:u w:val="single"/>
            <w:rtl/>
          </w:rPr>
          <w:t>ע"פ 1654/16</w:t>
        </w:r>
      </w:hyperlink>
      <w:r w:rsidRPr="00536203">
        <w:rPr>
          <w:rFonts w:ascii="David" w:hAnsi="David" w:cs="David"/>
          <w:sz w:val="24"/>
          <w:szCs w:val="24"/>
          <w:rtl/>
        </w:rPr>
        <w:t xml:space="preserve"> </w:t>
      </w:r>
      <w:r w:rsidRPr="00536203">
        <w:rPr>
          <w:rFonts w:ascii="David" w:hAnsi="David" w:cs="David"/>
          <w:b/>
          <w:bCs/>
          <w:sz w:val="24"/>
          <w:szCs w:val="24"/>
          <w:rtl/>
        </w:rPr>
        <w:t>גל שרר נ' מדינת ישראל</w:t>
      </w:r>
      <w:r w:rsidRPr="00536203">
        <w:rPr>
          <w:rFonts w:ascii="David" w:hAnsi="David" w:cs="David"/>
          <w:sz w:val="24"/>
          <w:szCs w:val="24"/>
          <w:rtl/>
        </w:rPr>
        <w:t xml:space="preserve">, [פורסם בנבו] (27.02.2017), וההפניות שם), סקירת הפסיקה מעלה כי </w:t>
      </w:r>
      <w:r w:rsidRPr="00536203">
        <w:rPr>
          <w:rFonts w:ascii="David" w:hAnsi="David" w:cs="David"/>
          <w:b/>
          <w:bCs/>
          <w:sz w:val="24"/>
          <w:szCs w:val="24"/>
          <w:rtl/>
        </w:rPr>
        <w:t>בדרך כלל</w:t>
      </w:r>
      <w:r w:rsidRPr="00536203">
        <w:rPr>
          <w:rFonts w:ascii="David" w:hAnsi="David" w:cs="David"/>
          <w:sz w:val="24"/>
          <w:szCs w:val="24"/>
          <w:rtl/>
        </w:rPr>
        <w:t xml:space="preserve">, בגין העבירה המוגמרת של סחר בסם הקנבוס במשקלים של גרמים בודדים, נקבעים מתחמי ענישה הנעים בין מספר חודשים מאסר, שניתן לרצותם בעבודות שירות, לבין 12 חודשים מאסר בפועל – הכול בהתאם לנסיבות השונות. ברוח הדברים האמורים, והיות ורובם של פסקי הדין עוסקים בנאשמים שהורשעו בכמה עבירות של סחר בסם או בעבירות נוספות שנלוו לעבירה זו, הרי שלעיתים קשה "לבודד" מהפסיקה את העונש המושת בגין עבירת סחר אחת בלבד. להלן מספר פסקי דין בעבירה המוגמרת מהם ניתן להקיש וללמוד על מדיניות הענישה הנוהגת בעבירת הסיוע בה הורשע הנאשם, כך ראו למשל, </w:t>
      </w:r>
      <w:hyperlink r:id="rId47" w:history="1">
        <w:r w:rsidR="008F5233" w:rsidRPr="008F5233">
          <w:rPr>
            <w:rFonts w:ascii="David" w:hAnsi="David" w:cs="David"/>
            <w:color w:val="0000FF"/>
            <w:sz w:val="24"/>
            <w:szCs w:val="24"/>
            <w:u w:val="single"/>
            <w:rtl/>
          </w:rPr>
          <w:t>רע"פ 5698/17</w:t>
        </w:r>
      </w:hyperlink>
      <w:r w:rsidRPr="00536203">
        <w:rPr>
          <w:rFonts w:ascii="David" w:hAnsi="David" w:cs="David"/>
          <w:sz w:val="24"/>
          <w:szCs w:val="24"/>
          <w:rtl/>
        </w:rPr>
        <w:t xml:space="preserve"> </w:t>
      </w:r>
      <w:r w:rsidRPr="00536203">
        <w:rPr>
          <w:rFonts w:ascii="David" w:hAnsi="David" w:cs="David"/>
          <w:b/>
          <w:bCs/>
          <w:sz w:val="24"/>
          <w:szCs w:val="24"/>
          <w:rtl/>
        </w:rPr>
        <w:t>מיכאל ליפצר נ' מדינת ישראל</w:t>
      </w:r>
      <w:r w:rsidRPr="00536203">
        <w:rPr>
          <w:rFonts w:ascii="David" w:hAnsi="David" w:cs="David"/>
          <w:sz w:val="24"/>
          <w:szCs w:val="24"/>
          <w:rtl/>
        </w:rPr>
        <w:t xml:space="preserve"> (פורסם בנבו, 04.09.2017); </w:t>
      </w:r>
      <w:hyperlink r:id="rId48" w:history="1">
        <w:r w:rsidR="008F5233" w:rsidRPr="008F5233">
          <w:rPr>
            <w:rFonts w:ascii="David" w:hAnsi="David" w:cs="David"/>
            <w:color w:val="0000FF"/>
            <w:sz w:val="24"/>
            <w:szCs w:val="24"/>
            <w:u w:val="single"/>
            <w:rtl/>
          </w:rPr>
          <w:t>ת"פ (שלום רמ') 4127-11-17</w:t>
        </w:r>
      </w:hyperlink>
      <w:r w:rsidRPr="00536203">
        <w:rPr>
          <w:rFonts w:ascii="David" w:hAnsi="David" w:cs="David"/>
          <w:sz w:val="24"/>
          <w:szCs w:val="24"/>
          <w:rtl/>
        </w:rPr>
        <w:t xml:space="preserve"> </w:t>
      </w:r>
      <w:r w:rsidRPr="00536203">
        <w:rPr>
          <w:rFonts w:ascii="David" w:hAnsi="David" w:cs="David"/>
          <w:b/>
          <w:bCs/>
          <w:sz w:val="24"/>
          <w:szCs w:val="24"/>
          <w:rtl/>
        </w:rPr>
        <w:t>מדינת ישראל נ' אחמד אלבאז</w:t>
      </w:r>
      <w:r w:rsidRPr="00536203">
        <w:rPr>
          <w:rFonts w:ascii="David" w:hAnsi="David" w:cs="David"/>
          <w:sz w:val="24"/>
          <w:szCs w:val="24"/>
          <w:rtl/>
        </w:rPr>
        <w:t xml:space="preserve"> (פורסם בנבו, 03.12.2019); </w:t>
      </w:r>
      <w:hyperlink r:id="rId49" w:history="1">
        <w:r w:rsidR="008F5233" w:rsidRPr="008F5233">
          <w:rPr>
            <w:rFonts w:ascii="David" w:hAnsi="David" w:cs="David"/>
            <w:color w:val="0000FF"/>
            <w:sz w:val="24"/>
            <w:szCs w:val="24"/>
            <w:u w:val="single"/>
            <w:rtl/>
          </w:rPr>
          <w:t>ת"פ (שלום ק"ש) 46914-06-18</w:t>
        </w:r>
      </w:hyperlink>
      <w:r w:rsidRPr="00536203">
        <w:rPr>
          <w:rFonts w:ascii="David" w:hAnsi="David" w:cs="David"/>
          <w:sz w:val="24"/>
          <w:szCs w:val="24"/>
          <w:rtl/>
        </w:rPr>
        <w:t xml:space="preserve"> </w:t>
      </w:r>
      <w:r w:rsidRPr="00536203">
        <w:rPr>
          <w:rFonts w:ascii="David" w:hAnsi="David" w:cs="David"/>
          <w:b/>
          <w:bCs/>
          <w:sz w:val="24"/>
          <w:szCs w:val="24"/>
          <w:rtl/>
        </w:rPr>
        <w:t>מדינת ישראל נ' רבאב חג'אזי</w:t>
      </w:r>
      <w:r w:rsidRPr="00536203">
        <w:rPr>
          <w:rFonts w:ascii="David" w:hAnsi="David" w:cs="David"/>
          <w:sz w:val="24"/>
          <w:szCs w:val="24"/>
          <w:rtl/>
        </w:rPr>
        <w:t xml:space="preserve"> (פורסם בנבו, 23.09.2019); </w:t>
      </w:r>
      <w:hyperlink r:id="rId50" w:history="1">
        <w:r w:rsidR="008F5233" w:rsidRPr="008F5233">
          <w:rPr>
            <w:rFonts w:ascii="David" w:hAnsi="David" w:cs="David"/>
            <w:color w:val="0000FF"/>
            <w:sz w:val="24"/>
            <w:szCs w:val="24"/>
            <w:u w:val="single"/>
            <w:rtl/>
          </w:rPr>
          <w:t>ת"פ (שלום י-ם) 7420-05-19</w:t>
        </w:r>
      </w:hyperlink>
      <w:r w:rsidRPr="00536203">
        <w:rPr>
          <w:rFonts w:ascii="David" w:hAnsi="David" w:cs="David"/>
          <w:sz w:val="24"/>
          <w:szCs w:val="24"/>
          <w:u w:val="single"/>
          <w:rtl/>
        </w:rPr>
        <w:t xml:space="preserve"> </w:t>
      </w:r>
      <w:r w:rsidRPr="00536203">
        <w:rPr>
          <w:rFonts w:ascii="David" w:hAnsi="David" w:cs="David"/>
          <w:b/>
          <w:bCs/>
          <w:sz w:val="24"/>
          <w:szCs w:val="24"/>
          <w:rtl/>
        </w:rPr>
        <w:t>מדינת ישראל נ' יעקב שמואל בלוי</w:t>
      </w:r>
      <w:r w:rsidRPr="00536203">
        <w:rPr>
          <w:rFonts w:ascii="David" w:hAnsi="David" w:cs="David"/>
          <w:sz w:val="24"/>
          <w:szCs w:val="24"/>
          <w:rtl/>
        </w:rPr>
        <w:t xml:space="preserve"> (פורסם בנבו, 16.09.2019); </w:t>
      </w:r>
      <w:hyperlink r:id="rId51" w:history="1">
        <w:r w:rsidR="008F5233" w:rsidRPr="008F5233">
          <w:rPr>
            <w:rFonts w:ascii="David" w:hAnsi="David" w:cs="David"/>
            <w:color w:val="0000FF"/>
            <w:sz w:val="24"/>
            <w:szCs w:val="24"/>
            <w:u w:val="single"/>
            <w:rtl/>
          </w:rPr>
          <w:t>ת"פ (שלום י-ם) 56059-07-17</w:t>
        </w:r>
      </w:hyperlink>
      <w:r w:rsidRPr="00536203">
        <w:rPr>
          <w:rFonts w:ascii="David" w:hAnsi="David" w:cs="David"/>
          <w:sz w:val="24"/>
          <w:szCs w:val="24"/>
          <w:rtl/>
        </w:rPr>
        <w:t xml:space="preserve"> </w:t>
      </w:r>
      <w:r w:rsidRPr="00536203">
        <w:rPr>
          <w:rFonts w:ascii="David" w:hAnsi="David" w:cs="David"/>
          <w:b/>
          <w:bCs/>
          <w:sz w:val="24"/>
          <w:szCs w:val="24"/>
          <w:rtl/>
        </w:rPr>
        <w:t>מדינת ישראל נ' מתן רווח</w:t>
      </w:r>
      <w:r w:rsidRPr="00536203">
        <w:rPr>
          <w:rFonts w:ascii="David" w:hAnsi="David" w:cs="David"/>
          <w:sz w:val="24"/>
          <w:szCs w:val="24"/>
          <w:rtl/>
        </w:rPr>
        <w:t xml:space="preserve"> (פורסם בנבו, 12.03.2018); </w:t>
      </w:r>
      <w:hyperlink r:id="rId52" w:history="1">
        <w:r w:rsidR="008F5233" w:rsidRPr="008F5233">
          <w:rPr>
            <w:rFonts w:ascii="David" w:hAnsi="David" w:cs="David"/>
            <w:color w:val="0000FF"/>
            <w:sz w:val="24"/>
            <w:szCs w:val="24"/>
            <w:u w:val="single"/>
            <w:rtl/>
          </w:rPr>
          <w:t>ת"פ (שלום י-ם) 17959-03-18</w:t>
        </w:r>
      </w:hyperlink>
      <w:r w:rsidRPr="00536203">
        <w:rPr>
          <w:rFonts w:ascii="David" w:hAnsi="David" w:cs="David"/>
          <w:sz w:val="24"/>
          <w:szCs w:val="24"/>
          <w:rtl/>
        </w:rPr>
        <w:t xml:space="preserve"> </w:t>
      </w:r>
      <w:r w:rsidRPr="00536203">
        <w:rPr>
          <w:rFonts w:ascii="David" w:hAnsi="David" w:cs="David"/>
          <w:b/>
          <w:bCs/>
          <w:sz w:val="24"/>
          <w:szCs w:val="24"/>
          <w:rtl/>
        </w:rPr>
        <w:t>מדינת ישראל נ' יניב זלבאני</w:t>
      </w:r>
      <w:r w:rsidRPr="00536203">
        <w:rPr>
          <w:rFonts w:ascii="David" w:hAnsi="David" w:cs="David"/>
          <w:sz w:val="24"/>
          <w:szCs w:val="24"/>
          <w:rtl/>
        </w:rPr>
        <w:t xml:space="preserve"> (פורסם בנבו, 28.10.2019); </w:t>
      </w:r>
      <w:hyperlink r:id="rId53" w:history="1">
        <w:r w:rsidR="008F5233" w:rsidRPr="008F5233">
          <w:rPr>
            <w:rFonts w:ascii="David" w:hAnsi="David" w:cs="David"/>
            <w:color w:val="0000FF"/>
            <w:sz w:val="24"/>
            <w:szCs w:val="24"/>
            <w:u w:val="single"/>
            <w:rtl/>
          </w:rPr>
          <w:t>ת"פ (שלום ק"ש) 40331-03-18</w:t>
        </w:r>
      </w:hyperlink>
      <w:r w:rsidRPr="00536203">
        <w:rPr>
          <w:rFonts w:ascii="David" w:hAnsi="David" w:cs="David"/>
          <w:sz w:val="24"/>
          <w:szCs w:val="24"/>
          <w:rtl/>
        </w:rPr>
        <w:t xml:space="preserve"> </w:t>
      </w:r>
      <w:r w:rsidRPr="00536203">
        <w:rPr>
          <w:rFonts w:ascii="David" w:hAnsi="David" w:cs="David"/>
          <w:b/>
          <w:bCs/>
          <w:sz w:val="24"/>
          <w:szCs w:val="24"/>
          <w:rtl/>
        </w:rPr>
        <w:t>מדינת ישראל נ' יעקב יעקב</w:t>
      </w:r>
      <w:r w:rsidRPr="00536203">
        <w:rPr>
          <w:rFonts w:ascii="David" w:hAnsi="David" w:cs="David"/>
          <w:sz w:val="24"/>
          <w:szCs w:val="24"/>
          <w:rtl/>
        </w:rPr>
        <w:t xml:space="preserve"> (פורסם בנבו, 11.03.2019); </w:t>
      </w:r>
      <w:hyperlink r:id="rId54" w:history="1">
        <w:r w:rsidR="008F5233" w:rsidRPr="008F5233">
          <w:rPr>
            <w:rFonts w:ascii="David" w:hAnsi="David" w:cs="David"/>
            <w:color w:val="0000FF"/>
            <w:sz w:val="24"/>
            <w:szCs w:val="24"/>
            <w:u w:val="single"/>
            <w:rtl/>
          </w:rPr>
          <w:t>ת"פ (שלום י-ם) 53375-03-18</w:t>
        </w:r>
      </w:hyperlink>
      <w:r w:rsidRPr="00536203">
        <w:rPr>
          <w:rFonts w:ascii="David" w:hAnsi="David" w:cs="David"/>
          <w:sz w:val="24"/>
          <w:szCs w:val="24"/>
          <w:rtl/>
        </w:rPr>
        <w:t xml:space="preserve"> </w:t>
      </w:r>
      <w:r w:rsidRPr="00536203">
        <w:rPr>
          <w:rFonts w:ascii="David" w:hAnsi="David" w:cs="David"/>
          <w:b/>
          <w:bCs/>
          <w:sz w:val="24"/>
          <w:szCs w:val="24"/>
          <w:rtl/>
        </w:rPr>
        <w:t>מדינת ישראל נ' מיכאל כהן</w:t>
      </w:r>
      <w:r w:rsidRPr="00536203">
        <w:rPr>
          <w:rFonts w:ascii="David" w:hAnsi="David" w:cs="David"/>
          <w:sz w:val="24"/>
          <w:szCs w:val="24"/>
          <w:rtl/>
        </w:rPr>
        <w:t xml:space="preserve"> (פורסם בנבו, 25.09.2019).</w:t>
      </w:r>
    </w:p>
    <w:p w14:paraId="60EDE1E9" w14:textId="77777777" w:rsidR="00C169A9" w:rsidRPr="00536203" w:rsidRDefault="00C169A9" w:rsidP="00C169A9">
      <w:pPr>
        <w:pStyle w:val="aa"/>
        <w:numPr>
          <w:ilvl w:val="0"/>
          <w:numId w:val="2"/>
        </w:numPr>
        <w:shd w:val="clear" w:color="auto" w:fill="FAFAFA"/>
        <w:spacing w:after="0"/>
        <w:ind w:left="-341" w:right="-426"/>
      </w:pPr>
      <w:r w:rsidRPr="00536203">
        <w:rPr>
          <w:rtl/>
        </w:rPr>
        <w:t xml:space="preserve">בכל הנוגע </w:t>
      </w:r>
      <w:r w:rsidRPr="00536203">
        <w:rPr>
          <w:b/>
          <w:bCs/>
          <w:rtl/>
        </w:rPr>
        <w:t xml:space="preserve">למדיניות הענישה הנוהגת בעבירת החזקת סם לצריכה עצמית </w:t>
      </w:r>
      <w:r w:rsidRPr="00536203">
        <w:rPr>
          <w:rtl/>
        </w:rPr>
        <w:t xml:space="preserve">אותה עבר הנאשם, הרי שסקירת הפסיקה מעלה כי מתחם העונש הנוהג הינו מאסר מותנה וקנס, ובמקרים החמורים יותר עד מספר חודשים מצומצם של עבודות שירות, ראו לעניין זה, </w:t>
      </w:r>
      <w:hyperlink r:id="rId55" w:history="1">
        <w:r w:rsidR="008F5233" w:rsidRPr="008F5233">
          <w:rPr>
            <w:color w:val="0000FF"/>
            <w:u w:val="single"/>
            <w:rtl/>
          </w:rPr>
          <w:t>ת"פ (שלום י-ם) 32879-04-19</w:t>
        </w:r>
      </w:hyperlink>
      <w:r w:rsidRPr="00536203">
        <w:rPr>
          <w:rtl/>
        </w:rPr>
        <w:t xml:space="preserve"> </w:t>
      </w:r>
      <w:r w:rsidRPr="00536203">
        <w:rPr>
          <w:b/>
          <w:bCs/>
          <w:rtl/>
        </w:rPr>
        <w:t>מדינת ישראל נ' רוני חיזגילוב</w:t>
      </w:r>
      <w:r w:rsidRPr="00536203">
        <w:rPr>
          <w:rtl/>
        </w:rPr>
        <w:t xml:space="preserve"> (פורסם בנבו, 08.03.2020); </w:t>
      </w:r>
      <w:hyperlink r:id="rId56" w:history="1">
        <w:r w:rsidR="008F5233" w:rsidRPr="008F5233">
          <w:rPr>
            <w:color w:val="0000FF"/>
            <w:u w:val="single"/>
            <w:rtl/>
          </w:rPr>
          <w:t>ת"פ (שלום אש') 22715-06-17</w:t>
        </w:r>
      </w:hyperlink>
      <w:r w:rsidRPr="00536203">
        <w:rPr>
          <w:rtl/>
        </w:rPr>
        <w:t xml:space="preserve"> </w:t>
      </w:r>
      <w:r w:rsidRPr="00536203">
        <w:rPr>
          <w:b/>
          <w:bCs/>
          <w:rtl/>
        </w:rPr>
        <w:t>מדינת ישראל נ' רוי אחלאקי</w:t>
      </w:r>
      <w:r w:rsidRPr="00536203">
        <w:rPr>
          <w:rtl/>
        </w:rPr>
        <w:t xml:space="preserve"> (פורסם בנבו, 13.01.2019); </w:t>
      </w:r>
      <w:hyperlink r:id="rId57" w:history="1">
        <w:r w:rsidR="008F5233" w:rsidRPr="008F5233">
          <w:rPr>
            <w:color w:val="0000FF"/>
            <w:u w:val="single"/>
            <w:rtl/>
          </w:rPr>
          <w:t>ת"פ (שלום ת"א) 26341-09-17</w:t>
        </w:r>
      </w:hyperlink>
      <w:r w:rsidRPr="00536203">
        <w:rPr>
          <w:rtl/>
        </w:rPr>
        <w:t xml:space="preserve"> </w:t>
      </w:r>
      <w:r w:rsidRPr="00536203">
        <w:rPr>
          <w:b/>
          <w:bCs/>
          <w:rtl/>
        </w:rPr>
        <w:t>מדינת ישראל נ' שמעון וקנין</w:t>
      </w:r>
      <w:r w:rsidRPr="00536203">
        <w:rPr>
          <w:rtl/>
        </w:rPr>
        <w:t xml:space="preserve"> (פורסם בנבו, 10.11.2019).</w:t>
      </w:r>
    </w:p>
    <w:p w14:paraId="21008A67" w14:textId="77777777" w:rsidR="00C169A9" w:rsidRPr="00536203" w:rsidRDefault="00C169A9" w:rsidP="00C169A9">
      <w:pPr>
        <w:pStyle w:val="11"/>
        <w:numPr>
          <w:ilvl w:val="0"/>
          <w:numId w:val="2"/>
        </w:numPr>
        <w:spacing w:after="0"/>
        <w:ind w:left="-341" w:right="-426"/>
        <w:rPr>
          <w:rFonts w:ascii="David" w:hAnsi="David" w:cs="David"/>
          <w:sz w:val="24"/>
          <w:szCs w:val="24"/>
        </w:rPr>
      </w:pPr>
      <w:r w:rsidRPr="00536203">
        <w:rPr>
          <w:rFonts w:ascii="David" w:hAnsi="David" w:cs="David"/>
          <w:sz w:val="24"/>
          <w:szCs w:val="24"/>
          <w:rtl/>
        </w:rPr>
        <w:t xml:space="preserve">כאן גם יצוין, כי לא התעלמתי מהפסיקה שהוגשה מטעמם של הצדדים, אולם העיון בה נעשה תוך ביצוע האבחנות המתבקשות. כך למשל, </w:t>
      </w:r>
      <w:r w:rsidRPr="00536203">
        <w:rPr>
          <w:rFonts w:ascii="David" w:hAnsi="David" w:cs="David"/>
          <w:sz w:val="24"/>
          <w:szCs w:val="24"/>
          <w:u w:val="single"/>
          <w:rtl/>
        </w:rPr>
        <w:t>ב</w:t>
      </w:r>
      <w:hyperlink r:id="rId58" w:history="1">
        <w:r w:rsidR="008F5233" w:rsidRPr="008F5233">
          <w:rPr>
            <w:rFonts w:ascii="David" w:hAnsi="David" w:cs="David"/>
            <w:color w:val="0000FF"/>
            <w:sz w:val="24"/>
            <w:szCs w:val="24"/>
            <w:u w:val="single"/>
            <w:rtl/>
          </w:rPr>
          <w:t>רע"פ 7996/12</w:t>
        </w:r>
      </w:hyperlink>
      <w:r w:rsidRPr="00536203">
        <w:rPr>
          <w:rFonts w:ascii="David" w:hAnsi="David" w:cs="David"/>
          <w:sz w:val="24"/>
          <w:szCs w:val="24"/>
          <w:rtl/>
        </w:rPr>
        <w:t xml:space="preserve"> </w:t>
      </w:r>
      <w:r w:rsidRPr="00536203">
        <w:rPr>
          <w:rFonts w:ascii="David" w:hAnsi="David" w:cs="David"/>
          <w:b/>
          <w:bCs/>
          <w:sz w:val="24"/>
          <w:szCs w:val="24"/>
          <w:rtl/>
        </w:rPr>
        <w:t>אליהו יוסף נ' מדינת ישראל</w:t>
      </w:r>
      <w:r w:rsidRPr="00536203">
        <w:rPr>
          <w:rFonts w:ascii="David" w:hAnsi="David" w:cs="David"/>
          <w:sz w:val="24"/>
          <w:szCs w:val="24"/>
          <w:rtl/>
        </w:rPr>
        <w:t xml:space="preserve"> (פורסם בנבו, 23.01.2013), פסיקה אליה הפנתה המאשימה, בית המשפט השלום קבע מתחם עונש הולם הנע בין 18-7 חודשים מאסר לכל עבירת סחר בסם הקנבוס (בכמויות מעט גבוהות מהמקרה שלפני). עם זאת, בית המשפט הביא בחשבון לחומרה נסיבות שאינן מענייננו, תוך שהנאשמים שם ביצעו מספר עבירות סחר, כמו גם העובדה שהעבירות בוצעו על ידי הנאשמים בצוותא חדא. </w:t>
      </w:r>
    </w:p>
    <w:p w14:paraId="2CCA5455" w14:textId="77777777" w:rsidR="00C169A9" w:rsidRPr="00536203" w:rsidRDefault="00C169A9" w:rsidP="00C169A9">
      <w:pPr>
        <w:pStyle w:val="11"/>
        <w:numPr>
          <w:ilvl w:val="0"/>
          <w:numId w:val="2"/>
        </w:numPr>
        <w:spacing w:after="0"/>
        <w:ind w:left="-341" w:right="-426"/>
        <w:rPr>
          <w:rFonts w:ascii="David" w:hAnsi="David" w:cs="David"/>
          <w:sz w:val="24"/>
          <w:szCs w:val="24"/>
        </w:rPr>
      </w:pPr>
      <w:r w:rsidRPr="00536203">
        <w:rPr>
          <w:rFonts w:ascii="David" w:hAnsi="David" w:cs="David"/>
          <w:sz w:val="24"/>
          <w:szCs w:val="24"/>
          <w:rtl/>
        </w:rPr>
        <w:t xml:space="preserve">על כל פנים, נהיר לבית המשפט כי קיימים גם מקרים שבהם התקיימו נסיבות מיוחדות, לכאן או לכאן, בהם הושתו עונשים החורגים לחומרה או לקולה ממדיניות הענישה הנוהגת, כפי שזו הוצגה לעיל. כך גם ברי, כי כל צד יבקש להפנות את בית המשפט דווקא לאותם פסקי דין ספציפיים שמשרתים את האינטרס שלו. הדבר אך טבעי הוא, שכן הענישה היא לעולם אינדיווידואלית </w:t>
      </w:r>
      <w:r w:rsidRPr="00536203">
        <w:rPr>
          <w:rFonts w:ascii="David" w:hAnsi="David" w:cs="David"/>
          <w:b/>
          <w:bCs/>
          <w:sz w:val="24"/>
          <w:szCs w:val="24"/>
          <w:rtl/>
        </w:rPr>
        <w:t>ו"אין עסקינן בשיטת ניקוד, או באריתמטיקה. ענישה היא מלאכת מחשבת – ולא מלאכת מחשב"</w:t>
      </w:r>
      <w:r w:rsidRPr="00536203">
        <w:rPr>
          <w:rFonts w:ascii="David" w:hAnsi="David" w:cs="David"/>
          <w:sz w:val="24"/>
          <w:szCs w:val="24"/>
          <w:rtl/>
        </w:rPr>
        <w:t xml:space="preserve"> (</w:t>
      </w:r>
      <w:hyperlink r:id="rId59" w:history="1">
        <w:r w:rsidR="008F5233" w:rsidRPr="008F5233">
          <w:rPr>
            <w:rFonts w:ascii="David" w:hAnsi="David" w:cs="David"/>
            <w:color w:val="0000FF"/>
            <w:sz w:val="24"/>
            <w:szCs w:val="24"/>
            <w:u w:val="single"/>
            <w:rtl/>
          </w:rPr>
          <w:t>ע"פ 5768/10</w:t>
        </w:r>
      </w:hyperlink>
      <w:r w:rsidRPr="00536203">
        <w:rPr>
          <w:rFonts w:ascii="David" w:hAnsi="David" w:cs="David"/>
          <w:sz w:val="24"/>
          <w:szCs w:val="24"/>
          <w:rtl/>
        </w:rPr>
        <w:t xml:space="preserve"> </w:t>
      </w:r>
      <w:r w:rsidRPr="00536203">
        <w:rPr>
          <w:rFonts w:ascii="David" w:hAnsi="David" w:cs="David"/>
          <w:b/>
          <w:bCs/>
          <w:sz w:val="24"/>
          <w:szCs w:val="24"/>
          <w:rtl/>
        </w:rPr>
        <w:t>פלוני נ' מדינת ישראל</w:t>
      </w:r>
      <w:r w:rsidRPr="00536203">
        <w:rPr>
          <w:rFonts w:ascii="David" w:hAnsi="David" w:cs="David"/>
          <w:sz w:val="24"/>
          <w:szCs w:val="24"/>
          <w:rtl/>
        </w:rPr>
        <w:t xml:space="preserve">, [פורסם בנבו] (08.06.2015)). לעולם אין לגזור עונשו של נאשם על סמך כותרות העבירות שבהן הוא הורשע, ויש להתחשב במכלול הנסיבות בכל מקרה לגופו. כך גם, ממילא עלינו לזכור כי השיקול של "מדיניות הענישה" הינו אך שיקול אחד מבין מכלול השיקולים אותם ישקול בית המשפט בטרם קביעת מתחם העונש ההולם וגזירת הדין (ראו בעניין זה, </w:t>
      </w:r>
      <w:hyperlink r:id="rId60" w:history="1">
        <w:r w:rsidR="008F5233" w:rsidRPr="008F5233">
          <w:rPr>
            <w:rFonts w:ascii="David" w:hAnsi="David" w:cs="David"/>
            <w:color w:val="0000FF"/>
            <w:sz w:val="24"/>
            <w:szCs w:val="24"/>
            <w:u w:val="single"/>
            <w:rtl/>
          </w:rPr>
          <w:t>ע"פ 1903/13</w:t>
        </w:r>
      </w:hyperlink>
      <w:r w:rsidRPr="00536203">
        <w:rPr>
          <w:rFonts w:ascii="David" w:hAnsi="David" w:cs="David"/>
          <w:sz w:val="24"/>
          <w:szCs w:val="24"/>
          <w:rtl/>
        </w:rPr>
        <w:t xml:space="preserve"> </w:t>
      </w:r>
      <w:r w:rsidRPr="00536203">
        <w:rPr>
          <w:rFonts w:ascii="David" w:hAnsi="David" w:cs="David"/>
          <w:b/>
          <w:bCs/>
          <w:sz w:val="24"/>
          <w:szCs w:val="24"/>
          <w:rtl/>
        </w:rPr>
        <w:t>חמודה עיאשה נ' מדינת ישראל</w:t>
      </w:r>
      <w:r w:rsidRPr="00536203">
        <w:rPr>
          <w:rFonts w:ascii="David" w:hAnsi="David" w:cs="David"/>
          <w:sz w:val="24"/>
          <w:szCs w:val="24"/>
          <w:rtl/>
        </w:rPr>
        <w:t xml:space="preserve">, [פורסם בנבו] (25.06.2013)). </w:t>
      </w:r>
    </w:p>
    <w:p w14:paraId="6911FC38" w14:textId="77777777" w:rsidR="00C169A9" w:rsidRDefault="00C169A9" w:rsidP="00C169A9">
      <w:pPr>
        <w:pStyle w:val="11"/>
        <w:numPr>
          <w:ilvl w:val="0"/>
          <w:numId w:val="2"/>
        </w:numPr>
        <w:spacing w:after="0"/>
        <w:ind w:left="-341" w:right="-426"/>
        <w:rPr>
          <w:rFonts w:ascii="David" w:hAnsi="David" w:cs="David"/>
          <w:sz w:val="24"/>
          <w:szCs w:val="24"/>
        </w:rPr>
      </w:pPr>
      <w:r w:rsidRPr="00536203">
        <w:rPr>
          <w:rFonts w:ascii="David" w:hAnsi="David" w:cs="David"/>
          <w:sz w:val="24"/>
          <w:szCs w:val="24"/>
          <w:rtl/>
        </w:rPr>
        <w:t xml:space="preserve">כללם של דברים, בשים לב לעקרון המנחה בענישה, לערכים המוגנים שפגעו ולמידת הפגיעה בהם, למדיניות הענישה הנוהגת, ולנסיבות הקשורות בביצוע העבירות, הריני לקבוע כי בגין מכלול מעשיו של הנאשם ינוע </w:t>
      </w:r>
      <w:r w:rsidRPr="00536203">
        <w:rPr>
          <w:rFonts w:ascii="David" w:hAnsi="David" w:cs="David"/>
          <w:b/>
          <w:bCs/>
          <w:sz w:val="24"/>
          <w:szCs w:val="24"/>
          <w:rtl/>
        </w:rPr>
        <w:t>מתחם העונש ההולם בין מספר חודשים מאסר שיכול וירוצו בעבודות שירות לבין 10 חודשים מאסר בפועל</w:t>
      </w:r>
      <w:r w:rsidRPr="00536203">
        <w:rPr>
          <w:rFonts w:ascii="David" w:hAnsi="David" w:cs="David"/>
          <w:sz w:val="24"/>
          <w:szCs w:val="24"/>
          <w:rtl/>
        </w:rPr>
        <w:t xml:space="preserve">. </w:t>
      </w:r>
    </w:p>
    <w:p w14:paraId="7205EB26" w14:textId="77777777" w:rsidR="00C169A9" w:rsidRDefault="00C169A9" w:rsidP="00C169A9">
      <w:pPr>
        <w:pStyle w:val="11"/>
        <w:spacing w:after="0"/>
        <w:ind w:left="-341" w:right="-426" w:firstLine="0"/>
        <w:rPr>
          <w:rFonts w:ascii="David" w:hAnsi="David" w:cs="David"/>
          <w:sz w:val="24"/>
          <w:szCs w:val="24"/>
        </w:rPr>
      </w:pPr>
    </w:p>
    <w:p w14:paraId="681B05D7" w14:textId="77777777" w:rsidR="00C169A9" w:rsidRPr="00536203" w:rsidRDefault="00C169A9" w:rsidP="00C169A9">
      <w:pPr>
        <w:pStyle w:val="11"/>
        <w:spacing w:after="0"/>
        <w:ind w:left="0" w:right="-426" w:firstLine="0"/>
        <w:rPr>
          <w:rFonts w:ascii="David" w:hAnsi="David" w:cs="David"/>
          <w:b/>
          <w:bCs/>
          <w:sz w:val="28"/>
          <w:szCs w:val="28"/>
          <w:u w:val="single"/>
        </w:rPr>
      </w:pPr>
      <w:r w:rsidRPr="00536203">
        <w:rPr>
          <w:rFonts w:ascii="David" w:hAnsi="David" w:cs="David" w:hint="cs"/>
          <w:b/>
          <w:bCs/>
          <w:sz w:val="28"/>
          <w:szCs w:val="28"/>
          <w:rtl/>
        </w:rPr>
        <w:t xml:space="preserve">ד. </w:t>
      </w:r>
      <w:r w:rsidRPr="001534E6">
        <w:rPr>
          <w:rFonts w:ascii="David" w:hAnsi="David" w:cs="David"/>
          <w:b/>
          <w:bCs/>
          <w:sz w:val="28"/>
          <w:szCs w:val="28"/>
          <w:rtl/>
        </w:rPr>
        <w:tab/>
      </w:r>
      <w:r w:rsidRPr="00536203">
        <w:rPr>
          <w:rFonts w:ascii="David" w:hAnsi="David" w:cs="David" w:hint="cs"/>
          <w:b/>
          <w:bCs/>
          <w:sz w:val="28"/>
          <w:szCs w:val="28"/>
          <w:u w:val="single"/>
          <w:rtl/>
        </w:rPr>
        <w:t>שאלת ההרשעה</w:t>
      </w:r>
    </w:p>
    <w:p w14:paraId="6FBBFED1" w14:textId="77777777" w:rsidR="00C169A9" w:rsidRPr="00536203" w:rsidRDefault="00C169A9" w:rsidP="00C169A9">
      <w:pPr>
        <w:pStyle w:val="11"/>
        <w:numPr>
          <w:ilvl w:val="0"/>
          <w:numId w:val="2"/>
        </w:numPr>
        <w:tabs>
          <w:tab w:val="right" w:pos="7371"/>
        </w:tabs>
        <w:spacing w:after="0"/>
        <w:ind w:right="-625"/>
        <w:rPr>
          <w:rFonts w:ascii="David" w:hAnsi="David" w:cs="David"/>
          <w:sz w:val="24"/>
          <w:szCs w:val="24"/>
          <w:rtl/>
        </w:rPr>
      </w:pPr>
      <w:r w:rsidRPr="00536203">
        <w:rPr>
          <w:rFonts w:ascii="David" w:hAnsi="David" w:cs="David"/>
          <w:sz w:val="24"/>
          <w:szCs w:val="24"/>
          <w:rtl/>
        </w:rPr>
        <w:t xml:space="preserve">על פי ההלכה הפסוקה, אשר לא שונתה בעקבות </w:t>
      </w:r>
      <w:r w:rsidRPr="00536203">
        <w:rPr>
          <w:rFonts w:ascii="David" w:hAnsi="David" w:cs="David"/>
          <w:sz w:val="24"/>
          <w:szCs w:val="24"/>
          <w:u w:val="single"/>
          <w:rtl/>
        </w:rPr>
        <w:t>תיקון 113 ל</w:t>
      </w:r>
      <w:hyperlink r:id="rId61" w:history="1">
        <w:r w:rsidR="008F5233" w:rsidRPr="008F5233">
          <w:rPr>
            <w:rFonts w:ascii="David" w:hAnsi="David" w:cs="David"/>
            <w:color w:val="0000FF"/>
            <w:sz w:val="24"/>
            <w:szCs w:val="24"/>
            <w:u w:val="single"/>
            <w:rtl/>
          </w:rPr>
          <w:t>חוק העונשין</w:t>
        </w:r>
      </w:hyperlink>
      <w:r w:rsidRPr="00536203">
        <w:rPr>
          <w:rFonts w:ascii="David" w:hAnsi="David" w:cs="David"/>
          <w:sz w:val="24"/>
          <w:szCs w:val="24"/>
          <w:u w:val="single"/>
          <w:rtl/>
        </w:rPr>
        <w:t>,</w:t>
      </w:r>
      <w:r w:rsidRPr="00536203">
        <w:rPr>
          <w:rFonts w:ascii="David" w:hAnsi="David" w:cs="David"/>
          <w:sz w:val="24"/>
          <w:szCs w:val="24"/>
          <w:rtl/>
        </w:rPr>
        <w:t xml:space="preserve"> משהוכח ביצועה של עבירה יש להרשיע את הנאשם, וסיום ההליך המשפטי ללא הרשעה ייעשה רק במקרים חריגים שבחריגים, בהם היחס שבין חומרת העבירה לבין הנזק הצפוי לנאשם מן ההרשעה, אינו סביר (ראו  בעניין זה, למשל, </w:t>
      </w:r>
      <w:hyperlink r:id="rId62" w:history="1">
        <w:r w:rsidR="008F5233" w:rsidRPr="008F5233">
          <w:rPr>
            <w:rFonts w:ascii="David" w:hAnsi="David" w:cs="David"/>
            <w:color w:val="0000FF"/>
            <w:sz w:val="24"/>
            <w:szCs w:val="24"/>
            <w:u w:val="single"/>
            <w:rtl/>
          </w:rPr>
          <w:t>רע"פ 11476/04</w:t>
        </w:r>
      </w:hyperlink>
      <w:r w:rsidRPr="00536203">
        <w:rPr>
          <w:rFonts w:ascii="David" w:hAnsi="David" w:cs="David"/>
          <w:sz w:val="24"/>
          <w:szCs w:val="24"/>
          <w:rtl/>
        </w:rPr>
        <w:t xml:space="preserve"> </w:t>
      </w:r>
      <w:r w:rsidRPr="00536203">
        <w:rPr>
          <w:rFonts w:ascii="David" w:hAnsi="David" w:cs="David"/>
          <w:b/>
          <w:bCs/>
          <w:sz w:val="24"/>
          <w:szCs w:val="24"/>
          <w:rtl/>
        </w:rPr>
        <w:t>מדינת ישראל נ' חברת השקעות דיסקונט בע"מ</w:t>
      </w:r>
      <w:r w:rsidRPr="00536203">
        <w:rPr>
          <w:rFonts w:ascii="David" w:hAnsi="David" w:cs="David"/>
          <w:sz w:val="24"/>
          <w:szCs w:val="24"/>
          <w:rtl/>
        </w:rPr>
        <w:t xml:space="preserve">, [פורסם בנבו] (14.04.2010); </w:t>
      </w:r>
      <w:hyperlink r:id="rId63" w:history="1">
        <w:r w:rsidR="008F5233" w:rsidRPr="008F5233">
          <w:rPr>
            <w:rFonts w:ascii="David" w:hAnsi="David" w:cs="David"/>
            <w:color w:val="0000FF"/>
            <w:sz w:val="24"/>
            <w:szCs w:val="24"/>
            <w:u w:val="single"/>
            <w:rtl/>
          </w:rPr>
          <w:t>רע"פ 5100/14</w:t>
        </w:r>
      </w:hyperlink>
      <w:r w:rsidRPr="00536203">
        <w:rPr>
          <w:rFonts w:ascii="David" w:hAnsi="David" w:cs="David"/>
          <w:sz w:val="24"/>
          <w:szCs w:val="24"/>
          <w:rtl/>
        </w:rPr>
        <w:t xml:space="preserve"> </w:t>
      </w:r>
      <w:r w:rsidRPr="00536203">
        <w:rPr>
          <w:rFonts w:ascii="David" w:hAnsi="David" w:cs="David"/>
          <w:b/>
          <w:bCs/>
          <w:sz w:val="24"/>
          <w:szCs w:val="24"/>
          <w:rtl/>
        </w:rPr>
        <w:t>מסארווה נ' מדינת ישראל</w:t>
      </w:r>
      <w:r w:rsidRPr="00536203">
        <w:rPr>
          <w:rFonts w:ascii="David" w:hAnsi="David" w:cs="David"/>
          <w:sz w:val="24"/>
          <w:szCs w:val="24"/>
          <w:rtl/>
        </w:rPr>
        <w:t xml:space="preserve">, [פורסם בנבו] (28.07.2014); </w:t>
      </w:r>
      <w:r w:rsidRPr="00536203">
        <w:rPr>
          <w:rFonts w:ascii="David" w:hAnsi="David" w:cs="David"/>
          <w:sz w:val="24"/>
          <w:szCs w:val="24"/>
          <w:u w:val="single"/>
          <w:rtl/>
        </w:rPr>
        <w:t>ו</w:t>
      </w:r>
      <w:hyperlink r:id="rId64" w:history="1">
        <w:r w:rsidR="008F5233" w:rsidRPr="008F5233">
          <w:rPr>
            <w:rFonts w:ascii="David" w:hAnsi="David" w:cs="David"/>
            <w:color w:val="0000FF"/>
            <w:sz w:val="24"/>
            <w:szCs w:val="24"/>
            <w:u w:val="single"/>
            <w:rtl/>
          </w:rPr>
          <w:t>רע"פ 7224/14</w:t>
        </w:r>
      </w:hyperlink>
      <w:r w:rsidRPr="00536203">
        <w:rPr>
          <w:rFonts w:ascii="David" w:hAnsi="David" w:cs="David"/>
          <w:sz w:val="24"/>
          <w:szCs w:val="24"/>
          <w:u w:val="single"/>
          <w:rtl/>
        </w:rPr>
        <w:t xml:space="preserve"> </w:t>
      </w:r>
      <w:r w:rsidRPr="00536203">
        <w:rPr>
          <w:rFonts w:ascii="David" w:hAnsi="David" w:cs="David"/>
          <w:b/>
          <w:bCs/>
          <w:sz w:val="24"/>
          <w:szCs w:val="24"/>
          <w:rtl/>
        </w:rPr>
        <w:t>פרנסקי נ' מדינת ישראל</w:t>
      </w:r>
      <w:r w:rsidRPr="00536203">
        <w:rPr>
          <w:rFonts w:ascii="David" w:hAnsi="David" w:cs="David"/>
          <w:sz w:val="24"/>
          <w:szCs w:val="24"/>
          <w:rtl/>
        </w:rPr>
        <w:t xml:space="preserve">, [פורסם בנבו] (10.11.2014)). זאת ועוד, בפסיקה המנחה בשאלת הימנעות מהרשעה נקבע כי זו מותנית בהצטבר שני גורמים: האחד, על ההרשעה לפגוע פגיעה חמורה בשיקום הנאשם והשני, סוג העבירה מאפשר ביטול ההרשעה מבלי לפגוע באופן מהותי בשיקולי ענישה אחרים (ראו לעניין זה, </w:t>
      </w:r>
      <w:hyperlink r:id="rId65" w:history="1">
        <w:r w:rsidR="008F5233" w:rsidRPr="008F5233">
          <w:rPr>
            <w:rFonts w:ascii="David" w:hAnsi="David" w:cs="David"/>
            <w:b/>
            <w:bCs/>
            <w:color w:val="0000FF"/>
            <w:sz w:val="24"/>
            <w:szCs w:val="24"/>
            <w:u w:val="single"/>
            <w:rtl/>
          </w:rPr>
          <w:t>ע"פ 2083/96 תמר כתב נ' מדינת ישראל, פ"ד נב</w:t>
        </w:r>
      </w:hyperlink>
      <w:r w:rsidRPr="00536203">
        <w:rPr>
          <w:rFonts w:ascii="David" w:hAnsi="David" w:cs="David"/>
          <w:sz w:val="24"/>
          <w:szCs w:val="24"/>
          <w:rtl/>
        </w:rPr>
        <w:t>(3) 337 (1997) (להלן:</w:t>
      </w:r>
      <w:r w:rsidRPr="00536203">
        <w:rPr>
          <w:rFonts w:ascii="David" w:hAnsi="David" w:cs="David"/>
          <w:b/>
          <w:bCs/>
          <w:sz w:val="24"/>
          <w:szCs w:val="24"/>
          <w:rtl/>
        </w:rPr>
        <w:t>"פרשת כתב"</w:t>
      </w:r>
      <w:r w:rsidRPr="00536203">
        <w:rPr>
          <w:rFonts w:ascii="David" w:hAnsi="David" w:cs="David"/>
          <w:sz w:val="24"/>
          <w:szCs w:val="24"/>
          <w:rtl/>
        </w:rPr>
        <w:t>) ו</w:t>
      </w:r>
      <w:hyperlink r:id="rId66" w:history="1">
        <w:r w:rsidR="008F5233" w:rsidRPr="008F5233">
          <w:rPr>
            <w:rFonts w:ascii="David" w:hAnsi="David" w:cs="David"/>
            <w:b/>
            <w:bCs/>
            <w:color w:val="0000FF"/>
            <w:sz w:val="24"/>
            <w:szCs w:val="24"/>
            <w:u w:val="single"/>
            <w:rtl/>
          </w:rPr>
          <w:t>ע"פ 2513/96 מדינת ישראל נ' ויקטור שמש, פ"ד נ</w:t>
        </w:r>
      </w:hyperlink>
      <w:r w:rsidRPr="00536203">
        <w:rPr>
          <w:rFonts w:ascii="David" w:hAnsi="David" w:cs="David"/>
          <w:sz w:val="24"/>
          <w:szCs w:val="24"/>
          <w:rtl/>
        </w:rPr>
        <w:t xml:space="preserve">(3) 682 (1996)). כן ראו את מבחני העזר בעניין זה, כפי שעמד עליהם כב' השופט ש' לוין </w:t>
      </w:r>
      <w:r w:rsidRPr="00536203">
        <w:rPr>
          <w:rFonts w:ascii="David" w:hAnsi="David" w:cs="David"/>
          <w:b/>
          <w:bCs/>
          <w:sz w:val="24"/>
          <w:szCs w:val="24"/>
          <w:rtl/>
        </w:rPr>
        <w:t>בפרשת כתב</w:t>
      </w:r>
      <w:r w:rsidRPr="00536203">
        <w:rPr>
          <w:rFonts w:ascii="David" w:hAnsi="David" w:cs="David"/>
          <w:sz w:val="24"/>
          <w:szCs w:val="24"/>
          <w:rtl/>
        </w:rPr>
        <w:t xml:space="preserve"> ואת פסיקתו של בית המשפט העליון ב</w:t>
      </w:r>
      <w:hyperlink r:id="rId67" w:history="1">
        <w:r w:rsidR="008F5233" w:rsidRPr="008F5233">
          <w:rPr>
            <w:rFonts w:ascii="David" w:hAnsi="David" w:cs="David"/>
            <w:color w:val="0000FF"/>
            <w:sz w:val="24"/>
            <w:szCs w:val="24"/>
            <w:u w:val="single"/>
            <w:rtl/>
          </w:rPr>
          <w:t>ע"פ 2669/00 מדינת ישראל נ' פלוני, פ"ד נד</w:t>
        </w:r>
      </w:hyperlink>
      <w:r w:rsidRPr="00536203">
        <w:rPr>
          <w:rFonts w:ascii="David" w:hAnsi="David" w:cs="David"/>
          <w:sz w:val="24"/>
          <w:szCs w:val="24"/>
          <w:rtl/>
        </w:rPr>
        <w:t>(3) 685, 690 (2000).</w:t>
      </w:r>
    </w:p>
    <w:p w14:paraId="1A2B7F7B" w14:textId="77777777" w:rsidR="00C169A9" w:rsidRPr="00536203" w:rsidRDefault="00C169A9" w:rsidP="00C169A9">
      <w:pPr>
        <w:pStyle w:val="11"/>
        <w:numPr>
          <w:ilvl w:val="0"/>
          <w:numId w:val="2"/>
        </w:numPr>
        <w:tabs>
          <w:tab w:val="right" w:pos="7371"/>
        </w:tabs>
        <w:spacing w:after="0"/>
        <w:ind w:right="-625"/>
        <w:rPr>
          <w:rFonts w:ascii="David" w:hAnsi="David" w:cs="David"/>
          <w:sz w:val="24"/>
          <w:szCs w:val="24"/>
        </w:rPr>
      </w:pPr>
      <w:r w:rsidRPr="00536203">
        <w:rPr>
          <w:rFonts w:ascii="David" w:hAnsi="David" w:cs="David"/>
          <w:sz w:val="24"/>
          <w:szCs w:val="24"/>
          <w:rtl/>
        </w:rPr>
        <w:t xml:space="preserve">לאחר ששמעתי את טיעוני הצדדים, ועיינתי בתסקירי שירות המבחן, שוכנעתי כי מקרה זה </w:t>
      </w:r>
      <w:r w:rsidRPr="00536203">
        <w:rPr>
          <w:rFonts w:ascii="David" w:hAnsi="David" w:cs="David"/>
          <w:b/>
          <w:bCs/>
          <w:sz w:val="24"/>
          <w:szCs w:val="24"/>
          <w:rtl/>
        </w:rPr>
        <w:t>אינו</w:t>
      </w:r>
      <w:r w:rsidRPr="00536203">
        <w:rPr>
          <w:rFonts w:ascii="David" w:hAnsi="David" w:cs="David"/>
          <w:sz w:val="24"/>
          <w:szCs w:val="24"/>
          <w:rtl/>
        </w:rPr>
        <w:t xml:space="preserve"> נמנה בגדר אותם מקרים חריגים שבהם יהיה זה מוצדק לסטות מהכלל לפיו נאשם שעבר עבירה יורשע בדינו. מצאתי, כי עניינו של הנאשם אינו נופל לגדר אותם "חריגים שבחריגים" או שמתקיימות בו אותן נסיבות מיוחדות המצדיקות הימנעות מהרשעתו. ובמה דברים אומרים?</w:t>
      </w:r>
    </w:p>
    <w:p w14:paraId="11C6465D" w14:textId="77777777" w:rsidR="00C169A9" w:rsidRPr="00536203" w:rsidRDefault="00C169A9" w:rsidP="00C169A9">
      <w:pPr>
        <w:pStyle w:val="11"/>
        <w:numPr>
          <w:ilvl w:val="0"/>
          <w:numId w:val="2"/>
        </w:numPr>
        <w:tabs>
          <w:tab w:val="right" w:pos="7371"/>
        </w:tabs>
        <w:spacing w:after="0"/>
        <w:ind w:right="-625"/>
        <w:rPr>
          <w:rFonts w:ascii="David" w:hAnsi="David" w:cs="David"/>
          <w:sz w:val="24"/>
          <w:szCs w:val="24"/>
        </w:rPr>
      </w:pPr>
      <w:r w:rsidRPr="00536203">
        <w:rPr>
          <w:rFonts w:ascii="David" w:hAnsi="David" w:cs="David"/>
          <w:sz w:val="24"/>
          <w:szCs w:val="24"/>
          <w:rtl/>
        </w:rPr>
        <w:t xml:space="preserve">במקרה הנדון, מצאתי כי לנוכח חומרת מעשיו של הנאשם, ישנו קושי של ממש להימנע מהרשעתו מבלי לפגוע באופן מהותי בשיקולי ענישה אחרים. ביטול הרשעתו של הנאשם עלולה לשלוח לו ולציבור כולו מסר מוטעה של סלחנות, </w:t>
      </w:r>
      <w:r w:rsidRPr="00536203">
        <w:rPr>
          <w:rFonts w:ascii="David" w:hAnsi="David" w:cs="David"/>
          <w:sz w:val="24"/>
          <w:szCs w:val="24"/>
          <w:u w:val="single"/>
          <w:rtl/>
        </w:rPr>
        <w:t>(</w:t>
      </w:r>
      <w:hyperlink r:id="rId68" w:history="1">
        <w:r w:rsidR="008F5233" w:rsidRPr="008F5233">
          <w:rPr>
            <w:rFonts w:ascii="David" w:hAnsi="David" w:cs="David"/>
            <w:color w:val="0000FF"/>
            <w:sz w:val="24"/>
            <w:szCs w:val="24"/>
            <w:u w:val="single"/>
            <w:rtl/>
          </w:rPr>
          <w:t>ע"פ (מחוזי באר שבע) 51803-05-15</w:t>
        </w:r>
      </w:hyperlink>
      <w:r w:rsidRPr="00536203">
        <w:rPr>
          <w:rFonts w:ascii="David" w:hAnsi="David" w:cs="David"/>
          <w:sz w:val="24"/>
          <w:szCs w:val="24"/>
          <w:rtl/>
        </w:rPr>
        <w:t xml:space="preserve"> </w:t>
      </w:r>
      <w:r w:rsidRPr="00536203">
        <w:rPr>
          <w:rFonts w:ascii="David" w:hAnsi="David" w:cs="David"/>
          <w:b/>
          <w:bCs/>
          <w:sz w:val="24"/>
          <w:szCs w:val="24"/>
          <w:rtl/>
        </w:rPr>
        <w:t>מדינת ישראל נ' פנחס דדון</w:t>
      </w:r>
      <w:r w:rsidRPr="00536203">
        <w:rPr>
          <w:rFonts w:ascii="David" w:hAnsi="David" w:cs="David"/>
          <w:sz w:val="24"/>
          <w:szCs w:val="24"/>
          <w:rtl/>
        </w:rPr>
        <w:t xml:space="preserve">, [פורסם בנבו] (20.09.2015)).  </w:t>
      </w:r>
    </w:p>
    <w:p w14:paraId="7E86057E" w14:textId="77777777" w:rsidR="00C169A9" w:rsidRPr="00536203" w:rsidRDefault="00C169A9" w:rsidP="00C169A9">
      <w:pPr>
        <w:pStyle w:val="11"/>
        <w:numPr>
          <w:ilvl w:val="0"/>
          <w:numId w:val="2"/>
        </w:numPr>
        <w:tabs>
          <w:tab w:val="right" w:pos="7371"/>
        </w:tabs>
        <w:spacing w:after="0"/>
        <w:ind w:right="-625"/>
        <w:rPr>
          <w:rFonts w:ascii="David" w:hAnsi="David" w:cs="David"/>
          <w:sz w:val="24"/>
          <w:szCs w:val="24"/>
        </w:rPr>
      </w:pPr>
      <w:r w:rsidRPr="00536203">
        <w:rPr>
          <w:rFonts w:ascii="David" w:hAnsi="David" w:cs="David"/>
          <w:sz w:val="24"/>
          <w:szCs w:val="24"/>
          <w:rtl/>
        </w:rPr>
        <w:t xml:space="preserve">בענייננו, לא שוכנעתי שיש מקום להתחשבות כה מיוחדת של בית המשפט בנאשם, עד כדי ביטול הרשעתו בדין. סבורתני כי נדרש גם נדרש כי יוטל עליו אותו כתם פלילי, וטוב שידע כי בית המשפט לא ינקוט בסבלנות ובסובלנות כלפי סוחרי הסמים ועוזריהם. כאן אף מצאתי להזכיר את פסיקתו של בית המשפט המחוזי מרכז </w:t>
      </w:r>
      <w:r w:rsidRPr="00536203">
        <w:rPr>
          <w:rFonts w:ascii="David" w:hAnsi="David" w:cs="David"/>
          <w:sz w:val="24"/>
          <w:szCs w:val="24"/>
          <w:u w:val="single"/>
          <w:rtl/>
        </w:rPr>
        <w:t>ב</w:t>
      </w:r>
      <w:hyperlink r:id="rId69" w:history="1">
        <w:r w:rsidR="008F5233" w:rsidRPr="008F5233">
          <w:rPr>
            <w:rFonts w:ascii="David" w:hAnsi="David" w:cs="David"/>
            <w:color w:val="0000FF"/>
            <w:sz w:val="24"/>
            <w:szCs w:val="24"/>
            <w:u w:val="single"/>
            <w:rtl/>
          </w:rPr>
          <w:t>ע"פ (מחוזי מרכז) 24457-03-15</w:t>
        </w:r>
      </w:hyperlink>
      <w:r w:rsidRPr="00536203">
        <w:rPr>
          <w:rFonts w:ascii="David" w:hAnsi="David" w:cs="David"/>
          <w:sz w:val="24"/>
          <w:szCs w:val="24"/>
          <w:rtl/>
        </w:rPr>
        <w:t xml:space="preserve"> </w:t>
      </w:r>
      <w:r w:rsidRPr="00536203">
        <w:rPr>
          <w:rFonts w:ascii="David" w:hAnsi="David" w:cs="David"/>
          <w:b/>
          <w:bCs/>
          <w:sz w:val="24"/>
          <w:szCs w:val="24"/>
          <w:rtl/>
        </w:rPr>
        <w:t>פבל גוטרמן נ' מדינת ישראל</w:t>
      </w:r>
      <w:r w:rsidRPr="00536203">
        <w:rPr>
          <w:rFonts w:ascii="David" w:hAnsi="David" w:cs="David"/>
          <w:sz w:val="24"/>
          <w:szCs w:val="24"/>
          <w:rtl/>
        </w:rPr>
        <w:t xml:space="preserve">, [פורסם בנבו] (30.08.2015), שם נקבעה מעין </w:t>
      </w:r>
      <w:r w:rsidRPr="00536203">
        <w:rPr>
          <w:rFonts w:ascii="David" w:hAnsi="David" w:cs="David"/>
          <w:b/>
          <w:bCs/>
          <w:sz w:val="24"/>
          <w:szCs w:val="24"/>
          <w:rtl/>
        </w:rPr>
        <w:t>"מקבילית כוחות"</w:t>
      </w:r>
      <w:r w:rsidRPr="00536203">
        <w:rPr>
          <w:rFonts w:ascii="David" w:hAnsi="David" w:cs="David"/>
          <w:sz w:val="24"/>
          <w:szCs w:val="24"/>
          <w:rtl/>
        </w:rPr>
        <w:t xml:space="preserve">, כאשר מידת הפגיעה הקונקרטית שהוכחתה נדרשת כתנאי להימנעות מהרשעה תעמוד ביחס ישר לחומרת העבירות המיוחסות לנאשם (והדברים אף נלמדים מהתנאי הדורש קיומו של יחס בלתי סביר בין חומרת העבירה לבין מידת הפגיעה בנאשם). </w:t>
      </w:r>
    </w:p>
    <w:p w14:paraId="768DBD50" w14:textId="77777777" w:rsidR="00C169A9" w:rsidRPr="00536203" w:rsidRDefault="00C169A9" w:rsidP="00C169A9">
      <w:pPr>
        <w:pStyle w:val="11"/>
        <w:numPr>
          <w:ilvl w:val="0"/>
          <w:numId w:val="2"/>
        </w:numPr>
        <w:tabs>
          <w:tab w:val="right" w:pos="7371"/>
        </w:tabs>
        <w:spacing w:after="0"/>
        <w:ind w:right="-625"/>
        <w:rPr>
          <w:rFonts w:ascii="David" w:hAnsi="David" w:cs="David"/>
          <w:sz w:val="24"/>
          <w:szCs w:val="24"/>
        </w:rPr>
      </w:pPr>
      <w:r w:rsidRPr="00536203">
        <w:rPr>
          <w:rFonts w:ascii="David" w:hAnsi="David" w:cs="David"/>
          <w:sz w:val="24"/>
          <w:szCs w:val="24"/>
          <w:rtl/>
        </w:rPr>
        <w:t xml:space="preserve">התנאי לפיו הימנעות מהרשעתו של הנאשם לא תביא לפגיעה מהותית בשיקולי ענישה אחרים, הינו למעשה תנאי שבלעדיו אין, ולכן על פניו היה די באמור עד כה כדי לדחות את בקשתו של הנאשם לביטול הרשעתו. יחד עם זאת, לא אעצור הילוכי בנקודה זו, ואציין כי הנאשם אף לא הוכיח ברמת ההוכחה הנדרשת כי הרשעה תביא לפגיעה קשה וקונקרטית בתעסוקתו או בשיקומו. כך, הנאשם </w:t>
      </w:r>
      <w:r w:rsidRPr="00536203">
        <w:rPr>
          <w:rFonts w:ascii="David" w:hAnsi="David" w:cs="David"/>
          <w:b/>
          <w:bCs/>
          <w:sz w:val="24"/>
          <w:szCs w:val="24"/>
          <w:rtl/>
        </w:rPr>
        <w:t>לא הציג ולו בדל ראיה</w:t>
      </w:r>
      <w:r w:rsidRPr="00536203">
        <w:rPr>
          <w:rFonts w:ascii="David" w:hAnsi="David" w:cs="David"/>
          <w:sz w:val="24"/>
          <w:szCs w:val="24"/>
          <w:rtl/>
        </w:rPr>
        <w:t xml:space="preserve"> שיהא בה כדי ללמד על כך שתעסוקתו או פרנסתו עלולות להיפגע בצורה משמעותית וקונקרטית אם יורשע בדינו. כל שנטען בעניין זה, הוא כי הנאשם עובד בתחום אבטחת המידע, ומלבד העובדה כי עצם ניהול ההליך כבר פגע בפרנסתו ומנע הימנו להשתתף בפרויקט של שירות בתי הסוהר, הרי שהרשעה תפגע גם בתעסוקתו העתידית בתחום אבטחת המידע לאור האמור </w:t>
      </w:r>
      <w:hyperlink r:id="rId70" w:history="1">
        <w:r w:rsidR="003F697E" w:rsidRPr="003F697E">
          <w:rPr>
            <w:rStyle w:val="Hyperlink"/>
            <w:rFonts w:ascii="David" w:hAnsi="David" w:cs="David"/>
            <w:sz w:val="24"/>
            <w:szCs w:val="24"/>
            <w:rtl/>
          </w:rPr>
          <w:t>בסעיף 17ב(ג)</w:t>
        </w:r>
      </w:hyperlink>
      <w:r w:rsidRPr="00536203">
        <w:rPr>
          <w:rFonts w:ascii="David" w:hAnsi="David" w:cs="David"/>
          <w:sz w:val="24"/>
          <w:szCs w:val="24"/>
          <w:u w:val="single"/>
          <w:rtl/>
        </w:rPr>
        <w:t xml:space="preserve"> ל</w:t>
      </w:r>
      <w:hyperlink r:id="rId71" w:history="1">
        <w:r w:rsidR="008F5233" w:rsidRPr="008F5233">
          <w:rPr>
            <w:rFonts w:ascii="David" w:hAnsi="David" w:cs="David"/>
            <w:color w:val="0000FF"/>
            <w:sz w:val="24"/>
            <w:szCs w:val="24"/>
            <w:u w:val="single"/>
            <w:rtl/>
          </w:rPr>
          <w:t>חוק הגנת הפרטיות</w:t>
        </w:r>
      </w:hyperlink>
      <w:r w:rsidRPr="00536203">
        <w:rPr>
          <w:rFonts w:ascii="David" w:hAnsi="David" w:cs="David"/>
          <w:sz w:val="24"/>
          <w:szCs w:val="24"/>
          <w:u w:val="single"/>
          <w:rtl/>
        </w:rPr>
        <w:t xml:space="preserve"> התשמ"א</w:t>
      </w:r>
      <w:r w:rsidRPr="001534E6">
        <w:rPr>
          <w:rFonts w:ascii="David" w:hAnsi="David" w:cs="David"/>
          <w:sz w:val="24"/>
          <w:szCs w:val="24"/>
          <w:u w:val="single"/>
          <w:rtl/>
        </w:rPr>
        <w:t xml:space="preserve"> – 1981</w:t>
      </w:r>
      <w:r w:rsidRPr="00536203">
        <w:rPr>
          <w:rFonts w:ascii="David" w:hAnsi="David" w:cs="David"/>
          <w:sz w:val="24"/>
          <w:szCs w:val="24"/>
          <w:rtl/>
        </w:rPr>
        <w:t xml:space="preserve">, המונע מאנשים בעלי עבר פלילי לשמש כממונים על אבטחת מידע בגופים מסוימים. </w:t>
      </w:r>
    </w:p>
    <w:p w14:paraId="36A4A0B9" w14:textId="77777777" w:rsidR="00C169A9" w:rsidRPr="00536203" w:rsidRDefault="00C169A9" w:rsidP="00C169A9">
      <w:pPr>
        <w:pStyle w:val="11"/>
        <w:numPr>
          <w:ilvl w:val="0"/>
          <w:numId w:val="2"/>
        </w:numPr>
        <w:tabs>
          <w:tab w:val="right" w:pos="7371"/>
        </w:tabs>
        <w:spacing w:after="0"/>
        <w:ind w:right="-625"/>
        <w:rPr>
          <w:rFonts w:ascii="David" w:hAnsi="David" w:cs="David"/>
          <w:sz w:val="24"/>
          <w:szCs w:val="24"/>
        </w:rPr>
      </w:pPr>
      <w:r w:rsidRPr="00536203">
        <w:rPr>
          <w:rFonts w:ascii="David" w:hAnsi="David" w:cs="David"/>
          <w:sz w:val="24"/>
          <w:szCs w:val="24"/>
          <w:rtl/>
        </w:rPr>
        <w:t xml:space="preserve">ראשית אציין, כי הנאשם לא הציג כל תימוכין לכך שתעסוקתו נפגעה כבר מעצם ניהול ההליך, טענות אלו נטענו בעלמא, ומשכך אין בידי לקבלן. כך גם בכל הנוגע לטענתו של הנאשם בדבר הפגיעה האפשרית בתעסוקתו לאור שאיפתו להתקדם מעובד קבלן לעובד מן המניין בנמל אשדוד. מה עוד, שטענתו לפגיעה אפשרית בתעסוקתו בתחום אבטחת המידע בהתאם </w:t>
      </w:r>
      <w:hyperlink r:id="rId72" w:history="1">
        <w:r w:rsidR="003F697E" w:rsidRPr="003F697E">
          <w:rPr>
            <w:rStyle w:val="Hyperlink"/>
            <w:rFonts w:ascii="David" w:hAnsi="David" w:cs="David"/>
            <w:sz w:val="24"/>
            <w:szCs w:val="24"/>
            <w:rtl/>
          </w:rPr>
          <w:t>לסעיף 17ב</w:t>
        </w:r>
      </w:hyperlink>
      <w:r w:rsidRPr="00536203">
        <w:rPr>
          <w:rFonts w:ascii="David" w:hAnsi="David" w:cs="David"/>
          <w:sz w:val="24"/>
          <w:szCs w:val="24"/>
          <w:u w:val="single"/>
          <w:rtl/>
        </w:rPr>
        <w:t xml:space="preserve"> ל</w:t>
      </w:r>
      <w:hyperlink r:id="rId73" w:history="1">
        <w:r w:rsidR="008F5233" w:rsidRPr="008F5233">
          <w:rPr>
            <w:rFonts w:ascii="David" w:hAnsi="David" w:cs="David"/>
            <w:color w:val="0000FF"/>
            <w:sz w:val="24"/>
            <w:szCs w:val="24"/>
            <w:u w:val="single"/>
            <w:rtl/>
          </w:rPr>
          <w:t>חוק הגנת הפרטיות</w:t>
        </w:r>
      </w:hyperlink>
      <w:r w:rsidRPr="00536203">
        <w:rPr>
          <w:rFonts w:ascii="David" w:hAnsi="David" w:cs="David"/>
          <w:sz w:val="24"/>
          <w:szCs w:val="24"/>
          <w:rtl/>
        </w:rPr>
        <w:t xml:space="preserve"> אין לה על מה שתסמוך. </w:t>
      </w:r>
      <w:hyperlink r:id="rId74" w:history="1">
        <w:r w:rsidR="003F697E" w:rsidRPr="003F697E">
          <w:rPr>
            <w:rStyle w:val="Hyperlink"/>
            <w:rFonts w:ascii="David" w:hAnsi="David" w:cs="David"/>
            <w:sz w:val="24"/>
            <w:szCs w:val="24"/>
            <w:rtl/>
          </w:rPr>
          <w:t>סעיף 17ב</w:t>
        </w:r>
      </w:hyperlink>
      <w:r w:rsidRPr="00536203">
        <w:rPr>
          <w:rFonts w:ascii="David" w:hAnsi="David" w:cs="David"/>
          <w:sz w:val="24"/>
          <w:szCs w:val="24"/>
          <w:u w:val="single"/>
          <w:rtl/>
        </w:rPr>
        <w:t xml:space="preserve"> ל</w:t>
      </w:r>
      <w:hyperlink r:id="rId75" w:history="1">
        <w:r w:rsidR="008F5233" w:rsidRPr="008F5233">
          <w:rPr>
            <w:rFonts w:ascii="David" w:hAnsi="David" w:cs="David"/>
            <w:color w:val="0000FF"/>
            <w:sz w:val="24"/>
            <w:szCs w:val="24"/>
            <w:u w:val="single"/>
            <w:rtl/>
          </w:rPr>
          <w:t>חוק הגנת הפרטיות</w:t>
        </w:r>
      </w:hyperlink>
      <w:r w:rsidRPr="00536203">
        <w:rPr>
          <w:rFonts w:ascii="David" w:hAnsi="David" w:cs="David"/>
          <w:sz w:val="24"/>
          <w:szCs w:val="24"/>
          <w:rtl/>
        </w:rPr>
        <w:t xml:space="preserve"> קובע כדלקמן: </w:t>
      </w:r>
    </w:p>
    <w:p w14:paraId="64B69A05" w14:textId="77777777" w:rsidR="00C169A9" w:rsidRPr="00536203" w:rsidRDefault="00C169A9" w:rsidP="00C169A9">
      <w:pPr>
        <w:pStyle w:val="11"/>
        <w:tabs>
          <w:tab w:val="right" w:pos="7371"/>
        </w:tabs>
        <w:spacing w:after="0"/>
        <w:ind w:left="-330" w:right="-625" w:firstLine="0"/>
        <w:rPr>
          <w:rFonts w:ascii="David" w:hAnsi="David" w:cs="David"/>
          <w:b/>
          <w:bCs/>
          <w:sz w:val="24"/>
          <w:szCs w:val="24"/>
        </w:rPr>
      </w:pPr>
      <w:r w:rsidRPr="00536203">
        <w:rPr>
          <w:rFonts w:ascii="David" w:hAnsi="David" w:cs="David"/>
          <w:b/>
          <w:bCs/>
          <w:sz w:val="24"/>
          <w:szCs w:val="24"/>
          <w:rtl/>
        </w:rPr>
        <w:t>"(א)</w:t>
      </w:r>
      <w:r w:rsidRPr="00536203">
        <w:rPr>
          <w:rFonts w:ascii="David" w:hAnsi="David" w:cs="David"/>
          <w:b/>
          <w:bCs/>
          <w:sz w:val="24"/>
          <w:szCs w:val="24"/>
          <w:rtl/>
        </w:rPr>
        <w:tab/>
        <w:t xml:space="preserve"> הגופים המפורטים להלן חייבים במינוי אדם בעל הכשרה מתאימה שיהיה ממונה על אבטחת מידע (להלן - הממונה)...</w:t>
      </w:r>
    </w:p>
    <w:p w14:paraId="4C3F903A" w14:textId="77777777" w:rsidR="00C169A9" w:rsidRPr="00536203" w:rsidRDefault="00C169A9" w:rsidP="00C169A9">
      <w:pPr>
        <w:pStyle w:val="11"/>
        <w:tabs>
          <w:tab w:val="right" w:pos="7371"/>
        </w:tabs>
        <w:spacing w:after="0"/>
        <w:ind w:left="-330" w:right="-625" w:firstLine="0"/>
        <w:rPr>
          <w:rFonts w:ascii="David" w:hAnsi="David" w:cs="David"/>
          <w:b/>
          <w:bCs/>
          <w:sz w:val="24"/>
          <w:szCs w:val="24"/>
          <w:rtl/>
        </w:rPr>
      </w:pPr>
      <w:r w:rsidRPr="00536203">
        <w:rPr>
          <w:rFonts w:ascii="David" w:hAnsi="David" w:cs="David"/>
          <w:b/>
          <w:bCs/>
          <w:sz w:val="24"/>
          <w:szCs w:val="24"/>
          <w:rtl/>
        </w:rPr>
        <w:t>(ג)</w:t>
      </w:r>
      <w:r w:rsidRPr="00536203">
        <w:rPr>
          <w:rFonts w:ascii="David" w:hAnsi="David" w:cs="David"/>
          <w:b/>
          <w:bCs/>
          <w:sz w:val="24"/>
          <w:szCs w:val="24"/>
          <w:rtl/>
        </w:rPr>
        <w:tab/>
        <w:t xml:space="preserve"> לא ימונה כממונה מי שהורשע בעבירה שיש עמה קלון או בעבירה על הוראות חוק זה". </w:t>
      </w:r>
    </w:p>
    <w:p w14:paraId="3D8CD5D1" w14:textId="77777777" w:rsidR="00C169A9" w:rsidRPr="00536203" w:rsidRDefault="00C169A9" w:rsidP="00C169A9">
      <w:pPr>
        <w:pStyle w:val="11"/>
        <w:numPr>
          <w:ilvl w:val="0"/>
          <w:numId w:val="2"/>
        </w:numPr>
        <w:tabs>
          <w:tab w:val="right" w:pos="7371"/>
        </w:tabs>
        <w:spacing w:after="0"/>
        <w:ind w:right="-625"/>
        <w:rPr>
          <w:rFonts w:ascii="David" w:hAnsi="David" w:cs="David"/>
          <w:sz w:val="24"/>
          <w:szCs w:val="24"/>
          <w:rtl/>
        </w:rPr>
      </w:pPr>
      <w:r w:rsidRPr="00536203">
        <w:rPr>
          <w:rFonts w:ascii="David" w:hAnsi="David" w:cs="David"/>
          <w:sz w:val="24"/>
          <w:szCs w:val="24"/>
          <w:rtl/>
        </w:rPr>
        <w:t xml:space="preserve">עם זאת, הנאשם לא טען כי הוא משמש כיום כממונה על אבטחת מידע באחד מן הגופים המפורטים בסעיף, או כי מינויו לממונה מעוכב בשל ההליך הפלילי, אלא רק הצהיר על </w:t>
      </w:r>
      <w:r w:rsidRPr="00536203">
        <w:rPr>
          <w:rFonts w:ascii="David" w:hAnsi="David" w:cs="David"/>
          <w:b/>
          <w:bCs/>
          <w:sz w:val="24"/>
          <w:szCs w:val="24"/>
          <w:rtl/>
        </w:rPr>
        <w:t>כוונה אפשרית ועתידית לעבוד כממונה בתחום אבטחת המידע</w:t>
      </w:r>
      <w:r w:rsidRPr="00536203">
        <w:rPr>
          <w:rFonts w:ascii="David" w:hAnsi="David" w:cs="David"/>
          <w:sz w:val="24"/>
          <w:szCs w:val="24"/>
          <w:rtl/>
        </w:rPr>
        <w:t xml:space="preserve">, תוך שהרשעה בעניינו יכול ותפגע באופק המקצועי שלו. ויוזכר, כי לנאשם ובא כוחו ניתנה האפשרות להגיש אסמכתאות לבית המשפט בדבר הפגיעה הקונקרטית בתעסוקתו של הנאשם, אף לאחר שלב הטיעונים לעונש, אך מסמכים כגון אלו לא הוגשו. משאלו פני הדברים, הרי הרשעה בעניינו של הנאשם מהווה כיום לכל היותר פגיעה אפשרית וערטילאית בלבד בתעסוקתו, ובטח שלא ניתן לומר כי המדובר בפגיעה מוחשית וקונקרטית. והנה בענייננו, בשעה שהנאשם הורשע בין היתר בביצוע עבירת </w:t>
      </w:r>
      <w:r w:rsidRPr="00536203">
        <w:rPr>
          <w:rFonts w:ascii="David" w:hAnsi="David" w:cs="David"/>
          <w:b/>
          <w:bCs/>
          <w:sz w:val="24"/>
          <w:szCs w:val="24"/>
          <w:rtl/>
        </w:rPr>
        <w:t>סיוע לסחר בסמים</w:t>
      </w:r>
      <w:r w:rsidRPr="00536203">
        <w:rPr>
          <w:rFonts w:ascii="David" w:hAnsi="David" w:cs="David"/>
          <w:sz w:val="24"/>
          <w:szCs w:val="24"/>
          <w:rtl/>
        </w:rPr>
        <w:t xml:space="preserve">, בנסיבות אלה, כאמור, היה על הנאשם להוכיח פגיעה </w:t>
      </w:r>
      <w:r w:rsidRPr="00536203">
        <w:rPr>
          <w:rFonts w:ascii="David" w:hAnsi="David" w:cs="David"/>
          <w:b/>
          <w:bCs/>
          <w:sz w:val="24"/>
          <w:szCs w:val="24"/>
          <w:rtl/>
        </w:rPr>
        <w:t>ממשית ומוחשית</w:t>
      </w:r>
      <w:r w:rsidRPr="00536203">
        <w:rPr>
          <w:rFonts w:ascii="David" w:hAnsi="David" w:cs="David"/>
          <w:sz w:val="24"/>
          <w:szCs w:val="24"/>
          <w:rtl/>
        </w:rPr>
        <w:t xml:space="preserve"> בעתידו ובתעסוקתו, וזאת הוא לא עשה. </w:t>
      </w:r>
    </w:p>
    <w:p w14:paraId="5EF3771C" w14:textId="77777777" w:rsidR="00C169A9" w:rsidRPr="00536203" w:rsidRDefault="00C169A9" w:rsidP="00C169A9">
      <w:pPr>
        <w:pStyle w:val="11"/>
        <w:numPr>
          <w:ilvl w:val="0"/>
          <w:numId w:val="2"/>
        </w:numPr>
        <w:tabs>
          <w:tab w:val="right" w:pos="7371"/>
        </w:tabs>
        <w:spacing w:after="0"/>
        <w:ind w:right="-625"/>
        <w:rPr>
          <w:rFonts w:ascii="David" w:hAnsi="David" w:cs="David"/>
          <w:sz w:val="24"/>
          <w:szCs w:val="24"/>
        </w:rPr>
      </w:pPr>
      <w:r w:rsidRPr="00536203">
        <w:rPr>
          <w:rFonts w:ascii="David" w:hAnsi="David" w:cs="David"/>
          <w:sz w:val="24"/>
          <w:szCs w:val="24"/>
          <w:rtl/>
        </w:rPr>
        <w:t>למעלה מן הצורך אציין, כי על מנת לחסום את דרכו של הנאשם מלעסוק כממונה על אבטחת מידע, יהא צורך להכריע בעתיד כי בעבירה בה הורשע יש קלון, כך שגם מטעם זה נראה, כי כל עוד לא הוכרע שיש קלון בעבירה, הרי שהפגיעה האפשרית בתעסוקתו של הנאשם בעתיד, אינה מוחלטת. במאמר מוסגר אטעים, כי מלבד העובדה שהצדדים כלל לא ביקשו מבית המשפט לתת את הדעת לעניין זה, הרי ששאלת הקלון כיום הינה תיאורטית גרידא, תוך שהנאשם לא טען כי הוא מתמודד כעת על משרת ממונה ספציפית, מה גם שלא ניתן לצפות כיום לאיזה גוף הלה עשוי להתמודד בעתיד (אם וכאשר) והיכן, ועל כן הכרעה בעניין זה אינה רלוונטית כעת, עת לא ניתן לשקול את השיקולים הקונקרטיים לגוף המשרה המבוקשת. מכיוון שכך, ומכיוון ששאלת הקלון לא נשקלת רק לאור חומרת העבירה ונסיבותיה, אלא אף נשקלת לאור המשרה (הספציפית) בה מבקש הנאשם לכהן, נראה כי הכרעה בעניין זה כעת תחטא לכוונת המחוקק ותהיה בגדר "רתימת העגלה לפני הסוסים" (וראו לעניין זה דבריו של כ' השופט א' לוי</w:t>
      </w:r>
      <w:r w:rsidRPr="00536203">
        <w:rPr>
          <w:rFonts w:ascii="David" w:hAnsi="David" w:cs="David"/>
          <w:sz w:val="24"/>
          <w:szCs w:val="24"/>
          <w:u w:val="single"/>
          <w:rtl/>
        </w:rPr>
        <w:t xml:space="preserve"> ב</w:t>
      </w:r>
      <w:hyperlink r:id="rId76" w:history="1">
        <w:r w:rsidR="008F5233" w:rsidRPr="008F5233">
          <w:rPr>
            <w:rFonts w:ascii="David" w:hAnsi="David" w:cs="David"/>
            <w:color w:val="0000FF"/>
            <w:sz w:val="24"/>
            <w:szCs w:val="24"/>
            <w:u w:val="single"/>
            <w:rtl/>
          </w:rPr>
          <w:t>בג"ץ 5699/07</w:t>
        </w:r>
      </w:hyperlink>
      <w:r w:rsidRPr="00536203">
        <w:rPr>
          <w:rFonts w:ascii="David" w:hAnsi="David" w:cs="David"/>
          <w:sz w:val="24"/>
          <w:szCs w:val="24"/>
          <w:rtl/>
        </w:rPr>
        <w:t xml:space="preserve"> </w:t>
      </w:r>
      <w:r w:rsidRPr="00536203">
        <w:rPr>
          <w:rFonts w:ascii="David" w:hAnsi="David" w:cs="David"/>
          <w:b/>
          <w:bCs/>
          <w:sz w:val="24"/>
          <w:szCs w:val="24"/>
          <w:rtl/>
        </w:rPr>
        <w:t>פלונית (א') נ' היועץ המשפטי לממשלה</w:t>
      </w:r>
      <w:r w:rsidRPr="00536203">
        <w:rPr>
          <w:rFonts w:ascii="David" w:hAnsi="David" w:cs="David"/>
          <w:sz w:val="24"/>
          <w:szCs w:val="24"/>
          <w:rtl/>
        </w:rPr>
        <w:t xml:space="preserve">, פסקאות 30-34 (2008)). </w:t>
      </w:r>
    </w:p>
    <w:p w14:paraId="3D2D5240" w14:textId="77777777" w:rsidR="00C169A9" w:rsidRDefault="00C169A9" w:rsidP="00C169A9">
      <w:pPr>
        <w:pStyle w:val="11"/>
        <w:numPr>
          <w:ilvl w:val="0"/>
          <w:numId w:val="2"/>
        </w:numPr>
        <w:tabs>
          <w:tab w:val="right" w:pos="7371"/>
        </w:tabs>
        <w:spacing w:after="0"/>
        <w:ind w:right="-625"/>
        <w:rPr>
          <w:rFonts w:ascii="David" w:hAnsi="David" w:cs="David"/>
          <w:sz w:val="24"/>
          <w:szCs w:val="24"/>
        </w:rPr>
      </w:pPr>
      <w:r w:rsidRPr="001534E6">
        <w:rPr>
          <w:rFonts w:ascii="David" w:hAnsi="David" w:cs="David"/>
          <w:sz w:val="24"/>
          <w:szCs w:val="24"/>
          <w:rtl/>
        </w:rPr>
        <w:t xml:space="preserve">אכן, הנאשם נעדר עבר פלילי, הודה בביצוע העבירות, לקח אחריות על מעשיו, עבר הליך שיקום, ומתסקירי שירות המבחן מצטיירת תמונה של אדם נורמטיבי שמעד, ואלו בהחלט עומדים לזכותו ויביאו ללא ספק להקלה בעונשו. אך לאור כל המפורט לעיל, לדידי, אין בכוחם של אלו להוות הצדקה לביטול הרשעתו בדין. מכל הטעמים האמורים, הריני מורה כי </w:t>
      </w:r>
      <w:r w:rsidRPr="001534E6">
        <w:rPr>
          <w:rFonts w:ascii="David" w:hAnsi="David" w:cs="David"/>
          <w:b/>
          <w:bCs/>
          <w:sz w:val="24"/>
          <w:szCs w:val="24"/>
          <w:rtl/>
        </w:rPr>
        <w:t>הרשעתו של הנאשם תיוותר על כנה</w:t>
      </w:r>
      <w:r w:rsidRPr="001534E6">
        <w:rPr>
          <w:rFonts w:ascii="David" w:hAnsi="David" w:cs="David"/>
          <w:sz w:val="24"/>
          <w:szCs w:val="24"/>
          <w:rtl/>
        </w:rPr>
        <w:t>.</w:t>
      </w:r>
      <w:r w:rsidRPr="001534E6">
        <w:rPr>
          <w:rFonts w:ascii="David" w:hAnsi="David" w:cs="David" w:hint="cs"/>
          <w:sz w:val="24"/>
          <w:szCs w:val="24"/>
          <w:rtl/>
        </w:rPr>
        <w:t xml:space="preserve"> </w:t>
      </w:r>
    </w:p>
    <w:p w14:paraId="0EB93C5E" w14:textId="77777777" w:rsidR="00C169A9" w:rsidRDefault="00C169A9" w:rsidP="00C169A9">
      <w:pPr>
        <w:pStyle w:val="1"/>
        <w:tabs>
          <w:tab w:val="right" w:pos="7371"/>
        </w:tabs>
        <w:spacing w:before="0" w:line="360" w:lineRule="auto"/>
        <w:ind w:right="-625"/>
        <w:jc w:val="center"/>
        <w:rPr>
          <w:rFonts w:ascii="David" w:hAnsi="David" w:cs="David"/>
          <w:b/>
          <w:bCs/>
          <w:color w:val="auto"/>
          <w:u w:val="single"/>
          <w:rtl/>
        </w:rPr>
      </w:pPr>
    </w:p>
    <w:p w14:paraId="734D90D3" w14:textId="77777777" w:rsidR="00C169A9" w:rsidRPr="00536203" w:rsidRDefault="00C169A9" w:rsidP="00C169A9">
      <w:pPr>
        <w:pStyle w:val="1"/>
        <w:tabs>
          <w:tab w:val="right" w:pos="7371"/>
        </w:tabs>
        <w:spacing w:before="0" w:line="360" w:lineRule="auto"/>
        <w:ind w:right="-625"/>
        <w:jc w:val="center"/>
        <w:rPr>
          <w:rFonts w:ascii="David" w:hAnsi="David" w:cs="David"/>
          <w:b/>
          <w:bCs/>
          <w:color w:val="auto"/>
          <w:u w:val="single"/>
          <w:rtl/>
        </w:rPr>
      </w:pPr>
      <w:r w:rsidRPr="00536203">
        <w:rPr>
          <w:rFonts w:ascii="David" w:hAnsi="David" w:cs="David"/>
          <w:b/>
          <w:bCs/>
          <w:color w:val="auto"/>
          <w:u w:val="single"/>
          <w:rtl/>
        </w:rPr>
        <w:t>גזירת הדין</w:t>
      </w:r>
    </w:p>
    <w:p w14:paraId="01B9F514" w14:textId="77777777" w:rsidR="00C169A9" w:rsidRDefault="00C169A9" w:rsidP="00C169A9">
      <w:pPr>
        <w:pStyle w:val="11"/>
        <w:numPr>
          <w:ilvl w:val="0"/>
          <w:numId w:val="2"/>
        </w:numPr>
        <w:tabs>
          <w:tab w:val="right" w:pos="7371"/>
        </w:tabs>
        <w:spacing w:after="0"/>
        <w:ind w:right="-625"/>
        <w:rPr>
          <w:rFonts w:ascii="David" w:hAnsi="David" w:cs="David"/>
          <w:sz w:val="24"/>
          <w:szCs w:val="24"/>
        </w:rPr>
      </w:pPr>
      <w:r w:rsidRPr="001534E6">
        <w:rPr>
          <w:rFonts w:ascii="David" w:hAnsi="David" w:cs="David" w:hint="cs"/>
          <w:sz w:val="24"/>
          <w:szCs w:val="24"/>
          <w:rtl/>
        </w:rPr>
        <w:t>כ</w:t>
      </w:r>
      <w:r w:rsidRPr="001534E6">
        <w:rPr>
          <w:rFonts w:ascii="David" w:hAnsi="David" w:cs="David"/>
          <w:sz w:val="24"/>
          <w:szCs w:val="24"/>
          <w:rtl/>
        </w:rPr>
        <w:t xml:space="preserve">עת נותר לגזור את עונשו של הנאשם, ולצורך כך, כמצוות המחוקק </w:t>
      </w:r>
      <w:hyperlink r:id="rId77" w:history="1">
        <w:r w:rsidR="003F697E" w:rsidRPr="003F697E">
          <w:rPr>
            <w:rStyle w:val="Hyperlink"/>
            <w:rFonts w:ascii="David" w:hAnsi="David" w:cs="David"/>
            <w:sz w:val="24"/>
            <w:szCs w:val="24"/>
            <w:rtl/>
          </w:rPr>
          <w:t>בסעיף 40יא</w:t>
        </w:r>
      </w:hyperlink>
      <w:r w:rsidRPr="001534E6">
        <w:rPr>
          <w:rFonts w:ascii="David" w:hAnsi="David" w:cs="David"/>
          <w:sz w:val="24"/>
          <w:szCs w:val="24"/>
          <w:u w:val="single"/>
          <w:rtl/>
        </w:rPr>
        <w:t xml:space="preserve"> ל</w:t>
      </w:r>
      <w:hyperlink r:id="rId78" w:history="1">
        <w:r w:rsidR="008F5233" w:rsidRPr="008F5233">
          <w:rPr>
            <w:rFonts w:ascii="David" w:hAnsi="David" w:cs="David"/>
            <w:color w:val="0000FF"/>
            <w:sz w:val="24"/>
            <w:szCs w:val="24"/>
            <w:u w:val="single"/>
            <w:rtl/>
          </w:rPr>
          <w:t>חוק העונשין</w:t>
        </w:r>
      </w:hyperlink>
      <w:r w:rsidRPr="001534E6">
        <w:rPr>
          <w:rFonts w:ascii="David" w:hAnsi="David" w:cs="David"/>
          <w:sz w:val="24"/>
          <w:szCs w:val="24"/>
          <w:rtl/>
        </w:rPr>
        <w:t>, יש להתחשב    בנסיבות שאינן קשורות בביצוע העבירות.</w:t>
      </w:r>
      <w:r>
        <w:rPr>
          <w:rFonts w:ascii="David" w:hAnsi="David" w:cs="David" w:hint="cs"/>
          <w:sz w:val="24"/>
          <w:szCs w:val="24"/>
          <w:rtl/>
        </w:rPr>
        <w:t xml:space="preserve"> </w:t>
      </w:r>
    </w:p>
    <w:p w14:paraId="55FBAEA5" w14:textId="77777777" w:rsidR="00C169A9" w:rsidRDefault="00C169A9" w:rsidP="00C169A9">
      <w:pPr>
        <w:pStyle w:val="11"/>
        <w:numPr>
          <w:ilvl w:val="0"/>
          <w:numId w:val="2"/>
        </w:numPr>
        <w:tabs>
          <w:tab w:val="right" w:pos="7371"/>
        </w:tabs>
        <w:spacing w:after="0"/>
        <w:ind w:right="-625"/>
        <w:rPr>
          <w:rFonts w:ascii="David" w:hAnsi="David" w:cs="David"/>
          <w:sz w:val="24"/>
          <w:szCs w:val="24"/>
        </w:rPr>
      </w:pPr>
      <w:r w:rsidRPr="001534E6">
        <w:rPr>
          <w:rFonts w:ascii="David" w:hAnsi="David" w:cs="David"/>
          <w:sz w:val="24"/>
          <w:szCs w:val="24"/>
          <w:rtl/>
        </w:rPr>
        <w:t xml:space="preserve">בעניין זה נתתי דעתי לכך כי הנאשם הודה במיוחס לו והביא לחיסכון בזמן שיפוטי יקר; להיותו חף מהרשעות קודמות; לחלוף הזמן מעת ביצוע העבירות; לעובדה שהנאשם הביע חרטה על מעשיו; וכי מאז האירועים שבמוקד כתב האישום נמנע הנאשם מלשוב ולהסתבך בפלילים. עוד אציין, כי הבאתי בחשבון את הפגיעה שעלולה להיגרם לנאשם ככל שיושת עליו עונש מאסר, ולו לריצוי בעבודות שירות, וזאת בשים לב לכך שהכלא זר לו. </w:t>
      </w:r>
    </w:p>
    <w:p w14:paraId="3367DA7E" w14:textId="77777777" w:rsidR="00C169A9" w:rsidRPr="001534E6" w:rsidRDefault="00C169A9" w:rsidP="00C169A9">
      <w:pPr>
        <w:pStyle w:val="11"/>
        <w:numPr>
          <w:ilvl w:val="0"/>
          <w:numId w:val="2"/>
        </w:numPr>
        <w:tabs>
          <w:tab w:val="right" w:pos="7371"/>
        </w:tabs>
        <w:spacing w:after="0"/>
        <w:ind w:right="-625"/>
        <w:rPr>
          <w:rFonts w:ascii="David" w:hAnsi="David" w:cs="David"/>
          <w:sz w:val="24"/>
          <w:szCs w:val="24"/>
        </w:rPr>
      </w:pPr>
      <w:r>
        <w:rPr>
          <w:rFonts w:ascii="David" w:hAnsi="David" w:cs="David" w:hint="cs"/>
          <w:sz w:val="24"/>
          <w:szCs w:val="24"/>
          <w:rtl/>
        </w:rPr>
        <w:t>ע</w:t>
      </w:r>
      <w:r w:rsidRPr="001534E6">
        <w:rPr>
          <w:rFonts w:ascii="David" w:hAnsi="David" w:cs="David"/>
          <w:sz w:val="24"/>
          <w:szCs w:val="24"/>
          <w:rtl/>
        </w:rPr>
        <w:t xml:space="preserve">וד ולקולה, ניתן להעניק משקל מסוים לעובדה כי הנאשם שהה פרק זמן לא מבוטל במעצר מאחורי סורג ובריח ותקופה ממושכת נוספת תחת תנאים מגבילים. ברי כי הליכי המעצר אינם עונש או "מקדמה על חשבון העונש", אולם, יש להניח שהיה בכך כדי להדגיש עבור הנאשם את הפסול שבמעשיו, ואף ניתן לשקול זאת במסגרת </w:t>
      </w:r>
      <w:hyperlink r:id="rId79" w:history="1">
        <w:r w:rsidR="003F697E" w:rsidRPr="003F697E">
          <w:rPr>
            <w:rStyle w:val="Hyperlink"/>
            <w:rFonts w:ascii="David" w:hAnsi="David" w:cs="David"/>
            <w:sz w:val="24"/>
            <w:szCs w:val="24"/>
            <w:rtl/>
          </w:rPr>
          <w:t>סעיף 40יא(3)</w:t>
        </w:r>
      </w:hyperlink>
      <w:r w:rsidRPr="001534E6">
        <w:rPr>
          <w:rFonts w:ascii="David" w:hAnsi="David" w:cs="David"/>
          <w:sz w:val="24"/>
          <w:szCs w:val="24"/>
          <w:u w:val="single"/>
          <w:rtl/>
        </w:rPr>
        <w:t xml:space="preserve"> ל</w:t>
      </w:r>
      <w:hyperlink r:id="rId80" w:history="1">
        <w:r w:rsidR="008F5233" w:rsidRPr="008F5233">
          <w:rPr>
            <w:rFonts w:ascii="David" w:hAnsi="David" w:cs="David"/>
            <w:color w:val="0000FF"/>
            <w:sz w:val="24"/>
            <w:szCs w:val="24"/>
            <w:u w:val="single"/>
            <w:rtl/>
          </w:rPr>
          <w:t>חוק העונשין</w:t>
        </w:r>
      </w:hyperlink>
      <w:r w:rsidRPr="001534E6">
        <w:rPr>
          <w:rFonts w:ascii="David" w:hAnsi="David" w:cs="David"/>
          <w:sz w:val="24"/>
          <w:szCs w:val="24"/>
          <w:u w:val="single"/>
          <w:rtl/>
        </w:rPr>
        <w:t>.</w:t>
      </w:r>
    </w:p>
    <w:p w14:paraId="3235E97E" w14:textId="77777777" w:rsidR="00C169A9" w:rsidRDefault="00C169A9" w:rsidP="00C169A9">
      <w:pPr>
        <w:pStyle w:val="11"/>
        <w:numPr>
          <w:ilvl w:val="0"/>
          <w:numId w:val="2"/>
        </w:numPr>
        <w:tabs>
          <w:tab w:val="right" w:pos="7371"/>
        </w:tabs>
        <w:spacing w:after="0"/>
        <w:ind w:right="-625"/>
        <w:rPr>
          <w:rFonts w:ascii="David" w:hAnsi="David" w:cs="David"/>
          <w:sz w:val="24"/>
          <w:szCs w:val="24"/>
        </w:rPr>
      </w:pPr>
      <w:r w:rsidRPr="001534E6">
        <w:rPr>
          <w:rFonts w:ascii="David" w:hAnsi="David" w:cs="David"/>
          <w:sz w:val="24"/>
          <w:szCs w:val="24"/>
          <w:rtl/>
        </w:rPr>
        <w:t xml:space="preserve">כל אלה, על פניו, היו צריכים להביא את בית המשפט למסקנה כי יש לגזור את עונשו של הנאשם ברף הנמוך של מתחם העונש ההולם. אולם, בשים לב לאמור </w:t>
      </w:r>
      <w:hyperlink r:id="rId81" w:history="1">
        <w:r w:rsidR="003F697E" w:rsidRPr="003F697E">
          <w:rPr>
            <w:rStyle w:val="Hyperlink"/>
            <w:rFonts w:ascii="David" w:hAnsi="David" w:cs="David"/>
            <w:sz w:val="24"/>
            <w:szCs w:val="24"/>
            <w:rtl/>
          </w:rPr>
          <w:t>בסעיף 40ד(א)</w:t>
        </w:r>
      </w:hyperlink>
      <w:r w:rsidRPr="001534E6">
        <w:rPr>
          <w:rFonts w:ascii="David" w:hAnsi="David" w:cs="David"/>
          <w:sz w:val="24"/>
          <w:szCs w:val="24"/>
          <w:u w:val="single"/>
          <w:rtl/>
        </w:rPr>
        <w:t xml:space="preserve"> ל</w:t>
      </w:r>
      <w:hyperlink r:id="rId82" w:history="1">
        <w:r w:rsidR="008F5233" w:rsidRPr="008F5233">
          <w:rPr>
            <w:rFonts w:ascii="David" w:hAnsi="David" w:cs="David"/>
            <w:color w:val="0000FF"/>
            <w:sz w:val="24"/>
            <w:szCs w:val="24"/>
            <w:u w:val="single"/>
            <w:rtl/>
          </w:rPr>
          <w:t>חוק העונשין</w:t>
        </w:r>
      </w:hyperlink>
      <w:r w:rsidRPr="001534E6">
        <w:rPr>
          <w:rFonts w:ascii="David" w:hAnsi="David" w:cs="David"/>
          <w:sz w:val="24"/>
          <w:szCs w:val="24"/>
          <w:u w:val="single"/>
          <w:rtl/>
        </w:rPr>
        <w:t>,</w:t>
      </w:r>
      <w:r w:rsidRPr="001534E6">
        <w:rPr>
          <w:rFonts w:ascii="David" w:hAnsi="David" w:cs="David"/>
          <w:sz w:val="24"/>
          <w:szCs w:val="24"/>
          <w:rtl/>
        </w:rPr>
        <w:t xml:space="preserve"> שוכנעתי כי יש מקום במקרה הנדון לסטות לקולה מהמתחם שקבעתי לעיל, וזאת לאחר שהשתכנעתי כי קיים סיכוי של ממש כי הנאשם ישתקם בעתיד. ובמה דברים אמורים? </w:t>
      </w:r>
    </w:p>
    <w:p w14:paraId="594B58D2" w14:textId="77777777" w:rsidR="00C169A9" w:rsidRDefault="00C169A9" w:rsidP="00C169A9">
      <w:pPr>
        <w:pStyle w:val="11"/>
        <w:numPr>
          <w:ilvl w:val="0"/>
          <w:numId w:val="2"/>
        </w:numPr>
        <w:tabs>
          <w:tab w:val="right" w:pos="7371"/>
        </w:tabs>
        <w:spacing w:after="0"/>
        <w:ind w:left="-199" w:right="-625"/>
        <w:rPr>
          <w:rFonts w:ascii="David" w:hAnsi="David" w:cs="David"/>
          <w:sz w:val="24"/>
          <w:szCs w:val="24"/>
        </w:rPr>
      </w:pPr>
      <w:r w:rsidRPr="001534E6">
        <w:rPr>
          <w:rFonts w:ascii="David" w:hAnsi="David" w:cs="David"/>
          <w:sz w:val="24"/>
          <w:szCs w:val="24"/>
          <w:rtl/>
        </w:rPr>
        <w:t xml:space="preserve">מעיון בתסקיר שירות המבחן שהוגש בעניינו של הנאשם מיום 09.01.2020, עולה כי מאז ביצוע העבירות, הפסיק הנאשם לחלוטין את צריכת הסמים (תוך שלדבריו החל את השימוש בהם בשל טראומות שחווה במבצע "עופרת יצוקה" בו השתתף במסגרת שירותו הצבאי), וכי בדיקות השתן שמסר נמצאו ללא שרידי סם. כמו כן, במהלך תקופת צו פיקוח המעצרים שהושת עליו, הנאשם השתלב בקבוצה טיפולית המיועדת לעצורי בית. שירות המבחן מסר כי הנאשם שיתף עמו פעולה באופן מלא, הגיע בעקביות למפגשים ומסר בדיקות שתן. במפגשים לקח הנאשם חלק מרכזי בתהליך הקבוצתי, ועבר תהליך התבוננות משמעותי באשר למעורבותו בעבירה, תוך נכונות לבצע שינויים חיוביים בדפוסי התנהגותו וחשיבתו. במסגרת הטיפול העריך שירות המבחן כי יכולתו של הנאשם לזהות דרכי התמודדות אלטרנטיביות ונורמטיביות במצבים מורכבים ובתנאי לחץ, הוביל </w:t>
      </w:r>
      <w:r w:rsidRPr="001534E6">
        <w:rPr>
          <w:rFonts w:ascii="David" w:hAnsi="David" w:cs="David"/>
          <w:b/>
          <w:bCs/>
          <w:sz w:val="24"/>
          <w:szCs w:val="24"/>
          <w:rtl/>
        </w:rPr>
        <w:t>לצמצום הסיכון הנשקף הימנו לביצוע עבירות נוספות.</w:t>
      </w:r>
      <w:r w:rsidRPr="001534E6">
        <w:rPr>
          <w:rFonts w:ascii="David" w:hAnsi="David" w:cs="David"/>
          <w:sz w:val="24"/>
          <w:szCs w:val="24"/>
          <w:rtl/>
        </w:rPr>
        <w:t xml:space="preserve"> שירות המבחן התרשם עוד, כי הנאשם בעל רמות תפקודיות גבוהות במיוחד בחלק ניכר ממישורי חייו, עת גדל בסביבה בטוחה עם בסיס להתפתחות תקינה, </w:t>
      </w:r>
      <w:r w:rsidRPr="001534E6">
        <w:rPr>
          <w:rFonts w:ascii="David" w:hAnsi="David" w:cs="David"/>
          <w:b/>
          <w:bCs/>
          <w:sz w:val="24"/>
          <w:szCs w:val="24"/>
          <w:rtl/>
        </w:rPr>
        <w:t>תוך שביצוע העבירה על ידו הינה חריגה ואינה מבטאת את אורח חייו של הנאשם בדרך כלל</w:t>
      </w:r>
      <w:r w:rsidRPr="001534E6">
        <w:rPr>
          <w:rFonts w:ascii="David" w:hAnsi="David" w:cs="David"/>
          <w:sz w:val="24"/>
          <w:szCs w:val="24"/>
          <w:rtl/>
        </w:rPr>
        <w:t xml:space="preserve">. </w:t>
      </w:r>
    </w:p>
    <w:p w14:paraId="3A9B4628" w14:textId="77777777" w:rsidR="00C169A9" w:rsidRDefault="00C169A9" w:rsidP="00C169A9">
      <w:pPr>
        <w:pStyle w:val="11"/>
        <w:numPr>
          <w:ilvl w:val="0"/>
          <w:numId w:val="2"/>
        </w:numPr>
        <w:tabs>
          <w:tab w:val="right" w:pos="7371"/>
        </w:tabs>
        <w:spacing w:after="0"/>
        <w:ind w:left="-199" w:right="-625"/>
        <w:rPr>
          <w:rFonts w:ascii="David" w:hAnsi="David" w:cs="David"/>
          <w:sz w:val="24"/>
          <w:szCs w:val="24"/>
        </w:rPr>
      </w:pPr>
      <w:r w:rsidRPr="001534E6">
        <w:rPr>
          <w:rFonts w:ascii="David" w:hAnsi="David" w:cs="David"/>
          <w:sz w:val="24"/>
          <w:szCs w:val="24"/>
          <w:rtl/>
        </w:rPr>
        <w:t>עוד מצא השירות לציין, כי להערכתו, הנאשם בעל מודעות עצמית גבוהה, אישיות מגובשת, יכולת חשיבה מורכבת המאופיינת בגישה ביקורתית שמסייעת לו לזהות חלקים באישיותו שהובילו אותו לביצוע העבירות. כן התרשם שירות המבחן כי הנאשם מתוסכל ומאוכזב מעצמו עקב מעורבותו בעבירה, ונראה כי ההליך המשפטי משמעותי ביותר עבורו. בשל כל אלה, סבר שירות המבחן כי לאור דפוסי אישיותו של הנאשם והתובנות שהגיע אליהן, אין מקום לשלב את הנאשם בהליך טיפולי נוסף, ו</w:t>
      </w:r>
      <w:r w:rsidRPr="001534E6">
        <w:rPr>
          <w:rFonts w:ascii="David" w:hAnsi="David" w:cs="David"/>
          <w:b/>
          <w:bCs/>
          <w:sz w:val="24"/>
          <w:szCs w:val="24"/>
          <w:rtl/>
        </w:rPr>
        <w:t xml:space="preserve">כי הסיכון להתנהלות חוצה גבולות זהה בעתיד מצד הנאשם הינה נמוכה. </w:t>
      </w:r>
      <w:r w:rsidRPr="001534E6">
        <w:rPr>
          <w:rFonts w:ascii="David" w:hAnsi="David" w:cs="David" w:hint="cs"/>
          <w:sz w:val="24"/>
          <w:szCs w:val="24"/>
          <w:rtl/>
        </w:rPr>
        <w:t xml:space="preserve"> </w:t>
      </w:r>
    </w:p>
    <w:p w14:paraId="71DF4C83" w14:textId="77777777" w:rsidR="00C169A9" w:rsidRDefault="00C169A9" w:rsidP="00C169A9">
      <w:pPr>
        <w:pStyle w:val="11"/>
        <w:numPr>
          <w:ilvl w:val="0"/>
          <w:numId w:val="2"/>
        </w:numPr>
        <w:tabs>
          <w:tab w:val="right" w:pos="7371"/>
        </w:tabs>
        <w:spacing w:after="0"/>
        <w:ind w:left="-199" w:right="-625"/>
        <w:rPr>
          <w:rFonts w:ascii="David" w:hAnsi="David" w:cs="David"/>
          <w:sz w:val="24"/>
          <w:szCs w:val="24"/>
        </w:rPr>
      </w:pPr>
      <w:r w:rsidRPr="001534E6">
        <w:rPr>
          <w:rFonts w:ascii="David" w:hAnsi="David" w:cs="David"/>
          <w:sz w:val="24"/>
          <w:szCs w:val="24"/>
          <w:rtl/>
        </w:rPr>
        <w:t>מתסקיר שירות המבחן שהוגש בעניינו של הנאשם ביום 31.05.2020, עדכן שירות המבחן כי הנאשם שב להתגורר באשקלון וחזר לעבוד בתחום אבטחת המידע בו עסק עובר להגשת כתב האישום כנגדו, תוך שבדיקות השתן שמסר נמצאו נקיות משרידי סם. אשר על כן, לאור ההליך השיקומי, העדר עבר פלילי, הערכת הסיכון הנמוכה, ולאור הימנעות הנאשם מצריכת סמים ושאיפותיו הנורמטיביות, המליץ השירות לבכר בעניינו של הנאשם את הפן השיקומי ובא בהמלצתו העונשית אשר פורטה בראשית הדברים.</w:t>
      </w:r>
    </w:p>
    <w:p w14:paraId="1E873195" w14:textId="77777777" w:rsidR="00C169A9" w:rsidRPr="001534E6" w:rsidRDefault="00C169A9" w:rsidP="00C169A9">
      <w:pPr>
        <w:pStyle w:val="11"/>
        <w:numPr>
          <w:ilvl w:val="0"/>
          <w:numId w:val="2"/>
        </w:numPr>
        <w:tabs>
          <w:tab w:val="right" w:pos="7371"/>
        </w:tabs>
        <w:spacing w:after="0"/>
        <w:ind w:left="-199" w:right="-625"/>
        <w:rPr>
          <w:rFonts w:ascii="David" w:hAnsi="David" w:cs="David"/>
          <w:sz w:val="24"/>
          <w:szCs w:val="24"/>
        </w:rPr>
      </w:pPr>
      <w:r w:rsidRPr="001534E6">
        <w:rPr>
          <w:rFonts w:ascii="David" w:hAnsi="David" w:cs="David"/>
          <w:sz w:val="24"/>
          <w:szCs w:val="24"/>
          <w:rtl/>
        </w:rPr>
        <w:t xml:space="preserve">הנה כי כן, דרך החיים שהנאשם דבק בה מאז שוחרר מהמעצר בתיק זה, הירתמותו לטיפול ושיתוף הפעולה שלו עם שירות המבחן, התרשמות שירות המבחן  כי הנאשם הינו אדם נורמטיבי בבסיסו אשר ההליך הפלילי אינו משקף את מהלך חייו, תוך שהסיכון להישנות עבירות מצדו הינו נמוך, מעידים כי הלה זנח את עמדותיו ודפוסיו העברייניים וכי כעת הוא מבקש לשקם את חייו ולהשיבם למסלול נורמטיבי. </w:t>
      </w:r>
    </w:p>
    <w:p w14:paraId="4385DB80" w14:textId="77777777" w:rsidR="00C169A9" w:rsidRPr="001534E6" w:rsidRDefault="00C169A9" w:rsidP="00C169A9">
      <w:pPr>
        <w:pStyle w:val="11"/>
        <w:numPr>
          <w:ilvl w:val="0"/>
          <w:numId w:val="2"/>
        </w:numPr>
        <w:tabs>
          <w:tab w:val="right" w:pos="7371"/>
        </w:tabs>
        <w:spacing w:after="0"/>
        <w:ind w:left="-199" w:right="-625"/>
        <w:rPr>
          <w:rFonts w:ascii="David" w:hAnsi="David" w:cs="David"/>
          <w:sz w:val="24"/>
          <w:szCs w:val="24"/>
        </w:rPr>
      </w:pPr>
      <w:r w:rsidRPr="001534E6">
        <w:rPr>
          <w:rFonts w:ascii="David" w:hAnsi="David" w:cs="David"/>
          <w:sz w:val="24"/>
          <w:szCs w:val="24"/>
          <w:rtl/>
        </w:rPr>
        <w:t xml:space="preserve">אכן, מלאכת גזירת הדין איננה קלה כלל ועיקר, ובית המשפט מודע לפסיקה המורה כי בעניינם של נאשמים שהורשעו בעבירות ממין זו שבהן הורשע הנאשם, צריך האינטרס האישי של הנאשמים לסגת מפני שיקולי הענישה האחרים. יחד עם זאת, כפי שצוין זה מכבר, הענישה לעולם צריכה להיות אינדיווידואלית, ולא בכדי ניתן למצוא בפסיקתם של בתי המשפט השונים מקרים שבהם הושתו על נאשמים שהורשעו בביצוע עבירות דומות לאלו בהן הורשע הנאשם שלפני, ואף במקרים חמורים יותר, אף עונשי מאסר מותנים בלבד (בין אם לצד צווי של"צ ובין אם לאו) וראו בעניין זה, למשל, </w:t>
      </w:r>
      <w:hyperlink r:id="rId83" w:history="1">
        <w:r w:rsidR="008F5233" w:rsidRPr="008F5233">
          <w:rPr>
            <w:rFonts w:ascii="David" w:hAnsi="David" w:cs="David"/>
            <w:color w:val="0000FF"/>
            <w:sz w:val="24"/>
            <w:szCs w:val="24"/>
            <w:u w:val="single"/>
            <w:rtl/>
          </w:rPr>
          <w:t>ת"פ (שלום י-ם) 17959-03-18</w:t>
        </w:r>
      </w:hyperlink>
      <w:r w:rsidRPr="001534E6">
        <w:rPr>
          <w:rFonts w:ascii="David" w:hAnsi="David" w:cs="David"/>
          <w:sz w:val="24"/>
          <w:szCs w:val="24"/>
          <w:rtl/>
        </w:rPr>
        <w:t xml:space="preserve"> </w:t>
      </w:r>
      <w:r w:rsidRPr="001534E6">
        <w:rPr>
          <w:rFonts w:ascii="David" w:hAnsi="David" w:cs="David"/>
          <w:b/>
          <w:bCs/>
          <w:sz w:val="24"/>
          <w:szCs w:val="24"/>
          <w:rtl/>
        </w:rPr>
        <w:t>מדינת ישראל נ' יניב זלבאני</w:t>
      </w:r>
      <w:r w:rsidRPr="001534E6">
        <w:rPr>
          <w:rFonts w:ascii="David" w:hAnsi="David" w:cs="David"/>
          <w:sz w:val="24"/>
          <w:szCs w:val="24"/>
          <w:rtl/>
        </w:rPr>
        <w:t xml:space="preserve"> (פורסם בנבו, 28.10.2019); </w:t>
      </w:r>
      <w:hyperlink r:id="rId84" w:history="1">
        <w:r w:rsidR="008F5233" w:rsidRPr="008F5233">
          <w:rPr>
            <w:rFonts w:ascii="David" w:hAnsi="David" w:cs="David"/>
            <w:color w:val="0000FF"/>
            <w:sz w:val="24"/>
            <w:szCs w:val="24"/>
            <w:u w:val="single"/>
            <w:rtl/>
          </w:rPr>
          <w:t>ת"פ (מחוזי מרכז) 11608-07-16</w:t>
        </w:r>
      </w:hyperlink>
      <w:r w:rsidRPr="001534E6">
        <w:rPr>
          <w:rFonts w:ascii="David" w:hAnsi="David" w:cs="David"/>
          <w:sz w:val="24"/>
          <w:szCs w:val="24"/>
          <w:rtl/>
        </w:rPr>
        <w:t xml:space="preserve"> </w:t>
      </w:r>
      <w:r w:rsidRPr="001534E6">
        <w:rPr>
          <w:rFonts w:ascii="David" w:hAnsi="David" w:cs="David"/>
          <w:b/>
          <w:bCs/>
          <w:sz w:val="24"/>
          <w:szCs w:val="24"/>
          <w:rtl/>
        </w:rPr>
        <w:t>מדינת ישראל נ' אהרון היימפלד</w:t>
      </w:r>
      <w:r w:rsidRPr="001534E6">
        <w:rPr>
          <w:rFonts w:ascii="David" w:hAnsi="David" w:cs="David"/>
          <w:sz w:val="24"/>
          <w:szCs w:val="24"/>
          <w:rtl/>
        </w:rPr>
        <w:t xml:space="preserve"> (פורסם בנבו, 06.01.2019); </w:t>
      </w:r>
      <w:hyperlink r:id="rId85" w:history="1">
        <w:r w:rsidR="008F5233" w:rsidRPr="008F5233">
          <w:rPr>
            <w:rFonts w:ascii="David" w:hAnsi="David" w:cs="David"/>
            <w:color w:val="0000FF"/>
            <w:sz w:val="24"/>
            <w:szCs w:val="24"/>
            <w:u w:val="single"/>
            <w:rtl/>
          </w:rPr>
          <w:t>ת"פ (שלום י-ם) 53375-03-18</w:t>
        </w:r>
      </w:hyperlink>
      <w:r w:rsidRPr="001534E6">
        <w:rPr>
          <w:rFonts w:ascii="David" w:hAnsi="David" w:cs="David"/>
          <w:sz w:val="24"/>
          <w:szCs w:val="24"/>
          <w:rtl/>
        </w:rPr>
        <w:t xml:space="preserve"> </w:t>
      </w:r>
      <w:r w:rsidRPr="001534E6">
        <w:rPr>
          <w:rFonts w:ascii="David" w:hAnsi="David" w:cs="David"/>
          <w:b/>
          <w:bCs/>
          <w:sz w:val="24"/>
          <w:szCs w:val="24"/>
          <w:rtl/>
        </w:rPr>
        <w:t>מדינת ישראל נ' מיכאל כהן</w:t>
      </w:r>
      <w:r w:rsidRPr="001534E6">
        <w:rPr>
          <w:rFonts w:ascii="David" w:hAnsi="David" w:cs="David"/>
          <w:sz w:val="24"/>
          <w:szCs w:val="24"/>
          <w:rtl/>
        </w:rPr>
        <w:t xml:space="preserve"> (פורסם בנבו, 25.09.2019).</w:t>
      </w:r>
    </w:p>
    <w:p w14:paraId="01428416" w14:textId="77777777" w:rsidR="00C169A9" w:rsidRPr="001534E6" w:rsidRDefault="00C169A9" w:rsidP="00C169A9">
      <w:pPr>
        <w:pStyle w:val="11"/>
        <w:numPr>
          <w:ilvl w:val="0"/>
          <w:numId w:val="2"/>
        </w:numPr>
        <w:tabs>
          <w:tab w:val="right" w:pos="7371"/>
        </w:tabs>
        <w:spacing w:after="0"/>
        <w:ind w:left="-199" w:right="-625"/>
        <w:rPr>
          <w:rFonts w:ascii="David" w:hAnsi="David" w:cs="David"/>
          <w:sz w:val="24"/>
          <w:szCs w:val="24"/>
        </w:rPr>
      </w:pPr>
      <w:r w:rsidRPr="001534E6">
        <w:rPr>
          <w:rFonts w:ascii="David" w:hAnsi="David" w:cs="David"/>
          <w:sz w:val="24"/>
          <w:szCs w:val="24"/>
          <w:rtl/>
        </w:rPr>
        <w:t xml:space="preserve">במקרה הנדון, בית המשפט אינו מקל ראש בחומרת מעשיו של הנאשם, ומביע מהם סלידה רבתי. אולם, באיזון הראוי בין מכלול השיקולים והנסיבות אשר פורטו לעיל, הגם אם לא בלי התלבטות, ובייחוד בשים לב לכך שעסקינן בנאשם צעיר, נעדר עבר פלילי, שהודה בביצוע העבירות והביע צער וחרטה על מעשיו, לאור ההליך הטיפולי שעבר, ונוכח התרשמותו החיובית של שירות המבחן מכך שעסקינן בנאשם בעל מערכת ערכים תקינה וחיובית, כאשר ביצוע העבירות על ידו הינה חריגה ואינה מאפיינת את אורחות חייו, תוך שהסיכון הנשקף הימנו להתנהלות דומה בעתיד הינו נמוך, מצאתי כי ניתן בזו הפעם ללכת לקראתו ולבכר את שיקול השיקום בעניינו. </w:t>
      </w:r>
    </w:p>
    <w:p w14:paraId="6FD1F783" w14:textId="77777777" w:rsidR="00C169A9" w:rsidRPr="001534E6" w:rsidRDefault="00C169A9" w:rsidP="00C169A9">
      <w:pPr>
        <w:pStyle w:val="11"/>
        <w:numPr>
          <w:ilvl w:val="0"/>
          <w:numId w:val="2"/>
        </w:numPr>
        <w:tabs>
          <w:tab w:val="right" w:pos="7371"/>
        </w:tabs>
        <w:spacing w:after="0"/>
        <w:ind w:left="-199" w:right="-625"/>
        <w:rPr>
          <w:rFonts w:ascii="David" w:hAnsi="David" w:cs="David"/>
          <w:sz w:val="24"/>
          <w:szCs w:val="24"/>
        </w:rPr>
      </w:pPr>
      <w:r w:rsidRPr="001534E6">
        <w:rPr>
          <w:rFonts w:ascii="David" w:hAnsi="David" w:cs="David"/>
          <w:sz w:val="24"/>
          <w:szCs w:val="24"/>
          <w:rtl/>
        </w:rPr>
        <w:t xml:space="preserve">לצד האמור, מצאתי להדגיש בפניו של הנאשם כי ככל שלא יתמיד בדרכו השיקומית, וחלילה ישוב לסורו, הרי שטוב שידע כי לא יזכה להתחשבות נוספת מצדו של בית המשפט. מן הראוי שידיעה זו תרחף מעל ראשו כל העת. </w:t>
      </w:r>
    </w:p>
    <w:p w14:paraId="65114D48" w14:textId="77777777" w:rsidR="00C169A9" w:rsidRPr="001534E6" w:rsidRDefault="00C169A9" w:rsidP="00C169A9">
      <w:pPr>
        <w:pStyle w:val="11"/>
        <w:numPr>
          <w:ilvl w:val="0"/>
          <w:numId w:val="2"/>
        </w:numPr>
        <w:tabs>
          <w:tab w:val="right" w:pos="7371"/>
        </w:tabs>
        <w:spacing w:after="0"/>
        <w:ind w:left="-199" w:right="-625"/>
        <w:rPr>
          <w:rFonts w:ascii="David" w:hAnsi="David" w:cs="David"/>
          <w:sz w:val="24"/>
          <w:szCs w:val="24"/>
        </w:rPr>
      </w:pPr>
      <w:r w:rsidRPr="001534E6">
        <w:rPr>
          <w:rFonts w:ascii="David" w:hAnsi="David" w:cs="David"/>
          <w:sz w:val="24"/>
          <w:szCs w:val="24"/>
          <w:rtl/>
        </w:rPr>
        <w:t>בהקשר זה יצוין כי נתתי דעתי להמלצת שירות המבחן, אם כי לא מצאתי לאמץ במלואה את המלצתו הן לעניין ביטול ההרשעה והן באשר להיקף שעות השל"צ. כידוע, המלצת שרות המבחן כשמה היא, המלצה שאיננה מחייבת את בית המשפט אשר אמון על בחינת אינטרסים רחבים מאלה שבוחן שרות המבחן עת מגבש הוא את המלצתו, ולבית המשפט נתונה האפשרות שלא לקבל את ההמלצה במקרה המתאים.</w:t>
      </w:r>
    </w:p>
    <w:p w14:paraId="63CEAFBA" w14:textId="77777777" w:rsidR="00C169A9" w:rsidRPr="001534E6" w:rsidRDefault="00C169A9" w:rsidP="00C169A9">
      <w:pPr>
        <w:pStyle w:val="11"/>
        <w:numPr>
          <w:ilvl w:val="0"/>
          <w:numId w:val="2"/>
        </w:numPr>
        <w:tabs>
          <w:tab w:val="right" w:pos="7371"/>
        </w:tabs>
        <w:spacing w:after="0"/>
        <w:ind w:left="-199" w:right="-625"/>
        <w:rPr>
          <w:rFonts w:ascii="David" w:hAnsi="David" w:cs="David"/>
          <w:sz w:val="24"/>
          <w:szCs w:val="24"/>
        </w:rPr>
      </w:pPr>
      <w:r w:rsidRPr="001534E6">
        <w:rPr>
          <w:rFonts w:ascii="David" w:hAnsi="David" w:cs="David"/>
          <w:sz w:val="24"/>
          <w:szCs w:val="24"/>
          <w:rtl/>
        </w:rPr>
        <w:t>בכל הנוגע לרכיב פסילת רישיון הנהיגה של הנאשם, בשים לב לעובדה שהמדובר בנאשם הנקי מסמים, מצאתי כי ניתן בזו הפעם ללכת לקראתו בפן הזה ולהסתפק בפסילת רישיון מותנית בלבד. בכל הנוגע לרכיב הכלכלי שבענישה, הרי שבית המשפט לא ימנע מלהשית על הנאשם קנס, במיוחד נוכח העובדה כי עבירת הסיוע לסחר נעברה למטרת רווח כספי, אולם לצד חומרת העבירה, בקביעת גובהו יילקחו בחשבון גם מכלול מאפייניו החיוביים של הנאשם.</w:t>
      </w:r>
    </w:p>
    <w:p w14:paraId="0B3853FB" w14:textId="77777777" w:rsidR="00C169A9" w:rsidRPr="001534E6" w:rsidRDefault="00C169A9" w:rsidP="00C169A9">
      <w:pPr>
        <w:pStyle w:val="11"/>
        <w:numPr>
          <w:ilvl w:val="0"/>
          <w:numId w:val="2"/>
        </w:numPr>
        <w:tabs>
          <w:tab w:val="right" w:pos="7371"/>
        </w:tabs>
        <w:spacing w:after="0"/>
        <w:ind w:left="-199" w:right="-625"/>
        <w:rPr>
          <w:rFonts w:ascii="David" w:hAnsi="David" w:cs="David"/>
          <w:sz w:val="24"/>
          <w:szCs w:val="24"/>
        </w:rPr>
      </w:pPr>
      <w:r w:rsidRPr="001534E6">
        <w:rPr>
          <w:rFonts w:ascii="David" w:hAnsi="David" w:cs="David"/>
          <w:b/>
          <w:bCs/>
          <w:sz w:val="24"/>
          <w:szCs w:val="24"/>
          <w:rtl/>
        </w:rPr>
        <w:t>מכל המקובץ לעיל, אני גוזרת על הנאשם את העונשים הבאים:</w:t>
      </w:r>
      <w:r w:rsidRPr="001534E6">
        <w:rPr>
          <w:rFonts w:ascii="David" w:hAnsi="David" w:cs="David"/>
          <w:sz w:val="24"/>
          <w:szCs w:val="24"/>
          <w:rtl/>
        </w:rPr>
        <w:t xml:space="preserve"> </w:t>
      </w:r>
    </w:p>
    <w:p w14:paraId="0AFA7CC2" w14:textId="77777777" w:rsidR="00C169A9" w:rsidRPr="001534E6" w:rsidRDefault="00C169A9" w:rsidP="00C169A9">
      <w:pPr>
        <w:pStyle w:val="aa"/>
        <w:numPr>
          <w:ilvl w:val="0"/>
          <w:numId w:val="4"/>
        </w:numPr>
        <w:tabs>
          <w:tab w:val="right" w:pos="7371"/>
        </w:tabs>
        <w:ind w:right="-625"/>
        <w:rPr>
          <w:rtl/>
        </w:rPr>
      </w:pPr>
      <w:r w:rsidRPr="001534E6">
        <w:rPr>
          <w:b/>
          <w:bCs/>
          <w:rtl/>
        </w:rPr>
        <w:t>צו של"צ בהיקף של 250 שעות.</w:t>
      </w:r>
      <w:r w:rsidRPr="001534E6">
        <w:rPr>
          <w:b/>
          <w:bCs/>
          <w:u w:val="single"/>
          <w:rtl/>
        </w:rPr>
        <w:t xml:space="preserve"> </w:t>
      </w:r>
    </w:p>
    <w:p w14:paraId="4690D746" w14:textId="77777777" w:rsidR="00C169A9" w:rsidRPr="00E53B3D" w:rsidRDefault="00C169A9" w:rsidP="00C169A9">
      <w:pPr>
        <w:pStyle w:val="aa"/>
        <w:tabs>
          <w:tab w:val="right" w:pos="7371"/>
        </w:tabs>
        <w:ind w:left="161" w:right="-625" w:firstLine="0"/>
        <w:rPr>
          <w:b/>
          <w:bCs/>
          <w:rtl/>
        </w:rPr>
      </w:pPr>
      <w:r w:rsidRPr="00E53B3D">
        <w:rPr>
          <w:rtl/>
        </w:rPr>
        <w:t xml:space="preserve">העבודות תבוצענה במתנ"ס כצנלסון באשקלון בתפקיד עזרה בעבודות תחזוקה כלליות. </w:t>
      </w:r>
      <w:r>
        <w:rPr>
          <w:rFonts w:hint="cs"/>
          <w:rtl/>
        </w:rPr>
        <w:t xml:space="preserve">עבודות השל"צ תתחלנה לא מוקדם מ- 45 יום מהיום. </w:t>
      </w:r>
    </w:p>
    <w:p w14:paraId="3D9F6621" w14:textId="77777777" w:rsidR="00C169A9" w:rsidRPr="00E53B3D" w:rsidRDefault="00C169A9" w:rsidP="00C169A9">
      <w:pPr>
        <w:pStyle w:val="aa"/>
        <w:numPr>
          <w:ilvl w:val="0"/>
          <w:numId w:val="4"/>
        </w:numPr>
        <w:tabs>
          <w:tab w:val="right" w:pos="7371"/>
        </w:tabs>
        <w:ind w:right="-625"/>
        <w:rPr>
          <w:rtl/>
        </w:rPr>
      </w:pPr>
      <w:r w:rsidRPr="00E53B3D">
        <w:rPr>
          <w:b/>
          <w:bCs/>
          <w:rtl/>
        </w:rPr>
        <w:t>צו מבחן של שירות המבחן למשך שנה מהיום</w:t>
      </w:r>
      <w:r w:rsidRPr="00E53B3D">
        <w:rPr>
          <w:rtl/>
        </w:rPr>
        <w:t>.</w:t>
      </w:r>
    </w:p>
    <w:p w14:paraId="271DE7B1" w14:textId="77777777" w:rsidR="00C169A9" w:rsidRPr="00E53B3D" w:rsidRDefault="00C169A9" w:rsidP="00C169A9">
      <w:pPr>
        <w:pStyle w:val="aa"/>
        <w:tabs>
          <w:tab w:val="right" w:pos="7371"/>
        </w:tabs>
        <w:ind w:left="161" w:right="-625" w:firstLine="0"/>
        <w:rPr>
          <w:b/>
          <w:bCs/>
          <w:u w:val="single"/>
          <w:rtl/>
        </w:rPr>
      </w:pPr>
      <w:r w:rsidRPr="00E53B3D">
        <w:rPr>
          <w:rtl/>
        </w:rPr>
        <w:t xml:space="preserve">הובהרה לנאשם חשיבות שיתוף הפעולה עם שירות המבחן בביצוע צו המבחן וצו השל"צ, והמשמעויות של אי עמידה בתנאי הצווים. </w:t>
      </w:r>
    </w:p>
    <w:p w14:paraId="414E33C3" w14:textId="77777777" w:rsidR="00C169A9" w:rsidRPr="006436FA" w:rsidRDefault="00C169A9" w:rsidP="00C169A9">
      <w:pPr>
        <w:pStyle w:val="aa"/>
        <w:tabs>
          <w:tab w:val="right" w:pos="7371"/>
        </w:tabs>
        <w:ind w:left="161" w:right="-625" w:firstLine="0"/>
        <w:rPr>
          <w:rtl/>
        </w:rPr>
      </w:pPr>
      <w:r w:rsidRPr="006436FA">
        <w:rPr>
          <w:u w:val="single"/>
          <w:rtl/>
        </w:rPr>
        <w:t>העתק ההחלטה בדחיפות לשירות המבחן.</w:t>
      </w:r>
    </w:p>
    <w:p w14:paraId="70249E19" w14:textId="77777777" w:rsidR="00C169A9" w:rsidRPr="00E53B3D" w:rsidRDefault="00C169A9" w:rsidP="00C169A9">
      <w:pPr>
        <w:pStyle w:val="aa"/>
        <w:numPr>
          <w:ilvl w:val="0"/>
          <w:numId w:val="4"/>
        </w:numPr>
        <w:tabs>
          <w:tab w:val="right" w:pos="7371"/>
        </w:tabs>
        <w:ind w:right="-625"/>
        <w:rPr>
          <w:b/>
          <w:bCs/>
          <w:rtl/>
        </w:rPr>
      </w:pPr>
      <w:r w:rsidRPr="00E53B3D">
        <w:rPr>
          <w:b/>
          <w:bCs/>
          <w:rtl/>
        </w:rPr>
        <w:t>מאסר מותנה למשך 8 חודשים, אשר יופעל אם תוך תקופה של 3 שנים מהיום הנאשם יעבור כל עבירת סמים מסוג פשע.</w:t>
      </w:r>
    </w:p>
    <w:p w14:paraId="47D21241" w14:textId="77777777" w:rsidR="00C169A9" w:rsidRPr="00E53B3D" w:rsidRDefault="00C169A9" w:rsidP="00C169A9">
      <w:pPr>
        <w:pStyle w:val="aa"/>
        <w:numPr>
          <w:ilvl w:val="0"/>
          <w:numId w:val="4"/>
        </w:numPr>
        <w:tabs>
          <w:tab w:val="right" w:pos="7371"/>
        </w:tabs>
        <w:ind w:right="-625"/>
        <w:rPr>
          <w:b/>
          <w:bCs/>
          <w:rtl/>
        </w:rPr>
      </w:pPr>
      <w:r w:rsidRPr="00E53B3D">
        <w:rPr>
          <w:b/>
          <w:bCs/>
          <w:rtl/>
        </w:rPr>
        <w:t xml:space="preserve">מאסר מותנה למשך 4 חודשים, אשר יופעל אם תוך תקופה של 3 שנים מהיום הנאשם יעבור כל עבירת סמים מסוג עוון. </w:t>
      </w:r>
    </w:p>
    <w:p w14:paraId="6113141D" w14:textId="77777777" w:rsidR="00C169A9" w:rsidRDefault="00C169A9" w:rsidP="00C169A9">
      <w:pPr>
        <w:pStyle w:val="aa"/>
        <w:numPr>
          <w:ilvl w:val="0"/>
          <w:numId w:val="4"/>
        </w:numPr>
        <w:tabs>
          <w:tab w:val="right" w:pos="7371"/>
        </w:tabs>
        <w:ind w:right="-625"/>
      </w:pPr>
      <w:r w:rsidRPr="00E53B3D">
        <w:rPr>
          <w:rFonts w:hint="cs"/>
          <w:b/>
          <w:bCs/>
          <w:rtl/>
        </w:rPr>
        <w:t>ק</w:t>
      </w:r>
      <w:r w:rsidRPr="00E53B3D">
        <w:rPr>
          <w:b/>
          <w:bCs/>
          <w:rtl/>
        </w:rPr>
        <w:t>נס בסך 1,500 ₪ או 10 ימי מאסר תמורתו</w:t>
      </w:r>
      <w:r w:rsidRPr="00E53B3D">
        <w:rPr>
          <w:rtl/>
        </w:rPr>
        <w:t>.</w:t>
      </w:r>
    </w:p>
    <w:p w14:paraId="33F787D5" w14:textId="77777777" w:rsidR="00C169A9" w:rsidRDefault="00C169A9" w:rsidP="00C169A9">
      <w:pPr>
        <w:pStyle w:val="aa"/>
        <w:tabs>
          <w:tab w:val="right" w:pos="7371"/>
        </w:tabs>
        <w:ind w:left="161" w:right="-625" w:firstLine="0"/>
      </w:pPr>
      <w:r>
        <w:rPr>
          <w:rFonts w:hint="cs"/>
          <w:rtl/>
        </w:rPr>
        <w:t>הקנס יקוזז מסכום ההפקדה שהופקדה בקופת בית המשפט במסגרת הליך המעצר מושא תיק זה. היתרה תושב למפקיד/ה.</w:t>
      </w:r>
    </w:p>
    <w:p w14:paraId="3A22D46A" w14:textId="77777777" w:rsidR="00C169A9" w:rsidRPr="00E53B3D" w:rsidRDefault="00C169A9" w:rsidP="00C169A9">
      <w:pPr>
        <w:pStyle w:val="aa"/>
        <w:numPr>
          <w:ilvl w:val="0"/>
          <w:numId w:val="4"/>
        </w:numPr>
        <w:tabs>
          <w:tab w:val="right" w:pos="7371"/>
        </w:tabs>
        <w:ind w:right="-625"/>
        <w:rPr>
          <w:rtl/>
        </w:rPr>
      </w:pPr>
      <w:r w:rsidRPr="00484C32">
        <w:rPr>
          <w:b/>
          <w:bCs/>
          <w:rtl/>
        </w:rPr>
        <w:t>אני פוסלת את הנאשם מלקבל או מלהחזיק רישיון נהיגה למשך 8 חודשים</w:t>
      </w:r>
      <w:r w:rsidRPr="00E53B3D">
        <w:rPr>
          <w:rtl/>
        </w:rPr>
        <w:t>, וזאת על תנאי שלא יעבור כל עבירה בניגוד ל</w:t>
      </w:r>
      <w:hyperlink r:id="rId86" w:history="1">
        <w:r w:rsidR="008F5233" w:rsidRPr="008F5233">
          <w:rPr>
            <w:color w:val="0000FF"/>
            <w:u w:val="single"/>
            <w:rtl/>
          </w:rPr>
          <w:t>פקודת הסמים המסוכנים</w:t>
        </w:r>
      </w:hyperlink>
      <w:r w:rsidRPr="00E53B3D">
        <w:rPr>
          <w:rtl/>
        </w:rPr>
        <w:t xml:space="preserve"> במשך שנתיים מהיום.</w:t>
      </w:r>
    </w:p>
    <w:p w14:paraId="653BBEC5" w14:textId="77777777" w:rsidR="00C169A9" w:rsidRPr="00E53B3D" w:rsidRDefault="00C169A9" w:rsidP="00C169A9">
      <w:pPr>
        <w:pStyle w:val="aa"/>
        <w:numPr>
          <w:ilvl w:val="0"/>
          <w:numId w:val="4"/>
        </w:numPr>
        <w:tabs>
          <w:tab w:val="right" w:pos="7371"/>
        </w:tabs>
        <w:ind w:right="-625"/>
        <w:rPr>
          <w:b/>
          <w:bCs/>
          <w:u w:val="single"/>
        </w:rPr>
      </w:pPr>
      <w:r w:rsidRPr="00484C32">
        <w:rPr>
          <w:b/>
          <w:bCs/>
          <w:rtl/>
        </w:rPr>
        <w:t>הנאשם יצהיר על התחייבות כספית על סך 10,000 ₪</w:t>
      </w:r>
      <w:r w:rsidRPr="00E53B3D">
        <w:rPr>
          <w:rtl/>
        </w:rPr>
        <w:t xml:space="preserve"> שלא לעבור כל עבירה בניגוד ל</w:t>
      </w:r>
      <w:hyperlink r:id="rId87" w:history="1">
        <w:r w:rsidR="008F5233" w:rsidRPr="008F5233">
          <w:rPr>
            <w:color w:val="0000FF"/>
            <w:u w:val="single"/>
            <w:rtl/>
          </w:rPr>
          <w:t>פקודת הסמים המסוכנים</w:t>
        </w:r>
      </w:hyperlink>
      <w:r w:rsidRPr="00E53B3D">
        <w:rPr>
          <w:rtl/>
        </w:rPr>
        <w:t xml:space="preserve"> לתקופה של שלוש שנים מהיום. </w:t>
      </w:r>
    </w:p>
    <w:p w14:paraId="40128AB8" w14:textId="77777777" w:rsidR="00C169A9" w:rsidRDefault="00C169A9" w:rsidP="00C169A9">
      <w:pPr>
        <w:tabs>
          <w:tab w:val="right" w:pos="7371"/>
        </w:tabs>
        <w:spacing w:line="360" w:lineRule="auto"/>
        <w:ind w:left="-199" w:right="-625"/>
        <w:rPr>
          <w:rFonts w:ascii="David" w:hAnsi="David"/>
          <w:b/>
          <w:bCs/>
          <w:rtl/>
        </w:rPr>
      </w:pPr>
    </w:p>
    <w:p w14:paraId="2260980D" w14:textId="77777777" w:rsidR="00C169A9" w:rsidRPr="00A43680" w:rsidRDefault="00C169A9" w:rsidP="00C169A9">
      <w:pPr>
        <w:tabs>
          <w:tab w:val="right" w:pos="7371"/>
        </w:tabs>
        <w:spacing w:line="360" w:lineRule="auto"/>
        <w:ind w:left="-199" w:right="-625"/>
        <w:rPr>
          <w:rFonts w:ascii="David" w:hAnsi="David"/>
          <w:rtl/>
        </w:rPr>
      </w:pPr>
      <w:r w:rsidRPr="00A43680">
        <w:rPr>
          <w:rFonts w:ascii="David" w:hAnsi="David" w:hint="cs"/>
          <w:rtl/>
        </w:rPr>
        <w:t xml:space="preserve">ניתן בזאת צו להשמדת המוצגים </w:t>
      </w:r>
      <w:r w:rsidRPr="00A43680">
        <w:rPr>
          <w:rFonts w:ascii="David" w:hAnsi="David"/>
          <w:rtl/>
        </w:rPr>
        <w:t>–</w:t>
      </w:r>
      <w:r w:rsidRPr="00A43680">
        <w:rPr>
          <w:rFonts w:ascii="David" w:hAnsi="David" w:hint="cs"/>
          <w:rtl/>
        </w:rPr>
        <w:t xml:space="preserve"> דיסקים, סמים, מסמכים, סכין, וזאת בכפוף לחלוף תקופת הערעור. </w:t>
      </w:r>
    </w:p>
    <w:p w14:paraId="6EB5F114" w14:textId="77777777" w:rsidR="00C169A9" w:rsidRPr="00A43680" w:rsidRDefault="00C169A9" w:rsidP="00C169A9">
      <w:pPr>
        <w:tabs>
          <w:tab w:val="right" w:pos="7371"/>
        </w:tabs>
        <w:spacing w:line="360" w:lineRule="auto"/>
        <w:ind w:left="-199" w:right="-625"/>
        <w:rPr>
          <w:rFonts w:ascii="David" w:hAnsi="David"/>
          <w:rtl/>
        </w:rPr>
      </w:pPr>
    </w:p>
    <w:p w14:paraId="54EE7B9C" w14:textId="77777777" w:rsidR="00C169A9" w:rsidRPr="00A43680" w:rsidRDefault="00C169A9" w:rsidP="00C169A9">
      <w:pPr>
        <w:tabs>
          <w:tab w:val="right" w:pos="7371"/>
        </w:tabs>
        <w:spacing w:line="360" w:lineRule="auto"/>
        <w:ind w:left="-199" w:right="-625"/>
        <w:rPr>
          <w:rFonts w:ascii="David" w:hAnsi="David"/>
          <w:rtl/>
        </w:rPr>
      </w:pPr>
      <w:r w:rsidRPr="00A43680">
        <w:rPr>
          <w:rFonts w:ascii="David" w:hAnsi="David" w:hint="cs"/>
          <w:rtl/>
        </w:rPr>
        <w:t xml:space="preserve">ניתן בזאת צו להשבת המוצג </w:t>
      </w:r>
      <w:r w:rsidRPr="00A43680">
        <w:rPr>
          <w:rFonts w:ascii="David" w:hAnsi="David"/>
          <w:rtl/>
        </w:rPr>
        <w:t>–</w:t>
      </w:r>
      <w:r w:rsidRPr="00A43680">
        <w:rPr>
          <w:rFonts w:ascii="David" w:hAnsi="David" w:hint="cs"/>
          <w:rtl/>
        </w:rPr>
        <w:t xml:space="preserve"> פלאפון, לידי הנאשם.</w:t>
      </w:r>
    </w:p>
    <w:p w14:paraId="5C08E683" w14:textId="77777777" w:rsidR="00C169A9" w:rsidRDefault="00C169A9" w:rsidP="00C169A9">
      <w:pPr>
        <w:tabs>
          <w:tab w:val="right" w:pos="7371"/>
        </w:tabs>
        <w:spacing w:line="360" w:lineRule="auto"/>
        <w:ind w:left="-199" w:right="-625"/>
        <w:rPr>
          <w:rFonts w:ascii="David" w:hAnsi="David"/>
          <w:b/>
          <w:bCs/>
          <w:rtl/>
        </w:rPr>
      </w:pPr>
    </w:p>
    <w:p w14:paraId="5C801D6F" w14:textId="77777777" w:rsidR="00C169A9" w:rsidRDefault="00C169A9" w:rsidP="00C169A9">
      <w:pPr>
        <w:tabs>
          <w:tab w:val="right" w:pos="7371"/>
        </w:tabs>
        <w:spacing w:line="360" w:lineRule="auto"/>
        <w:ind w:left="-199" w:right="-625"/>
        <w:rPr>
          <w:rFonts w:ascii="David" w:hAnsi="David"/>
          <w:b/>
          <w:bCs/>
          <w:rtl/>
        </w:rPr>
      </w:pPr>
    </w:p>
    <w:p w14:paraId="39F6101A" w14:textId="77777777" w:rsidR="00C169A9" w:rsidRDefault="00C169A9" w:rsidP="00C169A9">
      <w:pPr>
        <w:tabs>
          <w:tab w:val="right" w:pos="7371"/>
        </w:tabs>
        <w:spacing w:line="360" w:lineRule="auto"/>
        <w:ind w:left="-199" w:right="-625"/>
        <w:rPr>
          <w:rFonts w:ascii="David" w:hAnsi="David"/>
          <w:b/>
          <w:bCs/>
          <w:rtl/>
        </w:rPr>
      </w:pPr>
    </w:p>
    <w:p w14:paraId="2FD49B0D" w14:textId="77777777" w:rsidR="00C169A9" w:rsidRDefault="00C169A9" w:rsidP="00C169A9">
      <w:pPr>
        <w:tabs>
          <w:tab w:val="right" w:pos="7371"/>
        </w:tabs>
        <w:spacing w:line="360" w:lineRule="auto"/>
        <w:ind w:left="-199" w:right="-625"/>
        <w:rPr>
          <w:rFonts w:ascii="David" w:hAnsi="David"/>
          <w:b/>
          <w:bCs/>
          <w:rtl/>
        </w:rPr>
      </w:pPr>
      <w:r w:rsidRPr="00536203">
        <w:rPr>
          <w:rFonts w:ascii="David" w:hAnsi="David"/>
          <w:b/>
          <w:bCs/>
          <w:rtl/>
        </w:rPr>
        <w:t>זכות ערעור כחוק</w:t>
      </w:r>
      <w:r w:rsidRPr="00536203">
        <w:rPr>
          <w:rFonts w:ascii="David" w:hAnsi="David"/>
          <w:rtl/>
        </w:rPr>
        <w:t>.</w:t>
      </w:r>
    </w:p>
    <w:p w14:paraId="0A4D00E4" w14:textId="77777777" w:rsidR="00C169A9" w:rsidRDefault="00C169A9" w:rsidP="00C169A9">
      <w:pPr>
        <w:tabs>
          <w:tab w:val="right" w:pos="7371"/>
        </w:tabs>
        <w:spacing w:line="360" w:lineRule="auto"/>
        <w:ind w:left="-199" w:right="-625"/>
        <w:rPr>
          <w:rFonts w:ascii="David" w:hAnsi="David"/>
          <w:b/>
          <w:bCs/>
          <w:rtl/>
        </w:rPr>
      </w:pPr>
    </w:p>
    <w:p w14:paraId="4727E306" w14:textId="77777777" w:rsidR="00C169A9" w:rsidRPr="00536203" w:rsidRDefault="00C169A9" w:rsidP="00C169A9">
      <w:pPr>
        <w:tabs>
          <w:tab w:val="right" w:pos="7371"/>
        </w:tabs>
        <w:spacing w:line="360" w:lineRule="auto"/>
        <w:ind w:left="-199" w:right="-625"/>
        <w:rPr>
          <w:rFonts w:ascii="David" w:hAnsi="David"/>
          <w:b/>
          <w:bCs/>
          <w:rtl/>
        </w:rPr>
      </w:pPr>
      <w:r w:rsidRPr="00536203">
        <w:rPr>
          <w:rFonts w:ascii="David" w:hAnsi="David"/>
          <w:b/>
          <w:bCs/>
          <w:rtl/>
        </w:rPr>
        <w:t>נית</w:t>
      </w:r>
      <w:r>
        <w:rPr>
          <w:rFonts w:ascii="David" w:hAnsi="David" w:hint="cs"/>
          <w:b/>
          <w:bCs/>
          <w:rtl/>
        </w:rPr>
        <w:t>ן</w:t>
      </w:r>
      <w:r w:rsidRPr="00536203">
        <w:rPr>
          <w:rFonts w:ascii="David" w:hAnsi="David"/>
          <w:b/>
          <w:bCs/>
          <w:rtl/>
        </w:rPr>
        <w:t xml:space="preserve"> היום,  </w:t>
      </w:r>
      <w:r>
        <w:rPr>
          <w:rFonts w:ascii="David" w:hAnsi="David"/>
          <w:b/>
          <w:bCs/>
          <w:rtl/>
        </w:rPr>
        <w:t>י"ד אב תש"פ</w:t>
      </w:r>
      <w:r w:rsidRPr="00536203">
        <w:rPr>
          <w:rFonts w:ascii="David" w:hAnsi="David"/>
          <w:b/>
          <w:bCs/>
          <w:rtl/>
        </w:rPr>
        <w:t xml:space="preserve">, </w:t>
      </w:r>
      <w:r>
        <w:rPr>
          <w:rFonts w:ascii="David" w:hAnsi="David"/>
          <w:b/>
          <w:bCs/>
          <w:rtl/>
        </w:rPr>
        <w:t>04 אוגוסט 2020, ב</w:t>
      </w:r>
      <w:r>
        <w:rPr>
          <w:rFonts w:ascii="David" w:hAnsi="David" w:hint="cs"/>
          <w:b/>
          <w:bCs/>
          <w:rtl/>
        </w:rPr>
        <w:t>מעמד</w:t>
      </w:r>
      <w:r w:rsidRPr="00536203">
        <w:rPr>
          <w:rFonts w:ascii="David" w:hAnsi="David"/>
          <w:b/>
          <w:bCs/>
          <w:rtl/>
        </w:rPr>
        <w:t xml:space="preserve"> הצדדים.</w:t>
      </w:r>
      <w:r w:rsidR="006E5831">
        <w:rPr>
          <w:rFonts w:ascii="David" w:hAnsi="David" w:hint="cs"/>
          <w:b/>
          <w:bCs/>
          <w:rtl/>
        </w:rPr>
        <w:t xml:space="preserve"> </w:t>
      </w:r>
    </w:p>
    <w:p w14:paraId="603D3FDC" w14:textId="77777777" w:rsidR="00C169A9" w:rsidRPr="00536203" w:rsidRDefault="00C169A9" w:rsidP="00C169A9">
      <w:pPr>
        <w:spacing w:line="360" w:lineRule="auto"/>
        <w:jc w:val="both"/>
        <w:rPr>
          <w:rFonts w:ascii="David" w:hAnsi="David"/>
          <w:rtl/>
        </w:rPr>
      </w:pPr>
    </w:p>
    <w:p w14:paraId="28C7BD3B" w14:textId="77777777" w:rsidR="00C169A9" w:rsidRPr="00536203" w:rsidRDefault="00771A0C" w:rsidP="00C169A9">
      <w:pPr>
        <w:spacing w:line="360" w:lineRule="auto"/>
        <w:ind w:left="3600" w:firstLine="720"/>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57.5pt;height:107.25pt;visibility:visible">
            <v:imagedata r:id="rId88" o:title=""/>
          </v:shape>
        </w:pict>
      </w:r>
    </w:p>
    <w:p w14:paraId="11B33FE7" w14:textId="77777777" w:rsidR="00C169A9" w:rsidRPr="00536203" w:rsidRDefault="00C169A9" w:rsidP="00C169A9">
      <w:pPr>
        <w:spacing w:line="360" w:lineRule="auto"/>
        <w:ind w:left="3600" w:firstLine="720"/>
        <w:jc w:val="both"/>
        <w:rPr>
          <w:rFonts w:ascii="David" w:hAnsi="David"/>
          <w:rtl/>
        </w:rPr>
      </w:pPr>
    </w:p>
    <w:p w14:paraId="24A72EA0" w14:textId="77777777" w:rsidR="00C169A9" w:rsidRPr="00536203" w:rsidRDefault="00C169A9" w:rsidP="00C169A9">
      <w:pPr>
        <w:spacing w:line="360" w:lineRule="auto"/>
        <w:jc w:val="both"/>
        <w:rPr>
          <w:rFonts w:ascii="David" w:hAnsi="David"/>
          <w:rtl/>
        </w:rPr>
      </w:pPr>
    </w:p>
    <w:p w14:paraId="3CB48252" w14:textId="77777777" w:rsidR="00C169A9" w:rsidRPr="00536203" w:rsidRDefault="00C169A9" w:rsidP="00C169A9">
      <w:pPr>
        <w:spacing w:line="360" w:lineRule="auto"/>
        <w:jc w:val="both"/>
        <w:rPr>
          <w:rFonts w:ascii="David" w:hAnsi="David"/>
          <w:rtl/>
        </w:rPr>
      </w:pPr>
    </w:p>
    <w:p w14:paraId="73F86797" w14:textId="77777777" w:rsidR="00C169A9" w:rsidRDefault="00C169A9" w:rsidP="00C169A9">
      <w:pPr>
        <w:tabs>
          <w:tab w:val="right" w:pos="7371"/>
        </w:tabs>
        <w:spacing w:line="360" w:lineRule="auto"/>
        <w:ind w:left="-559" w:right="-625"/>
        <w:jc w:val="both"/>
        <w:rPr>
          <w:rFonts w:ascii="David" w:hAnsi="David"/>
          <w:b/>
          <w:bCs/>
          <w:u w:val="single"/>
          <w:rtl/>
        </w:rPr>
      </w:pPr>
      <w:r>
        <w:rPr>
          <w:rFonts w:ascii="David" w:hAnsi="David" w:hint="cs"/>
          <w:b/>
          <w:bCs/>
          <w:u w:val="single"/>
          <w:rtl/>
        </w:rPr>
        <w:t>ב"כ המאשימה:</w:t>
      </w:r>
    </w:p>
    <w:p w14:paraId="1BAB09F6" w14:textId="77777777" w:rsidR="00C169A9" w:rsidRDefault="00C169A9" w:rsidP="00C169A9">
      <w:pPr>
        <w:tabs>
          <w:tab w:val="right" w:pos="7371"/>
        </w:tabs>
        <w:spacing w:line="360" w:lineRule="auto"/>
        <w:ind w:left="-559" w:right="-625"/>
        <w:jc w:val="both"/>
        <w:rPr>
          <w:rFonts w:ascii="David" w:hAnsi="David"/>
          <w:rtl/>
        </w:rPr>
      </w:pPr>
      <w:r w:rsidRPr="00484C32">
        <w:rPr>
          <w:rFonts w:ascii="David" w:hAnsi="David" w:hint="cs"/>
          <w:rtl/>
        </w:rPr>
        <w:t>לאור העובדה כי ביהמ"ש הורה כי עבודות השל"צ תבוצענה לא מוקדם מ- 45 יום מהיום, אזי ברור כי פתוחה בפני המאשימה לשקול את שיקוליה אודות הצורך להגיש ערעור בנוגע לתוכנית השל"צ.</w:t>
      </w:r>
    </w:p>
    <w:p w14:paraId="0BA9F0D2" w14:textId="77777777" w:rsidR="00C169A9" w:rsidRDefault="00C169A9" w:rsidP="00C169A9">
      <w:pPr>
        <w:tabs>
          <w:tab w:val="right" w:pos="7371"/>
        </w:tabs>
        <w:spacing w:line="360" w:lineRule="auto"/>
        <w:ind w:left="-559" w:right="-625"/>
        <w:jc w:val="both"/>
        <w:rPr>
          <w:rFonts w:ascii="David" w:hAnsi="David"/>
          <w:rtl/>
        </w:rPr>
      </w:pPr>
    </w:p>
    <w:p w14:paraId="11886296" w14:textId="77777777" w:rsidR="00C169A9" w:rsidRDefault="00C169A9" w:rsidP="00C169A9">
      <w:pPr>
        <w:tabs>
          <w:tab w:val="right" w:pos="7371"/>
        </w:tabs>
        <w:spacing w:line="360" w:lineRule="auto"/>
        <w:ind w:left="-559" w:right="-625"/>
        <w:jc w:val="both"/>
        <w:rPr>
          <w:rFonts w:ascii="David" w:hAnsi="David"/>
          <w:rtl/>
        </w:rPr>
      </w:pPr>
      <w:r w:rsidRPr="00536203">
        <w:rPr>
          <w:rFonts w:ascii="David" w:hAnsi="David"/>
          <w:b/>
          <w:bCs/>
          <w:u w:val="single"/>
          <w:rtl/>
        </w:rPr>
        <w:t>הנאשם</w:t>
      </w:r>
      <w:r>
        <w:rPr>
          <w:rFonts w:ascii="David" w:hAnsi="David" w:hint="cs"/>
          <w:b/>
          <w:bCs/>
          <w:u w:val="single"/>
          <w:rtl/>
        </w:rPr>
        <w:t>:</w:t>
      </w:r>
    </w:p>
    <w:p w14:paraId="383AD41B" w14:textId="77777777" w:rsidR="00C169A9" w:rsidRDefault="00C169A9" w:rsidP="00C169A9">
      <w:pPr>
        <w:tabs>
          <w:tab w:val="right" w:pos="7371"/>
        </w:tabs>
        <w:spacing w:line="360" w:lineRule="auto"/>
        <w:ind w:left="-559" w:right="-625"/>
        <w:jc w:val="both"/>
        <w:rPr>
          <w:rFonts w:ascii="David" w:hAnsi="David"/>
          <w:b/>
          <w:bCs/>
          <w:u w:val="single"/>
          <w:rtl/>
        </w:rPr>
      </w:pPr>
      <w:r w:rsidRPr="00536203">
        <w:rPr>
          <w:rFonts w:ascii="David" w:hAnsi="David"/>
          <w:rtl/>
        </w:rPr>
        <w:t>כמפורט בגזר הדין, אני מתחייב להימנע במשך שלוש שנים מהיום מביצוע כל עבירה בניגוד ל</w:t>
      </w:r>
      <w:hyperlink r:id="rId89" w:history="1">
        <w:r w:rsidR="008F5233" w:rsidRPr="008F5233">
          <w:rPr>
            <w:rFonts w:ascii="David" w:hAnsi="David"/>
            <w:color w:val="0000FF"/>
            <w:u w:val="single"/>
            <w:rtl/>
          </w:rPr>
          <w:t>פקודת הסמים המסוכנים</w:t>
        </w:r>
      </w:hyperlink>
      <w:r w:rsidRPr="00536203">
        <w:rPr>
          <w:rFonts w:ascii="David" w:hAnsi="David"/>
          <w:rtl/>
        </w:rPr>
        <w:t xml:space="preserve">. הובהר לי כי ככל שאבצע כל עבירה מן העבירות בהן הורשעתי במשך שלוש שנים מהיום, יושת עלי סך של 10,000 ₪ במזומן. </w:t>
      </w:r>
    </w:p>
    <w:p w14:paraId="43E7F1D1" w14:textId="77777777" w:rsidR="00C169A9" w:rsidRDefault="00C169A9" w:rsidP="00C169A9">
      <w:pPr>
        <w:tabs>
          <w:tab w:val="right" w:pos="7371"/>
        </w:tabs>
        <w:spacing w:line="360" w:lineRule="auto"/>
        <w:ind w:left="-559" w:right="-625"/>
        <w:jc w:val="center"/>
        <w:rPr>
          <w:rFonts w:ascii="David" w:hAnsi="David"/>
          <w:b/>
          <w:bCs/>
          <w:rtl/>
        </w:rPr>
      </w:pPr>
      <w:r w:rsidRPr="00536203">
        <w:rPr>
          <w:rFonts w:ascii="David" w:hAnsi="David"/>
          <w:b/>
          <w:bCs/>
          <w:u w:val="single"/>
          <w:rtl/>
        </w:rPr>
        <w:t>החלטה</w:t>
      </w:r>
    </w:p>
    <w:p w14:paraId="3434A8E2" w14:textId="77777777" w:rsidR="00C169A9" w:rsidRDefault="00C169A9" w:rsidP="00C169A9">
      <w:pPr>
        <w:tabs>
          <w:tab w:val="right" w:pos="7371"/>
        </w:tabs>
        <w:spacing w:line="360" w:lineRule="auto"/>
        <w:ind w:left="-559" w:right="-625"/>
        <w:jc w:val="both"/>
        <w:rPr>
          <w:rFonts w:ascii="David" w:hAnsi="David"/>
          <w:b/>
          <w:bCs/>
          <w:rtl/>
        </w:rPr>
      </w:pPr>
    </w:p>
    <w:p w14:paraId="633FA44A" w14:textId="77777777" w:rsidR="00C169A9" w:rsidRDefault="00C169A9" w:rsidP="00C169A9">
      <w:pPr>
        <w:tabs>
          <w:tab w:val="right" w:pos="7371"/>
        </w:tabs>
        <w:spacing w:line="360" w:lineRule="auto"/>
        <w:ind w:left="-559" w:right="-625"/>
        <w:jc w:val="both"/>
        <w:rPr>
          <w:sz w:val="6"/>
          <w:szCs w:val="6"/>
          <w:rtl/>
        </w:rPr>
      </w:pPr>
      <w:r w:rsidRPr="00536203">
        <w:rPr>
          <w:rFonts w:ascii="David" w:hAnsi="David"/>
          <w:b/>
          <w:bCs/>
          <w:rtl/>
        </w:rPr>
        <w:t xml:space="preserve">נרשמה לפניי התחייבות הנאשם כמפורט בגזר הדין. </w:t>
      </w:r>
      <w:r>
        <w:rPr>
          <w:sz w:val="6"/>
          <w:szCs w:val="6"/>
          <w:rtl/>
        </w:rPr>
        <w:t>&lt;#3#&gt;</w:t>
      </w:r>
    </w:p>
    <w:p w14:paraId="1B8EA1F2" w14:textId="77777777" w:rsidR="00C169A9" w:rsidRDefault="008F5233" w:rsidP="00C169A9">
      <w:pPr>
        <w:ind w:left="5040"/>
        <w:jc w:val="center"/>
        <w:rPr>
          <w:rtl/>
        </w:rPr>
      </w:pPr>
      <w:bookmarkStart w:id="8" w:name="Nitan"/>
      <w:r w:rsidRPr="008F5233">
        <w:rPr>
          <w:b/>
          <w:bCs/>
          <w:color w:val="FFFFFF"/>
          <w:sz w:val="2"/>
          <w:szCs w:val="2"/>
          <w:rtl/>
        </w:rPr>
        <w:t>5129371</w:t>
      </w:r>
      <w:r>
        <w:rPr>
          <w:b/>
          <w:bCs/>
          <w:rtl/>
        </w:rPr>
        <w:t xml:space="preserve">ניתנה והודעה היום י"ד אב תש"פ, 04/08/2020 במעמד הנוכחים. </w:t>
      </w:r>
      <w:bookmarkEnd w:id="8"/>
    </w:p>
    <w:tbl>
      <w:tblPr>
        <w:bidiVisual/>
        <w:tblW w:w="3936" w:type="dxa"/>
        <w:tblInd w:w="5040" w:type="dxa"/>
        <w:tblBorders>
          <w:insideH w:val="single" w:sz="4" w:space="0" w:color="auto"/>
          <w:insideV w:val="single" w:sz="4" w:space="0" w:color="auto"/>
        </w:tblBorders>
        <w:tblLook w:val="01E0" w:firstRow="1" w:lastRow="1" w:firstColumn="1" w:lastColumn="1" w:noHBand="0" w:noVBand="0"/>
      </w:tblPr>
      <w:tblGrid>
        <w:gridCol w:w="3936"/>
      </w:tblGrid>
      <w:tr w:rsidR="00C169A9" w14:paraId="5303A87C" w14:textId="77777777" w:rsidTr="00C169A9">
        <w:trPr>
          <w:trHeight w:val="316"/>
        </w:trPr>
        <w:tc>
          <w:tcPr>
            <w:tcW w:w="3936" w:type="dxa"/>
            <w:tcBorders>
              <w:top w:val="nil"/>
              <w:left w:val="nil"/>
              <w:bottom w:val="single" w:sz="4" w:space="0" w:color="auto"/>
              <w:right w:val="nil"/>
            </w:tcBorders>
            <w:shd w:val="clear" w:color="auto" w:fill="auto"/>
          </w:tcPr>
          <w:p w14:paraId="49E78C71" w14:textId="77777777" w:rsidR="00C169A9" w:rsidRPr="008F5233" w:rsidRDefault="008F5233" w:rsidP="00C169A9">
            <w:pPr>
              <w:jc w:val="center"/>
              <w:rPr>
                <w:color w:val="FFFFFF"/>
                <w:sz w:val="2"/>
                <w:szCs w:val="2"/>
                <w:rtl/>
              </w:rPr>
            </w:pPr>
            <w:r w:rsidRPr="008F5233">
              <w:rPr>
                <w:color w:val="FFFFFF"/>
                <w:sz w:val="2"/>
                <w:szCs w:val="2"/>
                <w:rtl/>
              </w:rPr>
              <w:t>54678313</w:t>
            </w:r>
          </w:p>
        </w:tc>
      </w:tr>
      <w:tr w:rsidR="00C169A9" w14:paraId="044C9DCA" w14:textId="77777777" w:rsidTr="00C169A9">
        <w:trPr>
          <w:trHeight w:val="361"/>
        </w:trPr>
        <w:tc>
          <w:tcPr>
            <w:tcW w:w="3936" w:type="dxa"/>
            <w:tcBorders>
              <w:top w:val="single" w:sz="4" w:space="0" w:color="auto"/>
              <w:left w:val="nil"/>
              <w:bottom w:val="nil"/>
              <w:right w:val="nil"/>
            </w:tcBorders>
            <w:shd w:val="clear" w:color="auto" w:fill="auto"/>
          </w:tcPr>
          <w:p w14:paraId="4E638A4B" w14:textId="77777777" w:rsidR="00C169A9" w:rsidRPr="00C169A9" w:rsidRDefault="00C169A9" w:rsidP="00C169A9">
            <w:pPr>
              <w:jc w:val="center"/>
              <w:rPr>
                <w:b/>
                <w:bCs/>
              </w:rPr>
            </w:pPr>
            <w:r w:rsidRPr="00C169A9">
              <w:rPr>
                <w:b/>
                <w:bCs/>
                <w:rtl/>
              </w:rPr>
              <w:t xml:space="preserve">נגה שמואלי </w:t>
            </w:r>
            <w:r w:rsidRPr="00C169A9">
              <w:rPr>
                <w:b/>
                <w:bCs/>
                <w:vertAlign w:val="superscript"/>
                <w:rtl/>
              </w:rPr>
              <w:t>–</w:t>
            </w:r>
            <w:r w:rsidRPr="00C169A9">
              <w:rPr>
                <w:b/>
                <w:bCs/>
                <w:rtl/>
              </w:rPr>
              <w:t xml:space="preserve"> מאייר, שופטת </w:t>
            </w:r>
          </w:p>
          <w:p w14:paraId="5BBD32A4" w14:textId="77777777" w:rsidR="00C169A9" w:rsidRPr="00C169A9" w:rsidRDefault="00C169A9" w:rsidP="00C169A9">
            <w:pPr>
              <w:jc w:val="center"/>
              <w:rPr>
                <w:b/>
                <w:bCs/>
                <w:rtl/>
              </w:rPr>
            </w:pPr>
            <w:r w:rsidRPr="00C169A9">
              <w:rPr>
                <w:b/>
                <w:bCs/>
                <w:rtl/>
              </w:rPr>
              <w:t>סגנית נשיא</w:t>
            </w:r>
          </w:p>
        </w:tc>
      </w:tr>
    </w:tbl>
    <w:p w14:paraId="0A4E0A8E" w14:textId="77777777" w:rsidR="00C169A9" w:rsidRPr="00536203" w:rsidRDefault="00C169A9" w:rsidP="00C169A9">
      <w:pPr>
        <w:spacing w:line="360" w:lineRule="auto"/>
        <w:jc w:val="both"/>
        <w:rPr>
          <w:rFonts w:ascii="David" w:hAnsi="David"/>
          <w:rtl/>
        </w:rPr>
      </w:pPr>
    </w:p>
    <w:p w14:paraId="6EF79797" w14:textId="77777777" w:rsidR="00361C71" w:rsidRPr="008F5233" w:rsidRDefault="00361C71" w:rsidP="008F5233">
      <w:pPr>
        <w:keepNext/>
        <w:rPr>
          <w:rFonts w:ascii="David" w:hAnsi="David" w:hint="cs"/>
          <w:color w:val="000000"/>
          <w:sz w:val="22"/>
          <w:szCs w:val="22"/>
          <w:rtl/>
        </w:rPr>
      </w:pPr>
    </w:p>
    <w:p w14:paraId="2B7F69ED" w14:textId="77777777" w:rsidR="008F5233" w:rsidRPr="008F5233" w:rsidRDefault="008F5233" w:rsidP="008F5233">
      <w:pPr>
        <w:keepNext/>
        <w:rPr>
          <w:rFonts w:ascii="David" w:hAnsi="David"/>
          <w:color w:val="000000"/>
          <w:sz w:val="22"/>
          <w:szCs w:val="22"/>
          <w:rtl/>
        </w:rPr>
      </w:pPr>
      <w:r w:rsidRPr="008F5233">
        <w:rPr>
          <w:rFonts w:ascii="David" w:hAnsi="David"/>
          <w:color w:val="000000"/>
          <w:sz w:val="22"/>
          <w:szCs w:val="22"/>
          <w:rtl/>
        </w:rPr>
        <w:t>נגה שמואלי מאייר 54678313</w:t>
      </w:r>
    </w:p>
    <w:p w14:paraId="520F7C7E" w14:textId="77777777" w:rsidR="008F5233" w:rsidRDefault="008F5233" w:rsidP="008F5233">
      <w:r w:rsidRPr="008F5233">
        <w:rPr>
          <w:color w:val="000000"/>
          <w:rtl/>
        </w:rPr>
        <w:t>נוסח מסמך זה כפוף לשינויי ניסוח ועריכה</w:t>
      </w:r>
    </w:p>
    <w:p w14:paraId="3727CDFB" w14:textId="77777777" w:rsidR="008F5233" w:rsidRDefault="008F5233" w:rsidP="008F5233">
      <w:pPr>
        <w:rPr>
          <w:rtl/>
        </w:rPr>
      </w:pPr>
    </w:p>
    <w:p w14:paraId="0D15F8B8" w14:textId="77777777" w:rsidR="008F5233" w:rsidRDefault="008F5233" w:rsidP="008F5233">
      <w:pPr>
        <w:jc w:val="center"/>
        <w:rPr>
          <w:color w:val="0000FF"/>
          <w:u w:val="single"/>
        </w:rPr>
      </w:pPr>
      <w:hyperlink r:id="rId90" w:history="1">
        <w:r>
          <w:rPr>
            <w:color w:val="0000FF"/>
            <w:u w:val="single"/>
            <w:rtl/>
          </w:rPr>
          <w:t>בעניין עריכה ושינויים במסמכי פסיקה, חקיקה ועוד באתר נבו – הקש כאן</w:t>
        </w:r>
      </w:hyperlink>
    </w:p>
    <w:p w14:paraId="1EF358DA" w14:textId="77777777" w:rsidR="008F5233" w:rsidRPr="008F5233" w:rsidRDefault="008F5233" w:rsidP="008F5233">
      <w:pPr>
        <w:jc w:val="center"/>
        <w:rPr>
          <w:rFonts w:hint="cs"/>
          <w:color w:val="0000FF"/>
          <w:u w:val="single"/>
        </w:rPr>
      </w:pPr>
    </w:p>
    <w:sectPr w:rsidR="008F5233" w:rsidRPr="008F5233" w:rsidSect="008F5233">
      <w:headerReference w:type="even" r:id="rId91"/>
      <w:headerReference w:type="default" r:id="rId92"/>
      <w:footerReference w:type="even" r:id="rId93"/>
      <w:footerReference w:type="default" r:id="rId94"/>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E912FB" w14:textId="77777777" w:rsidR="00A4616D" w:rsidRDefault="00A4616D" w:rsidP="00771A0C">
      <w:r>
        <w:separator/>
      </w:r>
    </w:p>
  </w:endnote>
  <w:endnote w:type="continuationSeparator" w:id="0">
    <w:p w14:paraId="02B2BEC2" w14:textId="77777777" w:rsidR="00A4616D" w:rsidRDefault="00A4616D" w:rsidP="00771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2E85B" w14:textId="77777777" w:rsidR="008F5233" w:rsidRDefault="008F5233" w:rsidP="008F523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788E56B" w14:textId="77777777" w:rsidR="008F5233" w:rsidRPr="008F5233" w:rsidRDefault="008F5233" w:rsidP="008F523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E7802" w14:textId="77777777" w:rsidR="008F5233" w:rsidRDefault="008F5233" w:rsidP="008F5233">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 xml:space="preserve">PAGE </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480D92">
      <w:rPr>
        <w:rStyle w:val="a8"/>
        <w:rFonts w:ascii="FrankRuehl" w:hAnsi="FrankRuehl" w:cs="FrankRuehl"/>
        <w:noProof/>
        <w:rtl/>
      </w:rPr>
      <w:t>1</w:t>
    </w:r>
    <w:r>
      <w:rPr>
        <w:rStyle w:val="a8"/>
        <w:rFonts w:ascii="FrankRuehl" w:hAnsi="FrankRuehl" w:cs="FrankRuehl"/>
        <w:rtl/>
      </w:rPr>
      <w:fldChar w:fldCharType="end"/>
    </w:r>
  </w:p>
  <w:p w14:paraId="1E9EBC18" w14:textId="77777777" w:rsidR="000875EB" w:rsidRPr="008F5233" w:rsidRDefault="008F5233" w:rsidP="008F5233">
    <w:pPr>
      <w:pStyle w:val="a5"/>
      <w:pBdr>
        <w:top w:val="single" w:sz="4" w:space="1" w:color="auto"/>
        <w:between w:val="single" w:sz="4" w:space="0" w:color="auto"/>
      </w:pBdr>
      <w:spacing w:after="60"/>
      <w:jc w:val="center"/>
      <w:rPr>
        <w:rStyle w:val="a8"/>
        <w:rFonts w:ascii="FrankRuehl" w:hAnsi="FrankRuehl" w:cs="FrankRuehl" w:hint="cs"/>
        <w:color w:val="000000"/>
        <w:rtl/>
      </w:rPr>
    </w:pPr>
    <w:r>
      <w:rPr>
        <w:rStyle w:val="a8"/>
        <w:rFonts w:ascii="FrankRuehl" w:hAnsi="FrankRuehl" w:cs="FrankRuehl" w:hint="cs"/>
        <w:color w:val="000000"/>
      </w:rPr>
      <w:pict w14:anchorId="64D4E5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A5F33D" w14:textId="77777777" w:rsidR="00A4616D" w:rsidRDefault="00A4616D" w:rsidP="00771A0C">
      <w:r>
        <w:separator/>
      </w:r>
    </w:p>
  </w:footnote>
  <w:footnote w:type="continuationSeparator" w:id="0">
    <w:p w14:paraId="0F59E3B6" w14:textId="77777777" w:rsidR="00A4616D" w:rsidRDefault="00A4616D" w:rsidP="00771A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086F07" w14:textId="77777777" w:rsidR="008F5233" w:rsidRPr="008F5233" w:rsidRDefault="008F5233" w:rsidP="008F523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1463-04-19</w:t>
    </w:r>
    <w:r>
      <w:rPr>
        <w:rFonts w:ascii="David" w:hAnsi="David"/>
        <w:color w:val="000000"/>
        <w:sz w:val="22"/>
        <w:szCs w:val="22"/>
        <w:rtl/>
      </w:rPr>
      <w:tab/>
      <w:t xml:space="preserve"> מדינת ישראל נ' אלכסיי ארונסקי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F91A2D" w14:textId="77777777" w:rsidR="008F5233" w:rsidRPr="008F5233" w:rsidRDefault="008F5233" w:rsidP="008F523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1463-04-19</w:t>
    </w:r>
    <w:r>
      <w:rPr>
        <w:rFonts w:ascii="David" w:hAnsi="David"/>
        <w:color w:val="000000"/>
        <w:sz w:val="22"/>
        <w:szCs w:val="22"/>
        <w:rtl/>
      </w:rPr>
      <w:tab/>
      <w:t xml:space="preserve"> מדינת ישראל נ' אלכסיי ארונסקי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6467E8"/>
    <w:multiLevelType w:val="hybridMultilevel"/>
    <w:tmpl w:val="8F263E8E"/>
    <w:lvl w:ilvl="0" w:tplc="5A54A28E">
      <w:start w:val="1"/>
      <w:numFmt w:val="hebrew1"/>
      <w:lvlText w:val="%1."/>
      <w:lvlJc w:val="center"/>
      <w:pPr>
        <w:ind w:left="161" w:hanging="360"/>
      </w:pPr>
      <w:rPr>
        <w:b/>
        <w:bCs/>
      </w:rPr>
    </w:lvl>
    <w:lvl w:ilvl="1" w:tplc="04090019" w:tentative="1">
      <w:start w:val="1"/>
      <w:numFmt w:val="lowerLetter"/>
      <w:lvlText w:val="%2."/>
      <w:lvlJc w:val="left"/>
      <w:pPr>
        <w:ind w:left="881" w:hanging="360"/>
      </w:pPr>
    </w:lvl>
    <w:lvl w:ilvl="2" w:tplc="0409001B" w:tentative="1">
      <w:start w:val="1"/>
      <w:numFmt w:val="lowerRoman"/>
      <w:lvlText w:val="%3."/>
      <w:lvlJc w:val="right"/>
      <w:pPr>
        <w:ind w:left="1601" w:hanging="180"/>
      </w:pPr>
    </w:lvl>
    <w:lvl w:ilvl="3" w:tplc="0409000F" w:tentative="1">
      <w:start w:val="1"/>
      <w:numFmt w:val="decimal"/>
      <w:lvlText w:val="%4."/>
      <w:lvlJc w:val="left"/>
      <w:pPr>
        <w:ind w:left="2321" w:hanging="360"/>
      </w:pPr>
    </w:lvl>
    <w:lvl w:ilvl="4" w:tplc="04090019" w:tentative="1">
      <w:start w:val="1"/>
      <w:numFmt w:val="lowerLetter"/>
      <w:lvlText w:val="%5."/>
      <w:lvlJc w:val="left"/>
      <w:pPr>
        <w:ind w:left="3041" w:hanging="360"/>
      </w:pPr>
    </w:lvl>
    <w:lvl w:ilvl="5" w:tplc="0409001B" w:tentative="1">
      <w:start w:val="1"/>
      <w:numFmt w:val="lowerRoman"/>
      <w:lvlText w:val="%6."/>
      <w:lvlJc w:val="right"/>
      <w:pPr>
        <w:ind w:left="3761" w:hanging="180"/>
      </w:pPr>
    </w:lvl>
    <w:lvl w:ilvl="6" w:tplc="0409000F" w:tentative="1">
      <w:start w:val="1"/>
      <w:numFmt w:val="decimal"/>
      <w:lvlText w:val="%7."/>
      <w:lvlJc w:val="left"/>
      <w:pPr>
        <w:ind w:left="4481" w:hanging="360"/>
      </w:pPr>
    </w:lvl>
    <w:lvl w:ilvl="7" w:tplc="04090019" w:tentative="1">
      <w:start w:val="1"/>
      <w:numFmt w:val="lowerLetter"/>
      <w:lvlText w:val="%8."/>
      <w:lvlJc w:val="left"/>
      <w:pPr>
        <w:ind w:left="5201" w:hanging="360"/>
      </w:pPr>
    </w:lvl>
    <w:lvl w:ilvl="8" w:tplc="0409001B" w:tentative="1">
      <w:start w:val="1"/>
      <w:numFmt w:val="lowerRoman"/>
      <w:lvlText w:val="%9."/>
      <w:lvlJc w:val="right"/>
      <w:pPr>
        <w:ind w:left="5921" w:hanging="180"/>
      </w:pPr>
    </w:lvl>
  </w:abstractNum>
  <w:abstractNum w:abstractNumId="1" w15:restartNumberingAfterBreak="0">
    <w:nsid w:val="5A71790A"/>
    <w:multiLevelType w:val="hybridMultilevel"/>
    <w:tmpl w:val="ECA65B78"/>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06F5F9C"/>
    <w:multiLevelType w:val="hybridMultilevel"/>
    <w:tmpl w:val="F1D62F28"/>
    <w:lvl w:ilvl="0" w:tplc="84B8F21C">
      <w:start w:val="2"/>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FC743EF"/>
    <w:multiLevelType w:val="hybridMultilevel"/>
    <w:tmpl w:val="59CC6F70"/>
    <w:lvl w:ilvl="0" w:tplc="0916E188">
      <w:start w:val="1"/>
      <w:numFmt w:val="decimal"/>
      <w:lvlText w:val="%1."/>
      <w:lvlJc w:val="left"/>
      <w:pPr>
        <w:ind w:left="-330" w:hanging="360"/>
      </w:pPr>
      <w:rPr>
        <w:rFonts w:ascii="David" w:hAnsi="David" w:cs="David" w:hint="default"/>
        <w:sz w:val="24"/>
        <w:szCs w:val="24"/>
      </w:rPr>
    </w:lvl>
    <w:lvl w:ilvl="1" w:tplc="04090019">
      <w:start w:val="1"/>
      <w:numFmt w:val="lowerLetter"/>
      <w:lvlText w:val="%2."/>
      <w:lvlJc w:val="left"/>
      <w:pPr>
        <w:ind w:left="390" w:hanging="360"/>
      </w:pPr>
    </w:lvl>
    <w:lvl w:ilvl="2" w:tplc="0409001B">
      <w:start w:val="1"/>
      <w:numFmt w:val="lowerRoman"/>
      <w:lvlText w:val="%3."/>
      <w:lvlJc w:val="right"/>
      <w:pPr>
        <w:ind w:left="1110" w:hanging="180"/>
      </w:pPr>
    </w:lvl>
    <w:lvl w:ilvl="3" w:tplc="0409000F">
      <w:start w:val="1"/>
      <w:numFmt w:val="decimal"/>
      <w:lvlText w:val="%4."/>
      <w:lvlJc w:val="left"/>
      <w:pPr>
        <w:ind w:left="1830" w:hanging="360"/>
      </w:pPr>
    </w:lvl>
    <w:lvl w:ilvl="4" w:tplc="04090019">
      <w:start w:val="1"/>
      <w:numFmt w:val="lowerLetter"/>
      <w:lvlText w:val="%5."/>
      <w:lvlJc w:val="left"/>
      <w:pPr>
        <w:ind w:left="2550" w:hanging="360"/>
      </w:pPr>
    </w:lvl>
    <w:lvl w:ilvl="5" w:tplc="0409001B">
      <w:start w:val="1"/>
      <w:numFmt w:val="lowerRoman"/>
      <w:lvlText w:val="%6."/>
      <w:lvlJc w:val="right"/>
      <w:pPr>
        <w:ind w:left="3270" w:hanging="180"/>
      </w:pPr>
    </w:lvl>
    <w:lvl w:ilvl="6" w:tplc="0409000F">
      <w:start w:val="1"/>
      <w:numFmt w:val="decimal"/>
      <w:lvlText w:val="%7."/>
      <w:lvlJc w:val="left"/>
      <w:pPr>
        <w:ind w:left="3990" w:hanging="360"/>
      </w:pPr>
    </w:lvl>
    <w:lvl w:ilvl="7" w:tplc="04090019">
      <w:start w:val="1"/>
      <w:numFmt w:val="lowerLetter"/>
      <w:lvlText w:val="%8."/>
      <w:lvlJc w:val="left"/>
      <w:pPr>
        <w:ind w:left="4710" w:hanging="360"/>
      </w:pPr>
    </w:lvl>
    <w:lvl w:ilvl="8" w:tplc="0409001B">
      <w:start w:val="1"/>
      <w:numFmt w:val="lowerRoman"/>
      <w:lvlText w:val="%9."/>
      <w:lvlJc w:val="right"/>
      <w:pPr>
        <w:ind w:left="5430" w:hanging="180"/>
      </w:pPr>
    </w:lvl>
  </w:abstractNum>
  <w:num w:numId="1" w16cid:durableId="13891119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72322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12339200">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30680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169A9"/>
    <w:rsid w:val="000875EB"/>
    <w:rsid w:val="002806C9"/>
    <w:rsid w:val="00361C71"/>
    <w:rsid w:val="003F697E"/>
    <w:rsid w:val="00480D92"/>
    <w:rsid w:val="005753D3"/>
    <w:rsid w:val="00643B5E"/>
    <w:rsid w:val="006E5831"/>
    <w:rsid w:val="00771A0C"/>
    <w:rsid w:val="007E2803"/>
    <w:rsid w:val="008F5233"/>
    <w:rsid w:val="00965378"/>
    <w:rsid w:val="00A4616D"/>
    <w:rsid w:val="00C169A9"/>
    <w:rsid w:val="00C501AB"/>
    <w:rsid w:val="00E22821"/>
    <w:rsid w:val="00E545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A43D54"/>
  <w15:chartTrackingRefBased/>
  <w15:docId w15:val="{2773418A-5964-4F8C-B574-CA9D99A98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169A9"/>
    <w:pPr>
      <w:bidi/>
    </w:pPr>
    <w:rPr>
      <w:rFonts w:ascii="Times New Roman" w:eastAsia="Times New Roman" w:hAnsi="Times New Roman" w:cs="David"/>
      <w:sz w:val="24"/>
      <w:szCs w:val="24"/>
    </w:rPr>
  </w:style>
  <w:style w:type="paragraph" w:styleId="1">
    <w:name w:val="heading 1"/>
    <w:basedOn w:val="a"/>
    <w:next w:val="a"/>
    <w:link w:val="10"/>
    <w:qFormat/>
    <w:rsid w:val="00C169A9"/>
    <w:pPr>
      <w:keepNext/>
      <w:keepLines/>
      <w:spacing w:before="240"/>
      <w:outlineLvl w:val="0"/>
    </w:pPr>
    <w:rPr>
      <w:rFonts w:ascii="Calibri Light" w:hAnsi="Calibri Light" w:cs="Times New Roman"/>
      <w:color w:val="2E74B5"/>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C169A9"/>
    <w:rPr>
      <w:rFonts w:ascii="Calibri Light" w:eastAsia="Times New Roman" w:hAnsi="Calibri Light" w:cs="Times New Roman"/>
      <w:color w:val="2E74B5"/>
      <w:sz w:val="32"/>
      <w:szCs w:val="32"/>
    </w:rPr>
  </w:style>
  <w:style w:type="paragraph" w:styleId="a3">
    <w:name w:val="header"/>
    <w:basedOn w:val="a"/>
    <w:link w:val="a4"/>
    <w:rsid w:val="00C169A9"/>
    <w:pPr>
      <w:tabs>
        <w:tab w:val="center" w:pos="4153"/>
        <w:tab w:val="right" w:pos="8306"/>
      </w:tabs>
    </w:pPr>
    <w:rPr>
      <w:rFonts w:cs="Times New Roman"/>
      <w:lang w:val="x-none" w:eastAsia="x-none"/>
    </w:rPr>
  </w:style>
  <w:style w:type="character" w:customStyle="1" w:styleId="a4">
    <w:name w:val="כותרת עליונה תו"/>
    <w:link w:val="a3"/>
    <w:rsid w:val="00C169A9"/>
    <w:rPr>
      <w:rFonts w:ascii="Times New Roman" w:eastAsia="Times New Roman" w:hAnsi="Times New Roman" w:cs="David"/>
      <w:sz w:val="24"/>
      <w:szCs w:val="24"/>
    </w:rPr>
  </w:style>
  <w:style w:type="paragraph" w:styleId="a5">
    <w:name w:val="footer"/>
    <w:basedOn w:val="a"/>
    <w:link w:val="a6"/>
    <w:rsid w:val="00C169A9"/>
    <w:pPr>
      <w:tabs>
        <w:tab w:val="center" w:pos="4153"/>
        <w:tab w:val="right" w:pos="8306"/>
      </w:tabs>
    </w:pPr>
    <w:rPr>
      <w:rFonts w:cs="Times New Roman"/>
      <w:lang w:val="x-none" w:eastAsia="x-none"/>
    </w:rPr>
  </w:style>
  <w:style w:type="character" w:customStyle="1" w:styleId="a6">
    <w:name w:val="כותרת תחתונה תו"/>
    <w:link w:val="a5"/>
    <w:rsid w:val="00C169A9"/>
    <w:rPr>
      <w:rFonts w:ascii="Times New Roman" w:eastAsia="Times New Roman" w:hAnsi="Times New Roman" w:cs="David"/>
      <w:sz w:val="24"/>
      <w:szCs w:val="24"/>
    </w:rPr>
  </w:style>
  <w:style w:type="table" w:styleId="a7">
    <w:name w:val="Table Grid"/>
    <w:basedOn w:val="a1"/>
    <w:rsid w:val="00C169A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169A9"/>
    <w:rPr>
      <w:noProof w:val="0"/>
    </w:rPr>
  </w:style>
  <w:style w:type="character" w:styleId="Hyperlink">
    <w:name w:val="Hyperlink"/>
    <w:rsid w:val="00C169A9"/>
    <w:rPr>
      <w:rFonts w:ascii="Times New Roman" w:hAnsi="Times New Roman" w:cs="Times New Roman" w:hint="default"/>
      <w:noProof w:val="0"/>
      <w:color w:val="0000FF"/>
      <w:u w:val="single"/>
    </w:rPr>
  </w:style>
  <w:style w:type="character" w:customStyle="1" w:styleId="a9">
    <w:name w:val="פיסקת רשימה תו"/>
    <w:link w:val="aa"/>
    <w:locked/>
    <w:rsid w:val="00C169A9"/>
    <w:rPr>
      <w:rFonts w:ascii="David" w:hAnsi="David" w:cs="David"/>
      <w:sz w:val="24"/>
      <w:szCs w:val="24"/>
    </w:rPr>
  </w:style>
  <w:style w:type="paragraph" w:styleId="aa">
    <w:name w:val="List Paragraph"/>
    <w:basedOn w:val="a"/>
    <w:link w:val="a9"/>
    <w:qFormat/>
    <w:rsid w:val="00C169A9"/>
    <w:pPr>
      <w:spacing w:after="160" w:line="360" w:lineRule="auto"/>
      <w:ind w:left="720" w:hanging="357"/>
      <w:contextualSpacing/>
      <w:jc w:val="both"/>
    </w:pPr>
    <w:rPr>
      <w:rFonts w:ascii="David" w:eastAsia="Calibri" w:hAnsi="David" w:cs="Times New Roman"/>
      <w:lang w:val="x-none" w:eastAsia="x-none"/>
    </w:rPr>
  </w:style>
  <w:style w:type="character" w:customStyle="1" w:styleId="ListParagraphChar">
    <w:name w:val="List Paragraph Char"/>
    <w:link w:val="11"/>
    <w:locked/>
    <w:rsid w:val="00C169A9"/>
  </w:style>
  <w:style w:type="paragraph" w:customStyle="1" w:styleId="11">
    <w:name w:val="פיסקת רשימה1"/>
    <w:basedOn w:val="a"/>
    <w:link w:val="ListParagraphChar"/>
    <w:rsid w:val="00C169A9"/>
    <w:pPr>
      <w:spacing w:after="160" w:line="360" w:lineRule="auto"/>
      <w:ind w:left="720" w:hanging="357"/>
      <w:contextualSpacing/>
      <w:jc w:val="both"/>
    </w:pPr>
    <w:rPr>
      <w:rFonts w:ascii="Calibri" w:eastAsia="Calibri" w:hAnsi="Calibri" w:cs="Arial"/>
      <w:sz w:val="22"/>
      <w:szCs w:val="22"/>
    </w:rPr>
  </w:style>
  <w:style w:type="paragraph" w:customStyle="1" w:styleId="listparagraph">
    <w:name w:val="listparagraph"/>
    <w:basedOn w:val="a"/>
    <w:rsid w:val="00C169A9"/>
    <w:pPr>
      <w:spacing w:after="160" w:line="360" w:lineRule="auto"/>
      <w:ind w:left="720" w:hanging="357"/>
      <w:jc w:val="both"/>
    </w:pPr>
    <w:rPr>
      <w:rFont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1" TargetMode="External"/><Relationship Id="rId21" Type="http://schemas.openxmlformats.org/officeDocument/2006/relationships/hyperlink" Target="http://www.nevo.co.il/law/71631" TargetMode="External"/><Relationship Id="rId42" Type="http://schemas.openxmlformats.org/officeDocument/2006/relationships/hyperlink" Target="http://www.nevo.co.il/law/70301/40i.a.5" TargetMode="External"/><Relationship Id="rId47" Type="http://schemas.openxmlformats.org/officeDocument/2006/relationships/hyperlink" Target="http://www.nevo.co.il/case/22830934" TargetMode="External"/><Relationship Id="rId63" Type="http://schemas.openxmlformats.org/officeDocument/2006/relationships/hyperlink" Target="http://www.nevo.co.il/case/17075628" TargetMode="External"/><Relationship Id="rId68" Type="http://schemas.openxmlformats.org/officeDocument/2006/relationships/hyperlink" Target="http://www.nevo.co.il/case/20314942" TargetMode="External"/><Relationship Id="rId84" Type="http://schemas.openxmlformats.org/officeDocument/2006/relationships/hyperlink" Target="http://www.nevo.co.il/case/21661958" TargetMode="External"/><Relationship Id="rId89" Type="http://schemas.openxmlformats.org/officeDocument/2006/relationships/hyperlink" Target="http://www.nevo.co.il/law/4216" TargetMode="External"/><Relationship Id="rId16" Type="http://schemas.openxmlformats.org/officeDocument/2006/relationships/hyperlink" Target="http://www.nevo.co.il/law/70301/40d.a" TargetMode="External"/><Relationship Id="rId11" Type="http://schemas.openxmlformats.org/officeDocument/2006/relationships/hyperlink" Target="http://www.nevo.co.il/law/4216/19.a" TargetMode="External"/><Relationship Id="rId32" Type="http://schemas.openxmlformats.org/officeDocument/2006/relationships/hyperlink" Target="http://www.nevo.co.il/case/5573417" TargetMode="External"/><Relationship Id="rId37" Type="http://schemas.openxmlformats.org/officeDocument/2006/relationships/hyperlink" Target="http://www.nevo.co.il/case/6094597" TargetMode="External"/><Relationship Id="rId53" Type="http://schemas.openxmlformats.org/officeDocument/2006/relationships/hyperlink" Target="http://www.nevo.co.il/case/23800357" TargetMode="External"/><Relationship Id="rId58" Type="http://schemas.openxmlformats.org/officeDocument/2006/relationships/hyperlink" Target="http://www.nevo.co.il/case/5605484" TargetMode="External"/><Relationship Id="rId74" Type="http://schemas.openxmlformats.org/officeDocument/2006/relationships/hyperlink" Target="http://www.nevo.co.il/law/71631/17b" TargetMode="External"/><Relationship Id="rId79" Type="http://schemas.openxmlformats.org/officeDocument/2006/relationships/hyperlink" Target="http://www.nevo.co.il/law/70301/40ja.3" TargetMode="External"/><Relationship Id="rId5" Type="http://schemas.openxmlformats.org/officeDocument/2006/relationships/footnotes" Target="footnotes.xml"/><Relationship Id="rId90" Type="http://schemas.openxmlformats.org/officeDocument/2006/relationships/hyperlink" Target="http://www.nevo.co.il/advertisements/nevo-100.doc" TargetMode="External"/><Relationship Id="rId95" Type="http://schemas.openxmlformats.org/officeDocument/2006/relationships/fontTable" Target="fontTable.xml"/><Relationship Id="rId22" Type="http://schemas.openxmlformats.org/officeDocument/2006/relationships/hyperlink" Target="http://www.nevo.co.il/law/71631/17b" TargetMode="External"/><Relationship Id="rId27" Type="http://schemas.openxmlformats.org/officeDocument/2006/relationships/hyperlink" Target="http://www.nevo.co.il/law/70301"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23222373" TargetMode="External"/><Relationship Id="rId64" Type="http://schemas.openxmlformats.org/officeDocument/2006/relationships/hyperlink" Target="http://www.nevo.co.il/case/18118854" TargetMode="External"/><Relationship Id="rId69" Type="http://schemas.openxmlformats.org/officeDocument/2006/relationships/hyperlink" Target="http://www.nevo.co.il/case/20114120" TargetMode="External"/><Relationship Id="rId8" Type="http://schemas.openxmlformats.org/officeDocument/2006/relationships/hyperlink" Target="http://www.nevo.co.il/law/4216/.7c" TargetMode="External"/><Relationship Id="rId51" Type="http://schemas.openxmlformats.org/officeDocument/2006/relationships/hyperlink" Target="http://www.nevo.co.il/case/22856999" TargetMode="External"/><Relationship Id="rId72" Type="http://schemas.openxmlformats.org/officeDocument/2006/relationships/hyperlink" Target="http://www.nevo.co.il/law/71631/17b" TargetMode="External"/><Relationship Id="rId80" Type="http://schemas.openxmlformats.org/officeDocument/2006/relationships/hyperlink" Target="http://www.nevo.co.il/law/70301" TargetMode="External"/><Relationship Id="rId85" Type="http://schemas.openxmlformats.org/officeDocument/2006/relationships/hyperlink" Target="http://www.nevo.co.il/case/23814688" TargetMode="External"/><Relationship Id="rId93"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40i.a.2" TargetMode="External"/><Relationship Id="rId25" Type="http://schemas.openxmlformats.org/officeDocument/2006/relationships/hyperlink" Target="http://www.nevo.co.il/law/4216" TargetMode="External"/><Relationship Id="rId33" Type="http://schemas.openxmlformats.org/officeDocument/2006/relationships/hyperlink" Target="http://www.nevo.co.il/law/70301/40c.a" TargetMode="External"/><Relationship Id="rId38" Type="http://schemas.openxmlformats.org/officeDocument/2006/relationships/hyperlink" Target="http://www.nevo.co.il/law/70301/32" TargetMode="External"/><Relationship Id="rId46" Type="http://schemas.openxmlformats.org/officeDocument/2006/relationships/hyperlink" Target="http://www.nevo.co.il/case/21015131" TargetMode="External"/><Relationship Id="rId59" Type="http://schemas.openxmlformats.org/officeDocument/2006/relationships/hyperlink" Target="http://www.nevo.co.il/case/6032057" TargetMode="External"/><Relationship Id="rId67" Type="http://schemas.openxmlformats.org/officeDocument/2006/relationships/hyperlink" Target="http://www.nevo.co.il/case/5849797" TargetMode="External"/><Relationship Id="rId20" Type="http://schemas.openxmlformats.org/officeDocument/2006/relationships/hyperlink" Target="http://www.nevo.co.il/law/70301/40ja.3" TargetMode="External"/><Relationship Id="rId41" Type="http://schemas.openxmlformats.org/officeDocument/2006/relationships/hyperlink" Target="http://www.nevo.co.il/law/70301/40i.a.2" TargetMode="External"/><Relationship Id="rId54" Type="http://schemas.openxmlformats.org/officeDocument/2006/relationships/hyperlink" Target="http://www.nevo.co.il/case/23814688" TargetMode="External"/><Relationship Id="rId62" Type="http://schemas.openxmlformats.org/officeDocument/2006/relationships/hyperlink" Target="http://www.nevo.co.il/case/6180864" TargetMode="External"/><Relationship Id="rId70" Type="http://schemas.openxmlformats.org/officeDocument/2006/relationships/hyperlink" Target="http://www.nevo.co.il/law/71631/17b.c" TargetMode="External"/><Relationship Id="rId75" Type="http://schemas.openxmlformats.org/officeDocument/2006/relationships/hyperlink" Target="http://www.nevo.co.il/law/71631" TargetMode="External"/><Relationship Id="rId83" Type="http://schemas.openxmlformats.org/officeDocument/2006/relationships/hyperlink" Target="http://www.nevo.co.il/case/23772604" TargetMode="External"/><Relationship Id="rId88" Type="http://schemas.openxmlformats.org/officeDocument/2006/relationships/image" Target="media/image1.jpeg"/><Relationship Id="rId91" Type="http://schemas.openxmlformats.org/officeDocument/2006/relationships/header" Target="header1.xm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c.a" TargetMode="External"/><Relationship Id="rId23" Type="http://schemas.openxmlformats.org/officeDocument/2006/relationships/hyperlink" Target="http://www.nevo.co.il/law/71631/17b.c" TargetMode="External"/><Relationship Id="rId28" Type="http://schemas.openxmlformats.org/officeDocument/2006/relationships/hyperlink" Target="http://www.nevo.co.il/law/4216/7.a.;.7c" TargetMode="External"/><Relationship Id="rId36" Type="http://schemas.openxmlformats.org/officeDocument/2006/relationships/hyperlink" Target="http://www.nevo.co.il/case/5786821" TargetMode="External"/><Relationship Id="rId49" Type="http://schemas.openxmlformats.org/officeDocument/2006/relationships/hyperlink" Target="http://www.nevo.co.il/case/24319534" TargetMode="External"/><Relationship Id="rId57" Type="http://schemas.openxmlformats.org/officeDocument/2006/relationships/hyperlink" Target="http://www.nevo.co.il/case/22976244" TargetMode="External"/><Relationship Id="rId10" Type="http://schemas.openxmlformats.org/officeDocument/2006/relationships/hyperlink" Target="http://www.nevo.co.il/law/4216/13"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5704648" TargetMode="External"/><Relationship Id="rId52" Type="http://schemas.openxmlformats.org/officeDocument/2006/relationships/hyperlink" Target="http://www.nevo.co.il/case/23772604" TargetMode="External"/><Relationship Id="rId60" Type="http://schemas.openxmlformats.org/officeDocument/2006/relationships/hyperlink" Target="http://www.nevo.co.il/case/6824952" TargetMode="External"/><Relationship Id="rId65" Type="http://schemas.openxmlformats.org/officeDocument/2006/relationships/hyperlink" Target="http://www.nevo.co.il/case/5810781" TargetMode="External"/><Relationship Id="rId73" Type="http://schemas.openxmlformats.org/officeDocument/2006/relationships/hyperlink" Target="http://www.nevo.co.il/law/71631" TargetMode="External"/><Relationship Id="rId78" Type="http://schemas.openxmlformats.org/officeDocument/2006/relationships/hyperlink" Target="http://www.nevo.co.il/law/70301" TargetMode="External"/><Relationship Id="rId81" Type="http://schemas.openxmlformats.org/officeDocument/2006/relationships/hyperlink" Target="http://www.nevo.co.il/law/70301/40d.a" TargetMode="External"/><Relationship Id="rId86" Type="http://schemas.openxmlformats.org/officeDocument/2006/relationships/hyperlink" Target="http://www.nevo.co.il/law/4216" TargetMode="External"/><Relationship Id="rId9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3" Type="http://schemas.openxmlformats.org/officeDocument/2006/relationships/hyperlink" Target="http://www.nevo.co.il/law/70301/31" TargetMode="External"/><Relationship Id="rId18" Type="http://schemas.openxmlformats.org/officeDocument/2006/relationships/hyperlink" Target="http://www.nevo.co.il/law/70301/40i.a.5" TargetMode="External"/><Relationship Id="rId39" Type="http://schemas.openxmlformats.org/officeDocument/2006/relationships/hyperlink" Target="http://www.nevo.co.il/law/70301" TargetMode="External"/><Relationship Id="rId34" Type="http://schemas.openxmlformats.org/officeDocument/2006/relationships/hyperlink" Target="http://www.nevo.co.il/law/70301" TargetMode="External"/><Relationship Id="rId50" Type="http://schemas.openxmlformats.org/officeDocument/2006/relationships/hyperlink" Target="http://www.nevo.co.il/case/25664174" TargetMode="External"/><Relationship Id="rId55" Type="http://schemas.openxmlformats.org/officeDocument/2006/relationships/hyperlink" Target="http://www.nevo.co.il/case/25623599" TargetMode="External"/><Relationship Id="rId76" Type="http://schemas.openxmlformats.org/officeDocument/2006/relationships/hyperlink" Target="http://www.nevo.co.il/case/6030519" TargetMode="External"/><Relationship Id="rId7" Type="http://schemas.openxmlformats.org/officeDocument/2006/relationships/hyperlink" Target="http://www.nevo.co.il/law/4216" TargetMode="External"/><Relationship Id="rId71" Type="http://schemas.openxmlformats.org/officeDocument/2006/relationships/hyperlink" Target="http://www.nevo.co.il/law/71631" TargetMode="External"/><Relationship Id="rId92" Type="http://schemas.openxmlformats.org/officeDocument/2006/relationships/header" Target="header2.xml"/><Relationship Id="rId2" Type="http://schemas.openxmlformats.org/officeDocument/2006/relationships/styles" Target="styles.xml"/><Relationship Id="rId29" Type="http://schemas.openxmlformats.org/officeDocument/2006/relationships/hyperlink" Target="http://www.nevo.co.il/law/71631/17b" TargetMode="External"/><Relationship Id="rId24" Type="http://schemas.openxmlformats.org/officeDocument/2006/relationships/hyperlink" Target="http://www.nevo.co.il/law/4216/13;19.a" TargetMode="External"/><Relationship Id="rId40" Type="http://schemas.openxmlformats.org/officeDocument/2006/relationships/hyperlink" Target="http://www.nevo.co.il/law/70301/40c.a" TargetMode="External"/><Relationship Id="rId45" Type="http://schemas.openxmlformats.org/officeDocument/2006/relationships/hyperlink" Target="http://www.nevo.co.il/case/5878649" TargetMode="External"/><Relationship Id="rId66" Type="http://schemas.openxmlformats.org/officeDocument/2006/relationships/hyperlink" Target="http://www.nevo.co.il/case/17916229" TargetMode="External"/><Relationship Id="rId87" Type="http://schemas.openxmlformats.org/officeDocument/2006/relationships/hyperlink" Target="http://www.nevo.co.il/law/4216" TargetMode="External"/><Relationship Id="rId61" Type="http://schemas.openxmlformats.org/officeDocument/2006/relationships/hyperlink" Target="http://www.nevo.co.il/law/70301" TargetMode="External"/><Relationship Id="rId82" Type="http://schemas.openxmlformats.org/officeDocument/2006/relationships/hyperlink" Target="http://www.nevo.co.il/law/70301" TargetMode="External"/><Relationship Id="rId19" Type="http://schemas.openxmlformats.org/officeDocument/2006/relationships/hyperlink" Target="http://www.nevo.co.il/law/70301/40ja" TargetMode="External"/><Relationship Id="rId14" Type="http://schemas.openxmlformats.org/officeDocument/2006/relationships/hyperlink" Target="http://www.nevo.co.il/law/70301/32" TargetMode="External"/><Relationship Id="rId30" Type="http://schemas.openxmlformats.org/officeDocument/2006/relationships/hyperlink" Target="http://www.nevo.co.il/law/71631" TargetMode="External"/><Relationship Id="rId35" Type="http://schemas.openxmlformats.org/officeDocument/2006/relationships/hyperlink" Target="http://www.nevo.co.il/law/4216" TargetMode="External"/><Relationship Id="rId56" Type="http://schemas.openxmlformats.org/officeDocument/2006/relationships/hyperlink" Target="http://www.nevo.co.il/case/22723482" TargetMode="External"/><Relationship Id="rId77" Type="http://schemas.openxmlformats.org/officeDocument/2006/relationships/hyperlink" Target="http://www.nevo.co.il/law/70301/40j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5555</Words>
  <Characters>27779</Characters>
  <Application>Microsoft Office Word</Application>
  <DocSecurity>0</DocSecurity>
  <Lines>231</Lines>
  <Paragraphs>66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33268</CharactersWithSpaces>
  <SharedDoc>false</SharedDoc>
  <HLinks>
    <vt:vector size="498" baseType="variant">
      <vt:variant>
        <vt:i4>393283</vt:i4>
      </vt:variant>
      <vt:variant>
        <vt:i4>246</vt:i4>
      </vt:variant>
      <vt:variant>
        <vt:i4>0</vt:i4>
      </vt:variant>
      <vt:variant>
        <vt:i4>5</vt:i4>
      </vt:variant>
      <vt:variant>
        <vt:lpwstr>http://www.nevo.co.il/advertisements/nevo-100.doc</vt:lpwstr>
      </vt:variant>
      <vt:variant>
        <vt:lpwstr/>
      </vt:variant>
      <vt:variant>
        <vt:i4>8257637</vt:i4>
      </vt:variant>
      <vt:variant>
        <vt:i4>243</vt:i4>
      </vt:variant>
      <vt:variant>
        <vt:i4>0</vt:i4>
      </vt:variant>
      <vt:variant>
        <vt:i4>5</vt:i4>
      </vt:variant>
      <vt:variant>
        <vt:lpwstr>http://www.nevo.co.il/law/4216</vt:lpwstr>
      </vt:variant>
      <vt:variant>
        <vt:lpwstr/>
      </vt:variant>
      <vt:variant>
        <vt:i4>8257637</vt:i4>
      </vt:variant>
      <vt:variant>
        <vt:i4>240</vt:i4>
      </vt:variant>
      <vt:variant>
        <vt:i4>0</vt:i4>
      </vt:variant>
      <vt:variant>
        <vt:i4>5</vt:i4>
      </vt:variant>
      <vt:variant>
        <vt:lpwstr>http://www.nevo.co.il/law/4216</vt:lpwstr>
      </vt:variant>
      <vt:variant>
        <vt:lpwstr/>
      </vt:variant>
      <vt:variant>
        <vt:i4>8257637</vt:i4>
      </vt:variant>
      <vt:variant>
        <vt:i4>237</vt:i4>
      </vt:variant>
      <vt:variant>
        <vt:i4>0</vt:i4>
      </vt:variant>
      <vt:variant>
        <vt:i4>5</vt:i4>
      </vt:variant>
      <vt:variant>
        <vt:lpwstr>http://www.nevo.co.il/law/4216</vt:lpwstr>
      </vt:variant>
      <vt:variant>
        <vt:lpwstr/>
      </vt:variant>
      <vt:variant>
        <vt:i4>3539056</vt:i4>
      </vt:variant>
      <vt:variant>
        <vt:i4>234</vt:i4>
      </vt:variant>
      <vt:variant>
        <vt:i4>0</vt:i4>
      </vt:variant>
      <vt:variant>
        <vt:i4>5</vt:i4>
      </vt:variant>
      <vt:variant>
        <vt:lpwstr>http://www.nevo.co.il/case/23814688</vt:lpwstr>
      </vt:variant>
      <vt:variant>
        <vt:lpwstr/>
      </vt:variant>
      <vt:variant>
        <vt:i4>3145850</vt:i4>
      </vt:variant>
      <vt:variant>
        <vt:i4>231</vt:i4>
      </vt:variant>
      <vt:variant>
        <vt:i4>0</vt:i4>
      </vt:variant>
      <vt:variant>
        <vt:i4>5</vt:i4>
      </vt:variant>
      <vt:variant>
        <vt:lpwstr>http://www.nevo.co.il/case/21661958</vt:lpwstr>
      </vt:variant>
      <vt:variant>
        <vt:lpwstr/>
      </vt:variant>
      <vt:variant>
        <vt:i4>3604598</vt:i4>
      </vt:variant>
      <vt:variant>
        <vt:i4>228</vt:i4>
      </vt:variant>
      <vt:variant>
        <vt:i4>0</vt:i4>
      </vt:variant>
      <vt:variant>
        <vt:i4>5</vt:i4>
      </vt:variant>
      <vt:variant>
        <vt:lpwstr>http://www.nevo.co.il/case/23772604</vt:lpwstr>
      </vt:variant>
      <vt:variant>
        <vt:lpwstr/>
      </vt:variant>
      <vt:variant>
        <vt:i4>7995492</vt:i4>
      </vt:variant>
      <vt:variant>
        <vt:i4>225</vt:i4>
      </vt:variant>
      <vt:variant>
        <vt:i4>0</vt:i4>
      </vt:variant>
      <vt:variant>
        <vt:i4>5</vt:i4>
      </vt:variant>
      <vt:variant>
        <vt:lpwstr>http://www.nevo.co.il/law/70301</vt:lpwstr>
      </vt:variant>
      <vt:variant>
        <vt:lpwstr/>
      </vt:variant>
      <vt:variant>
        <vt:i4>4915205</vt:i4>
      </vt:variant>
      <vt:variant>
        <vt:i4>222</vt:i4>
      </vt:variant>
      <vt:variant>
        <vt:i4>0</vt:i4>
      </vt:variant>
      <vt:variant>
        <vt:i4>5</vt:i4>
      </vt:variant>
      <vt:variant>
        <vt:lpwstr>http://www.nevo.co.il/law/70301/40d.a</vt:lpwstr>
      </vt:variant>
      <vt:variant>
        <vt:lpwstr/>
      </vt:variant>
      <vt:variant>
        <vt:i4>7995492</vt:i4>
      </vt:variant>
      <vt:variant>
        <vt:i4>219</vt:i4>
      </vt:variant>
      <vt:variant>
        <vt:i4>0</vt:i4>
      </vt:variant>
      <vt:variant>
        <vt:i4>5</vt:i4>
      </vt:variant>
      <vt:variant>
        <vt:lpwstr>http://www.nevo.co.il/law/70301</vt:lpwstr>
      </vt:variant>
      <vt:variant>
        <vt:lpwstr/>
      </vt:variant>
      <vt:variant>
        <vt:i4>3604517</vt:i4>
      </vt:variant>
      <vt:variant>
        <vt:i4>216</vt:i4>
      </vt:variant>
      <vt:variant>
        <vt:i4>0</vt:i4>
      </vt:variant>
      <vt:variant>
        <vt:i4>5</vt:i4>
      </vt:variant>
      <vt:variant>
        <vt:lpwstr>http://www.nevo.co.il/law/70301/40ja.3</vt:lpwstr>
      </vt:variant>
      <vt:variant>
        <vt:lpwstr/>
      </vt:variant>
      <vt:variant>
        <vt:i4>7995492</vt:i4>
      </vt:variant>
      <vt:variant>
        <vt:i4>213</vt:i4>
      </vt:variant>
      <vt:variant>
        <vt:i4>0</vt:i4>
      </vt:variant>
      <vt:variant>
        <vt:i4>5</vt:i4>
      </vt:variant>
      <vt:variant>
        <vt:lpwstr>http://www.nevo.co.il/law/70301</vt:lpwstr>
      </vt:variant>
      <vt:variant>
        <vt:lpwstr/>
      </vt:variant>
      <vt:variant>
        <vt:i4>262155</vt:i4>
      </vt:variant>
      <vt:variant>
        <vt:i4>210</vt:i4>
      </vt:variant>
      <vt:variant>
        <vt:i4>0</vt:i4>
      </vt:variant>
      <vt:variant>
        <vt:i4>5</vt:i4>
      </vt:variant>
      <vt:variant>
        <vt:lpwstr>http://www.nevo.co.il/law/70301/40ja</vt:lpwstr>
      </vt:variant>
      <vt:variant>
        <vt:lpwstr/>
      </vt:variant>
      <vt:variant>
        <vt:i4>3735669</vt:i4>
      </vt:variant>
      <vt:variant>
        <vt:i4>207</vt:i4>
      </vt:variant>
      <vt:variant>
        <vt:i4>0</vt:i4>
      </vt:variant>
      <vt:variant>
        <vt:i4>5</vt:i4>
      </vt:variant>
      <vt:variant>
        <vt:lpwstr>http://www.nevo.co.il/case/6030519</vt:lpwstr>
      </vt:variant>
      <vt:variant>
        <vt:lpwstr/>
      </vt:variant>
      <vt:variant>
        <vt:i4>7864417</vt:i4>
      </vt:variant>
      <vt:variant>
        <vt:i4>204</vt:i4>
      </vt:variant>
      <vt:variant>
        <vt:i4>0</vt:i4>
      </vt:variant>
      <vt:variant>
        <vt:i4>5</vt:i4>
      </vt:variant>
      <vt:variant>
        <vt:lpwstr>http://www.nevo.co.il/law/71631</vt:lpwstr>
      </vt:variant>
      <vt:variant>
        <vt:lpwstr/>
      </vt:variant>
      <vt:variant>
        <vt:i4>6291553</vt:i4>
      </vt:variant>
      <vt:variant>
        <vt:i4>201</vt:i4>
      </vt:variant>
      <vt:variant>
        <vt:i4>0</vt:i4>
      </vt:variant>
      <vt:variant>
        <vt:i4>5</vt:i4>
      </vt:variant>
      <vt:variant>
        <vt:lpwstr>http://www.nevo.co.il/law/71631/17b</vt:lpwstr>
      </vt:variant>
      <vt:variant>
        <vt:lpwstr/>
      </vt:variant>
      <vt:variant>
        <vt:i4>7864417</vt:i4>
      </vt:variant>
      <vt:variant>
        <vt:i4>198</vt:i4>
      </vt:variant>
      <vt:variant>
        <vt:i4>0</vt:i4>
      </vt:variant>
      <vt:variant>
        <vt:i4>5</vt:i4>
      </vt:variant>
      <vt:variant>
        <vt:lpwstr>http://www.nevo.co.il/law/71631</vt:lpwstr>
      </vt:variant>
      <vt:variant>
        <vt:lpwstr/>
      </vt:variant>
      <vt:variant>
        <vt:i4>6291553</vt:i4>
      </vt:variant>
      <vt:variant>
        <vt:i4>195</vt:i4>
      </vt:variant>
      <vt:variant>
        <vt:i4>0</vt:i4>
      </vt:variant>
      <vt:variant>
        <vt:i4>5</vt:i4>
      </vt:variant>
      <vt:variant>
        <vt:lpwstr>http://www.nevo.co.il/law/71631/17b</vt:lpwstr>
      </vt:variant>
      <vt:variant>
        <vt:lpwstr/>
      </vt:variant>
      <vt:variant>
        <vt:i4>7864417</vt:i4>
      </vt:variant>
      <vt:variant>
        <vt:i4>192</vt:i4>
      </vt:variant>
      <vt:variant>
        <vt:i4>0</vt:i4>
      </vt:variant>
      <vt:variant>
        <vt:i4>5</vt:i4>
      </vt:variant>
      <vt:variant>
        <vt:lpwstr>http://www.nevo.co.il/law/71631</vt:lpwstr>
      </vt:variant>
      <vt:variant>
        <vt:lpwstr/>
      </vt:variant>
      <vt:variant>
        <vt:i4>5111811</vt:i4>
      </vt:variant>
      <vt:variant>
        <vt:i4>189</vt:i4>
      </vt:variant>
      <vt:variant>
        <vt:i4>0</vt:i4>
      </vt:variant>
      <vt:variant>
        <vt:i4>5</vt:i4>
      </vt:variant>
      <vt:variant>
        <vt:lpwstr>http://www.nevo.co.il/law/71631/17b.c</vt:lpwstr>
      </vt:variant>
      <vt:variant>
        <vt:lpwstr/>
      </vt:variant>
      <vt:variant>
        <vt:i4>3473524</vt:i4>
      </vt:variant>
      <vt:variant>
        <vt:i4>186</vt:i4>
      </vt:variant>
      <vt:variant>
        <vt:i4>0</vt:i4>
      </vt:variant>
      <vt:variant>
        <vt:i4>5</vt:i4>
      </vt:variant>
      <vt:variant>
        <vt:lpwstr>http://www.nevo.co.il/case/20114120</vt:lpwstr>
      </vt:variant>
      <vt:variant>
        <vt:lpwstr/>
      </vt:variant>
      <vt:variant>
        <vt:i4>3211388</vt:i4>
      </vt:variant>
      <vt:variant>
        <vt:i4>183</vt:i4>
      </vt:variant>
      <vt:variant>
        <vt:i4>0</vt:i4>
      </vt:variant>
      <vt:variant>
        <vt:i4>5</vt:i4>
      </vt:variant>
      <vt:variant>
        <vt:lpwstr>http://www.nevo.co.il/case/20314942</vt:lpwstr>
      </vt:variant>
      <vt:variant>
        <vt:lpwstr/>
      </vt:variant>
      <vt:variant>
        <vt:i4>3211388</vt:i4>
      </vt:variant>
      <vt:variant>
        <vt:i4>180</vt:i4>
      </vt:variant>
      <vt:variant>
        <vt:i4>0</vt:i4>
      </vt:variant>
      <vt:variant>
        <vt:i4>5</vt:i4>
      </vt:variant>
      <vt:variant>
        <vt:lpwstr>http://www.nevo.co.il/case/5849797</vt:lpwstr>
      </vt:variant>
      <vt:variant>
        <vt:lpwstr/>
      </vt:variant>
      <vt:variant>
        <vt:i4>3932272</vt:i4>
      </vt:variant>
      <vt:variant>
        <vt:i4>177</vt:i4>
      </vt:variant>
      <vt:variant>
        <vt:i4>0</vt:i4>
      </vt:variant>
      <vt:variant>
        <vt:i4>5</vt:i4>
      </vt:variant>
      <vt:variant>
        <vt:lpwstr>http://www.nevo.co.il/case/17916229</vt:lpwstr>
      </vt:variant>
      <vt:variant>
        <vt:lpwstr/>
      </vt:variant>
      <vt:variant>
        <vt:i4>3276916</vt:i4>
      </vt:variant>
      <vt:variant>
        <vt:i4>174</vt:i4>
      </vt:variant>
      <vt:variant>
        <vt:i4>0</vt:i4>
      </vt:variant>
      <vt:variant>
        <vt:i4>5</vt:i4>
      </vt:variant>
      <vt:variant>
        <vt:lpwstr>http://www.nevo.co.il/case/5810781</vt:lpwstr>
      </vt:variant>
      <vt:variant>
        <vt:lpwstr/>
      </vt:variant>
      <vt:variant>
        <vt:i4>3997813</vt:i4>
      </vt:variant>
      <vt:variant>
        <vt:i4>171</vt:i4>
      </vt:variant>
      <vt:variant>
        <vt:i4>0</vt:i4>
      </vt:variant>
      <vt:variant>
        <vt:i4>5</vt:i4>
      </vt:variant>
      <vt:variant>
        <vt:lpwstr>http://www.nevo.co.il/case/18118854</vt:lpwstr>
      </vt:variant>
      <vt:variant>
        <vt:lpwstr/>
      </vt:variant>
      <vt:variant>
        <vt:i4>3539058</vt:i4>
      </vt:variant>
      <vt:variant>
        <vt:i4>168</vt:i4>
      </vt:variant>
      <vt:variant>
        <vt:i4>0</vt:i4>
      </vt:variant>
      <vt:variant>
        <vt:i4>5</vt:i4>
      </vt:variant>
      <vt:variant>
        <vt:lpwstr>http://www.nevo.co.il/case/17075628</vt:lpwstr>
      </vt:variant>
      <vt:variant>
        <vt:lpwstr/>
      </vt:variant>
      <vt:variant>
        <vt:i4>3276915</vt:i4>
      </vt:variant>
      <vt:variant>
        <vt:i4>165</vt:i4>
      </vt:variant>
      <vt:variant>
        <vt:i4>0</vt:i4>
      </vt:variant>
      <vt:variant>
        <vt:i4>5</vt:i4>
      </vt:variant>
      <vt:variant>
        <vt:lpwstr>http://www.nevo.co.il/case/6180864</vt:lpwstr>
      </vt:variant>
      <vt:variant>
        <vt:lpwstr/>
      </vt:variant>
      <vt:variant>
        <vt:i4>7995492</vt:i4>
      </vt:variant>
      <vt:variant>
        <vt:i4>162</vt:i4>
      </vt:variant>
      <vt:variant>
        <vt:i4>0</vt:i4>
      </vt:variant>
      <vt:variant>
        <vt:i4>5</vt:i4>
      </vt:variant>
      <vt:variant>
        <vt:lpwstr>http://www.nevo.co.il/law/70301</vt:lpwstr>
      </vt:variant>
      <vt:variant>
        <vt:lpwstr/>
      </vt:variant>
      <vt:variant>
        <vt:i4>4128893</vt:i4>
      </vt:variant>
      <vt:variant>
        <vt:i4>159</vt:i4>
      </vt:variant>
      <vt:variant>
        <vt:i4>0</vt:i4>
      </vt:variant>
      <vt:variant>
        <vt:i4>5</vt:i4>
      </vt:variant>
      <vt:variant>
        <vt:lpwstr>http://www.nevo.co.il/case/6824952</vt:lpwstr>
      </vt:variant>
      <vt:variant>
        <vt:lpwstr/>
      </vt:variant>
      <vt:variant>
        <vt:i4>3276915</vt:i4>
      </vt:variant>
      <vt:variant>
        <vt:i4>156</vt:i4>
      </vt:variant>
      <vt:variant>
        <vt:i4>0</vt:i4>
      </vt:variant>
      <vt:variant>
        <vt:i4>5</vt:i4>
      </vt:variant>
      <vt:variant>
        <vt:lpwstr>http://www.nevo.co.il/case/6032057</vt:lpwstr>
      </vt:variant>
      <vt:variant>
        <vt:lpwstr/>
      </vt:variant>
      <vt:variant>
        <vt:i4>3473535</vt:i4>
      </vt:variant>
      <vt:variant>
        <vt:i4>153</vt:i4>
      </vt:variant>
      <vt:variant>
        <vt:i4>0</vt:i4>
      </vt:variant>
      <vt:variant>
        <vt:i4>5</vt:i4>
      </vt:variant>
      <vt:variant>
        <vt:lpwstr>http://www.nevo.co.il/case/5605484</vt:lpwstr>
      </vt:variant>
      <vt:variant>
        <vt:lpwstr/>
      </vt:variant>
      <vt:variant>
        <vt:i4>3735667</vt:i4>
      </vt:variant>
      <vt:variant>
        <vt:i4>150</vt:i4>
      </vt:variant>
      <vt:variant>
        <vt:i4>0</vt:i4>
      </vt:variant>
      <vt:variant>
        <vt:i4>5</vt:i4>
      </vt:variant>
      <vt:variant>
        <vt:lpwstr>http://www.nevo.co.il/case/22976244</vt:lpwstr>
      </vt:variant>
      <vt:variant>
        <vt:lpwstr/>
      </vt:variant>
      <vt:variant>
        <vt:i4>4063344</vt:i4>
      </vt:variant>
      <vt:variant>
        <vt:i4>147</vt:i4>
      </vt:variant>
      <vt:variant>
        <vt:i4>0</vt:i4>
      </vt:variant>
      <vt:variant>
        <vt:i4>5</vt:i4>
      </vt:variant>
      <vt:variant>
        <vt:lpwstr>http://www.nevo.co.il/case/22723482</vt:lpwstr>
      </vt:variant>
      <vt:variant>
        <vt:lpwstr/>
      </vt:variant>
      <vt:variant>
        <vt:i4>4063350</vt:i4>
      </vt:variant>
      <vt:variant>
        <vt:i4>144</vt:i4>
      </vt:variant>
      <vt:variant>
        <vt:i4>0</vt:i4>
      </vt:variant>
      <vt:variant>
        <vt:i4>5</vt:i4>
      </vt:variant>
      <vt:variant>
        <vt:lpwstr>http://www.nevo.co.il/case/25623599</vt:lpwstr>
      </vt:variant>
      <vt:variant>
        <vt:lpwstr/>
      </vt:variant>
      <vt:variant>
        <vt:i4>3539056</vt:i4>
      </vt:variant>
      <vt:variant>
        <vt:i4>141</vt:i4>
      </vt:variant>
      <vt:variant>
        <vt:i4>0</vt:i4>
      </vt:variant>
      <vt:variant>
        <vt:i4>5</vt:i4>
      </vt:variant>
      <vt:variant>
        <vt:lpwstr>http://www.nevo.co.il/case/23814688</vt:lpwstr>
      </vt:variant>
      <vt:variant>
        <vt:lpwstr/>
      </vt:variant>
      <vt:variant>
        <vt:i4>4128884</vt:i4>
      </vt:variant>
      <vt:variant>
        <vt:i4>138</vt:i4>
      </vt:variant>
      <vt:variant>
        <vt:i4>0</vt:i4>
      </vt:variant>
      <vt:variant>
        <vt:i4>5</vt:i4>
      </vt:variant>
      <vt:variant>
        <vt:lpwstr>http://www.nevo.co.il/case/23800357</vt:lpwstr>
      </vt:variant>
      <vt:variant>
        <vt:lpwstr/>
      </vt:variant>
      <vt:variant>
        <vt:i4>3604598</vt:i4>
      </vt:variant>
      <vt:variant>
        <vt:i4>135</vt:i4>
      </vt:variant>
      <vt:variant>
        <vt:i4>0</vt:i4>
      </vt:variant>
      <vt:variant>
        <vt:i4>5</vt:i4>
      </vt:variant>
      <vt:variant>
        <vt:lpwstr>http://www.nevo.co.il/case/23772604</vt:lpwstr>
      </vt:variant>
      <vt:variant>
        <vt:lpwstr/>
      </vt:variant>
      <vt:variant>
        <vt:i4>3473530</vt:i4>
      </vt:variant>
      <vt:variant>
        <vt:i4>132</vt:i4>
      </vt:variant>
      <vt:variant>
        <vt:i4>0</vt:i4>
      </vt:variant>
      <vt:variant>
        <vt:i4>5</vt:i4>
      </vt:variant>
      <vt:variant>
        <vt:lpwstr>http://www.nevo.co.il/case/22856999</vt:lpwstr>
      </vt:variant>
      <vt:variant>
        <vt:lpwstr/>
      </vt:variant>
      <vt:variant>
        <vt:i4>3604598</vt:i4>
      </vt:variant>
      <vt:variant>
        <vt:i4>129</vt:i4>
      </vt:variant>
      <vt:variant>
        <vt:i4>0</vt:i4>
      </vt:variant>
      <vt:variant>
        <vt:i4>5</vt:i4>
      </vt:variant>
      <vt:variant>
        <vt:lpwstr>http://www.nevo.co.il/case/25664174</vt:lpwstr>
      </vt:variant>
      <vt:variant>
        <vt:lpwstr/>
      </vt:variant>
      <vt:variant>
        <vt:i4>3866740</vt:i4>
      </vt:variant>
      <vt:variant>
        <vt:i4>126</vt:i4>
      </vt:variant>
      <vt:variant>
        <vt:i4>0</vt:i4>
      </vt:variant>
      <vt:variant>
        <vt:i4>5</vt:i4>
      </vt:variant>
      <vt:variant>
        <vt:lpwstr>http://www.nevo.co.il/case/24319534</vt:lpwstr>
      </vt:variant>
      <vt:variant>
        <vt:lpwstr/>
      </vt:variant>
      <vt:variant>
        <vt:i4>3473526</vt:i4>
      </vt:variant>
      <vt:variant>
        <vt:i4>123</vt:i4>
      </vt:variant>
      <vt:variant>
        <vt:i4>0</vt:i4>
      </vt:variant>
      <vt:variant>
        <vt:i4>5</vt:i4>
      </vt:variant>
      <vt:variant>
        <vt:lpwstr>http://www.nevo.co.il/case/23222373</vt:lpwstr>
      </vt:variant>
      <vt:variant>
        <vt:lpwstr/>
      </vt:variant>
      <vt:variant>
        <vt:i4>3735676</vt:i4>
      </vt:variant>
      <vt:variant>
        <vt:i4>120</vt:i4>
      </vt:variant>
      <vt:variant>
        <vt:i4>0</vt:i4>
      </vt:variant>
      <vt:variant>
        <vt:i4>5</vt:i4>
      </vt:variant>
      <vt:variant>
        <vt:lpwstr>http://www.nevo.co.il/case/22830934</vt:lpwstr>
      </vt:variant>
      <vt:variant>
        <vt:lpwstr/>
      </vt:variant>
      <vt:variant>
        <vt:i4>3407989</vt:i4>
      </vt:variant>
      <vt:variant>
        <vt:i4>117</vt:i4>
      </vt:variant>
      <vt:variant>
        <vt:i4>0</vt:i4>
      </vt:variant>
      <vt:variant>
        <vt:i4>5</vt:i4>
      </vt:variant>
      <vt:variant>
        <vt:lpwstr>http://www.nevo.co.il/case/21015131</vt:lpwstr>
      </vt:variant>
      <vt:variant>
        <vt:lpwstr/>
      </vt:variant>
      <vt:variant>
        <vt:i4>3997808</vt:i4>
      </vt:variant>
      <vt:variant>
        <vt:i4>114</vt:i4>
      </vt:variant>
      <vt:variant>
        <vt:i4>0</vt:i4>
      </vt:variant>
      <vt:variant>
        <vt:i4>5</vt:i4>
      </vt:variant>
      <vt:variant>
        <vt:lpwstr>http://www.nevo.co.il/case/5878649</vt:lpwstr>
      </vt:variant>
      <vt:variant>
        <vt:lpwstr/>
      </vt:variant>
      <vt:variant>
        <vt:i4>3866739</vt:i4>
      </vt:variant>
      <vt:variant>
        <vt:i4>111</vt:i4>
      </vt:variant>
      <vt:variant>
        <vt:i4>0</vt:i4>
      </vt:variant>
      <vt:variant>
        <vt:i4>5</vt:i4>
      </vt:variant>
      <vt:variant>
        <vt:lpwstr>http://www.nevo.co.il/case/5704648</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6619241</vt:i4>
      </vt:variant>
      <vt:variant>
        <vt:i4>105</vt:i4>
      </vt:variant>
      <vt:variant>
        <vt:i4>0</vt:i4>
      </vt:variant>
      <vt:variant>
        <vt:i4>5</vt:i4>
      </vt:variant>
      <vt:variant>
        <vt:lpwstr>http://www.nevo.co.il/law/70301/40i.a.5</vt:lpwstr>
      </vt:variant>
      <vt:variant>
        <vt:lpwstr/>
      </vt:variant>
      <vt:variant>
        <vt:i4>6619241</vt:i4>
      </vt:variant>
      <vt:variant>
        <vt:i4>102</vt:i4>
      </vt:variant>
      <vt:variant>
        <vt:i4>0</vt:i4>
      </vt:variant>
      <vt:variant>
        <vt:i4>5</vt:i4>
      </vt:variant>
      <vt:variant>
        <vt:lpwstr>http://www.nevo.co.il/law/70301/40i.a.2</vt:lpwstr>
      </vt:variant>
      <vt:variant>
        <vt:lpwstr/>
      </vt:variant>
      <vt:variant>
        <vt:i4>4915202</vt:i4>
      </vt:variant>
      <vt:variant>
        <vt:i4>99</vt:i4>
      </vt:variant>
      <vt:variant>
        <vt:i4>0</vt:i4>
      </vt:variant>
      <vt:variant>
        <vt:i4>5</vt:i4>
      </vt:variant>
      <vt:variant>
        <vt:lpwstr>http://www.nevo.co.il/law/70301/40c.a</vt:lpwstr>
      </vt:variant>
      <vt:variant>
        <vt:lpwstr/>
      </vt:variant>
      <vt:variant>
        <vt:i4>7995492</vt:i4>
      </vt:variant>
      <vt:variant>
        <vt:i4>96</vt:i4>
      </vt:variant>
      <vt:variant>
        <vt:i4>0</vt:i4>
      </vt:variant>
      <vt:variant>
        <vt:i4>5</vt:i4>
      </vt:variant>
      <vt:variant>
        <vt:lpwstr>http://www.nevo.co.il/law/70301</vt:lpwstr>
      </vt:variant>
      <vt:variant>
        <vt:lpwstr/>
      </vt:variant>
      <vt:variant>
        <vt:i4>6750310</vt:i4>
      </vt:variant>
      <vt:variant>
        <vt:i4>93</vt:i4>
      </vt:variant>
      <vt:variant>
        <vt:i4>0</vt:i4>
      </vt:variant>
      <vt:variant>
        <vt:i4>5</vt:i4>
      </vt:variant>
      <vt:variant>
        <vt:lpwstr>http://www.nevo.co.il/law/70301/32</vt:lpwstr>
      </vt:variant>
      <vt:variant>
        <vt:lpwstr/>
      </vt:variant>
      <vt:variant>
        <vt:i4>3997817</vt:i4>
      </vt:variant>
      <vt:variant>
        <vt:i4>90</vt:i4>
      </vt:variant>
      <vt:variant>
        <vt:i4>0</vt:i4>
      </vt:variant>
      <vt:variant>
        <vt:i4>5</vt:i4>
      </vt:variant>
      <vt:variant>
        <vt:lpwstr>http://www.nevo.co.il/case/6094597</vt:lpwstr>
      </vt:variant>
      <vt:variant>
        <vt:lpwstr/>
      </vt:variant>
      <vt:variant>
        <vt:i4>3407991</vt:i4>
      </vt:variant>
      <vt:variant>
        <vt:i4>87</vt:i4>
      </vt:variant>
      <vt:variant>
        <vt:i4>0</vt:i4>
      </vt:variant>
      <vt:variant>
        <vt:i4>5</vt:i4>
      </vt:variant>
      <vt:variant>
        <vt:lpwstr>http://www.nevo.co.il/case/5786821</vt:lpwstr>
      </vt:variant>
      <vt:variant>
        <vt:lpwstr/>
      </vt:variant>
      <vt:variant>
        <vt:i4>8257637</vt:i4>
      </vt:variant>
      <vt:variant>
        <vt:i4>84</vt:i4>
      </vt:variant>
      <vt:variant>
        <vt:i4>0</vt:i4>
      </vt:variant>
      <vt:variant>
        <vt:i4>5</vt:i4>
      </vt:variant>
      <vt:variant>
        <vt:lpwstr>http://www.nevo.co.il/law/4216</vt:lpwstr>
      </vt:variant>
      <vt:variant>
        <vt:lpwstr/>
      </vt:variant>
      <vt:variant>
        <vt:i4>7995492</vt:i4>
      </vt:variant>
      <vt:variant>
        <vt:i4>81</vt:i4>
      </vt:variant>
      <vt:variant>
        <vt:i4>0</vt:i4>
      </vt:variant>
      <vt:variant>
        <vt:i4>5</vt:i4>
      </vt:variant>
      <vt:variant>
        <vt:lpwstr>http://www.nevo.co.il/law/70301</vt:lpwstr>
      </vt:variant>
      <vt:variant>
        <vt:lpwstr/>
      </vt:variant>
      <vt:variant>
        <vt:i4>4915202</vt:i4>
      </vt:variant>
      <vt:variant>
        <vt:i4>78</vt:i4>
      </vt:variant>
      <vt:variant>
        <vt:i4>0</vt:i4>
      </vt:variant>
      <vt:variant>
        <vt:i4>5</vt:i4>
      </vt:variant>
      <vt:variant>
        <vt:lpwstr>http://www.nevo.co.il/law/70301/40c.a</vt:lpwstr>
      </vt:variant>
      <vt:variant>
        <vt:lpwstr/>
      </vt:variant>
      <vt:variant>
        <vt:i4>3211379</vt:i4>
      </vt:variant>
      <vt:variant>
        <vt:i4>75</vt:i4>
      </vt:variant>
      <vt:variant>
        <vt:i4>0</vt:i4>
      </vt:variant>
      <vt:variant>
        <vt:i4>5</vt:i4>
      </vt:variant>
      <vt:variant>
        <vt:lpwstr>http://www.nevo.co.il/case/5573417</vt:lpwstr>
      </vt:variant>
      <vt:variant>
        <vt:lpwstr/>
      </vt:variant>
      <vt:variant>
        <vt:i4>7995492</vt:i4>
      </vt:variant>
      <vt:variant>
        <vt:i4>72</vt:i4>
      </vt:variant>
      <vt:variant>
        <vt:i4>0</vt:i4>
      </vt:variant>
      <vt:variant>
        <vt:i4>5</vt:i4>
      </vt:variant>
      <vt:variant>
        <vt:lpwstr>http://www.nevo.co.il/law/70301</vt:lpwstr>
      </vt:variant>
      <vt:variant>
        <vt:lpwstr/>
      </vt:variant>
      <vt:variant>
        <vt:i4>7864417</vt:i4>
      </vt:variant>
      <vt:variant>
        <vt:i4>69</vt:i4>
      </vt:variant>
      <vt:variant>
        <vt:i4>0</vt:i4>
      </vt:variant>
      <vt:variant>
        <vt:i4>5</vt:i4>
      </vt:variant>
      <vt:variant>
        <vt:lpwstr>http://www.nevo.co.il/law/71631</vt:lpwstr>
      </vt:variant>
      <vt:variant>
        <vt:lpwstr/>
      </vt:variant>
      <vt:variant>
        <vt:i4>6291553</vt:i4>
      </vt:variant>
      <vt:variant>
        <vt:i4>66</vt:i4>
      </vt:variant>
      <vt:variant>
        <vt:i4>0</vt:i4>
      </vt:variant>
      <vt:variant>
        <vt:i4>5</vt:i4>
      </vt:variant>
      <vt:variant>
        <vt:lpwstr>http://www.nevo.co.il/law/71631/17b</vt:lpwstr>
      </vt:variant>
      <vt:variant>
        <vt:lpwstr/>
      </vt:variant>
      <vt:variant>
        <vt:i4>2359396</vt:i4>
      </vt:variant>
      <vt:variant>
        <vt:i4>63</vt:i4>
      </vt:variant>
      <vt:variant>
        <vt:i4>0</vt:i4>
      </vt:variant>
      <vt:variant>
        <vt:i4>5</vt:i4>
      </vt:variant>
      <vt:variant>
        <vt:lpwstr>http://www.nevo.co.il/law/4216/7.a.;.7c</vt:lpwstr>
      </vt:variant>
      <vt:variant>
        <vt:lpwstr/>
      </vt:variant>
      <vt:variant>
        <vt:i4>7995492</vt:i4>
      </vt:variant>
      <vt:variant>
        <vt:i4>60</vt:i4>
      </vt:variant>
      <vt:variant>
        <vt:i4>0</vt:i4>
      </vt:variant>
      <vt:variant>
        <vt:i4>5</vt:i4>
      </vt:variant>
      <vt:variant>
        <vt:lpwstr>http://www.nevo.co.il/law/70301</vt:lpwstr>
      </vt:variant>
      <vt:variant>
        <vt:lpwstr/>
      </vt:variant>
      <vt:variant>
        <vt:i4>6553702</vt:i4>
      </vt:variant>
      <vt:variant>
        <vt:i4>57</vt:i4>
      </vt:variant>
      <vt:variant>
        <vt:i4>0</vt:i4>
      </vt:variant>
      <vt:variant>
        <vt:i4>5</vt:i4>
      </vt:variant>
      <vt:variant>
        <vt:lpwstr>http://www.nevo.co.il/law/70301/31</vt:lpwstr>
      </vt:variant>
      <vt:variant>
        <vt:lpwstr/>
      </vt:variant>
      <vt:variant>
        <vt:i4>8257637</vt:i4>
      </vt:variant>
      <vt:variant>
        <vt:i4>54</vt:i4>
      </vt:variant>
      <vt:variant>
        <vt:i4>0</vt:i4>
      </vt:variant>
      <vt:variant>
        <vt:i4>5</vt:i4>
      </vt:variant>
      <vt:variant>
        <vt:lpwstr>http://www.nevo.co.il/law/4216</vt:lpwstr>
      </vt:variant>
      <vt:variant>
        <vt:lpwstr/>
      </vt:variant>
      <vt:variant>
        <vt:i4>2883686</vt:i4>
      </vt:variant>
      <vt:variant>
        <vt:i4>51</vt:i4>
      </vt:variant>
      <vt:variant>
        <vt:i4>0</vt:i4>
      </vt:variant>
      <vt:variant>
        <vt:i4>5</vt:i4>
      </vt:variant>
      <vt:variant>
        <vt:lpwstr>http://www.nevo.co.il/law/4216/13;19.a</vt:lpwstr>
      </vt:variant>
      <vt:variant>
        <vt:lpwstr/>
      </vt:variant>
      <vt:variant>
        <vt:i4>5111811</vt:i4>
      </vt:variant>
      <vt:variant>
        <vt:i4>48</vt:i4>
      </vt:variant>
      <vt:variant>
        <vt:i4>0</vt:i4>
      </vt:variant>
      <vt:variant>
        <vt:i4>5</vt:i4>
      </vt:variant>
      <vt:variant>
        <vt:lpwstr>http://www.nevo.co.il/law/71631/17b.c</vt:lpwstr>
      </vt:variant>
      <vt:variant>
        <vt:lpwstr/>
      </vt:variant>
      <vt:variant>
        <vt:i4>6291553</vt:i4>
      </vt:variant>
      <vt:variant>
        <vt:i4>45</vt:i4>
      </vt:variant>
      <vt:variant>
        <vt:i4>0</vt:i4>
      </vt:variant>
      <vt:variant>
        <vt:i4>5</vt:i4>
      </vt:variant>
      <vt:variant>
        <vt:lpwstr>http://www.nevo.co.il/law/71631/17b</vt:lpwstr>
      </vt:variant>
      <vt:variant>
        <vt:lpwstr/>
      </vt:variant>
      <vt:variant>
        <vt:i4>7864417</vt:i4>
      </vt:variant>
      <vt:variant>
        <vt:i4>42</vt:i4>
      </vt:variant>
      <vt:variant>
        <vt:i4>0</vt:i4>
      </vt:variant>
      <vt:variant>
        <vt:i4>5</vt:i4>
      </vt:variant>
      <vt:variant>
        <vt:lpwstr>http://www.nevo.co.il/law/71631</vt:lpwstr>
      </vt:variant>
      <vt:variant>
        <vt:lpwstr/>
      </vt:variant>
      <vt:variant>
        <vt:i4>3604517</vt:i4>
      </vt:variant>
      <vt:variant>
        <vt:i4>39</vt:i4>
      </vt:variant>
      <vt:variant>
        <vt:i4>0</vt:i4>
      </vt:variant>
      <vt:variant>
        <vt:i4>5</vt:i4>
      </vt:variant>
      <vt:variant>
        <vt:lpwstr>http://www.nevo.co.il/law/70301/40ja.3</vt:lpwstr>
      </vt:variant>
      <vt:variant>
        <vt:lpwstr/>
      </vt:variant>
      <vt:variant>
        <vt:i4>262155</vt:i4>
      </vt:variant>
      <vt:variant>
        <vt:i4>36</vt:i4>
      </vt:variant>
      <vt:variant>
        <vt:i4>0</vt:i4>
      </vt:variant>
      <vt:variant>
        <vt:i4>5</vt:i4>
      </vt:variant>
      <vt:variant>
        <vt:lpwstr>http://www.nevo.co.il/law/70301/40ja</vt:lpwstr>
      </vt:variant>
      <vt:variant>
        <vt:lpwstr/>
      </vt:variant>
      <vt:variant>
        <vt:i4>6619241</vt:i4>
      </vt:variant>
      <vt:variant>
        <vt:i4>33</vt:i4>
      </vt:variant>
      <vt:variant>
        <vt:i4>0</vt:i4>
      </vt:variant>
      <vt:variant>
        <vt:i4>5</vt:i4>
      </vt:variant>
      <vt:variant>
        <vt:lpwstr>http://www.nevo.co.il/law/70301/40i.a.5</vt:lpwstr>
      </vt:variant>
      <vt:variant>
        <vt:lpwstr/>
      </vt:variant>
      <vt:variant>
        <vt:i4>6619241</vt:i4>
      </vt:variant>
      <vt:variant>
        <vt:i4>30</vt:i4>
      </vt:variant>
      <vt:variant>
        <vt:i4>0</vt:i4>
      </vt:variant>
      <vt:variant>
        <vt:i4>5</vt:i4>
      </vt:variant>
      <vt:variant>
        <vt:lpwstr>http://www.nevo.co.il/law/70301/40i.a.2</vt:lpwstr>
      </vt:variant>
      <vt:variant>
        <vt:lpwstr/>
      </vt:variant>
      <vt:variant>
        <vt:i4>4915205</vt:i4>
      </vt:variant>
      <vt:variant>
        <vt:i4>27</vt:i4>
      </vt:variant>
      <vt:variant>
        <vt:i4>0</vt:i4>
      </vt:variant>
      <vt:variant>
        <vt:i4>5</vt:i4>
      </vt:variant>
      <vt:variant>
        <vt:lpwstr>http://www.nevo.co.il/law/70301/40d.a</vt:lpwstr>
      </vt:variant>
      <vt:variant>
        <vt:lpwstr/>
      </vt:variant>
      <vt:variant>
        <vt:i4>4915202</vt:i4>
      </vt:variant>
      <vt:variant>
        <vt:i4>24</vt:i4>
      </vt:variant>
      <vt:variant>
        <vt:i4>0</vt:i4>
      </vt:variant>
      <vt:variant>
        <vt:i4>5</vt:i4>
      </vt:variant>
      <vt:variant>
        <vt:lpwstr>http://www.nevo.co.il/law/70301/40c.a</vt:lpwstr>
      </vt:variant>
      <vt:variant>
        <vt:lpwstr/>
      </vt:variant>
      <vt:variant>
        <vt:i4>6750310</vt:i4>
      </vt:variant>
      <vt:variant>
        <vt:i4>21</vt:i4>
      </vt:variant>
      <vt:variant>
        <vt:i4>0</vt:i4>
      </vt:variant>
      <vt:variant>
        <vt:i4>5</vt:i4>
      </vt:variant>
      <vt:variant>
        <vt:lpwstr>http://www.nevo.co.il/law/70301/32</vt:lpwstr>
      </vt:variant>
      <vt:variant>
        <vt:lpwstr/>
      </vt:variant>
      <vt:variant>
        <vt:i4>6553702</vt:i4>
      </vt:variant>
      <vt:variant>
        <vt:i4>18</vt:i4>
      </vt:variant>
      <vt:variant>
        <vt:i4>0</vt:i4>
      </vt:variant>
      <vt:variant>
        <vt:i4>5</vt:i4>
      </vt:variant>
      <vt:variant>
        <vt:lpwstr>http://www.nevo.co.il/law/70301/31</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2621540</vt:i4>
      </vt:variant>
      <vt:variant>
        <vt:i4>6</vt:i4>
      </vt:variant>
      <vt:variant>
        <vt:i4>0</vt:i4>
      </vt:variant>
      <vt:variant>
        <vt:i4>5</vt:i4>
      </vt:variant>
      <vt:variant>
        <vt:lpwstr>http://www.nevo.co.il/law/4216/7.a.</vt:lpwstr>
      </vt:variant>
      <vt:variant>
        <vt:lpwstr/>
      </vt:variant>
      <vt:variant>
        <vt:i4>3342461</vt:i4>
      </vt:variant>
      <vt:variant>
        <vt:i4>3</vt:i4>
      </vt:variant>
      <vt:variant>
        <vt:i4>0</vt:i4>
      </vt:variant>
      <vt:variant>
        <vt:i4>5</vt:i4>
      </vt:variant>
      <vt:variant>
        <vt:lpwstr>http://www.nevo.co.il/law/4216/.7c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2025-04-23T00:08:00Z</dcterms:created>
  <dcterms:modified xsi:type="dcterms:W3CDTF">2025-04-23T00:08:00Z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1463</vt:lpwstr>
  </property>
  <property fmtid="{D5CDD505-2E9C-101B-9397-08002B2CF9AE}" pid="6" name="NEWPARTB">
    <vt:lpwstr>04</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אלכסיי ארונסקי</vt:lpwstr>
  </property>
  <property fmtid="{D5CDD505-2E9C-101B-9397-08002B2CF9AE}" pid="10" name="LAWYER">
    <vt:lpwstr>עמית חומרי;איתמר סיוון</vt:lpwstr>
  </property>
  <property fmtid="{D5CDD505-2E9C-101B-9397-08002B2CF9AE}" pid="11" name="JUDGE">
    <vt:lpwstr>נגה שמואלי מאייר</vt:lpwstr>
  </property>
  <property fmtid="{D5CDD505-2E9C-101B-9397-08002B2CF9AE}" pid="12" name="CITY">
    <vt:lpwstr>ק"ג</vt:lpwstr>
  </property>
  <property fmtid="{D5CDD505-2E9C-101B-9397-08002B2CF9AE}" pid="13" name="DATE">
    <vt:lpwstr>20200804</vt:lpwstr>
  </property>
  <property fmtid="{D5CDD505-2E9C-101B-9397-08002B2CF9AE}" pid="14" name="TYPE_N_DATE">
    <vt:lpwstr>38020200804</vt:lpwstr>
  </property>
  <property fmtid="{D5CDD505-2E9C-101B-9397-08002B2CF9AE}" pid="15" name="WORDNUMPAGES">
    <vt:lpwstr>12</vt:lpwstr>
  </property>
  <property fmtid="{D5CDD505-2E9C-101B-9397-08002B2CF9AE}" pid="16" name="TYPE_ABS_DATE">
    <vt:lpwstr>380020200804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5573417;6094597;5704648;5878649;21015131;22830934;23222373;24319534;25664174;22856999;23772604:2;23800357;23814688:2;25623599;22723482;22976244;5605484;6032057;6824952;6180864;17075628;18118854;5810781;17916229;5849797;20314942;20114120;6030519;21661958</vt:lpwstr>
  </property>
  <property fmtid="{D5CDD505-2E9C-101B-9397-08002B2CF9AE}" pid="36" name="LAWLISTTMP1">
    <vt:lpwstr>4216/013;019.a;007.a;.7c</vt:lpwstr>
  </property>
  <property fmtid="{D5CDD505-2E9C-101B-9397-08002B2CF9AE}" pid="37" name="LAWLISTTMP2">
    <vt:lpwstr>70301/031;040c.a:2;032;040i.a.2;040i.a.5;40ja;40ja.3;040d.a</vt:lpwstr>
  </property>
  <property fmtid="{D5CDD505-2E9C-101B-9397-08002B2CF9AE}" pid="38" name="LAWLISTTMP3">
    <vt:lpwstr>71631/017b:3;017b.c</vt:lpwstr>
  </property>
</Properties>
</file>