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B363D" w:rsidRPr="00921E2C" w14:paraId="49BFCC4F" w14:textId="77777777" w:rsidTr="00B36368">
        <w:trPr>
          <w:trHeight w:hRule="exact" w:val="418"/>
          <w:jc w:val="center"/>
        </w:trPr>
        <w:tc>
          <w:tcPr>
            <w:tcW w:w="8721" w:type="dxa"/>
            <w:gridSpan w:val="2"/>
          </w:tcPr>
          <w:p w14:paraId="4532D26F" w14:textId="77777777" w:rsidR="00AB363D" w:rsidRPr="00921E2C" w:rsidRDefault="00AB363D" w:rsidP="0032514D">
            <w:pPr>
              <w:pStyle w:val="a3"/>
              <w:jc w:val="center"/>
              <w:rPr>
                <w:rFonts w:ascii="Tahoma" w:hAnsi="Tahoma" w:cs="FrankRuehl"/>
                <w:color w:val="000080"/>
                <w:sz w:val="28"/>
                <w:szCs w:val="28"/>
                <w:rtl/>
              </w:rPr>
            </w:pPr>
            <w:bookmarkStart w:id="0" w:name="LastJudge"/>
            <w:r w:rsidRPr="00921E2C">
              <w:rPr>
                <w:rFonts w:ascii="Tahoma" w:hAnsi="Tahoma" w:cs="FrankRuehl"/>
                <w:b/>
                <w:bCs/>
                <w:color w:val="000080"/>
                <w:sz w:val="28"/>
                <w:szCs w:val="28"/>
                <w:rtl/>
              </w:rPr>
              <w:t>בית משפט השלום בירושלים</w:t>
            </w:r>
          </w:p>
        </w:tc>
      </w:tr>
      <w:tr w:rsidR="00AB363D" w:rsidRPr="00921E2C" w14:paraId="6864F93E" w14:textId="77777777" w:rsidTr="00B36368">
        <w:trPr>
          <w:trHeight w:val="337"/>
          <w:jc w:val="center"/>
        </w:trPr>
        <w:tc>
          <w:tcPr>
            <w:tcW w:w="5054" w:type="dxa"/>
          </w:tcPr>
          <w:p w14:paraId="5E0DC053" w14:textId="77777777" w:rsidR="00AB363D" w:rsidRPr="00921E2C" w:rsidRDefault="00AB363D" w:rsidP="0032514D">
            <w:pPr>
              <w:rPr>
                <w:rFonts w:cs="FrankRuehl"/>
                <w:sz w:val="28"/>
                <w:szCs w:val="28"/>
                <w:rtl/>
              </w:rPr>
            </w:pPr>
            <w:r w:rsidRPr="00921E2C">
              <w:rPr>
                <w:rFonts w:cs="FrankRuehl"/>
                <w:sz w:val="28"/>
                <w:szCs w:val="28"/>
                <w:rtl/>
              </w:rPr>
              <w:t>ת"פ</w:t>
            </w:r>
            <w:r w:rsidRPr="00921E2C">
              <w:rPr>
                <w:rFonts w:cs="FrankRuehl" w:hint="cs"/>
                <w:sz w:val="28"/>
                <w:szCs w:val="28"/>
                <w:rtl/>
              </w:rPr>
              <w:t xml:space="preserve"> </w:t>
            </w:r>
            <w:r w:rsidRPr="00921E2C">
              <w:rPr>
                <w:rFonts w:cs="FrankRuehl"/>
                <w:sz w:val="28"/>
                <w:szCs w:val="28"/>
                <w:rtl/>
              </w:rPr>
              <w:t>15989-04-19</w:t>
            </w:r>
            <w:r w:rsidRPr="00921E2C">
              <w:rPr>
                <w:rFonts w:cs="FrankRuehl" w:hint="cs"/>
                <w:sz w:val="28"/>
                <w:szCs w:val="28"/>
                <w:rtl/>
              </w:rPr>
              <w:t xml:space="preserve"> </w:t>
            </w:r>
            <w:r w:rsidRPr="00921E2C">
              <w:rPr>
                <w:rFonts w:cs="FrankRuehl"/>
                <w:sz w:val="28"/>
                <w:szCs w:val="28"/>
                <w:rtl/>
              </w:rPr>
              <w:t>מדינת ישראל נ' ארבל</w:t>
            </w:r>
          </w:p>
          <w:p w14:paraId="509810E2" w14:textId="77777777" w:rsidR="00AB363D" w:rsidRPr="00921E2C" w:rsidRDefault="00AB363D" w:rsidP="0032514D">
            <w:pPr>
              <w:pStyle w:val="a3"/>
              <w:rPr>
                <w:rFonts w:cs="FrankRuehl"/>
                <w:sz w:val="28"/>
                <w:szCs w:val="28"/>
                <w:rtl/>
              </w:rPr>
            </w:pPr>
          </w:p>
        </w:tc>
        <w:tc>
          <w:tcPr>
            <w:tcW w:w="3667" w:type="dxa"/>
          </w:tcPr>
          <w:p w14:paraId="74CC9B0B" w14:textId="77777777" w:rsidR="00AB363D" w:rsidRPr="00921E2C" w:rsidRDefault="00AB363D" w:rsidP="0032514D">
            <w:pPr>
              <w:pStyle w:val="a3"/>
              <w:jc w:val="right"/>
              <w:rPr>
                <w:rFonts w:cs="FrankRuehl"/>
                <w:sz w:val="28"/>
                <w:szCs w:val="28"/>
                <w:rtl/>
              </w:rPr>
            </w:pPr>
          </w:p>
        </w:tc>
      </w:tr>
    </w:tbl>
    <w:p w14:paraId="04BAB04B" w14:textId="77777777" w:rsidR="00AB363D" w:rsidRPr="00921E2C" w:rsidRDefault="00AB363D" w:rsidP="00AB363D">
      <w:pPr>
        <w:pStyle w:val="a3"/>
        <w:rPr>
          <w:rtl/>
        </w:rPr>
      </w:pPr>
      <w:r w:rsidRPr="00921E2C">
        <w:rPr>
          <w:rFonts w:hint="cs"/>
          <w:rtl/>
        </w:rPr>
        <w:t xml:space="preserve"> </w:t>
      </w:r>
    </w:p>
    <w:p w14:paraId="0909EEE3" w14:textId="77777777" w:rsidR="00AB363D" w:rsidRPr="00921E2C" w:rsidRDefault="00AB363D" w:rsidP="00AB363D">
      <w:pPr>
        <w:rPr>
          <w:rtl/>
        </w:rPr>
      </w:pPr>
    </w:p>
    <w:p w14:paraId="5D1E326F" w14:textId="77777777" w:rsidR="00AB363D" w:rsidRPr="00921E2C" w:rsidRDefault="00AB363D" w:rsidP="00AB363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6621"/>
        <w:gridCol w:w="1276"/>
      </w:tblGrid>
      <w:tr w:rsidR="00AB363D" w:rsidRPr="00921E2C" w14:paraId="1ECF2782" w14:textId="77777777" w:rsidTr="00AB363D">
        <w:trPr>
          <w:trHeight w:val="295"/>
          <w:jc w:val="center"/>
        </w:trPr>
        <w:tc>
          <w:tcPr>
            <w:tcW w:w="923" w:type="dxa"/>
            <w:tcBorders>
              <w:top w:val="nil"/>
              <w:left w:val="nil"/>
              <w:bottom w:val="nil"/>
              <w:right w:val="nil"/>
            </w:tcBorders>
            <w:shd w:val="clear" w:color="auto" w:fill="auto"/>
          </w:tcPr>
          <w:p w14:paraId="6A81C076" w14:textId="77777777" w:rsidR="00AB363D" w:rsidRPr="00921E2C" w:rsidRDefault="00AB363D" w:rsidP="00AB363D">
            <w:pPr>
              <w:jc w:val="both"/>
              <w:rPr>
                <w:rFonts w:ascii="Arial" w:hAnsi="Arial" w:cs="FrankRuehl"/>
                <w:b/>
                <w:bCs/>
                <w:sz w:val="28"/>
                <w:szCs w:val="28"/>
              </w:rPr>
            </w:pPr>
            <w:r w:rsidRPr="00921E2C">
              <w:rPr>
                <w:rFonts w:ascii="Arial" w:hAnsi="Arial" w:cs="FrankRuehl" w:hint="cs"/>
                <w:b/>
                <w:bCs/>
                <w:sz w:val="28"/>
                <w:szCs w:val="28"/>
                <w:rtl/>
              </w:rPr>
              <w:t>ב</w:t>
            </w:r>
            <w:r w:rsidRPr="00921E2C">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0EC15D8A" w14:textId="77777777" w:rsidR="00AB363D" w:rsidRPr="00921E2C" w:rsidRDefault="00AB363D" w:rsidP="0032514D">
            <w:pPr>
              <w:rPr>
                <w:rFonts w:ascii="Arial" w:hAnsi="Arial" w:cs="FrankRuehl"/>
                <w:b/>
                <w:bCs/>
                <w:sz w:val="28"/>
                <w:szCs w:val="28"/>
                <w:rtl/>
              </w:rPr>
            </w:pPr>
            <w:r w:rsidRPr="00921E2C">
              <w:rPr>
                <w:rFonts w:ascii="Arial" w:hAnsi="Arial" w:cs="FrankRuehl" w:hint="cs"/>
                <w:b/>
                <w:bCs/>
                <w:sz w:val="28"/>
                <w:szCs w:val="28"/>
                <w:rtl/>
              </w:rPr>
              <w:t>כבוד ה</w:t>
            </w:r>
            <w:r w:rsidRPr="00921E2C">
              <w:rPr>
                <w:rFonts w:ascii="Arial" w:hAnsi="Arial" w:cs="FrankRuehl"/>
                <w:b/>
                <w:bCs/>
                <w:sz w:val="28"/>
                <w:szCs w:val="28"/>
                <w:rtl/>
              </w:rPr>
              <w:t>שופט</w:t>
            </w:r>
            <w:r w:rsidRPr="00921E2C">
              <w:rPr>
                <w:rFonts w:ascii="Arial" w:hAnsi="Arial" w:cs="FrankRuehl" w:hint="cs"/>
                <w:b/>
                <w:bCs/>
                <w:sz w:val="28"/>
                <w:szCs w:val="28"/>
                <w:rtl/>
              </w:rPr>
              <w:t xml:space="preserve">  </w:t>
            </w:r>
            <w:r w:rsidRPr="00921E2C">
              <w:rPr>
                <w:rFonts w:ascii="Arial" w:hAnsi="Arial" w:cs="FrankRuehl"/>
                <w:b/>
                <w:bCs/>
                <w:sz w:val="28"/>
                <w:szCs w:val="28"/>
                <w:rtl/>
              </w:rPr>
              <w:t>דוד שאול גבאי ריכטר</w:t>
            </w:r>
          </w:p>
          <w:p w14:paraId="2B2E357A" w14:textId="77777777" w:rsidR="00AB363D" w:rsidRPr="00921E2C" w:rsidRDefault="00AB363D" w:rsidP="0032514D">
            <w:pPr>
              <w:rPr>
                <w:rFonts w:cs="FrankRuehl"/>
                <w:b/>
                <w:bCs/>
                <w:sz w:val="28"/>
                <w:szCs w:val="28"/>
                <w:rtl/>
              </w:rPr>
            </w:pPr>
          </w:p>
          <w:p w14:paraId="26C64198" w14:textId="77777777" w:rsidR="00AB363D" w:rsidRPr="00921E2C" w:rsidRDefault="00AB363D" w:rsidP="00AB363D">
            <w:pPr>
              <w:jc w:val="both"/>
              <w:rPr>
                <w:rFonts w:ascii="Arial" w:hAnsi="Arial" w:cs="FrankRuehl"/>
                <w:b/>
                <w:bCs/>
                <w:sz w:val="28"/>
                <w:szCs w:val="28"/>
              </w:rPr>
            </w:pPr>
          </w:p>
        </w:tc>
      </w:tr>
      <w:tr w:rsidR="00AB363D" w:rsidRPr="00921E2C" w14:paraId="0FC0C7F4" w14:textId="77777777" w:rsidTr="00AB363D">
        <w:trPr>
          <w:trHeight w:val="355"/>
          <w:jc w:val="center"/>
        </w:trPr>
        <w:tc>
          <w:tcPr>
            <w:tcW w:w="923" w:type="dxa"/>
            <w:tcBorders>
              <w:top w:val="nil"/>
              <w:left w:val="nil"/>
              <w:bottom w:val="nil"/>
              <w:right w:val="nil"/>
            </w:tcBorders>
            <w:shd w:val="clear" w:color="auto" w:fill="auto"/>
          </w:tcPr>
          <w:p w14:paraId="0C2B5E0D" w14:textId="77777777" w:rsidR="00AB363D" w:rsidRPr="00921E2C" w:rsidRDefault="00AB363D" w:rsidP="00AB363D">
            <w:pPr>
              <w:jc w:val="both"/>
              <w:rPr>
                <w:rFonts w:ascii="Arial" w:hAnsi="Arial" w:cs="FrankRuehl"/>
                <w:b/>
                <w:bCs/>
                <w:sz w:val="28"/>
                <w:szCs w:val="28"/>
              </w:rPr>
            </w:pPr>
            <w:bookmarkStart w:id="1" w:name="FirstAppellant"/>
            <w:r w:rsidRPr="00921E2C">
              <w:rPr>
                <w:rFonts w:ascii="Arial" w:hAnsi="Arial" w:cs="FrankRuehl" w:hint="cs"/>
                <w:b/>
                <w:bCs/>
                <w:sz w:val="28"/>
                <w:szCs w:val="28"/>
                <w:rtl/>
              </w:rPr>
              <w:t>בעניין:</w:t>
            </w:r>
          </w:p>
        </w:tc>
        <w:tc>
          <w:tcPr>
            <w:tcW w:w="6621" w:type="dxa"/>
            <w:tcBorders>
              <w:top w:val="nil"/>
              <w:left w:val="nil"/>
              <w:bottom w:val="nil"/>
              <w:right w:val="nil"/>
            </w:tcBorders>
            <w:shd w:val="clear" w:color="auto" w:fill="auto"/>
          </w:tcPr>
          <w:p w14:paraId="76C3D88F" w14:textId="77777777" w:rsidR="00AB363D" w:rsidRPr="00921E2C" w:rsidRDefault="00AB363D" w:rsidP="0032514D">
            <w:pPr>
              <w:rPr>
                <w:rFonts w:cs="FrankRuehl"/>
                <w:b/>
                <w:bCs/>
                <w:sz w:val="28"/>
                <w:szCs w:val="28"/>
              </w:rPr>
            </w:pPr>
            <w:r w:rsidRPr="00921E2C">
              <w:rPr>
                <w:rFonts w:ascii="Arial" w:hAnsi="Arial" w:cs="FrankRuehl"/>
                <w:b/>
                <w:bCs/>
                <w:sz w:val="28"/>
                <w:szCs w:val="28"/>
                <w:rtl/>
              </w:rPr>
              <w:t>מדינת ישראל</w:t>
            </w:r>
          </w:p>
        </w:tc>
        <w:tc>
          <w:tcPr>
            <w:tcW w:w="1276" w:type="dxa"/>
            <w:tcBorders>
              <w:top w:val="nil"/>
              <w:left w:val="nil"/>
              <w:bottom w:val="nil"/>
              <w:right w:val="nil"/>
            </w:tcBorders>
            <w:shd w:val="clear" w:color="auto" w:fill="auto"/>
          </w:tcPr>
          <w:p w14:paraId="5257DCDC" w14:textId="77777777" w:rsidR="00AB363D" w:rsidRPr="00921E2C" w:rsidRDefault="00AB363D" w:rsidP="00AB363D">
            <w:pPr>
              <w:jc w:val="both"/>
              <w:rPr>
                <w:rFonts w:ascii="Arial" w:hAnsi="Arial" w:cs="FrankRuehl"/>
                <w:b/>
                <w:bCs/>
                <w:sz w:val="28"/>
                <w:szCs w:val="28"/>
              </w:rPr>
            </w:pPr>
          </w:p>
        </w:tc>
      </w:tr>
      <w:tr w:rsidR="00AB363D" w:rsidRPr="00921E2C" w14:paraId="705DFA06" w14:textId="77777777" w:rsidTr="00AB363D">
        <w:trPr>
          <w:trHeight w:val="355"/>
          <w:jc w:val="center"/>
        </w:trPr>
        <w:tc>
          <w:tcPr>
            <w:tcW w:w="923" w:type="dxa"/>
            <w:tcBorders>
              <w:top w:val="nil"/>
              <w:left w:val="nil"/>
              <w:bottom w:val="nil"/>
              <w:right w:val="nil"/>
            </w:tcBorders>
            <w:shd w:val="clear" w:color="auto" w:fill="auto"/>
          </w:tcPr>
          <w:p w14:paraId="71C3A1EC" w14:textId="77777777" w:rsidR="00AB363D" w:rsidRPr="00921E2C" w:rsidRDefault="00AB363D" w:rsidP="00AB363D">
            <w:pPr>
              <w:jc w:val="both"/>
              <w:rPr>
                <w:rFonts w:ascii="Arial" w:hAnsi="Arial" w:cs="FrankRuehl"/>
                <w:b/>
                <w:bCs/>
                <w:sz w:val="28"/>
                <w:szCs w:val="28"/>
                <w:rtl/>
              </w:rPr>
            </w:pPr>
            <w:bookmarkStart w:id="2" w:name="FirstLawyer"/>
            <w:bookmarkEnd w:id="1"/>
          </w:p>
        </w:tc>
        <w:tc>
          <w:tcPr>
            <w:tcW w:w="6621" w:type="dxa"/>
            <w:tcBorders>
              <w:top w:val="nil"/>
              <w:left w:val="nil"/>
              <w:bottom w:val="nil"/>
              <w:right w:val="nil"/>
            </w:tcBorders>
            <w:shd w:val="clear" w:color="auto" w:fill="auto"/>
          </w:tcPr>
          <w:p w14:paraId="7927C31B" w14:textId="77777777" w:rsidR="00AB363D" w:rsidRPr="00921E2C" w:rsidRDefault="00AB363D" w:rsidP="00AB363D">
            <w:pPr>
              <w:jc w:val="both"/>
              <w:rPr>
                <w:rFonts w:cs="FrankRuehl"/>
                <w:b/>
                <w:bCs/>
                <w:sz w:val="28"/>
                <w:szCs w:val="28"/>
                <w:rtl/>
              </w:rPr>
            </w:pPr>
            <w:r w:rsidRPr="00921E2C">
              <w:rPr>
                <w:rFonts w:cs="FrankRuehl" w:hint="cs"/>
                <w:b/>
                <w:bCs/>
                <w:sz w:val="28"/>
                <w:szCs w:val="28"/>
                <w:rtl/>
              </w:rPr>
              <w:t>ע"י ב"כ עו"ד שירלי אוחיון, ומתמחה, הגב' שירן סיני מתביעות ירושלים</w:t>
            </w:r>
          </w:p>
        </w:tc>
        <w:tc>
          <w:tcPr>
            <w:tcW w:w="1276" w:type="dxa"/>
            <w:tcBorders>
              <w:top w:val="nil"/>
              <w:left w:val="nil"/>
              <w:bottom w:val="nil"/>
              <w:right w:val="nil"/>
            </w:tcBorders>
            <w:shd w:val="clear" w:color="auto" w:fill="auto"/>
          </w:tcPr>
          <w:p w14:paraId="0574E410" w14:textId="77777777" w:rsidR="00AB363D" w:rsidRPr="00921E2C" w:rsidRDefault="00AB363D" w:rsidP="00AB363D">
            <w:pPr>
              <w:jc w:val="right"/>
              <w:rPr>
                <w:rFonts w:ascii="Arial" w:hAnsi="Arial" w:cs="FrankRuehl"/>
                <w:b/>
                <w:bCs/>
                <w:sz w:val="28"/>
                <w:szCs w:val="28"/>
                <w:rtl/>
              </w:rPr>
            </w:pPr>
            <w:r w:rsidRPr="00921E2C">
              <w:rPr>
                <w:rFonts w:ascii="Arial" w:hAnsi="Arial" w:cs="FrankRuehl" w:hint="cs"/>
                <w:b/>
                <w:bCs/>
                <w:sz w:val="28"/>
                <w:szCs w:val="28"/>
                <w:rtl/>
              </w:rPr>
              <w:t>ה</w:t>
            </w:r>
            <w:r w:rsidRPr="00921E2C">
              <w:rPr>
                <w:rFonts w:ascii="Arial" w:hAnsi="Arial" w:cs="FrankRuehl"/>
                <w:b/>
                <w:bCs/>
                <w:sz w:val="28"/>
                <w:szCs w:val="28"/>
                <w:rtl/>
              </w:rPr>
              <w:t>מאשימה</w:t>
            </w:r>
          </w:p>
        </w:tc>
      </w:tr>
      <w:bookmarkEnd w:id="2"/>
      <w:tr w:rsidR="00AB363D" w:rsidRPr="00921E2C" w14:paraId="04C7689C" w14:textId="77777777" w:rsidTr="00AB363D">
        <w:trPr>
          <w:trHeight w:val="355"/>
          <w:jc w:val="center"/>
        </w:trPr>
        <w:tc>
          <w:tcPr>
            <w:tcW w:w="923" w:type="dxa"/>
            <w:tcBorders>
              <w:top w:val="nil"/>
              <w:left w:val="nil"/>
              <w:bottom w:val="nil"/>
              <w:right w:val="nil"/>
            </w:tcBorders>
            <w:shd w:val="clear" w:color="auto" w:fill="auto"/>
          </w:tcPr>
          <w:p w14:paraId="604DAB91" w14:textId="77777777" w:rsidR="00AB363D" w:rsidRPr="00921E2C" w:rsidRDefault="00AB363D" w:rsidP="00AB363D">
            <w:pPr>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1EBBCF64" w14:textId="77777777" w:rsidR="00AB363D" w:rsidRPr="00921E2C" w:rsidRDefault="00AB363D" w:rsidP="00AB363D">
            <w:pPr>
              <w:jc w:val="center"/>
              <w:rPr>
                <w:rFonts w:ascii="Arial" w:hAnsi="Arial" w:cs="FrankRuehl"/>
                <w:b/>
                <w:bCs/>
                <w:sz w:val="28"/>
                <w:szCs w:val="28"/>
                <w:rtl/>
              </w:rPr>
            </w:pPr>
          </w:p>
          <w:p w14:paraId="260FF085" w14:textId="77777777" w:rsidR="00AB363D" w:rsidRPr="00921E2C" w:rsidRDefault="00AB363D" w:rsidP="00AB363D">
            <w:pPr>
              <w:jc w:val="center"/>
              <w:rPr>
                <w:rFonts w:ascii="Arial" w:hAnsi="Arial" w:cs="FrankRuehl"/>
                <w:b/>
                <w:bCs/>
                <w:sz w:val="28"/>
                <w:szCs w:val="28"/>
                <w:rtl/>
              </w:rPr>
            </w:pPr>
            <w:r w:rsidRPr="00921E2C">
              <w:rPr>
                <w:rFonts w:ascii="Arial" w:hAnsi="Arial" w:cs="FrankRuehl"/>
                <w:b/>
                <w:bCs/>
                <w:sz w:val="28"/>
                <w:szCs w:val="28"/>
                <w:rtl/>
              </w:rPr>
              <w:t>נגד</w:t>
            </w:r>
          </w:p>
          <w:p w14:paraId="4C8AD2D7" w14:textId="77777777" w:rsidR="00AB363D" w:rsidRPr="00921E2C" w:rsidRDefault="00AB363D" w:rsidP="00AB363D">
            <w:pPr>
              <w:jc w:val="both"/>
              <w:rPr>
                <w:rFonts w:ascii="Arial" w:hAnsi="Arial" w:cs="FrankRuehl"/>
                <w:b/>
                <w:bCs/>
                <w:sz w:val="28"/>
                <w:szCs w:val="28"/>
              </w:rPr>
            </w:pPr>
          </w:p>
        </w:tc>
      </w:tr>
      <w:tr w:rsidR="00AB363D" w:rsidRPr="00921E2C" w14:paraId="4488AA5F" w14:textId="77777777" w:rsidTr="00AB363D">
        <w:trPr>
          <w:trHeight w:val="355"/>
          <w:jc w:val="center"/>
        </w:trPr>
        <w:tc>
          <w:tcPr>
            <w:tcW w:w="923" w:type="dxa"/>
            <w:tcBorders>
              <w:top w:val="nil"/>
              <w:left w:val="nil"/>
              <w:bottom w:val="nil"/>
              <w:right w:val="nil"/>
            </w:tcBorders>
            <w:shd w:val="clear" w:color="auto" w:fill="auto"/>
          </w:tcPr>
          <w:p w14:paraId="7104EEBA" w14:textId="77777777" w:rsidR="00AB363D" w:rsidRPr="00921E2C" w:rsidRDefault="00AB363D" w:rsidP="0032514D">
            <w:pPr>
              <w:rPr>
                <w:rFonts w:ascii="Arial" w:hAnsi="Arial" w:cs="FrankRuehl"/>
                <w:b/>
                <w:bCs/>
                <w:sz w:val="28"/>
                <w:szCs w:val="28"/>
                <w:rtl/>
              </w:rPr>
            </w:pPr>
          </w:p>
        </w:tc>
        <w:tc>
          <w:tcPr>
            <w:tcW w:w="6621" w:type="dxa"/>
            <w:tcBorders>
              <w:top w:val="nil"/>
              <w:left w:val="nil"/>
              <w:bottom w:val="nil"/>
              <w:right w:val="nil"/>
            </w:tcBorders>
            <w:shd w:val="clear" w:color="auto" w:fill="auto"/>
          </w:tcPr>
          <w:p w14:paraId="65474F67" w14:textId="77777777" w:rsidR="00AB363D" w:rsidRPr="00921E2C" w:rsidRDefault="00AB363D" w:rsidP="0032514D">
            <w:pPr>
              <w:rPr>
                <w:rFonts w:cs="FrankRuehl"/>
                <w:b/>
                <w:bCs/>
                <w:sz w:val="28"/>
                <w:szCs w:val="28"/>
                <w:rtl/>
              </w:rPr>
            </w:pPr>
            <w:r w:rsidRPr="00921E2C">
              <w:rPr>
                <w:rFonts w:ascii="Arial" w:hAnsi="Arial" w:cs="FrankRuehl"/>
                <w:b/>
                <w:bCs/>
                <w:sz w:val="28"/>
                <w:szCs w:val="28"/>
                <w:rtl/>
              </w:rPr>
              <w:t>אליה ארבל</w:t>
            </w:r>
          </w:p>
        </w:tc>
        <w:tc>
          <w:tcPr>
            <w:tcW w:w="1276" w:type="dxa"/>
            <w:tcBorders>
              <w:top w:val="nil"/>
              <w:left w:val="nil"/>
              <w:bottom w:val="nil"/>
              <w:right w:val="nil"/>
            </w:tcBorders>
            <w:shd w:val="clear" w:color="auto" w:fill="auto"/>
          </w:tcPr>
          <w:p w14:paraId="7BBE09BE" w14:textId="77777777" w:rsidR="00AB363D" w:rsidRPr="00921E2C" w:rsidRDefault="00AB363D" w:rsidP="00AB363D">
            <w:pPr>
              <w:jc w:val="right"/>
              <w:rPr>
                <w:rFonts w:ascii="Arial" w:hAnsi="Arial" w:cs="FrankRuehl"/>
                <w:b/>
                <w:bCs/>
                <w:sz w:val="28"/>
                <w:szCs w:val="28"/>
              </w:rPr>
            </w:pPr>
          </w:p>
        </w:tc>
      </w:tr>
      <w:tr w:rsidR="00AB363D" w:rsidRPr="00921E2C" w14:paraId="16DAA1AD" w14:textId="77777777" w:rsidTr="00AB363D">
        <w:trPr>
          <w:trHeight w:val="355"/>
          <w:jc w:val="center"/>
        </w:trPr>
        <w:tc>
          <w:tcPr>
            <w:tcW w:w="923" w:type="dxa"/>
            <w:tcBorders>
              <w:top w:val="nil"/>
              <w:left w:val="nil"/>
              <w:bottom w:val="nil"/>
              <w:right w:val="nil"/>
            </w:tcBorders>
            <w:shd w:val="clear" w:color="auto" w:fill="auto"/>
          </w:tcPr>
          <w:p w14:paraId="49FCCB2A" w14:textId="77777777" w:rsidR="00AB363D" w:rsidRPr="00921E2C" w:rsidRDefault="00AB363D" w:rsidP="00AB363D">
            <w:pPr>
              <w:jc w:val="both"/>
              <w:rPr>
                <w:rFonts w:ascii="Arial" w:hAnsi="Arial" w:cs="FrankRuehl"/>
                <w:b/>
                <w:bCs/>
                <w:sz w:val="28"/>
                <w:szCs w:val="28"/>
                <w:rtl/>
              </w:rPr>
            </w:pPr>
          </w:p>
        </w:tc>
        <w:tc>
          <w:tcPr>
            <w:tcW w:w="6621" w:type="dxa"/>
            <w:tcBorders>
              <w:top w:val="nil"/>
              <w:left w:val="nil"/>
              <w:bottom w:val="nil"/>
              <w:right w:val="nil"/>
            </w:tcBorders>
            <w:shd w:val="clear" w:color="auto" w:fill="auto"/>
          </w:tcPr>
          <w:p w14:paraId="020ADD22" w14:textId="77777777" w:rsidR="00AB363D" w:rsidRPr="00921E2C" w:rsidRDefault="00AB363D" w:rsidP="00AB363D">
            <w:pPr>
              <w:jc w:val="both"/>
              <w:rPr>
                <w:rFonts w:cs="FrankRuehl"/>
                <w:b/>
                <w:bCs/>
                <w:sz w:val="28"/>
                <w:szCs w:val="28"/>
                <w:rtl/>
              </w:rPr>
            </w:pPr>
            <w:r w:rsidRPr="00921E2C">
              <w:rPr>
                <w:rFonts w:cs="FrankRuehl" w:hint="cs"/>
                <w:b/>
                <w:bCs/>
                <w:sz w:val="28"/>
                <w:szCs w:val="28"/>
                <w:rtl/>
              </w:rPr>
              <w:t>ע"י ב"כ עו"ד שיר צ'יצ'יק ועו"ד אורי קינן</w:t>
            </w:r>
          </w:p>
        </w:tc>
        <w:tc>
          <w:tcPr>
            <w:tcW w:w="1276" w:type="dxa"/>
            <w:tcBorders>
              <w:top w:val="nil"/>
              <w:left w:val="nil"/>
              <w:bottom w:val="nil"/>
              <w:right w:val="nil"/>
            </w:tcBorders>
            <w:shd w:val="clear" w:color="auto" w:fill="auto"/>
          </w:tcPr>
          <w:p w14:paraId="75D210C7" w14:textId="77777777" w:rsidR="00AB363D" w:rsidRPr="00921E2C" w:rsidRDefault="00AB363D" w:rsidP="00AB363D">
            <w:pPr>
              <w:jc w:val="right"/>
              <w:rPr>
                <w:rFonts w:ascii="Arial" w:hAnsi="Arial" w:cs="FrankRuehl"/>
                <w:b/>
                <w:bCs/>
                <w:sz w:val="28"/>
                <w:szCs w:val="28"/>
              </w:rPr>
            </w:pPr>
            <w:r w:rsidRPr="00921E2C">
              <w:rPr>
                <w:rFonts w:ascii="Arial" w:hAnsi="Arial" w:cs="FrankRuehl" w:hint="cs"/>
                <w:b/>
                <w:bCs/>
                <w:sz w:val="28"/>
                <w:szCs w:val="28"/>
                <w:rtl/>
              </w:rPr>
              <w:t>ה</w:t>
            </w:r>
            <w:r w:rsidRPr="00921E2C">
              <w:rPr>
                <w:rFonts w:ascii="Arial" w:hAnsi="Arial" w:cs="FrankRuehl"/>
                <w:b/>
                <w:bCs/>
                <w:sz w:val="28"/>
                <w:szCs w:val="28"/>
                <w:rtl/>
              </w:rPr>
              <w:t>נאשמ</w:t>
            </w:r>
            <w:r w:rsidRPr="00921E2C">
              <w:rPr>
                <w:rFonts w:ascii="Arial" w:hAnsi="Arial" w:cs="FrankRuehl" w:hint="cs"/>
                <w:b/>
                <w:bCs/>
                <w:sz w:val="28"/>
                <w:szCs w:val="28"/>
                <w:rtl/>
              </w:rPr>
              <w:t>ת</w:t>
            </w:r>
          </w:p>
        </w:tc>
      </w:tr>
    </w:tbl>
    <w:p w14:paraId="5C792C4F" w14:textId="77777777" w:rsidR="00AB363D" w:rsidRPr="00921E2C" w:rsidRDefault="00AB363D" w:rsidP="00AB363D">
      <w:pPr>
        <w:rPr>
          <w:rtl/>
        </w:rPr>
      </w:pPr>
    </w:p>
    <w:p w14:paraId="2FA5B0F6" w14:textId="77777777" w:rsidR="00090BBE" w:rsidRDefault="00090BBE" w:rsidP="00090BBE">
      <w:pPr>
        <w:rPr>
          <w:rtl/>
        </w:rPr>
      </w:pPr>
      <w:bookmarkStart w:id="3" w:name="LawTable"/>
      <w:bookmarkEnd w:id="3"/>
    </w:p>
    <w:p w14:paraId="0282942E" w14:textId="77777777" w:rsidR="00090BBE" w:rsidRPr="00090BBE" w:rsidRDefault="00090BBE" w:rsidP="00090BBE">
      <w:pPr>
        <w:spacing w:before="120" w:after="120" w:line="240" w:lineRule="exact"/>
        <w:ind w:left="283" w:hanging="283"/>
        <w:jc w:val="both"/>
        <w:rPr>
          <w:rFonts w:ascii="FrankRuehl" w:hAnsi="FrankRuehl" w:cs="FrankRuehl"/>
          <w:rtl/>
        </w:rPr>
      </w:pPr>
    </w:p>
    <w:p w14:paraId="667B4EC6" w14:textId="77777777" w:rsidR="00090BBE" w:rsidRPr="00090BBE" w:rsidRDefault="00090BBE" w:rsidP="00090BBE">
      <w:pPr>
        <w:spacing w:before="120" w:after="120" w:line="240" w:lineRule="exact"/>
        <w:ind w:left="283" w:hanging="283"/>
        <w:jc w:val="both"/>
        <w:rPr>
          <w:rFonts w:ascii="FrankRuehl" w:hAnsi="FrankRuehl" w:cs="FrankRuehl"/>
          <w:rtl/>
        </w:rPr>
      </w:pPr>
    </w:p>
    <w:p w14:paraId="2389E643" w14:textId="77777777" w:rsidR="00090BBE" w:rsidRPr="00090BBE" w:rsidRDefault="00090BBE" w:rsidP="00090BBE">
      <w:pPr>
        <w:spacing w:before="120" w:after="120" w:line="240" w:lineRule="exact"/>
        <w:ind w:left="283" w:hanging="283"/>
        <w:jc w:val="both"/>
        <w:rPr>
          <w:rFonts w:ascii="FrankRuehl" w:hAnsi="FrankRuehl" w:cs="FrankRuehl"/>
          <w:rtl/>
        </w:rPr>
      </w:pPr>
      <w:r w:rsidRPr="00090BBE">
        <w:rPr>
          <w:rFonts w:ascii="FrankRuehl" w:hAnsi="FrankRuehl" w:cs="FrankRuehl"/>
          <w:rtl/>
        </w:rPr>
        <w:t xml:space="preserve">חקיקה שאוזכרה: </w:t>
      </w:r>
    </w:p>
    <w:p w14:paraId="7C536B22" w14:textId="77777777" w:rsidR="00090BBE" w:rsidRPr="00090BBE" w:rsidRDefault="00090BBE" w:rsidP="00090BBE">
      <w:pPr>
        <w:spacing w:before="120" w:after="120" w:line="240" w:lineRule="exact"/>
        <w:ind w:left="283" w:hanging="283"/>
        <w:jc w:val="both"/>
        <w:rPr>
          <w:rFonts w:ascii="FrankRuehl" w:hAnsi="FrankRuehl" w:cs="FrankRuehl"/>
          <w:rtl/>
        </w:rPr>
      </w:pPr>
      <w:hyperlink r:id="rId7" w:history="1">
        <w:r w:rsidRPr="00090BBE">
          <w:rPr>
            <w:rFonts w:ascii="FrankRuehl" w:hAnsi="FrankRuehl" w:cs="FrankRuehl"/>
            <w:color w:val="0000FF"/>
            <w:rtl/>
          </w:rPr>
          <w:t>פקודת הסמים המסוכנים [נוסח חדש], תשל"ג-1973</w:t>
        </w:r>
      </w:hyperlink>
      <w:r w:rsidRPr="00090BBE">
        <w:rPr>
          <w:rFonts w:ascii="FrankRuehl" w:hAnsi="FrankRuehl" w:cs="FrankRuehl"/>
          <w:rtl/>
        </w:rPr>
        <w:t xml:space="preserve">: סע'  </w:t>
      </w:r>
      <w:hyperlink r:id="rId8" w:history="1">
        <w:r w:rsidRPr="00090BBE">
          <w:rPr>
            <w:rFonts w:ascii="FrankRuehl" w:hAnsi="FrankRuehl" w:cs="FrankRuehl"/>
            <w:color w:val="0000FF"/>
            <w:rtl/>
          </w:rPr>
          <w:t>7(א)</w:t>
        </w:r>
      </w:hyperlink>
      <w:r w:rsidRPr="00090BBE">
        <w:rPr>
          <w:rFonts w:ascii="FrankRuehl" w:hAnsi="FrankRuehl" w:cs="FrankRuehl"/>
          <w:rtl/>
        </w:rPr>
        <w:t xml:space="preserve">, </w:t>
      </w:r>
      <w:hyperlink r:id="rId9" w:history="1">
        <w:r w:rsidRPr="00090BBE">
          <w:rPr>
            <w:rFonts w:ascii="FrankRuehl" w:hAnsi="FrankRuehl" w:cs="FrankRuehl"/>
            <w:color w:val="0000FF"/>
            <w:rtl/>
          </w:rPr>
          <w:t>(ג)</w:t>
        </w:r>
      </w:hyperlink>
    </w:p>
    <w:p w14:paraId="2741EC8B" w14:textId="77777777" w:rsidR="00090BBE" w:rsidRPr="00090BBE" w:rsidRDefault="00090BBE" w:rsidP="00090BBE">
      <w:pPr>
        <w:spacing w:before="120" w:after="120" w:line="240" w:lineRule="exact"/>
        <w:ind w:left="283" w:hanging="283"/>
        <w:jc w:val="both"/>
        <w:rPr>
          <w:rFonts w:ascii="FrankRuehl" w:hAnsi="FrankRuehl" w:cs="FrankRuehl"/>
          <w:rtl/>
        </w:rPr>
      </w:pPr>
      <w:hyperlink r:id="rId10" w:history="1">
        <w:r w:rsidRPr="00090BBE">
          <w:rPr>
            <w:rFonts w:ascii="FrankRuehl" w:hAnsi="FrankRuehl" w:cs="FrankRuehl"/>
            <w:color w:val="0000FF"/>
            <w:rtl/>
          </w:rPr>
          <w:t>חוק העונשין, תשל"ז-1977</w:t>
        </w:r>
      </w:hyperlink>
      <w:r w:rsidRPr="00090BBE">
        <w:rPr>
          <w:rFonts w:ascii="FrankRuehl" w:hAnsi="FrankRuehl" w:cs="FrankRuehl"/>
          <w:rtl/>
        </w:rPr>
        <w:t xml:space="preserve">: סע'  </w:t>
      </w:r>
      <w:hyperlink r:id="rId11" w:history="1">
        <w:r w:rsidRPr="00090BBE">
          <w:rPr>
            <w:rFonts w:ascii="FrankRuehl" w:hAnsi="FrankRuehl" w:cs="FrankRuehl"/>
            <w:color w:val="0000FF"/>
            <w:rtl/>
          </w:rPr>
          <w:t>40ט'</w:t>
        </w:r>
      </w:hyperlink>
      <w:r w:rsidRPr="00090BBE">
        <w:rPr>
          <w:rFonts w:ascii="FrankRuehl" w:hAnsi="FrankRuehl" w:cs="FrankRuehl"/>
          <w:rtl/>
        </w:rPr>
        <w:t xml:space="preserve">, </w:t>
      </w:r>
      <w:hyperlink r:id="rId12" w:history="1">
        <w:r w:rsidRPr="00090BBE">
          <w:rPr>
            <w:rFonts w:ascii="FrankRuehl" w:hAnsi="FrankRuehl" w:cs="FrankRuehl"/>
            <w:color w:val="0000FF"/>
            <w:rtl/>
          </w:rPr>
          <w:t>338(א)(1)</w:t>
        </w:r>
      </w:hyperlink>
      <w:r w:rsidRPr="00090BBE">
        <w:rPr>
          <w:rFonts w:ascii="FrankRuehl" w:hAnsi="FrankRuehl" w:cs="FrankRuehl"/>
          <w:rtl/>
        </w:rPr>
        <w:t xml:space="preserve">, </w:t>
      </w:r>
      <w:hyperlink r:id="rId13" w:history="1">
        <w:r w:rsidRPr="00090BBE">
          <w:rPr>
            <w:rFonts w:ascii="FrankRuehl" w:hAnsi="FrankRuehl" w:cs="FrankRuehl"/>
            <w:color w:val="0000FF"/>
            <w:rtl/>
          </w:rPr>
          <w:t>40יא</w:t>
        </w:r>
      </w:hyperlink>
    </w:p>
    <w:p w14:paraId="271C4745" w14:textId="77777777" w:rsidR="00090BBE" w:rsidRPr="00090BBE" w:rsidRDefault="00090BBE" w:rsidP="00090BBE">
      <w:pPr>
        <w:spacing w:before="120" w:after="120" w:line="240" w:lineRule="exact"/>
        <w:ind w:left="283" w:hanging="283"/>
        <w:jc w:val="both"/>
        <w:rPr>
          <w:rFonts w:ascii="FrankRuehl" w:hAnsi="FrankRuehl" w:cs="FrankRuehl"/>
          <w:rtl/>
        </w:rPr>
      </w:pPr>
      <w:hyperlink r:id="rId14" w:history="1">
        <w:r w:rsidRPr="00090BBE">
          <w:rPr>
            <w:rFonts w:ascii="FrankRuehl" w:hAnsi="FrankRuehl" w:cs="FrankRuehl"/>
            <w:color w:val="0000FF"/>
            <w:rtl/>
          </w:rPr>
          <w:t>פקודת התעבורה [נוסח חדש]</w:t>
        </w:r>
      </w:hyperlink>
      <w:r w:rsidRPr="00090BBE">
        <w:rPr>
          <w:rFonts w:ascii="FrankRuehl" w:hAnsi="FrankRuehl" w:cs="FrankRuehl"/>
          <w:rtl/>
        </w:rPr>
        <w:t xml:space="preserve">: סע'  </w:t>
      </w:r>
      <w:hyperlink r:id="rId15" w:history="1">
        <w:r w:rsidRPr="00090BBE">
          <w:rPr>
            <w:rFonts w:ascii="FrankRuehl" w:hAnsi="FrankRuehl" w:cs="FrankRuehl"/>
            <w:color w:val="0000FF"/>
            <w:rtl/>
          </w:rPr>
          <w:t>62(3)</w:t>
        </w:r>
      </w:hyperlink>
    </w:p>
    <w:p w14:paraId="02E6F371" w14:textId="77777777" w:rsidR="00090BBE" w:rsidRPr="00090BBE" w:rsidRDefault="00090BBE" w:rsidP="00090BBE">
      <w:pPr>
        <w:rPr>
          <w:rtl/>
        </w:rPr>
      </w:pPr>
      <w:bookmarkStart w:id="4" w:name="LawTable_End"/>
      <w:bookmarkEnd w:id="4"/>
    </w:p>
    <w:p w14:paraId="7115F390" w14:textId="77777777" w:rsidR="00AB363D" w:rsidRPr="00B36368" w:rsidRDefault="00AB363D" w:rsidP="00B3636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B363D" w14:paraId="35B896A7" w14:textId="77777777" w:rsidTr="00AB363D">
        <w:trPr>
          <w:trHeight w:val="355"/>
          <w:jc w:val="center"/>
        </w:trPr>
        <w:tc>
          <w:tcPr>
            <w:tcW w:w="8820" w:type="dxa"/>
            <w:tcBorders>
              <w:top w:val="nil"/>
              <w:left w:val="nil"/>
              <w:bottom w:val="nil"/>
              <w:right w:val="nil"/>
            </w:tcBorders>
            <w:shd w:val="clear" w:color="auto" w:fill="auto"/>
          </w:tcPr>
          <w:p w14:paraId="722DE062" w14:textId="77777777" w:rsidR="00921E2C" w:rsidRPr="00921E2C" w:rsidRDefault="00921E2C" w:rsidP="00921E2C">
            <w:pPr>
              <w:jc w:val="center"/>
              <w:rPr>
                <w:rFonts w:ascii="Arial" w:hAnsi="Arial" w:cs="FrankRuehl"/>
                <w:b/>
                <w:bCs/>
                <w:sz w:val="32"/>
                <w:szCs w:val="32"/>
                <w:u w:val="single"/>
                <w:rtl/>
              </w:rPr>
            </w:pPr>
            <w:bookmarkStart w:id="5" w:name="PsakDin" w:colFirst="0" w:colLast="0"/>
            <w:bookmarkEnd w:id="0"/>
            <w:r w:rsidRPr="00921E2C">
              <w:rPr>
                <w:rFonts w:ascii="Arial" w:hAnsi="Arial" w:cs="FrankRuehl"/>
                <w:b/>
                <w:bCs/>
                <w:sz w:val="32"/>
                <w:szCs w:val="32"/>
                <w:u w:val="single"/>
                <w:rtl/>
              </w:rPr>
              <w:t>גזר דין</w:t>
            </w:r>
          </w:p>
          <w:p w14:paraId="6506174B" w14:textId="77777777" w:rsidR="00AB363D" w:rsidRPr="00921E2C" w:rsidRDefault="00AB363D" w:rsidP="00921E2C">
            <w:pPr>
              <w:jc w:val="center"/>
              <w:rPr>
                <w:rFonts w:ascii="Arial" w:hAnsi="Arial" w:cs="FrankRuehl"/>
                <w:bCs/>
                <w:sz w:val="32"/>
                <w:szCs w:val="32"/>
                <w:u w:val="single"/>
                <w:rtl/>
              </w:rPr>
            </w:pPr>
          </w:p>
        </w:tc>
      </w:tr>
      <w:bookmarkEnd w:id="5"/>
    </w:tbl>
    <w:p w14:paraId="0578488F" w14:textId="77777777" w:rsidR="00AB363D" w:rsidRPr="00B05847" w:rsidRDefault="00AB363D" w:rsidP="00AB363D">
      <w:pPr>
        <w:rPr>
          <w:rFonts w:ascii="Arial" w:hAnsi="Arial"/>
          <w:rtl/>
        </w:rPr>
      </w:pPr>
    </w:p>
    <w:p w14:paraId="728438CA" w14:textId="77777777" w:rsidR="00AB363D" w:rsidRPr="00B05847" w:rsidRDefault="00AB363D" w:rsidP="00AB363D">
      <w:pPr>
        <w:rPr>
          <w:rFonts w:ascii="Arial" w:hAnsi="Arial"/>
          <w:rtl/>
        </w:rPr>
      </w:pPr>
    </w:p>
    <w:p w14:paraId="558388FB" w14:textId="77777777" w:rsidR="00AB363D" w:rsidRDefault="00AB363D" w:rsidP="00AB363D">
      <w:pPr>
        <w:spacing w:line="360" w:lineRule="auto"/>
        <w:rPr>
          <w:rFonts w:cs="FrankRuehl"/>
          <w:b/>
          <w:bCs/>
          <w:sz w:val="28"/>
          <w:szCs w:val="28"/>
          <w:u w:val="single"/>
        </w:rPr>
      </w:pPr>
      <w:r>
        <w:rPr>
          <w:rFonts w:cs="FrankRuehl" w:hint="cs"/>
          <w:b/>
          <w:bCs/>
          <w:sz w:val="28"/>
          <w:szCs w:val="28"/>
          <w:u w:val="single"/>
          <w:rtl/>
        </w:rPr>
        <w:t>כתב האישום מתוקן</w:t>
      </w:r>
    </w:p>
    <w:p w14:paraId="322AD8BB" w14:textId="77777777" w:rsidR="00AB363D" w:rsidRDefault="00AB363D" w:rsidP="00AB363D">
      <w:pPr>
        <w:spacing w:line="360" w:lineRule="auto"/>
        <w:jc w:val="both"/>
        <w:rPr>
          <w:rFonts w:cs="FrankRuehl"/>
          <w:sz w:val="28"/>
          <w:szCs w:val="28"/>
        </w:rPr>
      </w:pPr>
      <w:bookmarkStart w:id="6" w:name="ABSTRACT_START"/>
      <w:bookmarkEnd w:id="6"/>
      <w:r>
        <w:rPr>
          <w:rFonts w:cs="FrankRuehl" w:hint="cs"/>
          <w:sz w:val="28"/>
          <w:szCs w:val="28"/>
          <w:rtl/>
        </w:rPr>
        <w:t xml:space="preserve">הנאשמת הורשעה על-פי הודאתה בעובדות ובעבירות המנויות בכתב האישום המתוקן, ממנו עולה, כי ביום 17.8.2018 באישון לילה החזיקה הנאשמת בכליה סמים מסוכנים לצריכה עצמית בניגוד </w:t>
      </w:r>
      <w:hyperlink r:id="rId16" w:history="1">
        <w:r w:rsidR="00B36368" w:rsidRPr="00B36368">
          <w:rPr>
            <w:rStyle w:val="Hyperlink"/>
            <w:rFonts w:cs="FrankRuehl" w:hint="eastAsia"/>
            <w:sz w:val="28"/>
            <w:szCs w:val="28"/>
            <w:rtl/>
          </w:rPr>
          <w:t>לסעיפים</w:t>
        </w:r>
        <w:r w:rsidR="00B36368" w:rsidRPr="00B36368">
          <w:rPr>
            <w:rStyle w:val="Hyperlink"/>
            <w:rFonts w:cs="FrankRuehl"/>
            <w:sz w:val="28"/>
            <w:szCs w:val="28"/>
            <w:rtl/>
          </w:rPr>
          <w:t xml:space="preserve"> 7(א)</w:t>
        </w:r>
      </w:hyperlink>
      <w:r>
        <w:rPr>
          <w:rFonts w:cs="FrankRuehl" w:hint="cs"/>
          <w:sz w:val="28"/>
          <w:szCs w:val="28"/>
          <w:rtl/>
        </w:rPr>
        <w:t xml:space="preserve"> ו-</w:t>
      </w:r>
      <w:hyperlink r:id="rId17" w:history="1">
        <w:r w:rsidR="00B36368" w:rsidRPr="00B36368">
          <w:rPr>
            <w:rStyle w:val="Hyperlink"/>
            <w:rFonts w:cs="FrankRuehl"/>
            <w:sz w:val="28"/>
            <w:szCs w:val="28"/>
            <w:rtl/>
          </w:rPr>
          <w:t>(ג)</w:t>
        </w:r>
      </w:hyperlink>
      <w:r>
        <w:rPr>
          <w:rFonts w:cs="FrankRuehl" w:hint="cs"/>
          <w:sz w:val="28"/>
          <w:szCs w:val="28"/>
          <w:rtl/>
        </w:rPr>
        <w:t xml:space="preserve"> סיפא ל</w:t>
      </w:r>
      <w:hyperlink r:id="rId18" w:history="1">
        <w:r w:rsidR="00921E2C" w:rsidRPr="00921E2C">
          <w:rPr>
            <w:rFonts w:cs="FrankRuehl"/>
            <w:color w:val="0000FF"/>
            <w:sz w:val="28"/>
            <w:szCs w:val="28"/>
            <w:u w:val="single"/>
            <w:rtl/>
          </w:rPr>
          <w:t>פקודת הסמים המסוכנים</w:t>
        </w:r>
      </w:hyperlink>
      <w:r>
        <w:rPr>
          <w:rFonts w:cs="FrankRuehl" w:hint="cs"/>
          <w:sz w:val="28"/>
          <w:szCs w:val="28"/>
          <w:rtl/>
        </w:rPr>
        <w:t xml:space="preserve"> (נוסח חדש), התשל"ג-1973; נהגה ברכבה באופן פוחז, בניגוד </w:t>
      </w:r>
      <w:hyperlink r:id="rId19" w:history="1">
        <w:r w:rsidR="00B36368" w:rsidRPr="00B36368">
          <w:rPr>
            <w:rStyle w:val="Hyperlink"/>
            <w:rFonts w:cs="FrankRuehl" w:hint="eastAsia"/>
            <w:sz w:val="28"/>
            <w:szCs w:val="28"/>
            <w:rtl/>
          </w:rPr>
          <w:t>לסעיף</w:t>
        </w:r>
        <w:r w:rsidR="00B36368" w:rsidRPr="00B36368">
          <w:rPr>
            <w:rStyle w:val="Hyperlink"/>
            <w:rFonts w:cs="FrankRuehl"/>
            <w:sz w:val="28"/>
            <w:szCs w:val="28"/>
            <w:rtl/>
          </w:rPr>
          <w:t xml:space="preserve"> 338(א)(1)</w:t>
        </w:r>
      </w:hyperlink>
      <w:r>
        <w:rPr>
          <w:rFonts w:cs="FrankRuehl" w:hint="cs"/>
          <w:sz w:val="28"/>
          <w:szCs w:val="28"/>
          <w:rtl/>
        </w:rPr>
        <w:t xml:space="preserve"> ל</w:t>
      </w:r>
      <w:hyperlink r:id="rId20" w:history="1">
        <w:r w:rsidR="00921E2C" w:rsidRPr="00921E2C">
          <w:rPr>
            <w:rFonts w:cs="FrankRuehl"/>
            <w:color w:val="0000FF"/>
            <w:sz w:val="28"/>
            <w:szCs w:val="28"/>
            <w:u w:val="single"/>
            <w:rtl/>
          </w:rPr>
          <w:t>חוק העונשין</w:t>
        </w:r>
      </w:hyperlink>
      <w:r>
        <w:rPr>
          <w:rFonts w:cs="FrankRuehl" w:hint="cs"/>
          <w:sz w:val="28"/>
          <w:szCs w:val="28"/>
          <w:rtl/>
        </w:rPr>
        <w:t xml:space="preserve">, התשל"ז-1977 וסירבה לבדיקת שכרות, בניגוד </w:t>
      </w:r>
      <w:hyperlink r:id="rId21" w:history="1">
        <w:r w:rsidR="00B36368" w:rsidRPr="00B36368">
          <w:rPr>
            <w:rStyle w:val="Hyperlink"/>
            <w:rFonts w:cs="FrankRuehl" w:hint="eastAsia"/>
            <w:sz w:val="28"/>
            <w:szCs w:val="28"/>
            <w:rtl/>
          </w:rPr>
          <w:t>לסעיף</w:t>
        </w:r>
        <w:r w:rsidR="00B36368" w:rsidRPr="00B36368">
          <w:rPr>
            <w:rStyle w:val="Hyperlink"/>
            <w:rFonts w:cs="FrankRuehl"/>
            <w:sz w:val="28"/>
            <w:szCs w:val="28"/>
            <w:rtl/>
          </w:rPr>
          <w:t xml:space="preserve"> 62(3)</w:t>
        </w:r>
      </w:hyperlink>
      <w:r>
        <w:rPr>
          <w:rFonts w:cs="FrankRuehl" w:hint="cs"/>
          <w:sz w:val="28"/>
          <w:szCs w:val="28"/>
          <w:rtl/>
        </w:rPr>
        <w:t xml:space="preserve"> ל</w:t>
      </w:r>
      <w:hyperlink r:id="rId22" w:history="1">
        <w:r w:rsidR="00921E2C" w:rsidRPr="00921E2C">
          <w:rPr>
            <w:rFonts w:cs="FrankRuehl"/>
            <w:color w:val="0000FF"/>
            <w:sz w:val="28"/>
            <w:szCs w:val="28"/>
            <w:u w:val="single"/>
            <w:rtl/>
          </w:rPr>
          <w:t>פקודת התעבורה</w:t>
        </w:r>
      </w:hyperlink>
      <w:r>
        <w:rPr>
          <w:rFonts w:cs="FrankRuehl" w:hint="cs"/>
          <w:sz w:val="28"/>
          <w:szCs w:val="28"/>
          <w:rtl/>
        </w:rPr>
        <w:t xml:space="preserve"> (נוסח חדש), התשכ"א-1977</w:t>
      </w:r>
      <w:bookmarkStart w:id="7" w:name="ABSTRACT_END"/>
      <w:bookmarkEnd w:id="7"/>
      <w:r>
        <w:rPr>
          <w:rFonts w:cs="FrankRuehl" w:hint="cs"/>
          <w:sz w:val="28"/>
          <w:szCs w:val="28"/>
          <w:rtl/>
        </w:rPr>
        <w:t xml:space="preserve">. מעובדות כתב האישום המתוקן עולה, כי הנאשמת נהגה ברכבה בניגוד לכיוון התנועה, וכששוטר סימן לה לעצור התעלמה ממנו והמשיכה בנסיעתה, תוך שהיא עוברת מנתיב לנתיב, עוקפת כלי רכב </w:t>
      </w:r>
      <w:r>
        <w:rPr>
          <w:rFonts w:cs="FrankRuehl" w:hint="cs"/>
          <w:sz w:val="28"/>
          <w:szCs w:val="28"/>
          <w:rtl/>
        </w:rPr>
        <w:lastRenderedPageBreak/>
        <w:t>ומסכנת את הנוהגים בכביש ואת הולכי הרגל. שוטרת שהבחינה בה, כרזה לה מספר פעמים לעצור, אך הנאשמת התעלמה ממנה והמשיכה בנסיעתה. הנאשמת שוב פנתה לרחוב ב"אין כניסה", ושוב נקראה לעצור ע"י השוטרת. הנאשמת עצרה את רכבה ויצאה מרכבה יחד עם נוסעת נוספת. הנאשמת אמרה לשוטרת, כי לא נהגה ברכב, סירבה לבדיקה נשיפה, לבדיקת נשיפון, לבדיקת שתן ולבדיקת מאפיינים. לכן הודיעה לה השוטרת שהיא מעוכבת. מתברר, כי הנאשמת נהגה ברכב לאחר ששתתה משקאות אלכוהוליים ולאחר שהשתמשה בסם מסוג קוקאין, כשסם מסוג זה נתפס עליה, במשקל 0.4468 גרם נטו.</w:t>
      </w:r>
    </w:p>
    <w:p w14:paraId="30C945B7" w14:textId="77777777" w:rsidR="00AB363D" w:rsidRDefault="00AB363D" w:rsidP="00AB363D">
      <w:pPr>
        <w:spacing w:line="360" w:lineRule="auto"/>
        <w:jc w:val="both"/>
        <w:rPr>
          <w:rFonts w:cs="FrankRuehl"/>
          <w:b/>
          <w:bCs/>
          <w:sz w:val="28"/>
          <w:szCs w:val="28"/>
          <w:u w:val="single"/>
        </w:rPr>
      </w:pPr>
    </w:p>
    <w:p w14:paraId="348457C5" w14:textId="77777777" w:rsidR="00AB363D" w:rsidRDefault="00AB363D" w:rsidP="00AB363D">
      <w:pPr>
        <w:spacing w:line="360" w:lineRule="auto"/>
        <w:jc w:val="both"/>
        <w:rPr>
          <w:rFonts w:cs="FrankRuehl"/>
          <w:b/>
          <w:bCs/>
          <w:sz w:val="28"/>
          <w:szCs w:val="28"/>
          <w:u w:val="single"/>
          <w:rtl/>
        </w:rPr>
      </w:pPr>
    </w:p>
    <w:p w14:paraId="5427F5AF" w14:textId="77777777" w:rsidR="00AB363D" w:rsidRDefault="00AB363D" w:rsidP="00AB363D">
      <w:pPr>
        <w:spacing w:line="360" w:lineRule="auto"/>
        <w:jc w:val="both"/>
        <w:rPr>
          <w:rFonts w:cs="FrankRuehl"/>
          <w:b/>
          <w:bCs/>
          <w:sz w:val="28"/>
          <w:szCs w:val="28"/>
          <w:u w:val="single"/>
        </w:rPr>
      </w:pPr>
      <w:r>
        <w:rPr>
          <w:rFonts w:cs="FrankRuehl" w:hint="cs"/>
          <w:b/>
          <w:bCs/>
          <w:sz w:val="28"/>
          <w:szCs w:val="28"/>
          <w:u w:val="single"/>
          <w:rtl/>
        </w:rPr>
        <w:t>מהלך הדיון</w:t>
      </w:r>
    </w:p>
    <w:p w14:paraId="1C09219A" w14:textId="77777777" w:rsidR="00AB363D" w:rsidRDefault="00AB363D" w:rsidP="00AB363D">
      <w:pPr>
        <w:spacing w:line="360" w:lineRule="auto"/>
        <w:jc w:val="both"/>
        <w:rPr>
          <w:rFonts w:cs="FrankRuehl"/>
          <w:sz w:val="28"/>
          <w:szCs w:val="28"/>
        </w:rPr>
      </w:pPr>
      <w:r>
        <w:rPr>
          <w:rFonts w:cs="FrankRuehl" w:hint="cs"/>
          <w:sz w:val="28"/>
          <w:szCs w:val="28"/>
          <w:rtl/>
        </w:rPr>
        <w:t>הצדדים הגיעו להסדר טיעון עניין תיקון כתב האישום, אך לא הגיעו להסכמה עונשית. הנאשמת נשלחה לשירות המבחן וכן לממונה על עבודות השירות.</w:t>
      </w:r>
    </w:p>
    <w:p w14:paraId="255AE16C" w14:textId="77777777" w:rsidR="00AB363D" w:rsidRDefault="00AB363D" w:rsidP="00AB363D">
      <w:pPr>
        <w:jc w:val="both"/>
        <w:rPr>
          <w:rFonts w:cs="FrankRuehl"/>
          <w:b/>
          <w:bCs/>
          <w:sz w:val="28"/>
          <w:szCs w:val="28"/>
          <w:u w:val="single"/>
          <w:rtl/>
        </w:rPr>
      </w:pPr>
    </w:p>
    <w:p w14:paraId="2A86A2DC" w14:textId="77777777" w:rsidR="00AB363D" w:rsidRDefault="00AB363D" w:rsidP="00AB363D">
      <w:pPr>
        <w:spacing w:line="360" w:lineRule="auto"/>
        <w:jc w:val="both"/>
        <w:rPr>
          <w:rFonts w:cs="FrankRuehl"/>
          <w:b/>
          <w:bCs/>
          <w:sz w:val="28"/>
          <w:szCs w:val="28"/>
          <w:u w:val="single"/>
          <w:rtl/>
        </w:rPr>
      </w:pPr>
      <w:r>
        <w:rPr>
          <w:rFonts w:cs="FrankRuehl" w:hint="cs"/>
          <w:b/>
          <w:bCs/>
          <w:sz w:val="28"/>
          <w:szCs w:val="28"/>
          <w:u w:val="single"/>
          <w:rtl/>
        </w:rPr>
        <w:t>תסקירי שירות המבחן</w:t>
      </w:r>
    </w:p>
    <w:p w14:paraId="0A22955C" w14:textId="77777777" w:rsidR="00AB363D" w:rsidRDefault="00AB363D" w:rsidP="00AB363D">
      <w:pPr>
        <w:spacing w:line="360" w:lineRule="auto"/>
        <w:jc w:val="both"/>
        <w:rPr>
          <w:rFonts w:cs="FrankRuehl"/>
          <w:sz w:val="28"/>
          <w:szCs w:val="28"/>
          <w:rtl/>
        </w:rPr>
      </w:pPr>
      <w:r>
        <w:rPr>
          <w:rFonts w:cs="FrankRuehl" w:hint="cs"/>
          <w:sz w:val="28"/>
          <w:szCs w:val="28"/>
          <w:rtl/>
        </w:rPr>
        <w:t>מהתסקיר הראשון שהוגש בעניינה של הנאשמת עולה, כי מדובר ברווקה כבת 26, העובדת כיום בתחום הביטוח. שירות המבחן גולל את קורותיה של הנאשמת. הנאשמת סיימה 12 שנות לימוד והיא בעלת תעודת בגרות מלאה. בהיותה כבת 16 החלה לעבוד בבארים, שם נחשפה לחברה בעלת השפעה שלילית. היא התגייסה לצבא ושירתה שירות צבאי מלא, אם כי שירות זה לא היה נטול קשיים כמתואר בתסקיר. עם זאת, מפקדה העריך את הנאשמת לחיוב במכתב המלצה שהוצג לשירות המבחן. הנאשמת סיימה לימודים בתחום התקשורת, נמצאת כיום במערכת זוגית ועובדת כאמור, בתחום הביטוח. אשר לשימוש בסמים, תיארה הנאשמת התנסות חד פעמית בגראס וקוקאין ומסרה בדיקת שתן נקיה. היא שותה אלכוהול באופן קבוע בסופי שבוע מזה מספר שנים, אך שללה התמכרות. שירות המבחן עמד על כך שלחובת הנאשמת 3 הרשעות בתחום התעבורה, שבגין אחת מהן נדונה לפסילה, פסילה על תנאי וצו של"ץ שהומר בסופו של דבר בשלושה חודשי שלילת רישיון נוספים. הנאשמת קיבלה אחריות למעשים ושירות המבחן סבר, כי מדובר בנטילת אחריות כנה ואמיתית. הנאשמת הביעה נכונות להשתלב בתהליך טיפולי. שירות המבחן העריך, כי לצד הקשיים שהתגלו, לנאשמת כוחות לתפקוד חיובי ונורמטיבי. השירות עמד על שאיפתה של הנאשמת לעבוד בתחום הסיעוד, אך מכיוון שכבר הורשעה בתחום, לא בא בהמלצה על ביטול ההרשעה. כן המליץ השירות להטיל על הנאשמת של"ץ בהיקף 300 שעות, צו מבחן, ומאסר על-תנאי.</w:t>
      </w:r>
    </w:p>
    <w:p w14:paraId="6BC8B02E" w14:textId="77777777" w:rsidR="00AB363D" w:rsidRDefault="00AB363D" w:rsidP="00AB363D">
      <w:pPr>
        <w:jc w:val="both"/>
        <w:rPr>
          <w:rFonts w:cs="FrankRuehl"/>
          <w:sz w:val="28"/>
          <w:szCs w:val="28"/>
          <w:rtl/>
        </w:rPr>
      </w:pPr>
    </w:p>
    <w:p w14:paraId="0D1BB2AD" w14:textId="77777777" w:rsidR="00AB363D" w:rsidRDefault="00AB363D" w:rsidP="00AB363D">
      <w:pPr>
        <w:spacing w:line="360" w:lineRule="auto"/>
        <w:jc w:val="both"/>
        <w:rPr>
          <w:rFonts w:cs="FrankRuehl"/>
          <w:sz w:val="28"/>
          <w:szCs w:val="28"/>
          <w:rtl/>
        </w:rPr>
      </w:pPr>
      <w:r>
        <w:rPr>
          <w:rFonts w:cs="FrankRuehl" w:hint="cs"/>
          <w:sz w:val="28"/>
          <w:szCs w:val="28"/>
          <w:rtl/>
        </w:rPr>
        <w:t>בתסקיר השני שהוגש, חזר שירות המבחן על המלצתו. לעניין ביטול ההרשעה, עמד שירות המבחן על כך שהנאשמת נרשמה ללימודי סיעוד. יחד עם זאת, במכלול השיקולים, נמנע מלבוא בהמלצה בעניין זה, והותיר את המלצתו הקודמת על כנה, תוך שתיאר שבתקופת הדחיה, תפקודה של הנאשמת היה חיובי וכך גם מידת שיתוף הפעולה שלה עם השירות.</w:t>
      </w:r>
    </w:p>
    <w:p w14:paraId="7AA241EE" w14:textId="77777777" w:rsidR="00AB363D" w:rsidRDefault="00AB363D" w:rsidP="00AB363D">
      <w:pPr>
        <w:spacing w:line="360" w:lineRule="auto"/>
        <w:jc w:val="both"/>
        <w:rPr>
          <w:rFonts w:cs="FrankRuehl"/>
          <w:sz w:val="28"/>
          <w:szCs w:val="28"/>
          <w:rtl/>
        </w:rPr>
      </w:pPr>
    </w:p>
    <w:p w14:paraId="3DC8324F" w14:textId="77777777" w:rsidR="00AB363D" w:rsidRDefault="00AB363D" w:rsidP="00AB363D">
      <w:pPr>
        <w:spacing w:line="360" w:lineRule="auto"/>
        <w:jc w:val="both"/>
        <w:rPr>
          <w:rFonts w:cs="FrankRuehl"/>
          <w:sz w:val="28"/>
          <w:szCs w:val="28"/>
          <w:rtl/>
        </w:rPr>
      </w:pPr>
      <w:r>
        <w:rPr>
          <w:rFonts w:cs="FrankRuehl" w:hint="cs"/>
          <w:sz w:val="28"/>
          <w:szCs w:val="28"/>
          <w:rtl/>
        </w:rPr>
        <w:t>בתסקיר האחרון שהוגש, עולה כי הנאשמת התמידה בשיתוף פעולה עם שירות המבחן לרבות מסירת בדיקת שתן נקיה. שירות המבחן עמד על מצבה התעסוקתי של הנאשמת, אשר פוטרה מעבודתה בשל משבר הקורונה. בהמשך מצאה עבודה בעמותת סיוע, כעולה מדבריה לפניי, וכן החלה בתהליכי הכשרה בתחום התכנות. שירות המבחן חזר על המלצתו.</w:t>
      </w:r>
    </w:p>
    <w:p w14:paraId="443EDB70" w14:textId="77777777" w:rsidR="00AB363D" w:rsidRDefault="00AB363D" w:rsidP="00AB363D">
      <w:pPr>
        <w:jc w:val="both"/>
        <w:rPr>
          <w:rFonts w:cs="FrankRuehl"/>
          <w:b/>
          <w:bCs/>
          <w:sz w:val="28"/>
          <w:szCs w:val="28"/>
          <w:u w:val="single"/>
          <w:rtl/>
        </w:rPr>
      </w:pPr>
    </w:p>
    <w:p w14:paraId="3A753041" w14:textId="77777777" w:rsidR="00AB363D" w:rsidRDefault="00AB363D" w:rsidP="00AB363D">
      <w:pPr>
        <w:spacing w:line="360" w:lineRule="auto"/>
        <w:jc w:val="both"/>
        <w:rPr>
          <w:rFonts w:cs="FrankRuehl"/>
          <w:b/>
          <w:bCs/>
          <w:sz w:val="28"/>
          <w:szCs w:val="28"/>
          <w:u w:val="single"/>
          <w:rtl/>
        </w:rPr>
      </w:pPr>
    </w:p>
    <w:p w14:paraId="3CC8FBEA" w14:textId="77777777" w:rsidR="00AB363D" w:rsidRDefault="00AB363D" w:rsidP="00AB363D">
      <w:pPr>
        <w:spacing w:line="360" w:lineRule="auto"/>
        <w:jc w:val="both"/>
        <w:rPr>
          <w:rFonts w:cs="FrankRuehl"/>
          <w:b/>
          <w:bCs/>
          <w:sz w:val="28"/>
          <w:szCs w:val="28"/>
          <w:u w:val="single"/>
          <w:rtl/>
        </w:rPr>
      </w:pPr>
      <w:r>
        <w:rPr>
          <w:rFonts w:cs="FrankRuehl" w:hint="cs"/>
          <w:b/>
          <w:bCs/>
          <w:sz w:val="28"/>
          <w:szCs w:val="28"/>
          <w:u w:val="single"/>
          <w:rtl/>
        </w:rPr>
        <w:t>חוות דעת של הממונה על עבודות השירות</w:t>
      </w:r>
    </w:p>
    <w:p w14:paraId="057512BC" w14:textId="77777777" w:rsidR="00AB363D" w:rsidRPr="00A16716" w:rsidRDefault="00AB363D" w:rsidP="00AB363D">
      <w:pPr>
        <w:spacing w:line="360" w:lineRule="auto"/>
        <w:jc w:val="both"/>
        <w:rPr>
          <w:rFonts w:cs="FrankRuehl"/>
          <w:b/>
          <w:bCs/>
          <w:sz w:val="28"/>
          <w:szCs w:val="28"/>
          <w:u w:val="single"/>
          <w:rtl/>
        </w:rPr>
      </w:pPr>
      <w:r>
        <w:rPr>
          <w:rFonts w:cs="FrankRuehl" w:hint="cs"/>
          <w:sz w:val="28"/>
          <w:szCs w:val="28"/>
          <w:rtl/>
        </w:rPr>
        <w:t xml:space="preserve">הממונה הגיש חוות דעת על אודות כשירות הנאשמת לבצע מאסר בעבודות שירות. מחוות הדעת עולה, כי הנאשמת כשירה לבצע עבודות שירות, ונמצא לה מקום השמה במוזיאון פעיל "עין יעל" בירושלים. </w:t>
      </w:r>
    </w:p>
    <w:p w14:paraId="775C57C9" w14:textId="77777777" w:rsidR="00AB363D" w:rsidRDefault="00AB363D" w:rsidP="00AB363D">
      <w:pPr>
        <w:spacing w:line="360" w:lineRule="auto"/>
        <w:jc w:val="both"/>
        <w:rPr>
          <w:rFonts w:cs="FrankRuehl"/>
          <w:sz w:val="28"/>
          <w:szCs w:val="28"/>
          <w:rtl/>
        </w:rPr>
      </w:pPr>
    </w:p>
    <w:p w14:paraId="2CA0C1A4" w14:textId="77777777" w:rsidR="00AB363D" w:rsidRPr="008E09A2" w:rsidRDefault="00AB363D" w:rsidP="00AB363D">
      <w:pPr>
        <w:spacing w:line="360" w:lineRule="auto"/>
        <w:jc w:val="both"/>
        <w:rPr>
          <w:rFonts w:cs="FrankRuehl"/>
          <w:b/>
          <w:bCs/>
          <w:sz w:val="28"/>
          <w:szCs w:val="28"/>
          <w:u w:val="single"/>
          <w:rtl/>
        </w:rPr>
      </w:pPr>
      <w:r w:rsidRPr="008E09A2">
        <w:rPr>
          <w:rFonts w:cs="FrankRuehl" w:hint="cs"/>
          <w:b/>
          <w:bCs/>
          <w:sz w:val="28"/>
          <w:szCs w:val="28"/>
          <w:u w:val="single"/>
          <w:rtl/>
        </w:rPr>
        <w:t>רישום תעבורתי</w:t>
      </w:r>
    </w:p>
    <w:p w14:paraId="2E3181BA" w14:textId="77777777" w:rsidR="00AB363D" w:rsidRDefault="00AB363D" w:rsidP="00AB363D">
      <w:pPr>
        <w:spacing w:line="360" w:lineRule="auto"/>
        <w:jc w:val="both"/>
        <w:rPr>
          <w:rFonts w:cs="FrankRuehl"/>
          <w:sz w:val="28"/>
          <w:szCs w:val="28"/>
          <w:rtl/>
        </w:rPr>
      </w:pPr>
      <w:r>
        <w:rPr>
          <w:rFonts w:cs="FrankRuehl" w:hint="cs"/>
          <w:sz w:val="28"/>
          <w:szCs w:val="28"/>
          <w:rtl/>
        </w:rPr>
        <w:t>לנאשמת 4 הרשעות תעבורתיות, מהן נהיגה במהירות מופרזת, סטיה מנתיב ונהיגה תחת השפעת סמים או משקאות משכרים. בגין הרשעה אחרונה זו משנת 2014 נדונה הנאשמת, בין היתר, לשל"ץ.</w:t>
      </w:r>
    </w:p>
    <w:p w14:paraId="3C4A8B8C" w14:textId="77777777" w:rsidR="00AB363D" w:rsidRDefault="00AB363D" w:rsidP="00AB363D">
      <w:pPr>
        <w:spacing w:line="360" w:lineRule="auto"/>
        <w:jc w:val="both"/>
        <w:rPr>
          <w:rFonts w:cs="FrankRuehl"/>
          <w:sz w:val="28"/>
          <w:szCs w:val="28"/>
          <w:rtl/>
        </w:rPr>
      </w:pPr>
    </w:p>
    <w:p w14:paraId="12D83E92" w14:textId="77777777" w:rsidR="00AB363D" w:rsidRDefault="00AB363D" w:rsidP="00AB363D">
      <w:pPr>
        <w:spacing w:line="360" w:lineRule="auto"/>
        <w:jc w:val="both"/>
        <w:rPr>
          <w:rFonts w:cs="FrankRuehl"/>
          <w:b/>
          <w:bCs/>
          <w:sz w:val="28"/>
          <w:szCs w:val="28"/>
          <w:u w:val="single"/>
          <w:rtl/>
        </w:rPr>
      </w:pPr>
      <w:r>
        <w:rPr>
          <w:rFonts w:cs="FrankRuehl" w:hint="cs"/>
          <w:b/>
          <w:bCs/>
          <w:sz w:val="28"/>
          <w:szCs w:val="28"/>
          <w:u w:val="single"/>
          <w:rtl/>
        </w:rPr>
        <w:t>טיעונים לעונש</w:t>
      </w:r>
    </w:p>
    <w:p w14:paraId="0CE5302C" w14:textId="77777777" w:rsidR="00AB363D" w:rsidRDefault="00AB363D" w:rsidP="00AB363D">
      <w:pPr>
        <w:spacing w:line="360" w:lineRule="auto"/>
        <w:jc w:val="both"/>
        <w:rPr>
          <w:rFonts w:cs="FrankRuehl"/>
          <w:sz w:val="28"/>
          <w:szCs w:val="28"/>
          <w:rtl/>
        </w:rPr>
      </w:pPr>
      <w:r>
        <w:rPr>
          <w:rFonts w:cs="FrankRuehl" w:hint="cs"/>
          <w:sz w:val="28"/>
          <w:szCs w:val="28"/>
          <w:rtl/>
        </w:rPr>
        <w:t xml:space="preserve">הצדדים לא הגיעו להסכמה עונשית. </w:t>
      </w:r>
    </w:p>
    <w:p w14:paraId="4F75C640" w14:textId="77777777" w:rsidR="00AB363D" w:rsidRDefault="00AB363D" w:rsidP="00AB363D">
      <w:pPr>
        <w:spacing w:line="360" w:lineRule="auto"/>
        <w:jc w:val="both"/>
        <w:rPr>
          <w:rFonts w:cs="FrankRuehl"/>
          <w:sz w:val="28"/>
          <w:szCs w:val="28"/>
          <w:rtl/>
        </w:rPr>
      </w:pPr>
      <w:r>
        <w:rPr>
          <w:rFonts w:cs="FrankRuehl" w:hint="cs"/>
          <w:sz w:val="28"/>
          <w:szCs w:val="28"/>
          <w:rtl/>
        </w:rPr>
        <w:t>מחד, ב"כ המאשימה טענה כי יש להטיל על הנאשמת עונש בתחתית מתחם המתחיל ב-9 חודשי מאסר שיכול וירוצו בעבודות שירות, פסילה בפועל וענישה נלווית.</w:t>
      </w:r>
    </w:p>
    <w:p w14:paraId="74435CEA" w14:textId="77777777" w:rsidR="00AB363D" w:rsidRDefault="00AB363D" w:rsidP="00AB363D">
      <w:pPr>
        <w:spacing w:line="360" w:lineRule="auto"/>
        <w:jc w:val="both"/>
        <w:rPr>
          <w:rFonts w:cs="FrankRuehl"/>
          <w:sz w:val="28"/>
          <w:szCs w:val="28"/>
        </w:rPr>
      </w:pPr>
      <w:r>
        <w:rPr>
          <w:rFonts w:cs="FrankRuehl" w:hint="cs"/>
          <w:sz w:val="28"/>
          <w:szCs w:val="28"/>
          <w:rtl/>
        </w:rPr>
        <w:t xml:space="preserve">מאידך, הסניגור ביקש לאמץ את המלצת שירות המבחן. </w:t>
      </w:r>
    </w:p>
    <w:p w14:paraId="57506AC7" w14:textId="77777777" w:rsidR="00AB363D" w:rsidRPr="008E09A2" w:rsidRDefault="00AB363D" w:rsidP="00AB363D">
      <w:pPr>
        <w:spacing w:line="360" w:lineRule="auto"/>
        <w:jc w:val="both"/>
        <w:rPr>
          <w:rFonts w:cs="FrankRuehl"/>
          <w:sz w:val="28"/>
          <w:szCs w:val="28"/>
          <w:rtl/>
        </w:rPr>
      </w:pPr>
    </w:p>
    <w:p w14:paraId="431D322E" w14:textId="77777777" w:rsidR="00AB363D" w:rsidRDefault="00AB363D" w:rsidP="00AB363D">
      <w:pPr>
        <w:spacing w:line="360" w:lineRule="auto"/>
        <w:jc w:val="both"/>
        <w:rPr>
          <w:rFonts w:cs="FrankRuehl"/>
          <w:b/>
          <w:bCs/>
          <w:sz w:val="28"/>
          <w:szCs w:val="28"/>
          <w:u w:val="single"/>
          <w:rtl/>
        </w:rPr>
      </w:pPr>
      <w:r>
        <w:rPr>
          <w:rFonts w:cs="FrankRuehl" w:hint="cs"/>
          <w:b/>
          <w:bCs/>
          <w:sz w:val="28"/>
          <w:szCs w:val="28"/>
          <w:u w:val="single"/>
          <w:rtl/>
        </w:rPr>
        <w:t xml:space="preserve">קביעת מתחם הענישה </w:t>
      </w:r>
      <w:r>
        <w:rPr>
          <w:rFonts w:cs="FrankRuehl" w:hint="cs"/>
          <w:sz w:val="28"/>
          <w:szCs w:val="28"/>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521AD90A" w14:textId="77777777" w:rsidR="00AB363D" w:rsidRDefault="00AB363D" w:rsidP="00AB363D">
      <w:pPr>
        <w:spacing w:line="360" w:lineRule="auto"/>
        <w:jc w:val="both"/>
        <w:rPr>
          <w:rFonts w:cs="FrankRuehl"/>
          <w:b/>
          <w:bCs/>
          <w:sz w:val="28"/>
          <w:szCs w:val="28"/>
          <w:u w:val="single"/>
          <w:rtl/>
        </w:rPr>
      </w:pPr>
    </w:p>
    <w:p w14:paraId="6B0535AA" w14:textId="77777777" w:rsidR="00AB363D" w:rsidRDefault="00AB363D" w:rsidP="00AB363D">
      <w:pPr>
        <w:spacing w:line="360" w:lineRule="auto"/>
        <w:jc w:val="both"/>
        <w:rPr>
          <w:rFonts w:cs="FrankRuehl"/>
          <w:sz w:val="28"/>
          <w:szCs w:val="28"/>
          <w:rtl/>
        </w:rPr>
      </w:pPr>
      <w:r>
        <w:rPr>
          <w:rFonts w:cs="FrankRuehl" w:hint="cs"/>
          <w:b/>
          <w:bCs/>
          <w:sz w:val="28"/>
          <w:szCs w:val="28"/>
          <w:u w:val="single"/>
          <w:rtl/>
        </w:rPr>
        <w:t xml:space="preserve">אשר לערך המוגן </w:t>
      </w:r>
      <w:r>
        <w:rPr>
          <w:rFonts w:cs="FrankRuehl" w:hint="cs"/>
          <w:sz w:val="28"/>
          <w:szCs w:val="28"/>
          <w:rtl/>
        </w:rPr>
        <w:t>– העבירות שעברה הנאשמת פוגעות בערכים המוגנים של שלום הציבור וביטחונו. נהיגה תחת השפעת סמים חמורה ומסוכנת ועלולה להסתיים באסון של ממש. בעניינו מידת הפגיעה בערכים המוגנים בינונית.</w:t>
      </w:r>
    </w:p>
    <w:p w14:paraId="41E89D37" w14:textId="77777777" w:rsidR="00AB363D" w:rsidRDefault="00AB363D" w:rsidP="00AB363D">
      <w:pPr>
        <w:spacing w:line="360" w:lineRule="auto"/>
        <w:jc w:val="both"/>
        <w:rPr>
          <w:rFonts w:cs="FrankRuehl"/>
          <w:sz w:val="28"/>
          <w:szCs w:val="28"/>
          <w:rtl/>
        </w:rPr>
      </w:pPr>
    </w:p>
    <w:p w14:paraId="13E41489" w14:textId="77777777" w:rsidR="00AB363D" w:rsidRDefault="00AB363D" w:rsidP="00AB363D">
      <w:pPr>
        <w:spacing w:line="360" w:lineRule="auto"/>
        <w:jc w:val="both"/>
        <w:rPr>
          <w:rFonts w:cs="FrankRuehl"/>
          <w:sz w:val="28"/>
          <w:szCs w:val="28"/>
        </w:rPr>
      </w:pPr>
      <w:r>
        <w:rPr>
          <w:rFonts w:cs="FrankRuehl" w:hint="cs"/>
          <w:b/>
          <w:bCs/>
          <w:sz w:val="28"/>
          <w:szCs w:val="28"/>
          <w:u w:val="single"/>
          <w:rtl/>
        </w:rPr>
        <w:t xml:space="preserve">נסיבות הקשורות בביצוע העבירה, לפי </w:t>
      </w:r>
      <w:hyperlink r:id="rId23" w:history="1">
        <w:r w:rsidR="00B36368" w:rsidRPr="00B36368">
          <w:rPr>
            <w:rStyle w:val="Hyperlink"/>
            <w:rFonts w:cs="FrankRuehl" w:hint="eastAsia"/>
            <w:b/>
            <w:bCs/>
            <w:sz w:val="28"/>
            <w:szCs w:val="28"/>
            <w:rtl/>
          </w:rPr>
          <w:t>סעיף</w:t>
        </w:r>
        <w:r w:rsidR="00B36368" w:rsidRPr="00B36368">
          <w:rPr>
            <w:rStyle w:val="Hyperlink"/>
            <w:rFonts w:cs="FrankRuehl"/>
            <w:b/>
            <w:bCs/>
            <w:sz w:val="28"/>
            <w:szCs w:val="28"/>
            <w:rtl/>
          </w:rPr>
          <w:t xml:space="preserve"> 40ט'</w:t>
        </w:r>
      </w:hyperlink>
      <w:r>
        <w:rPr>
          <w:rFonts w:cs="FrankRuehl" w:hint="cs"/>
          <w:b/>
          <w:bCs/>
          <w:sz w:val="28"/>
          <w:szCs w:val="28"/>
          <w:u w:val="single"/>
          <w:rtl/>
        </w:rPr>
        <w:t xml:space="preserve"> ל</w:t>
      </w:r>
      <w:hyperlink r:id="rId24" w:history="1">
        <w:r w:rsidR="00921E2C" w:rsidRPr="00921E2C">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בין הנסיבות הקשורות בביצוע העבירה יש לשקול את אלה, לעניין קביעת המתחם: אין מדובר בעבירה מתוכננת אלא בעבירה שבוצעה עקב שימוש בסמים ואלכוהול, תוך סיכון ציבור העוברים בדרך, ומכאן חומרתה; הנאשמת אחראית בלעדית למעשיה וצריכה הייתה להימנע מהם; בפועל נגרם נזק של סיכון המשתמשים בדרך באופן חוזר ונשנה באותו אירוע; למרבה המזל לא נגרם נזק בנפש או ברכוש, אך הפוטנציאל לנזק כזה הוא גדול, כפי שמוכיחה המציאות באופן תדיר; הנאשמת ביקשה להתנסות בסמים וזו הסיבה היחידה למצבה בעת האירוע </w:t>
      </w:r>
      <w:r>
        <w:rPr>
          <w:rFonts w:cs="FrankRuehl"/>
          <w:sz w:val="28"/>
          <w:szCs w:val="28"/>
          <w:rtl/>
        </w:rPr>
        <w:t>–</w:t>
      </w:r>
      <w:r>
        <w:rPr>
          <w:rFonts w:cs="FrankRuehl" w:hint="cs"/>
          <w:sz w:val="28"/>
          <w:szCs w:val="28"/>
          <w:rtl/>
        </w:rPr>
        <w:t xml:space="preserve"> זו נסיבה לחומרה כיוון שבנקל יכולה הייתה להימנע מהמעשים כאמור.</w:t>
      </w:r>
    </w:p>
    <w:p w14:paraId="2FF47F2C" w14:textId="77777777" w:rsidR="00AB363D" w:rsidRDefault="00AB363D" w:rsidP="00AB363D">
      <w:pPr>
        <w:spacing w:line="360" w:lineRule="auto"/>
        <w:jc w:val="both"/>
        <w:rPr>
          <w:rFonts w:cs="FrankRuehl"/>
          <w:b/>
          <w:bCs/>
          <w:sz w:val="28"/>
          <w:szCs w:val="28"/>
          <w:u w:val="single"/>
          <w:rtl/>
        </w:rPr>
      </w:pPr>
    </w:p>
    <w:p w14:paraId="51BF85B0" w14:textId="77777777" w:rsidR="00AB363D" w:rsidRDefault="00AB363D" w:rsidP="00AB363D">
      <w:pPr>
        <w:spacing w:line="360" w:lineRule="auto"/>
        <w:jc w:val="both"/>
        <w:rPr>
          <w:rFonts w:cs="FrankRuehl"/>
          <w:sz w:val="28"/>
          <w:szCs w:val="28"/>
          <w:rtl/>
        </w:rPr>
      </w:pPr>
      <w:r>
        <w:rPr>
          <w:rFonts w:cs="FrankRuehl" w:hint="cs"/>
          <w:b/>
          <w:bCs/>
          <w:sz w:val="28"/>
          <w:szCs w:val="28"/>
          <w:u w:val="single"/>
          <w:rtl/>
        </w:rPr>
        <w:t>מדיניות הענישה הנוהגת</w:t>
      </w:r>
      <w:r>
        <w:rPr>
          <w:rFonts w:cs="FrankRuehl" w:hint="cs"/>
          <w:b/>
          <w:bCs/>
          <w:sz w:val="28"/>
          <w:szCs w:val="28"/>
          <w:rtl/>
        </w:rPr>
        <w:t xml:space="preserve"> – </w:t>
      </w:r>
      <w:r>
        <w:rPr>
          <w:rFonts w:cs="FrankRuehl" w:hint="cs"/>
          <w:sz w:val="28"/>
          <w:szCs w:val="28"/>
          <w:rtl/>
        </w:rPr>
        <w:t>ענישה של מאסר בפועל בנסיבות האמורות אינה בלתי אפשרית. ב</w:t>
      </w:r>
      <w:hyperlink r:id="rId25" w:history="1">
        <w:r w:rsidR="00921E2C" w:rsidRPr="00921E2C">
          <w:rPr>
            <w:rFonts w:cs="FrankRuehl"/>
            <w:color w:val="0000FF"/>
            <w:sz w:val="28"/>
            <w:szCs w:val="28"/>
            <w:u w:val="single"/>
            <w:rtl/>
          </w:rPr>
          <w:t>רע"פ 6747/18</w:t>
        </w:r>
      </w:hyperlink>
      <w:r>
        <w:rPr>
          <w:rFonts w:cs="FrankRuehl" w:hint="cs"/>
          <w:sz w:val="28"/>
          <w:szCs w:val="28"/>
          <w:rtl/>
        </w:rPr>
        <w:t xml:space="preserve"> </w:t>
      </w:r>
      <w:r w:rsidRPr="00BD732C">
        <w:rPr>
          <w:rFonts w:cs="FrankRuehl" w:hint="cs"/>
          <w:b/>
          <w:bCs/>
          <w:sz w:val="28"/>
          <w:szCs w:val="28"/>
          <w:u w:val="single"/>
          <w:rtl/>
        </w:rPr>
        <w:t>צ'וקול</w:t>
      </w:r>
      <w:r>
        <w:rPr>
          <w:rFonts w:cs="FrankRuehl" w:hint="cs"/>
          <w:sz w:val="28"/>
          <w:szCs w:val="28"/>
          <w:rtl/>
        </w:rPr>
        <w:t xml:space="preserve"> נ' </w:t>
      </w:r>
      <w:r w:rsidRPr="00BD732C">
        <w:rPr>
          <w:rFonts w:cs="FrankRuehl" w:hint="cs"/>
          <w:b/>
          <w:bCs/>
          <w:sz w:val="28"/>
          <w:szCs w:val="28"/>
          <w:u w:val="single"/>
          <w:rtl/>
        </w:rPr>
        <w:t>מ"י</w:t>
      </w:r>
      <w:r>
        <w:rPr>
          <w:rFonts w:cs="FrankRuehl" w:hint="cs"/>
          <w:sz w:val="28"/>
          <w:szCs w:val="28"/>
          <w:rtl/>
        </w:rPr>
        <w:t xml:space="preserve"> (מיום 29.1.2018) אושר מתחם ענישה שבין 4 ל-15 חודשי מאסר בנסיבות חמורות ממקרנו; </w:t>
      </w:r>
      <w:r w:rsidRPr="004A56B5">
        <w:rPr>
          <w:rFonts w:cs="FrankRuehl" w:hint="cs"/>
          <w:sz w:val="28"/>
          <w:szCs w:val="28"/>
          <w:rtl/>
        </w:rPr>
        <w:t>ב</w:t>
      </w:r>
      <w:hyperlink r:id="rId26" w:history="1">
        <w:r w:rsidR="00921E2C" w:rsidRPr="00921E2C">
          <w:rPr>
            <w:rFonts w:cs="FrankRuehl"/>
            <w:color w:val="0000FF"/>
            <w:sz w:val="28"/>
            <w:szCs w:val="28"/>
            <w:u w:val="single"/>
            <w:rtl/>
          </w:rPr>
          <w:t>רע"פ 4628/17</w:t>
        </w:r>
      </w:hyperlink>
      <w:r w:rsidRPr="004A56B5">
        <w:rPr>
          <w:rFonts w:cs="FrankRuehl" w:hint="cs"/>
          <w:sz w:val="28"/>
          <w:szCs w:val="28"/>
          <w:rtl/>
        </w:rPr>
        <w:t xml:space="preserve"> </w:t>
      </w:r>
      <w:r w:rsidRPr="00BD732C">
        <w:rPr>
          <w:rFonts w:cs="FrankRuehl" w:hint="cs"/>
          <w:b/>
          <w:bCs/>
          <w:sz w:val="28"/>
          <w:szCs w:val="28"/>
          <w:u w:val="single"/>
          <w:rtl/>
        </w:rPr>
        <w:t>טלאלקה</w:t>
      </w:r>
      <w:r w:rsidRPr="004A56B5">
        <w:rPr>
          <w:rFonts w:cs="FrankRuehl" w:hint="cs"/>
          <w:sz w:val="28"/>
          <w:szCs w:val="28"/>
          <w:rtl/>
        </w:rPr>
        <w:t xml:space="preserve"> נ' </w:t>
      </w:r>
      <w:r w:rsidRPr="00BD732C">
        <w:rPr>
          <w:rFonts w:cs="FrankRuehl" w:hint="cs"/>
          <w:b/>
          <w:bCs/>
          <w:sz w:val="28"/>
          <w:szCs w:val="28"/>
          <w:u w:val="single"/>
          <w:rtl/>
        </w:rPr>
        <w:t>מ"י</w:t>
      </w:r>
      <w:r w:rsidRPr="004A56B5">
        <w:rPr>
          <w:rFonts w:cs="FrankRuehl" w:hint="cs"/>
          <w:sz w:val="28"/>
          <w:szCs w:val="28"/>
          <w:rtl/>
        </w:rPr>
        <w:t xml:space="preserve"> (מיום 8.4.2018) אושר מתחם ענישה שבין 3 </w:t>
      </w:r>
      <w:r w:rsidRPr="004A56B5">
        <w:rPr>
          <w:rFonts w:cs="FrankRuehl"/>
          <w:sz w:val="28"/>
          <w:szCs w:val="28"/>
          <w:rtl/>
        </w:rPr>
        <w:t>–</w:t>
      </w:r>
      <w:r w:rsidRPr="004A56B5">
        <w:rPr>
          <w:rFonts w:cs="FrankRuehl" w:hint="cs"/>
          <w:sz w:val="28"/>
          <w:szCs w:val="28"/>
          <w:rtl/>
        </w:rPr>
        <w:t xml:space="preserve"> 15 חודשי מאסר ונגזרו על נאשם 8 חודשי מאסר בנסיבות של נהיגה פוחזת שגרמה לתאונה.</w:t>
      </w:r>
      <w:r>
        <w:rPr>
          <w:rFonts w:cs="FrankRuehl" w:hint="cs"/>
          <w:sz w:val="28"/>
          <w:szCs w:val="28"/>
          <w:rtl/>
        </w:rPr>
        <w:t xml:space="preserve"> אשר לנהיגה בשכרות, ציין בית המשפט העליון ב</w:t>
      </w:r>
      <w:hyperlink r:id="rId27" w:history="1">
        <w:r w:rsidR="00921E2C" w:rsidRPr="00921E2C">
          <w:rPr>
            <w:rFonts w:cs="FrankRuehl"/>
            <w:color w:val="0000FF"/>
            <w:sz w:val="28"/>
            <w:szCs w:val="28"/>
            <w:u w:val="single"/>
            <w:rtl/>
          </w:rPr>
          <w:t>רע"פ 5034/18</w:t>
        </w:r>
      </w:hyperlink>
      <w:r>
        <w:rPr>
          <w:rFonts w:cs="FrankRuehl" w:hint="cs"/>
          <w:sz w:val="28"/>
          <w:szCs w:val="28"/>
          <w:rtl/>
        </w:rPr>
        <w:t xml:space="preserve"> </w:t>
      </w:r>
      <w:r w:rsidRPr="00BD732C">
        <w:rPr>
          <w:rFonts w:cs="FrankRuehl" w:hint="cs"/>
          <w:b/>
          <w:bCs/>
          <w:sz w:val="28"/>
          <w:szCs w:val="28"/>
          <w:u w:val="single"/>
          <w:rtl/>
        </w:rPr>
        <w:t>סופיר</w:t>
      </w:r>
      <w:r>
        <w:rPr>
          <w:rFonts w:cs="FrankRuehl" w:hint="cs"/>
          <w:sz w:val="28"/>
          <w:szCs w:val="28"/>
          <w:rtl/>
        </w:rPr>
        <w:t xml:space="preserve"> נ' </w:t>
      </w:r>
      <w:r w:rsidRPr="00BD732C">
        <w:rPr>
          <w:rFonts w:cs="FrankRuehl" w:hint="cs"/>
          <w:b/>
          <w:bCs/>
          <w:sz w:val="28"/>
          <w:szCs w:val="28"/>
          <w:u w:val="single"/>
          <w:rtl/>
        </w:rPr>
        <w:t>מ"י</w:t>
      </w:r>
      <w:r>
        <w:rPr>
          <w:rFonts w:cs="FrankRuehl" w:hint="cs"/>
          <w:sz w:val="28"/>
          <w:szCs w:val="28"/>
          <w:rtl/>
        </w:rPr>
        <w:t xml:space="preserve"> (מיום 4.7.2018) כי אין מקום לחרוג מענישת המינימום הנוגעת לפסילה למשך 24 חודשי פסילה בפועל. הפסיקה אליה היפנתה המאשימה </w:t>
      </w:r>
      <w:r>
        <w:rPr>
          <w:rFonts w:cs="FrankRuehl"/>
          <w:sz w:val="28"/>
          <w:szCs w:val="28"/>
          <w:rtl/>
        </w:rPr>
        <w:t>–</w:t>
      </w:r>
      <w:r>
        <w:rPr>
          <w:rFonts w:cs="FrankRuehl" w:hint="cs"/>
          <w:sz w:val="28"/>
          <w:szCs w:val="28"/>
          <w:rtl/>
        </w:rPr>
        <w:t xml:space="preserve"> </w:t>
      </w:r>
      <w:hyperlink r:id="rId28" w:history="1">
        <w:r w:rsidR="00921E2C" w:rsidRPr="00921E2C">
          <w:rPr>
            <w:rFonts w:cs="FrankRuehl"/>
            <w:color w:val="0000FF"/>
            <w:sz w:val="28"/>
            <w:szCs w:val="28"/>
            <w:u w:val="single"/>
            <w:rtl/>
          </w:rPr>
          <w:t>ת"פ (ב"ש) 15336-08-15</w:t>
        </w:r>
      </w:hyperlink>
      <w:r>
        <w:rPr>
          <w:rFonts w:cs="FrankRuehl" w:hint="cs"/>
          <w:sz w:val="28"/>
          <w:szCs w:val="28"/>
          <w:rtl/>
        </w:rPr>
        <w:t xml:space="preserve"> </w:t>
      </w:r>
      <w:r w:rsidRPr="001762D4">
        <w:rPr>
          <w:rFonts w:cs="FrankRuehl" w:hint="cs"/>
          <w:b/>
          <w:bCs/>
          <w:sz w:val="28"/>
          <w:szCs w:val="28"/>
          <w:u w:val="single"/>
          <w:rtl/>
        </w:rPr>
        <w:t>מ"י</w:t>
      </w:r>
      <w:r>
        <w:rPr>
          <w:rFonts w:cs="FrankRuehl" w:hint="cs"/>
          <w:sz w:val="28"/>
          <w:szCs w:val="28"/>
          <w:rtl/>
        </w:rPr>
        <w:t xml:space="preserve"> נ' </w:t>
      </w:r>
      <w:r w:rsidRPr="001762D4">
        <w:rPr>
          <w:rFonts w:cs="FrankRuehl" w:hint="cs"/>
          <w:b/>
          <w:bCs/>
          <w:sz w:val="28"/>
          <w:szCs w:val="28"/>
          <w:u w:val="single"/>
          <w:rtl/>
        </w:rPr>
        <w:t>עבודה</w:t>
      </w:r>
      <w:r>
        <w:rPr>
          <w:rFonts w:cs="FrankRuehl" w:hint="cs"/>
          <w:sz w:val="28"/>
          <w:szCs w:val="28"/>
          <w:rtl/>
        </w:rPr>
        <w:t xml:space="preserve">  (מיום 5.5.2016) </w:t>
      </w:r>
      <w:r>
        <w:rPr>
          <w:rFonts w:cs="FrankRuehl"/>
          <w:sz w:val="28"/>
          <w:szCs w:val="28"/>
          <w:rtl/>
        </w:rPr>
        <w:t>–</w:t>
      </w:r>
      <w:r>
        <w:rPr>
          <w:rFonts w:cs="FrankRuehl" w:hint="cs"/>
          <w:sz w:val="28"/>
          <w:szCs w:val="28"/>
          <w:rtl/>
        </w:rPr>
        <w:t xml:space="preserve"> משקפת את מדיניות הענישה עליה עמדתי. </w:t>
      </w:r>
    </w:p>
    <w:p w14:paraId="3B788E73" w14:textId="77777777" w:rsidR="00AB363D" w:rsidRDefault="00AB363D" w:rsidP="00AB363D">
      <w:pPr>
        <w:spacing w:line="360" w:lineRule="auto"/>
        <w:jc w:val="both"/>
        <w:rPr>
          <w:rFonts w:cs="FrankRuehl"/>
          <w:b/>
          <w:bCs/>
          <w:sz w:val="28"/>
          <w:szCs w:val="28"/>
          <w:u w:val="single"/>
          <w:rtl/>
        </w:rPr>
      </w:pPr>
    </w:p>
    <w:p w14:paraId="1AFD9FA1" w14:textId="77777777" w:rsidR="00AB363D" w:rsidRDefault="00AB363D" w:rsidP="00AB363D">
      <w:pPr>
        <w:spacing w:line="360" w:lineRule="auto"/>
        <w:jc w:val="both"/>
        <w:rPr>
          <w:rFonts w:cs="FrankRuehl"/>
          <w:sz w:val="28"/>
          <w:szCs w:val="28"/>
          <w:rtl/>
        </w:rPr>
      </w:pPr>
      <w:r>
        <w:rPr>
          <w:rFonts w:cs="FrankRuehl" w:hint="cs"/>
          <w:b/>
          <w:bCs/>
          <w:sz w:val="28"/>
          <w:szCs w:val="28"/>
          <w:u w:val="single"/>
          <w:rtl/>
        </w:rPr>
        <w:t>מתחם הענישה</w:t>
      </w:r>
      <w:r>
        <w:rPr>
          <w:rFonts w:cs="FrankRuehl" w:hint="cs"/>
          <w:sz w:val="28"/>
          <w:szCs w:val="28"/>
          <w:rtl/>
        </w:rPr>
        <w:t xml:space="preserve"> – לפיכך, מתחם הענישה צריך לעמוד על בין חודש ל-8 חודשי מאסר, לרבות בעבודות שירות, וכן פסילת מינימום של 24 חודשים וענישה נלווית.</w:t>
      </w:r>
    </w:p>
    <w:p w14:paraId="0EE1B2C4" w14:textId="77777777" w:rsidR="00AB363D" w:rsidRDefault="00AB363D" w:rsidP="00AB363D">
      <w:pPr>
        <w:spacing w:line="360" w:lineRule="auto"/>
        <w:jc w:val="both"/>
        <w:rPr>
          <w:rFonts w:cs="FrankRuehl"/>
          <w:b/>
          <w:bCs/>
          <w:sz w:val="28"/>
          <w:szCs w:val="28"/>
          <w:rtl/>
        </w:rPr>
      </w:pPr>
    </w:p>
    <w:p w14:paraId="0393C36D" w14:textId="77777777" w:rsidR="00AB363D" w:rsidRDefault="00AB363D" w:rsidP="00AB363D">
      <w:pPr>
        <w:spacing w:line="360" w:lineRule="auto"/>
        <w:jc w:val="both"/>
        <w:rPr>
          <w:rFonts w:cs="FrankRuehl"/>
          <w:sz w:val="28"/>
          <w:szCs w:val="28"/>
          <w:rtl/>
        </w:rPr>
      </w:pPr>
      <w:r>
        <w:rPr>
          <w:rFonts w:cs="FrankRuehl" w:hint="cs"/>
          <w:b/>
          <w:bCs/>
          <w:sz w:val="28"/>
          <w:szCs w:val="28"/>
          <w:u w:val="single"/>
          <w:rtl/>
        </w:rPr>
        <w:t xml:space="preserve">נסיבות שאינן קשורות בביצוע העבירה לפי </w:t>
      </w:r>
      <w:hyperlink r:id="rId29" w:history="1">
        <w:r w:rsidR="00B36368" w:rsidRPr="00B36368">
          <w:rPr>
            <w:rStyle w:val="Hyperlink"/>
            <w:rFonts w:cs="FrankRuehl" w:hint="eastAsia"/>
            <w:b/>
            <w:bCs/>
            <w:sz w:val="28"/>
            <w:szCs w:val="28"/>
            <w:rtl/>
          </w:rPr>
          <w:t>סעיף</w:t>
        </w:r>
        <w:r w:rsidR="00B36368" w:rsidRPr="00B36368">
          <w:rPr>
            <w:rStyle w:val="Hyperlink"/>
            <w:rFonts w:cs="FrankRuehl"/>
            <w:b/>
            <w:bCs/>
            <w:sz w:val="28"/>
            <w:szCs w:val="28"/>
            <w:rtl/>
          </w:rPr>
          <w:t xml:space="preserve"> 40י"א</w:t>
        </w:r>
      </w:hyperlink>
      <w:r>
        <w:rPr>
          <w:rFonts w:cs="FrankRuehl" w:hint="cs"/>
          <w:b/>
          <w:bCs/>
          <w:sz w:val="28"/>
          <w:szCs w:val="28"/>
          <w:u w:val="single"/>
          <w:rtl/>
        </w:rPr>
        <w:t xml:space="preserve"> ל</w:t>
      </w:r>
      <w:hyperlink r:id="rId30" w:history="1">
        <w:r w:rsidR="00921E2C" w:rsidRPr="00921E2C">
          <w:rPr>
            <w:rFonts w:cs="FrankRuehl"/>
            <w:b/>
            <w:bCs/>
            <w:color w:val="0000FF"/>
            <w:sz w:val="28"/>
            <w:szCs w:val="28"/>
            <w:u w:val="single"/>
            <w:rtl/>
          </w:rPr>
          <w:t>חוק העונשין</w:t>
        </w:r>
      </w:hyperlink>
      <w:r>
        <w:rPr>
          <w:rFonts w:cs="FrankRuehl" w:hint="cs"/>
          <w:b/>
          <w:bCs/>
          <w:sz w:val="28"/>
          <w:szCs w:val="28"/>
          <w:rtl/>
        </w:rPr>
        <w:t xml:space="preserve"> – </w:t>
      </w:r>
      <w:r>
        <w:rPr>
          <w:rFonts w:cs="FrankRuehl" w:hint="cs"/>
          <w:sz w:val="28"/>
          <w:szCs w:val="28"/>
          <w:rtl/>
        </w:rPr>
        <w:t xml:space="preserve">ניתן  לתת משקל לנסיבות הבאות שאינן קשורות בביצוע העבירה, במסגרת גזירת העונש בתוך המתחם: מדובר בנאשמת שלמרות הקשיים בחייה, הוכיחה יכולות לימודיות ותעסוקתיות מרשימות, ויש לה שאיפות נורמטיביות; היא נטלה אחריות למעשיה ונכונה לטיפול בשירות המבחן; לחובתה, עברה התעבורתי. במסגרת הטיעונים לעונש היום, חזרה בה הנאשמת באמצעות בא-כוחה, מבקשתה לביטול הרשעתה, וטוב שעשתה כן. שמעתי ממנה ומאמה על השינוי העמוק שעברה בשנתיים האחרונות, והשתכנעתי כי אכן הנאשמת נוטלת אחריות מלאה וכנה למעשים, ופועלת לתרום לעצמה ולחברה, ולהיטיב עם עצמה ועם החברה. </w:t>
      </w:r>
    </w:p>
    <w:p w14:paraId="56BCE53E" w14:textId="77777777" w:rsidR="00AB363D" w:rsidRDefault="00AB363D" w:rsidP="00AB363D">
      <w:pPr>
        <w:spacing w:line="360" w:lineRule="auto"/>
        <w:jc w:val="both"/>
        <w:rPr>
          <w:rFonts w:cs="FrankRuehl"/>
          <w:sz w:val="28"/>
          <w:szCs w:val="28"/>
          <w:rtl/>
        </w:rPr>
      </w:pPr>
    </w:p>
    <w:p w14:paraId="27B361A7" w14:textId="77777777" w:rsidR="00AB363D" w:rsidRDefault="00AB363D" w:rsidP="00AB363D">
      <w:pPr>
        <w:spacing w:line="360" w:lineRule="auto"/>
        <w:jc w:val="both"/>
        <w:rPr>
          <w:rFonts w:cs="FrankRuehl"/>
          <w:sz w:val="28"/>
          <w:szCs w:val="28"/>
          <w:rtl/>
        </w:rPr>
      </w:pPr>
      <w:r>
        <w:rPr>
          <w:rFonts w:cs="FrankRuehl" w:hint="cs"/>
          <w:b/>
          <w:bCs/>
          <w:sz w:val="28"/>
          <w:szCs w:val="28"/>
          <w:u w:val="single"/>
          <w:rtl/>
        </w:rPr>
        <w:t>המיקום במתחם</w:t>
      </w:r>
      <w:r>
        <w:rPr>
          <w:rFonts w:cs="FrankRuehl" w:hint="cs"/>
          <w:sz w:val="28"/>
          <w:szCs w:val="28"/>
          <w:rtl/>
        </w:rPr>
        <w:t xml:space="preserve"> </w:t>
      </w:r>
      <w:r>
        <w:rPr>
          <w:rFonts w:cs="FrankRuehl"/>
          <w:sz w:val="28"/>
          <w:szCs w:val="28"/>
          <w:rtl/>
        </w:rPr>
        <w:t>–</w:t>
      </w:r>
      <w:r>
        <w:rPr>
          <w:rFonts w:cs="FrankRuehl" w:hint="cs"/>
          <w:sz w:val="28"/>
          <w:szCs w:val="28"/>
          <w:rtl/>
        </w:rPr>
        <w:t xml:space="preserve"> נוכח כל האמור ונוכח כברת הדרך שעשתה הנאשמת לאחר ביצוע העבירות כאן, יש מקום לחרוג ממתחם הענישה לקולא, ולאמץ את המלצת שירות המבחן. הנאשמת הוכיחה רצינות והתמדה, ויש לקוות שתתמיד בכך לעתיד לבוא. אם לא הייתי נכון לסטות ממתחם הענישה שנקבע מטעמי שיקום, כי אז היה מקום להטיל עליה עונש באמצע המתחם שקבעתי. עוד יש לומר, כי עצם הותרת ההרשעה על כנה המתחייבת בנסיבות העניין, אני מאמין ומקווה שככל שהנאשמת תתמיד בדרכה, היא תהיה ראויה למתן אמון ע"י כל מעסיק. יש לתת לכך משקל. </w:t>
      </w:r>
    </w:p>
    <w:p w14:paraId="27B60D40" w14:textId="77777777" w:rsidR="00AB363D" w:rsidRDefault="00AB363D" w:rsidP="00AB363D">
      <w:pPr>
        <w:spacing w:line="360" w:lineRule="auto"/>
        <w:jc w:val="both"/>
        <w:rPr>
          <w:rFonts w:cs="FrankRuehl"/>
          <w:b/>
          <w:bCs/>
          <w:sz w:val="28"/>
          <w:szCs w:val="28"/>
          <w:u w:val="single"/>
          <w:rtl/>
        </w:rPr>
      </w:pPr>
    </w:p>
    <w:p w14:paraId="0E2711F7" w14:textId="77777777" w:rsidR="00AB363D" w:rsidRDefault="00AB363D" w:rsidP="00AB363D">
      <w:pPr>
        <w:spacing w:line="360" w:lineRule="auto"/>
        <w:jc w:val="both"/>
        <w:rPr>
          <w:rFonts w:cs="FrankRuehl"/>
          <w:b/>
          <w:bCs/>
          <w:sz w:val="28"/>
          <w:szCs w:val="28"/>
          <w:u w:val="single"/>
          <w:rtl/>
        </w:rPr>
      </w:pPr>
      <w:r>
        <w:rPr>
          <w:rFonts w:cs="FrankRuehl" w:hint="cs"/>
          <w:b/>
          <w:bCs/>
          <w:sz w:val="28"/>
          <w:szCs w:val="28"/>
          <w:u w:val="single"/>
          <w:rtl/>
        </w:rPr>
        <w:t>גזירת הדין</w:t>
      </w:r>
    </w:p>
    <w:p w14:paraId="0BE8EFAC" w14:textId="77777777" w:rsidR="00AB363D" w:rsidRDefault="00AB363D" w:rsidP="00AB363D">
      <w:pPr>
        <w:spacing w:line="360" w:lineRule="auto"/>
        <w:jc w:val="both"/>
        <w:rPr>
          <w:rFonts w:cs="FrankRuehl"/>
          <w:sz w:val="28"/>
          <w:szCs w:val="28"/>
          <w:rtl/>
        </w:rPr>
      </w:pPr>
      <w:r>
        <w:rPr>
          <w:rFonts w:cs="FrankRuehl" w:hint="cs"/>
          <w:sz w:val="28"/>
          <w:szCs w:val="28"/>
          <w:rtl/>
        </w:rPr>
        <w:t>לפיכך, אני מחליט לגזור על הנאשמת את העונשים הבאים:</w:t>
      </w:r>
    </w:p>
    <w:p w14:paraId="023F6325"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 xml:space="preserve">חודש מאסר שלא ירוצה, אלא אם תעבור הנאשמת כל עבירת עוון לפי </w:t>
      </w:r>
      <w:hyperlink r:id="rId31" w:history="1">
        <w:r w:rsidR="00921E2C" w:rsidRPr="00921E2C">
          <w:rPr>
            <w:rFonts w:cs="FrankRuehl"/>
            <w:color w:val="0000FF"/>
            <w:sz w:val="28"/>
            <w:szCs w:val="28"/>
            <w:u w:val="single"/>
            <w:rtl/>
          </w:rPr>
          <w:t>פקודת הסמים המסוכנים</w:t>
        </w:r>
      </w:hyperlink>
      <w:r>
        <w:rPr>
          <w:rFonts w:cs="FrankRuehl" w:hint="cs"/>
          <w:sz w:val="28"/>
          <w:szCs w:val="28"/>
          <w:rtl/>
        </w:rPr>
        <w:t xml:space="preserve"> בתוך שנתיים מהיום;</w:t>
      </w:r>
    </w:p>
    <w:p w14:paraId="54CB24C2"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 xml:space="preserve">3 חודשי מאסר לא ירוצו אלא אם תעבור הנאשמת כל עבירת פשע לפי </w:t>
      </w:r>
      <w:hyperlink r:id="rId32" w:history="1">
        <w:r w:rsidR="00921E2C" w:rsidRPr="00921E2C">
          <w:rPr>
            <w:rFonts w:cs="FrankRuehl"/>
            <w:color w:val="0000FF"/>
            <w:sz w:val="28"/>
            <w:szCs w:val="28"/>
            <w:u w:val="single"/>
            <w:rtl/>
          </w:rPr>
          <w:t>פקודת הסמים המסוכנים</w:t>
        </w:r>
      </w:hyperlink>
      <w:r>
        <w:rPr>
          <w:rFonts w:cs="FrankRuehl" w:hint="cs"/>
          <w:sz w:val="28"/>
          <w:szCs w:val="28"/>
          <w:rtl/>
        </w:rPr>
        <w:t xml:space="preserve"> בתוך שנתיים מהיום;</w:t>
      </w:r>
    </w:p>
    <w:p w14:paraId="104E07AA"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6 חודשי מאסר שלא ירוצו, אלא אם תעבור הנאשמת בתוך שנתיים מהיום את עבירות התעבורה בהן הורשעה;</w:t>
      </w:r>
    </w:p>
    <w:p w14:paraId="1C88BF6E"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קנס בסך 2,000 ₪, אשר ישולם החל מיום 1.2.2021, או שבועיים ימי מאסר תמורתו אם לא ישולם. הקנס ישולם ב-10 תשלומים שווים ורצופים בכל 1 בחודש. לא ישולם תשלום במועד או לא ישולם כלל, יעמוד הקנס לפירעון מיידי;</w:t>
      </w:r>
    </w:p>
    <w:p w14:paraId="45249B0E"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פסילה מלקבל או מלהחזיק ברישיון נהיגה בפועל במשך 24 חודשים מהיום. מתקופה זו אנכה 12 חודשים בהם לא נהגה הנאשמת. אין צורך בהפקדת רישיון;</w:t>
      </w:r>
    </w:p>
    <w:p w14:paraId="285D357D"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פסילה מלקבל או מלהחזיק ברישיון נהיגה וזאת לתקופה של 36 חודשים, שלא תעבור הנאשמת במשך 3 שנים את העבירות בהן הורשעה;</w:t>
      </w:r>
    </w:p>
    <w:p w14:paraId="1AD9C83D" w14:textId="77777777" w:rsidR="00AB363D" w:rsidRDefault="00AB363D" w:rsidP="00AB363D">
      <w:pPr>
        <w:numPr>
          <w:ilvl w:val="0"/>
          <w:numId w:val="1"/>
        </w:numPr>
        <w:spacing w:after="160" w:line="360" w:lineRule="auto"/>
        <w:contextualSpacing/>
        <w:jc w:val="both"/>
        <w:rPr>
          <w:rFonts w:cs="FrankRuehl"/>
          <w:sz w:val="28"/>
          <w:szCs w:val="28"/>
        </w:rPr>
      </w:pPr>
      <w:r>
        <w:rPr>
          <w:rFonts w:cs="FrankRuehl" w:hint="cs"/>
          <w:sz w:val="28"/>
          <w:szCs w:val="28"/>
          <w:rtl/>
        </w:rPr>
        <w:t>300 שעות שירות לתועלת הציבור (של"ץ), אשר ירוצו החל מיום 1.2.2021 במקום השמה עליו ימליץ שירות המבחן בהתאם לתוכנית שיגיש בתוך 30 יום מהיום. השירות יפקח על ביצוע התוכנית. הנאשמת הוזהרה, כי אי-קיום צו השל"ץ באופן משביע רצון עלול להביא להפקעת הצו ולדיון מחודש בשאלת גזר הדין הראוי לרבות הטלת מאסר בפועל;</w:t>
      </w:r>
    </w:p>
    <w:p w14:paraId="2FE39F1B" w14:textId="77777777" w:rsidR="00AB363D" w:rsidRDefault="00AB363D" w:rsidP="00AB363D">
      <w:pPr>
        <w:numPr>
          <w:ilvl w:val="0"/>
          <w:numId w:val="1"/>
        </w:numPr>
        <w:spacing w:after="160" w:line="360" w:lineRule="auto"/>
        <w:contextualSpacing/>
        <w:jc w:val="both"/>
        <w:rPr>
          <w:rFonts w:cs="FrankRuehl"/>
          <w:sz w:val="28"/>
          <w:szCs w:val="28"/>
          <w:rtl/>
        </w:rPr>
      </w:pPr>
      <w:r>
        <w:rPr>
          <w:rFonts w:cs="FrankRuehl" w:hint="cs"/>
          <w:sz w:val="28"/>
          <w:szCs w:val="28"/>
          <w:rtl/>
        </w:rPr>
        <w:t>צו מבחן לתקופה של 18 חודשים מהיום. במהלך תקופה זו מחויבת הנאשמת בשיתוף פעולה עם שירות המבחן, כאשר מובהר כי הפרת  הצו תוכל להביא לפתיחה מחודשת של המשפט וגזירת עונשה, לרבות עונש מאסר.</w:t>
      </w:r>
    </w:p>
    <w:p w14:paraId="4A5BAB92" w14:textId="77777777" w:rsidR="00AB363D" w:rsidRDefault="00AB363D" w:rsidP="00AB363D">
      <w:pPr>
        <w:numPr>
          <w:ilvl w:val="0"/>
          <w:numId w:val="1"/>
        </w:numPr>
        <w:spacing w:after="160" w:line="360" w:lineRule="auto"/>
        <w:contextualSpacing/>
        <w:jc w:val="both"/>
        <w:rPr>
          <w:rFonts w:cs="FrankRuehl"/>
          <w:sz w:val="28"/>
          <w:szCs w:val="28"/>
          <w:rtl/>
        </w:rPr>
      </w:pPr>
      <w:r>
        <w:rPr>
          <w:rFonts w:cs="FrankRuehl" w:hint="cs"/>
          <w:sz w:val="28"/>
          <w:szCs w:val="28"/>
          <w:rtl/>
        </w:rPr>
        <w:t>התחייבות בסך 10,000 ₪ שלא לעבור כל עבירת סמים מסוג לפי פקודת הסמים וכן את העבירות האחרות בהן הורשעה בתיק זה, במשך שנתיים מהיום. הובהר לנאשמת  שמשמעות ההתחייבות היא, כי אם תעבור את העבירה בתוך התקופה שצוינה, בית המשפט שיגזור את הדין יהא חייב לחלט את ההתחייבות כקנס.</w:t>
      </w:r>
    </w:p>
    <w:p w14:paraId="39D1D4EF" w14:textId="77777777" w:rsidR="00AB363D" w:rsidRDefault="00AB363D" w:rsidP="00AB363D">
      <w:pPr>
        <w:spacing w:line="360" w:lineRule="auto"/>
        <w:rPr>
          <w:rFonts w:ascii="FrankRuehl" w:hAnsi="FrankRuehl" w:cs="FrankRuehl"/>
          <w:sz w:val="28"/>
          <w:szCs w:val="28"/>
          <w:rtl/>
        </w:rPr>
      </w:pPr>
    </w:p>
    <w:p w14:paraId="41E2A6F2" w14:textId="77777777" w:rsidR="00AB363D" w:rsidRDefault="00AB363D" w:rsidP="00AB363D">
      <w:pPr>
        <w:spacing w:line="360" w:lineRule="auto"/>
        <w:rPr>
          <w:rFonts w:ascii="FrankRuehl" w:hAnsi="FrankRuehl" w:cs="FrankRuehl"/>
          <w:sz w:val="28"/>
          <w:szCs w:val="28"/>
          <w:rtl/>
        </w:rPr>
      </w:pPr>
      <w:r>
        <w:rPr>
          <w:rFonts w:ascii="FrankRuehl" w:hAnsi="FrankRuehl" w:cs="FrankRuehl" w:hint="cs"/>
          <w:sz w:val="28"/>
          <w:szCs w:val="28"/>
          <w:rtl/>
        </w:rPr>
        <w:t xml:space="preserve">מורה על השמדת הסמים. </w:t>
      </w:r>
    </w:p>
    <w:p w14:paraId="2F2B6EC0" w14:textId="77777777" w:rsidR="00AB363D" w:rsidRDefault="00AB363D" w:rsidP="00AB363D">
      <w:pPr>
        <w:spacing w:line="360" w:lineRule="auto"/>
        <w:rPr>
          <w:rFonts w:ascii="FrankRuehl" w:hAnsi="FrankRuehl" w:cs="FrankRuehl"/>
          <w:sz w:val="28"/>
          <w:szCs w:val="28"/>
          <w:rtl/>
        </w:rPr>
      </w:pPr>
    </w:p>
    <w:p w14:paraId="3044979D" w14:textId="77777777" w:rsidR="00AB363D" w:rsidRDefault="00AB363D" w:rsidP="00AB363D">
      <w:pPr>
        <w:spacing w:line="360" w:lineRule="auto"/>
        <w:rPr>
          <w:rFonts w:ascii="FrankRuehl" w:hAnsi="FrankRuehl" w:cs="FrankRuehl"/>
          <w:sz w:val="28"/>
          <w:szCs w:val="28"/>
        </w:rPr>
      </w:pPr>
      <w:r>
        <w:rPr>
          <w:rFonts w:ascii="FrankRuehl" w:hAnsi="FrankRuehl" w:cs="FrankRuehl" w:hint="cs"/>
          <w:sz w:val="28"/>
          <w:szCs w:val="28"/>
          <w:rtl/>
        </w:rPr>
        <w:t>יש לשלוח לשירות המבחן ולממונה על עבודות שירות.</w:t>
      </w:r>
    </w:p>
    <w:p w14:paraId="52793009" w14:textId="77777777" w:rsidR="00AB363D" w:rsidRDefault="00AB363D" w:rsidP="00AB363D">
      <w:pPr>
        <w:rPr>
          <w:rFonts w:ascii="FrankRuehl" w:hAnsi="FrankRuehl" w:cs="FrankRuehl"/>
          <w:sz w:val="28"/>
          <w:szCs w:val="28"/>
          <w:rtl/>
        </w:rPr>
      </w:pPr>
    </w:p>
    <w:p w14:paraId="0E34A67C" w14:textId="77777777" w:rsidR="00AB363D" w:rsidRDefault="00AB363D" w:rsidP="00AB363D">
      <w:pPr>
        <w:spacing w:line="360" w:lineRule="auto"/>
        <w:jc w:val="both"/>
        <w:rPr>
          <w:rFonts w:ascii="FrankRuehl" w:hAnsi="FrankRuehl" w:cs="FrankRuehl"/>
          <w:sz w:val="28"/>
          <w:szCs w:val="28"/>
          <w:rtl/>
        </w:rPr>
      </w:pPr>
      <w:r>
        <w:rPr>
          <w:rFonts w:ascii="FrankRuehl" w:hAnsi="FrankRuehl" w:cs="FrankRuehl" w:hint="cs"/>
          <w:sz w:val="28"/>
          <w:szCs w:val="28"/>
          <w:rtl/>
        </w:rPr>
        <w:t xml:space="preserve">לבקשת המאשימה מעכב את ביצוע ריצוי עונש השל"ץ עד להכרעה בערעור ככל שיוגש, אם יוגש במועד. </w:t>
      </w:r>
    </w:p>
    <w:p w14:paraId="14E39507" w14:textId="77777777" w:rsidR="00AB363D" w:rsidRDefault="00AB363D" w:rsidP="00AB363D">
      <w:pPr>
        <w:rPr>
          <w:rFonts w:ascii="FrankRuehl" w:hAnsi="FrankRuehl" w:cs="FrankRuehl"/>
          <w:sz w:val="28"/>
          <w:szCs w:val="28"/>
          <w:rtl/>
        </w:rPr>
      </w:pPr>
    </w:p>
    <w:p w14:paraId="79D8E6EF" w14:textId="77777777" w:rsidR="00AB363D" w:rsidRDefault="00AB363D" w:rsidP="00AB363D">
      <w:pPr>
        <w:rPr>
          <w:rFonts w:ascii="FrankRuehl" w:hAnsi="FrankRuehl" w:cs="FrankRuehl"/>
          <w:sz w:val="28"/>
          <w:szCs w:val="28"/>
          <w:rtl/>
        </w:rPr>
      </w:pPr>
    </w:p>
    <w:p w14:paraId="11206446" w14:textId="77777777" w:rsidR="00AB363D" w:rsidRDefault="00AB363D" w:rsidP="00AB363D">
      <w:pPr>
        <w:rPr>
          <w:rFonts w:ascii="FrankRuehl" w:hAnsi="FrankRuehl" w:cs="FrankRuehl"/>
          <w:sz w:val="28"/>
          <w:szCs w:val="28"/>
          <w:rtl/>
        </w:rPr>
      </w:pPr>
      <w:r>
        <w:rPr>
          <w:rFonts w:ascii="FrankRuehl" w:hAnsi="FrankRuehl" w:cs="FrankRuehl" w:hint="cs"/>
          <w:sz w:val="28"/>
          <w:szCs w:val="28"/>
          <w:rtl/>
        </w:rPr>
        <w:t>זכות ערעור כחוק לבית המשפט המחוזי בירושלים בתוך 45 יום מהיום.</w:t>
      </w:r>
    </w:p>
    <w:p w14:paraId="22B3983D" w14:textId="77777777" w:rsidR="00AB363D" w:rsidRPr="003B343C" w:rsidRDefault="00AB363D" w:rsidP="00AB363D"/>
    <w:p w14:paraId="5EE42896" w14:textId="77777777" w:rsidR="00AB363D" w:rsidRPr="00B05847" w:rsidRDefault="00AB363D" w:rsidP="00AB363D">
      <w:pPr>
        <w:rPr>
          <w:rtl/>
        </w:rPr>
      </w:pPr>
    </w:p>
    <w:p w14:paraId="71F5E6D2" w14:textId="77777777" w:rsidR="00AB363D" w:rsidRPr="00921E2C" w:rsidRDefault="00921E2C" w:rsidP="00AB363D">
      <w:pPr>
        <w:rPr>
          <w:color w:val="FFFFFF"/>
          <w:sz w:val="2"/>
          <w:szCs w:val="2"/>
          <w:rtl/>
        </w:rPr>
      </w:pPr>
      <w:r w:rsidRPr="00921E2C">
        <w:rPr>
          <w:color w:val="FFFFFF"/>
          <w:sz w:val="2"/>
          <w:szCs w:val="2"/>
          <w:rtl/>
        </w:rPr>
        <w:t>5129371</w:t>
      </w:r>
    </w:p>
    <w:p w14:paraId="01A4E873" w14:textId="77777777" w:rsidR="00AB363D" w:rsidRPr="004C31E0" w:rsidRDefault="00921E2C" w:rsidP="00AB363D">
      <w:pPr>
        <w:rPr>
          <w:rFonts w:cs="FrankRuehl"/>
          <w:sz w:val="28"/>
          <w:szCs w:val="28"/>
          <w:rtl/>
        </w:rPr>
      </w:pPr>
      <w:bookmarkStart w:id="8" w:name="Nitan"/>
      <w:r w:rsidRPr="00921E2C">
        <w:rPr>
          <w:rFonts w:ascii="Arial" w:hAnsi="Arial"/>
          <w:color w:val="FFFFFF"/>
          <w:sz w:val="2"/>
          <w:szCs w:val="2"/>
          <w:rtl/>
        </w:rPr>
        <w:t>54678313</w:t>
      </w:r>
      <w:r>
        <w:rPr>
          <w:rFonts w:ascii="Arial" w:hAnsi="Arial"/>
          <w:rtl/>
        </w:rPr>
        <w:t xml:space="preserve">ניתן היום,  כ' כסלו תשפ"א, 06 דצמבר 2020, במעמד הצדדים. </w:t>
      </w:r>
      <w:bookmarkEnd w:id="8"/>
    </w:p>
    <w:p w14:paraId="2E763575" w14:textId="77777777" w:rsidR="00AB363D" w:rsidRDefault="00AB363D" w:rsidP="00921E2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7ED8D65" w14:textId="77777777" w:rsidR="00AB363D" w:rsidRDefault="00AB363D" w:rsidP="00AB363D">
      <w:pPr>
        <w:jc w:val="center"/>
        <w:rPr>
          <w:rFonts w:ascii="Arial" w:hAnsi="Arial" w:cs="FrankRuehl"/>
          <w:sz w:val="28"/>
          <w:szCs w:val="28"/>
          <w:rtl/>
        </w:rPr>
      </w:pPr>
    </w:p>
    <w:p w14:paraId="3F560A09" w14:textId="77777777" w:rsidR="00AB363D" w:rsidRDefault="00AB363D" w:rsidP="00AB363D">
      <w:pPr>
        <w:rPr>
          <w:rFonts w:cs="FrankRuehl"/>
          <w:sz w:val="28"/>
          <w:szCs w:val="28"/>
          <w:rtl/>
        </w:rPr>
      </w:pPr>
    </w:p>
    <w:p w14:paraId="62CBCF26" w14:textId="77777777" w:rsidR="00AB363D" w:rsidRDefault="00AB363D" w:rsidP="00AB363D">
      <w:pPr>
        <w:pStyle w:val="a3"/>
        <w:jc w:val="center"/>
        <w:rPr>
          <w:rtl/>
        </w:rPr>
      </w:pPr>
    </w:p>
    <w:p w14:paraId="3FD6DF17" w14:textId="77777777" w:rsidR="00AF7945" w:rsidRPr="00921E2C" w:rsidRDefault="00AF7945" w:rsidP="00921E2C">
      <w:pPr>
        <w:keepNext/>
        <w:rPr>
          <w:rFonts w:ascii="David" w:hAnsi="David"/>
          <w:color w:val="000000"/>
          <w:sz w:val="22"/>
          <w:szCs w:val="22"/>
          <w:rtl/>
        </w:rPr>
      </w:pPr>
    </w:p>
    <w:p w14:paraId="3139399E" w14:textId="77777777" w:rsidR="00921E2C" w:rsidRPr="00921E2C" w:rsidRDefault="00921E2C" w:rsidP="00921E2C">
      <w:pPr>
        <w:keepNext/>
        <w:rPr>
          <w:rFonts w:ascii="David" w:hAnsi="David"/>
          <w:color w:val="000000"/>
          <w:sz w:val="22"/>
          <w:szCs w:val="22"/>
          <w:rtl/>
        </w:rPr>
      </w:pPr>
      <w:r w:rsidRPr="00921E2C">
        <w:rPr>
          <w:rFonts w:ascii="David" w:hAnsi="David"/>
          <w:color w:val="000000"/>
          <w:sz w:val="22"/>
          <w:szCs w:val="22"/>
          <w:rtl/>
        </w:rPr>
        <w:t>דוד שאול גבאי ריכטר 54678313</w:t>
      </w:r>
    </w:p>
    <w:p w14:paraId="7B642814" w14:textId="77777777" w:rsidR="00921E2C" w:rsidRDefault="00921E2C" w:rsidP="00921E2C">
      <w:pPr>
        <w:rPr>
          <w:rFonts w:hint="cs"/>
        </w:rPr>
      </w:pPr>
      <w:r w:rsidRPr="00921E2C">
        <w:rPr>
          <w:color w:val="000000"/>
          <w:rtl/>
        </w:rPr>
        <w:t>נוסח מסמך זה כפוף לשינויי ניסוח ועריכה</w:t>
      </w:r>
      <w:r w:rsidR="00E43F12">
        <w:rPr>
          <w:rFonts w:hint="cs"/>
          <w:rtl/>
        </w:rPr>
        <w:t xml:space="preserve"> </w:t>
      </w:r>
    </w:p>
    <w:p w14:paraId="4C62849F" w14:textId="77777777" w:rsidR="00921E2C" w:rsidRDefault="00921E2C" w:rsidP="00921E2C">
      <w:pPr>
        <w:rPr>
          <w:rtl/>
        </w:rPr>
      </w:pPr>
    </w:p>
    <w:p w14:paraId="7A869D40" w14:textId="77777777" w:rsidR="00921E2C" w:rsidRDefault="00921E2C" w:rsidP="00921E2C">
      <w:pPr>
        <w:jc w:val="center"/>
        <w:rPr>
          <w:color w:val="0000FF"/>
          <w:u w:val="single"/>
        </w:rPr>
      </w:pPr>
      <w:hyperlink r:id="rId33" w:history="1">
        <w:r>
          <w:rPr>
            <w:color w:val="0000FF"/>
            <w:u w:val="single"/>
            <w:rtl/>
          </w:rPr>
          <w:t>בעניין עריכה ושינויים במסמכי פסיקה, חקיקה ועוד באתר נבו – הקש כאן</w:t>
        </w:r>
      </w:hyperlink>
    </w:p>
    <w:p w14:paraId="194BAA1F" w14:textId="77777777" w:rsidR="00921E2C" w:rsidRPr="00921E2C" w:rsidRDefault="00921E2C" w:rsidP="00921E2C">
      <w:pPr>
        <w:jc w:val="center"/>
        <w:rPr>
          <w:color w:val="0000FF"/>
          <w:u w:val="single"/>
        </w:rPr>
      </w:pPr>
    </w:p>
    <w:sectPr w:rsidR="00921E2C" w:rsidRPr="00921E2C" w:rsidSect="00921E2C">
      <w:headerReference w:type="even" r:id="rId34"/>
      <w:headerReference w:type="default" r:id="rId35"/>
      <w:footerReference w:type="even" r:id="rId36"/>
      <w:footerReference w:type="default" r:id="rId3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4CC77F" w14:textId="77777777" w:rsidR="003A41CD" w:rsidRDefault="003A41CD" w:rsidP="00E37F56">
      <w:r>
        <w:separator/>
      </w:r>
    </w:p>
  </w:endnote>
  <w:endnote w:type="continuationSeparator" w:id="0">
    <w:p w14:paraId="4120594C" w14:textId="77777777" w:rsidR="003A41CD" w:rsidRDefault="003A41CD" w:rsidP="00E3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350A1F" w14:textId="77777777" w:rsidR="00921E2C" w:rsidRDefault="00921E2C" w:rsidP="00921E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6D21E54" w14:textId="77777777" w:rsidR="0032514D" w:rsidRPr="00921E2C" w:rsidRDefault="00921E2C" w:rsidP="00921E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96E55" w14:textId="77777777" w:rsidR="00921E2C" w:rsidRDefault="00921E2C" w:rsidP="00921E2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569EB">
      <w:rPr>
        <w:rFonts w:ascii="FrankRuehl" w:hAnsi="FrankRuehl" w:cs="FrankRuehl"/>
        <w:noProof/>
        <w:rtl/>
      </w:rPr>
      <w:t>1</w:t>
    </w:r>
    <w:r>
      <w:rPr>
        <w:rFonts w:ascii="FrankRuehl" w:hAnsi="FrankRuehl" w:cs="FrankRuehl"/>
        <w:rtl/>
      </w:rPr>
      <w:fldChar w:fldCharType="end"/>
    </w:r>
  </w:p>
  <w:p w14:paraId="388A999B" w14:textId="77777777" w:rsidR="0032514D" w:rsidRPr="00921E2C" w:rsidRDefault="00921E2C" w:rsidP="00921E2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1BF9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287DA" w14:textId="77777777" w:rsidR="003A41CD" w:rsidRDefault="003A41CD" w:rsidP="00E37F56">
      <w:r>
        <w:separator/>
      </w:r>
    </w:p>
  </w:footnote>
  <w:footnote w:type="continuationSeparator" w:id="0">
    <w:p w14:paraId="342D8001" w14:textId="77777777" w:rsidR="003A41CD" w:rsidRDefault="003A41CD" w:rsidP="00E3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61034" w14:textId="77777777" w:rsidR="00921E2C" w:rsidRPr="00921E2C" w:rsidRDefault="00921E2C" w:rsidP="00921E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15989-04-19</w:t>
    </w:r>
    <w:r>
      <w:rPr>
        <w:rFonts w:ascii="David" w:hAnsi="David"/>
        <w:color w:val="000000"/>
        <w:sz w:val="22"/>
        <w:szCs w:val="22"/>
        <w:rtl/>
      </w:rPr>
      <w:tab/>
      <w:t xml:space="preserve"> מדינת ישראל נ' אליה ארבל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5A7B46" w14:textId="77777777" w:rsidR="00921E2C" w:rsidRPr="00921E2C" w:rsidRDefault="00921E2C" w:rsidP="00921E2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15989-04-19</w:t>
    </w:r>
    <w:r>
      <w:rPr>
        <w:rFonts w:ascii="David" w:hAnsi="David"/>
        <w:color w:val="000000"/>
        <w:sz w:val="22"/>
        <w:szCs w:val="22"/>
        <w:rtl/>
      </w:rPr>
      <w:tab/>
      <w:t xml:space="preserve"> מדינת ישראל נ' אליה ארבל</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39014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B363D"/>
    <w:rsid w:val="00090BBE"/>
    <w:rsid w:val="00150460"/>
    <w:rsid w:val="001C46AB"/>
    <w:rsid w:val="0032514D"/>
    <w:rsid w:val="003A33AF"/>
    <w:rsid w:val="003A41CD"/>
    <w:rsid w:val="003D4C32"/>
    <w:rsid w:val="004140FA"/>
    <w:rsid w:val="00690D1E"/>
    <w:rsid w:val="00921E2C"/>
    <w:rsid w:val="00AB363D"/>
    <w:rsid w:val="00AF7945"/>
    <w:rsid w:val="00B36368"/>
    <w:rsid w:val="00C4424E"/>
    <w:rsid w:val="00E37F56"/>
    <w:rsid w:val="00E43F12"/>
    <w:rsid w:val="00E569E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BC4F41"/>
  <w15:chartTrackingRefBased/>
  <w15:docId w15:val="{41DE0563-A3A7-47B8-A828-EEEDAD2F6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B363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B363D"/>
    <w:pPr>
      <w:tabs>
        <w:tab w:val="center" w:pos="4153"/>
        <w:tab w:val="right" w:pos="8306"/>
      </w:tabs>
    </w:pPr>
  </w:style>
  <w:style w:type="character" w:customStyle="1" w:styleId="a4">
    <w:name w:val="כותרת עליונה תו"/>
    <w:link w:val="a3"/>
    <w:rsid w:val="00AB363D"/>
    <w:rPr>
      <w:rFonts w:ascii="Times New Roman" w:eastAsia="Times New Roman" w:hAnsi="Times New Roman" w:cs="David"/>
      <w:sz w:val="24"/>
      <w:szCs w:val="24"/>
    </w:rPr>
  </w:style>
  <w:style w:type="paragraph" w:styleId="a5">
    <w:name w:val="footer"/>
    <w:basedOn w:val="a"/>
    <w:link w:val="a6"/>
    <w:rsid w:val="00AB363D"/>
    <w:pPr>
      <w:tabs>
        <w:tab w:val="center" w:pos="4153"/>
        <w:tab w:val="right" w:pos="8306"/>
      </w:tabs>
    </w:pPr>
  </w:style>
  <w:style w:type="character" w:customStyle="1" w:styleId="a6">
    <w:name w:val="כותרת תחתונה תו"/>
    <w:link w:val="a5"/>
    <w:rsid w:val="00AB363D"/>
    <w:rPr>
      <w:rFonts w:ascii="Times New Roman" w:eastAsia="Times New Roman" w:hAnsi="Times New Roman" w:cs="David"/>
      <w:sz w:val="24"/>
      <w:szCs w:val="24"/>
    </w:rPr>
  </w:style>
  <w:style w:type="table" w:styleId="a7">
    <w:name w:val="Table Grid"/>
    <w:basedOn w:val="a1"/>
    <w:rsid w:val="00AB363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B363D"/>
  </w:style>
  <w:style w:type="character" w:styleId="Hyperlink">
    <w:name w:val="Hyperlink"/>
    <w:rsid w:val="00921E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2716832" TargetMode="External"/><Relationship Id="rId39" Type="http://schemas.openxmlformats.org/officeDocument/2006/relationships/theme" Target="theme/theme1.xml"/><Relationship Id="rId21" Type="http://schemas.openxmlformats.org/officeDocument/2006/relationships/hyperlink" Target="http://www.nevo.co.il/law/5227/62.3" TargetMode="External"/><Relationship Id="rId34" Type="http://schemas.openxmlformats.org/officeDocument/2006/relationships/header" Target="header1.xml"/><Relationship Id="rId7" Type="http://schemas.openxmlformats.org/officeDocument/2006/relationships/hyperlink" Target="http://www.nevo.co.il/law/4216" TargetMode="External"/><Relationship Id="rId12" Type="http://schemas.openxmlformats.org/officeDocument/2006/relationships/hyperlink" Target="http://www.nevo.co.il/law/70301/338.a.1"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5001972" TargetMode="External"/><Relationship Id="rId33" Type="http://schemas.openxmlformats.org/officeDocument/2006/relationships/hyperlink" Target="http://www.nevo.co.il/advertisements/nevo-100.doc"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7.a"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law/70301" TargetMode="External"/><Relationship Id="rId32" Type="http://schemas.openxmlformats.org/officeDocument/2006/relationships/hyperlink" Target="http://www.nevo.co.il/law/4216" TargetMode="External"/><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5227/62.3" TargetMode="External"/><Relationship Id="rId23" Type="http://schemas.openxmlformats.org/officeDocument/2006/relationships/hyperlink" Target="http://www.nevo.co.il/law/70301/40i" TargetMode="External"/><Relationship Id="rId28" Type="http://schemas.openxmlformats.org/officeDocument/2006/relationships/hyperlink" Target="http://www.nevo.co.il/case/20493300" TargetMode="External"/><Relationship Id="rId36" Type="http://schemas.openxmlformats.org/officeDocument/2006/relationships/footer" Target="footer1.xml"/><Relationship Id="rId10" Type="http://schemas.openxmlformats.org/officeDocument/2006/relationships/hyperlink" Target="http://www.nevo.co.il/law/70301" TargetMode="External"/><Relationship Id="rId19" Type="http://schemas.openxmlformats.org/officeDocument/2006/relationships/hyperlink" Target="http://www.nevo.co.il/law/70301/338.a.1" TargetMode="External"/><Relationship Id="rId31" Type="http://schemas.openxmlformats.org/officeDocument/2006/relationships/hyperlink" Target="http://www.nevo.co.il/law/4216"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5227" TargetMode="External"/><Relationship Id="rId22" Type="http://schemas.openxmlformats.org/officeDocument/2006/relationships/hyperlink" Target="http://www.nevo.co.il/law/5227" TargetMode="External"/><Relationship Id="rId27" Type="http://schemas.openxmlformats.org/officeDocument/2006/relationships/hyperlink" Target="http://www.nevo.co.il/case/24346383" TargetMode="External"/><Relationship Id="rId30" Type="http://schemas.openxmlformats.org/officeDocument/2006/relationships/hyperlink" Target="http://www.nevo.co.il/law/70301" TargetMode="External"/><Relationship Id="rId35" Type="http://schemas.openxmlformats.org/officeDocument/2006/relationships/header" Target="header2.xml"/><Relationship Id="rId8" Type="http://schemas.openxmlformats.org/officeDocument/2006/relationships/hyperlink" Target="http://www.nevo.co.il/law/4216/7.a"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1717</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10282</CharactersWithSpaces>
  <SharedDoc>false</SharedDoc>
  <HLinks>
    <vt:vector size="162" baseType="variant">
      <vt:variant>
        <vt:i4>393283</vt:i4>
      </vt:variant>
      <vt:variant>
        <vt:i4>78</vt:i4>
      </vt:variant>
      <vt:variant>
        <vt:i4>0</vt:i4>
      </vt:variant>
      <vt:variant>
        <vt:i4>5</vt:i4>
      </vt:variant>
      <vt:variant>
        <vt:lpwstr>http://www.nevo.co.il/advertisements/nevo-100.doc</vt:lpwstr>
      </vt:variant>
      <vt:variant>
        <vt:lpwstr/>
      </vt:variant>
      <vt:variant>
        <vt:i4>8257637</vt:i4>
      </vt:variant>
      <vt:variant>
        <vt:i4>75</vt:i4>
      </vt:variant>
      <vt:variant>
        <vt:i4>0</vt:i4>
      </vt:variant>
      <vt:variant>
        <vt:i4>5</vt:i4>
      </vt:variant>
      <vt:variant>
        <vt:lpwstr>http://www.nevo.co.il/law/4216</vt:lpwstr>
      </vt:variant>
      <vt:variant>
        <vt:lpwstr/>
      </vt:variant>
      <vt:variant>
        <vt:i4>8257637</vt:i4>
      </vt:variant>
      <vt:variant>
        <vt:i4>72</vt:i4>
      </vt:variant>
      <vt:variant>
        <vt:i4>0</vt:i4>
      </vt:variant>
      <vt:variant>
        <vt:i4>5</vt:i4>
      </vt:variant>
      <vt:variant>
        <vt:lpwstr>http://www.nevo.co.il/law/4216</vt:lpwstr>
      </vt:variant>
      <vt:variant>
        <vt:lpwstr/>
      </vt:variant>
      <vt:variant>
        <vt:i4>7995492</vt:i4>
      </vt:variant>
      <vt:variant>
        <vt:i4>69</vt:i4>
      </vt:variant>
      <vt:variant>
        <vt:i4>0</vt:i4>
      </vt:variant>
      <vt:variant>
        <vt:i4>5</vt:i4>
      </vt:variant>
      <vt:variant>
        <vt:lpwstr>http://www.nevo.co.il/law/70301</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3473534</vt:i4>
      </vt:variant>
      <vt:variant>
        <vt:i4>63</vt:i4>
      </vt:variant>
      <vt:variant>
        <vt:i4>0</vt:i4>
      </vt:variant>
      <vt:variant>
        <vt:i4>5</vt:i4>
      </vt:variant>
      <vt:variant>
        <vt:lpwstr>http://www.nevo.co.il/case/20493300</vt:lpwstr>
      </vt:variant>
      <vt:variant>
        <vt:lpwstr/>
      </vt:variant>
      <vt:variant>
        <vt:i4>4128887</vt:i4>
      </vt:variant>
      <vt:variant>
        <vt:i4>60</vt:i4>
      </vt:variant>
      <vt:variant>
        <vt:i4>0</vt:i4>
      </vt:variant>
      <vt:variant>
        <vt:i4>5</vt:i4>
      </vt:variant>
      <vt:variant>
        <vt:lpwstr>http://www.nevo.co.il/case/24346383</vt:lpwstr>
      </vt:variant>
      <vt:variant>
        <vt:lpwstr/>
      </vt:variant>
      <vt:variant>
        <vt:i4>3145855</vt:i4>
      </vt:variant>
      <vt:variant>
        <vt:i4>57</vt:i4>
      </vt:variant>
      <vt:variant>
        <vt:i4>0</vt:i4>
      </vt:variant>
      <vt:variant>
        <vt:i4>5</vt:i4>
      </vt:variant>
      <vt:variant>
        <vt:lpwstr>http://www.nevo.co.il/case/22716832</vt:lpwstr>
      </vt:variant>
      <vt:variant>
        <vt:lpwstr/>
      </vt:variant>
      <vt:variant>
        <vt:i4>3407992</vt:i4>
      </vt:variant>
      <vt:variant>
        <vt:i4>54</vt:i4>
      </vt:variant>
      <vt:variant>
        <vt:i4>0</vt:i4>
      </vt:variant>
      <vt:variant>
        <vt:i4>5</vt:i4>
      </vt:variant>
      <vt:variant>
        <vt:lpwstr>http://www.nevo.co.il/case/25001972</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http://www.nevo.co.il/law/70301/40i</vt:lpwstr>
      </vt:variant>
      <vt:variant>
        <vt:lpwstr/>
      </vt:variant>
      <vt:variant>
        <vt:i4>8323175</vt:i4>
      </vt:variant>
      <vt:variant>
        <vt:i4>45</vt:i4>
      </vt:variant>
      <vt:variant>
        <vt:i4>0</vt:i4>
      </vt:variant>
      <vt:variant>
        <vt:i4>5</vt:i4>
      </vt:variant>
      <vt:variant>
        <vt:lpwstr>http://www.nevo.co.il/law/5227</vt:lpwstr>
      </vt:variant>
      <vt:variant>
        <vt:lpwstr/>
      </vt:variant>
      <vt:variant>
        <vt:i4>6750330</vt:i4>
      </vt:variant>
      <vt:variant>
        <vt:i4>42</vt:i4>
      </vt:variant>
      <vt:variant>
        <vt:i4>0</vt:i4>
      </vt:variant>
      <vt:variant>
        <vt:i4>5</vt:i4>
      </vt:variant>
      <vt:variant>
        <vt:lpwstr>http://www.nevo.co.il/law/5227/62.3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6684735</vt:i4>
      </vt:variant>
      <vt:variant>
        <vt:i4>36</vt:i4>
      </vt:variant>
      <vt:variant>
        <vt:i4>0</vt:i4>
      </vt:variant>
      <vt:variant>
        <vt:i4>5</vt:i4>
      </vt:variant>
      <vt:variant>
        <vt:lpwstr>http://www.nevo.co.il/law/70301/338.a.1</vt:lpwstr>
      </vt:variant>
      <vt:variant>
        <vt:lpwstr/>
      </vt:variant>
      <vt:variant>
        <vt:i4>8257637</vt:i4>
      </vt:variant>
      <vt:variant>
        <vt:i4>33</vt:i4>
      </vt:variant>
      <vt:variant>
        <vt:i4>0</vt:i4>
      </vt:variant>
      <vt:variant>
        <vt:i4>5</vt:i4>
      </vt:variant>
      <vt:variant>
        <vt:lpwstr>http://www.nevo.co.il/law/4216</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6750330</vt:i4>
      </vt:variant>
      <vt:variant>
        <vt:i4>24</vt:i4>
      </vt:variant>
      <vt:variant>
        <vt:i4>0</vt:i4>
      </vt:variant>
      <vt:variant>
        <vt:i4>5</vt:i4>
      </vt:variant>
      <vt:variant>
        <vt:lpwstr>http://www.nevo.co.il/law/5227/62.3</vt:lpwstr>
      </vt:variant>
      <vt:variant>
        <vt:lpwstr/>
      </vt:variant>
      <vt:variant>
        <vt:i4>8323175</vt:i4>
      </vt:variant>
      <vt:variant>
        <vt:i4>21</vt:i4>
      </vt:variant>
      <vt:variant>
        <vt:i4>0</vt:i4>
      </vt:variant>
      <vt:variant>
        <vt:i4>5</vt:i4>
      </vt:variant>
      <vt:variant>
        <vt:lpwstr>http://www.nevo.co.il/law/5227</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6684735</vt:i4>
      </vt:variant>
      <vt:variant>
        <vt:i4>15</vt:i4>
      </vt:variant>
      <vt:variant>
        <vt:i4>0</vt:i4>
      </vt:variant>
      <vt:variant>
        <vt:i4>5</vt:i4>
      </vt:variant>
      <vt:variant>
        <vt:lpwstr>http://www.nevo.co.il/law/70301/338.a.1</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2025-04-23T00:08:00Z</dcterms:created>
  <dcterms:modified xsi:type="dcterms:W3CDTF">2025-04-23T00:08:00Z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15989</vt:lpwstr>
  </property>
  <property fmtid="{D5CDD505-2E9C-101B-9397-08002B2CF9AE}" pid="6" name="NEWPARTB">
    <vt:lpwstr>04</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אליה ארבל</vt:lpwstr>
  </property>
  <property fmtid="{D5CDD505-2E9C-101B-9397-08002B2CF9AE}" pid="10" name="LAWYER">
    <vt:lpwstr>שירלי אוחיון;שירן סיני ;שיר צ'יצ'יק; אורי קינן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20201206</vt:lpwstr>
  </property>
  <property fmtid="{D5CDD505-2E9C-101B-9397-08002B2CF9AE}" pid="14" name="TYPE_N_DATE">
    <vt:lpwstr>38020201206</vt:lpwstr>
  </property>
  <property fmtid="{D5CDD505-2E9C-101B-9397-08002B2CF9AE}" pid="15" name="WORDNUMPAGES">
    <vt:lpwstr>6</vt:lpwstr>
  </property>
  <property fmtid="{D5CDD505-2E9C-101B-9397-08002B2CF9AE}" pid="16" name="TYPE_ABS_DATE">
    <vt:lpwstr>380020201206</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25001972;22716832;24346383;20493300</vt:lpwstr>
  </property>
  <property fmtid="{D5CDD505-2E9C-101B-9397-08002B2CF9AE}" pid="36" name="LAWLISTTMP1">
    <vt:lpwstr>4216/007.a;007.c</vt:lpwstr>
  </property>
  <property fmtid="{D5CDD505-2E9C-101B-9397-08002B2CF9AE}" pid="37" name="LAWLISTTMP2">
    <vt:lpwstr>70301/338.a.1;040i;40ja</vt:lpwstr>
  </property>
  <property fmtid="{D5CDD505-2E9C-101B-9397-08002B2CF9AE}" pid="38" name="LAWLISTTMP3">
    <vt:lpwstr>5227/062.3</vt:lpwstr>
  </property>
</Properties>
</file>