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90BE7" w:rsidRPr="00153611" w14:paraId="0A05C8C9" w14:textId="77777777" w:rsidTr="009258A7">
        <w:trPr>
          <w:trHeight w:hRule="exact" w:val="418"/>
          <w:jc w:val="center"/>
        </w:trPr>
        <w:tc>
          <w:tcPr>
            <w:tcW w:w="8721" w:type="dxa"/>
            <w:gridSpan w:val="2"/>
          </w:tcPr>
          <w:p w14:paraId="3DB2A8E2" w14:textId="77777777" w:rsidR="00E90BE7" w:rsidRPr="00153611" w:rsidRDefault="00B66D7A" w:rsidP="00E72540">
            <w:pPr>
              <w:pStyle w:val="a3"/>
              <w:jc w:val="center"/>
              <w:rPr>
                <w:rFonts w:ascii="Tahoma" w:hAnsi="Tahoma" w:cs="Tahoma"/>
                <w:color w:val="000080"/>
                <w:rtl/>
              </w:rPr>
            </w:pPr>
            <w:bookmarkStart w:id="0" w:name="LastJudge"/>
            <w:r w:rsidRPr="00153611">
              <w:rPr>
                <w:noProof/>
                <w:rtl/>
              </w:rPr>
              <w:pict w14:anchorId="7832B80E">
                <v:shapetype id="_x0000_t202" coordsize="21600,21600" o:spt="202" path="m,l,21600r21600,l21600,xe">
                  <v:stroke joinstyle="miter"/>
                  <v:path gradientshapeok="t" o:connecttype="rect"/>
                </v:shapetype>
                <v:shape id="Text Box 3" o:spid="_x0000_s1026" type="#_x0000_t202" style="position:absolute;left:0;text-align:left;margin-left:0;margin-top:0;width:478.1pt;height:21pt;rotation:-45;z-index:25165772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" filled="f" stroked="f">
                  <v:stroke joinstyle="round"/>
                  <o:lock v:ext="edit" aspectratio="t" shapetype="t"/>
                  <v:textbox style="mso-fit-shape-to-text:t">
                    <w:txbxContent>
                      <w:p w14:paraId="2323D1BA" w14:textId="77777777" w:rsidR="00E90BE7" w:rsidRDefault="00E90BE7" w:rsidP="009258A7">
                        <w:pPr>
                          <w:pStyle w:val="NormalWeb"/>
                          <w:bidi/>
                          <w:spacing w:before="0" w:beforeAutospacing="0" w:after="0" w:afterAutospacing="0"/>
                          <w:jc w:val="center"/>
                        </w:pPr>
                      </w:p>
                    </w:txbxContent>
                  </v:textbox>
                  <w10:wrap anchorx="margin" anchory="margin"/>
                </v:shape>
              </w:pict>
            </w:r>
            <w:r w:rsidR="00E90BE7" w:rsidRPr="00153611">
              <w:rPr>
                <w:rFonts w:ascii="Tahoma" w:hAnsi="Tahoma" w:cs="Tahoma"/>
                <w:b/>
                <w:bCs/>
                <w:color w:val="000080"/>
                <w:rtl/>
              </w:rPr>
              <w:t>בית משפט השלום באילת</w:t>
            </w:r>
          </w:p>
        </w:tc>
      </w:tr>
      <w:tr w:rsidR="00E90BE7" w:rsidRPr="00153611" w14:paraId="3C033EFE" w14:textId="77777777" w:rsidTr="009258A7">
        <w:trPr>
          <w:trHeight w:val="337"/>
          <w:jc w:val="center"/>
        </w:trPr>
        <w:tc>
          <w:tcPr>
            <w:tcW w:w="5059" w:type="dxa"/>
          </w:tcPr>
          <w:p w14:paraId="1AF482F7" w14:textId="77777777" w:rsidR="00E90BE7" w:rsidRPr="00153611" w:rsidRDefault="00E90BE7" w:rsidP="00E72540">
            <w:pPr>
              <w:rPr>
                <w:rFonts w:cs="FrankRuehl"/>
                <w:sz w:val="28"/>
                <w:szCs w:val="28"/>
                <w:rtl/>
              </w:rPr>
            </w:pPr>
            <w:r w:rsidRPr="00153611">
              <w:rPr>
                <w:rFonts w:cs="FrankRuehl"/>
                <w:sz w:val="28"/>
                <w:szCs w:val="28"/>
                <w:rtl/>
              </w:rPr>
              <w:t>ת"פ</w:t>
            </w:r>
            <w:r w:rsidRPr="00153611">
              <w:rPr>
                <w:rFonts w:cs="FrankRuehl" w:hint="cs"/>
                <w:sz w:val="28"/>
                <w:szCs w:val="28"/>
                <w:rtl/>
              </w:rPr>
              <w:t xml:space="preserve"> </w:t>
            </w:r>
            <w:r w:rsidRPr="00153611">
              <w:rPr>
                <w:rFonts w:cs="FrankRuehl"/>
                <w:sz w:val="28"/>
                <w:szCs w:val="28"/>
                <w:rtl/>
              </w:rPr>
              <w:t>33228-04-19</w:t>
            </w:r>
            <w:r w:rsidRPr="00153611">
              <w:rPr>
                <w:rFonts w:cs="FrankRuehl" w:hint="cs"/>
                <w:sz w:val="28"/>
                <w:szCs w:val="28"/>
                <w:rtl/>
              </w:rPr>
              <w:t xml:space="preserve"> </w:t>
            </w:r>
            <w:r w:rsidRPr="00153611">
              <w:rPr>
                <w:rFonts w:cs="FrankRuehl"/>
                <w:sz w:val="28"/>
                <w:szCs w:val="28"/>
                <w:rtl/>
              </w:rPr>
              <w:t>מדינת ישראל נ' אטדגיו(עציר)</w:t>
            </w:r>
          </w:p>
          <w:p w14:paraId="3150FD32" w14:textId="77777777" w:rsidR="00E90BE7" w:rsidRPr="00153611" w:rsidRDefault="00E90BE7" w:rsidP="00E72540">
            <w:pPr>
              <w:pStyle w:val="a3"/>
              <w:rPr>
                <w:rFonts w:cs="FrankRuehl"/>
                <w:sz w:val="28"/>
                <w:szCs w:val="28"/>
                <w:rtl/>
              </w:rPr>
            </w:pPr>
          </w:p>
        </w:tc>
        <w:tc>
          <w:tcPr>
            <w:tcW w:w="3662" w:type="dxa"/>
          </w:tcPr>
          <w:p w14:paraId="0B0E3B3D" w14:textId="77777777" w:rsidR="00E90BE7" w:rsidRPr="00153611" w:rsidRDefault="00E90BE7" w:rsidP="00E72540">
            <w:pPr>
              <w:pStyle w:val="a3"/>
              <w:jc w:val="right"/>
              <w:rPr>
                <w:rFonts w:cs="FrankRuehl"/>
                <w:sz w:val="28"/>
                <w:szCs w:val="28"/>
                <w:rtl/>
              </w:rPr>
            </w:pPr>
          </w:p>
        </w:tc>
      </w:tr>
    </w:tbl>
    <w:p w14:paraId="63947A13" w14:textId="77777777" w:rsidR="00E90BE7" w:rsidRPr="00153611" w:rsidRDefault="00E90BE7" w:rsidP="00E90BE7">
      <w:pPr>
        <w:pStyle w:val="a3"/>
        <w:rPr>
          <w:rtl/>
        </w:rPr>
      </w:pPr>
      <w:r w:rsidRPr="00153611">
        <w:rPr>
          <w:rFonts w:hint="cs"/>
          <w:rtl/>
        </w:rPr>
        <w:t xml:space="preserve"> </w:t>
      </w:r>
    </w:p>
    <w:p w14:paraId="521C2902" w14:textId="77777777" w:rsidR="00E90BE7" w:rsidRPr="00153611" w:rsidRDefault="00E90BE7" w:rsidP="00E90BE7">
      <w:pPr>
        <w:ind w:left="612"/>
        <w:rPr>
          <w:rFonts w:ascii="David" w:hAnsi="David"/>
          <w:rtl/>
        </w:rPr>
      </w:pPr>
    </w:p>
    <w:p w14:paraId="1D5E001B" w14:textId="77777777" w:rsidR="00E90BE7" w:rsidRPr="00153611" w:rsidRDefault="00E90BE7" w:rsidP="00E90BE7">
      <w:pPr>
        <w:ind w:left="612"/>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90BE7" w:rsidRPr="00153611" w14:paraId="4D425F9F" w14:textId="77777777" w:rsidTr="00E90BE7">
        <w:trPr>
          <w:trHeight w:val="295"/>
          <w:jc w:val="center"/>
        </w:trPr>
        <w:tc>
          <w:tcPr>
            <w:tcW w:w="923" w:type="dxa"/>
            <w:tcBorders>
              <w:top w:val="nil"/>
              <w:left w:val="nil"/>
              <w:bottom w:val="nil"/>
              <w:right w:val="nil"/>
            </w:tcBorders>
            <w:shd w:val="clear" w:color="auto" w:fill="auto"/>
          </w:tcPr>
          <w:p w14:paraId="3A36BF23" w14:textId="77777777" w:rsidR="00E90BE7" w:rsidRPr="00153611" w:rsidRDefault="00E90BE7" w:rsidP="00E90BE7">
            <w:pPr>
              <w:jc w:val="both"/>
              <w:rPr>
                <w:rFonts w:ascii="David" w:hAnsi="David"/>
                <w:b/>
                <w:bCs/>
                <w:sz w:val="26"/>
                <w:szCs w:val="26"/>
              </w:rPr>
            </w:pPr>
            <w:r w:rsidRPr="00153611">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14F6573" w14:textId="77777777" w:rsidR="00E90BE7" w:rsidRPr="00153611" w:rsidRDefault="00E90BE7" w:rsidP="00E72540">
            <w:pPr>
              <w:rPr>
                <w:rFonts w:ascii="David" w:hAnsi="David"/>
                <w:b/>
                <w:bCs/>
                <w:sz w:val="26"/>
                <w:szCs w:val="26"/>
              </w:rPr>
            </w:pPr>
            <w:r w:rsidRPr="00153611">
              <w:rPr>
                <w:rFonts w:ascii="David" w:hAnsi="David"/>
                <w:b/>
                <w:bCs/>
                <w:sz w:val="26"/>
                <w:szCs w:val="26"/>
                <w:rtl/>
              </w:rPr>
              <w:t>כבוד השופטת  ליאורה אדלשטיין</w:t>
            </w:r>
          </w:p>
          <w:p w14:paraId="3DF3CE69" w14:textId="77777777" w:rsidR="00E90BE7" w:rsidRPr="00153611" w:rsidRDefault="00E90BE7" w:rsidP="00E90BE7">
            <w:pPr>
              <w:jc w:val="both"/>
              <w:rPr>
                <w:rFonts w:ascii="David" w:hAnsi="David"/>
                <w:b/>
                <w:bCs/>
                <w:sz w:val="26"/>
                <w:szCs w:val="26"/>
                <w:rtl/>
              </w:rPr>
            </w:pPr>
          </w:p>
        </w:tc>
      </w:tr>
      <w:tr w:rsidR="00E90BE7" w:rsidRPr="00153611" w14:paraId="44D60B9F" w14:textId="77777777" w:rsidTr="00E90BE7">
        <w:trPr>
          <w:trHeight w:val="355"/>
          <w:jc w:val="center"/>
        </w:trPr>
        <w:tc>
          <w:tcPr>
            <w:tcW w:w="923" w:type="dxa"/>
            <w:tcBorders>
              <w:top w:val="nil"/>
              <w:left w:val="nil"/>
              <w:bottom w:val="nil"/>
              <w:right w:val="nil"/>
            </w:tcBorders>
            <w:shd w:val="clear" w:color="auto" w:fill="auto"/>
          </w:tcPr>
          <w:p w14:paraId="065B2990" w14:textId="77777777" w:rsidR="00E90BE7" w:rsidRPr="00153611" w:rsidRDefault="00E90BE7" w:rsidP="00E90BE7">
            <w:pPr>
              <w:jc w:val="both"/>
              <w:rPr>
                <w:rFonts w:ascii="David" w:hAnsi="David"/>
                <w:b/>
                <w:bCs/>
                <w:sz w:val="26"/>
                <w:szCs w:val="26"/>
              </w:rPr>
            </w:pPr>
            <w:bookmarkStart w:id="1" w:name="FirstAppellant"/>
            <w:r w:rsidRPr="00153611">
              <w:rPr>
                <w:rFonts w:ascii="David" w:hAnsi="David"/>
                <w:b/>
                <w:bCs/>
                <w:sz w:val="26"/>
                <w:szCs w:val="26"/>
                <w:rtl/>
              </w:rPr>
              <w:t>בעניין:</w:t>
            </w:r>
          </w:p>
        </w:tc>
        <w:tc>
          <w:tcPr>
            <w:tcW w:w="4126" w:type="dxa"/>
            <w:tcBorders>
              <w:top w:val="nil"/>
              <w:left w:val="nil"/>
              <w:bottom w:val="nil"/>
              <w:right w:val="nil"/>
            </w:tcBorders>
            <w:shd w:val="clear" w:color="auto" w:fill="auto"/>
          </w:tcPr>
          <w:p w14:paraId="725621C5" w14:textId="77777777" w:rsidR="00E90BE7" w:rsidRPr="00153611" w:rsidRDefault="00E90BE7" w:rsidP="00E72540">
            <w:pPr>
              <w:rPr>
                <w:rFonts w:ascii="David" w:hAnsi="David"/>
                <w:b/>
                <w:bCs/>
                <w:sz w:val="26"/>
                <w:szCs w:val="26"/>
              </w:rPr>
            </w:pPr>
            <w:r w:rsidRPr="00153611">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D5A8610" w14:textId="77777777" w:rsidR="00E90BE7" w:rsidRPr="00153611" w:rsidRDefault="00E90BE7" w:rsidP="00E90BE7">
            <w:pPr>
              <w:jc w:val="both"/>
              <w:rPr>
                <w:rFonts w:ascii="David" w:hAnsi="David"/>
                <w:b/>
                <w:bCs/>
                <w:sz w:val="26"/>
                <w:szCs w:val="26"/>
              </w:rPr>
            </w:pPr>
          </w:p>
        </w:tc>
      </w:tr>
      <w:bookmarkEnd w:id="1"/>
      <w:tr w:rsidR="00E90BE7" w:rsidRPr="00153611" w14:paraId="749658D6" w14:textId="77777777" w:rsidTr="00E90BE7">
        <w:trPr>
          <w:trHeight w:val="355"/>
          <w:jc w:val="center"/>
        </w:trPr>
        <w:tc>
          <w:tcPr>
            <w:tcW w:w="923" w:type="dxa"/>
            <w:tcBorders>
              <w:top w:val="nil"/>
              <w:left w:val="nil"/>
              <w:bottom w:val="nil"/>
              <w:right w:val="nil"/>
            </w:tcBorders>
            <w:shd w:val="clear" w:color="auto" w:fill="auto"/>
          </w:tcPr>
          <w:p w14:paraId="6288BDAF" w14:textId="77777777" w:rsidR="00E90BE7" w:rsidRPr="00153611" w:rsidRDefault="00E90BE7" w:rsidP="00E90BE7">
            <w:pPr>
              <w:jc w:val="both"/>
              <w:rPr>
                <w:rFonts w:ascii="David" w:hAnsi="David"/>
                <w:b/>
                <w:bCs/>
                <w:sz w:val="26"/>
                <w:szCs w:val="26"/>
              </w:rPr>
            </w:pPr>
          </w:p>
        </w:tc>
        <w:tc>
          <w:tcPr>
            <w:tcW w:w="4126" w:type="dxa"/>
            <w:tcBorders>
              <w:top w:val="nil"/>
              <w:left w:val="nil"/>
              <w:bottom w:val="nil"/>
              <w:right w:val="nil"/>
            </w:tcBorders>
            <w:shd w:val="clear" w:color="auto" w:fill="auto"/>
          </w:tcPr>
          <w:p w14:paraId="32E1C422" w14:textId="77777777" w:rsidR="00E90BE7" w:rsidRPr="00153611" w:rsidRDefault="00E90BE7" w:rsidP="00E90BE7">
            <w:pPr>
              <w:jc w:val="both"/>
              <w:rPr>
                <w:rFonts w:ascii="David" w:hAnsi="David"/>
                <w:b/>
                <w:bCs/>
                <w:sz w:val="26"/>
                <w:szCs w:val="26"/>
                <w:rtl/>
              </w:rPr>
            </w:pPr>
          </w:p>
        </w:tc>
        <w:tc>
          <w:tcPr>
            <w:tcW w:w="3771" w:type="dxa"/>
            <w:tcBorders>
              <w:top w:val="nil"/>
              <w:left w:val="nil"/>
              <w:bottom w:val="nil"/>
              <w:right w:val="nil"/>
            </w:tcBorders>
            <w:shd w:val="clear" w:color="auto" w:fill="auto"/>
          </w:tcPr>
          <w:p w14:paraId="1A2E12DD" w14:textId="77777777" w:rsidR="00E90BE7" w:rsidRPr="00153611" w:rsidRDefault="00E90BE7" w:rsidP="00E90BE7">
            <w:pPr>
              <w:jc w:val="right"/>
              <w:rPr>
                <w:rFonts w:ascii="David" w:hAnsi="David"/>
                <w:b/>
                <w:bCs/>
                <w:sz w:val="26"/>
                <w:szCs w:val="26"/>
                <w:rtl/>
              </w:rPr>
            </w:pPr>
            <w:r w:rsidRPr="00153611">
              <w:rPr>
                <w:rFonts w:ascii="David" w:hAnsi="David"/>
                <w:b/>
                <w:bCs/>
                <w:sz w:val="26"/>
                <w:szCs w:val="26"/>
                <w:rtl/>
              </w:rPr>
              <w:t>המאשימה</w:t>
            </w:r>
          </w:p>
        </w:tc>
      </w:tr>
      <w:tr w:rsidR="00E90BE7" w:rsidRPr="00153611" w14:paraId="15343B63" w14:textId="77777777" w:rsidTr="00E90BE7">
        <w:trPr>
          <w:trHeight w:val="355"/>
          <w:jc w:val="center"/>
        </w:trPr>
        <w:tc>
          <w:tcPr>
            <w:tcW w:w="923" w:type="dxa"/>
            <w:tcBorders>
              <w:top w:val="nil"/>
              <w:left w:val="nil"/>
              <w:bottom w:val="nil"/>
              <w:right w:val="nil"/>
            </w:tcBorders>
            <w:shd w:val="clear" w:color="auto" w:fill="auto"/>
          </w:tcPr>
          <w:p w14:paraId="46DAFE8E" w14:textId="77777777" w:rsidR="00E90BE7" w:rsidRPr="00153611" w:rsidRDefault="00E90BE7" w:rsidP="00E90BE7">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A646E51" w14:textId="77777777" w:rsidR="00E90BE7" w:rsidRPr="00153611" w:rsidRDefault="00E90BE7" w:rsidP="00E90BE7">
            <w:pPr>
              <w:jc w:val="center"/>
              <w:rPr>
                <w:rFonts w:ascii="David" w:hAnsi="David"/>
                <w:b/>
                <w:bCs/>
                <w:sz w:val="26"/>
                <w:szCs w:val="26"/>
                <w:rtl/>
              </w:rPr>
            </w:pPr>
          </w:p>
          <w:p w14:paraId="59E9065F" w14:textId="77777777" w:rsidR="00E90BE7" w:rsidRPr="00153611" w:rsidRDefault="00E90BE7" w:rsidP="00E90BE7">
            <w:pPr>
              <w:jc w:val="center"/>
              <w:rPr>
                <w:rFonts w:ascii="David" w:hAnsi="David"/>
                <w:b/>
                <w:bCs/>
                <w:sz w:val="26"/>
                <w:szCs w:val="26"/>
                <w:rtl/>
              </w:rPr>
            </w:pPr>
            <w:r w:rsidRPr="00153611">
              <w:rPr>
                <w:rFonts w:ascii="David" w:hAnsi="David"/>
                <w:b/>
                <w:bCs/>
                <w:sz w:val="26"/>
                <w:szCs w:val="26"/>
                <w:rtl/>
              </w:rPr>
              <w:t>נגד</w:t>
            </w:r>
          </w:p>
          <w:p w14:paraId="5BA64865" w14:textId="77777777" w:rsidR="00E90BE7" w:rsidRPr="00153611" w:rsidRDefault="00E90BE7" w:rsidP="00E90BE7">
            <w:pPr>
              <w:jc w:val="both"/>
              <w:rPr>
                <w:rFonts w:ascii="David" w:hAnsi="David"/>
                <w:b/>
                <w:bCs/>
                <w:sz w:val="26"/>
                <w:szCs w:val="26"/>
                <w:rtl/>
              </w:rPr>
            </w:pPr>
          </w:p>
        </w:tc>
      </w:tr>
      <w:tr w:rsidR="00E90BE7" w:rsidRPr="00153611" w14:paraId="65397145" w14:textId="77777777" w:rsidTr="00E90BE7">
        <w:trPr>
          <w:trHeight w:val="355"/>
          <w:jc w:val="center"/>
        </w:trPr>
        <w:tc>
          <w:tcPr>
            <w:tcW w:w="923" w:type="dxa"/>
            <w:tcBorders>
              <w:top w:val="nil"/>
              <w:left w:val="nil"/>
              <w:bottom w:val="nil"/>
              <w:right w:val="nil"/>
            </w:tcBorders>
            <w:shd w:val="clear" w:color="auto" w:fill="auto"/>
          </w:tcPr>
          <w:p w14:paraId="0FD6FFA3" w14:textId="77777777" w:rsidR="00E90BE7" w:rsidRPr="00153611" w:rsidRDefault="00E90BE7" w:rsidP="00E72540">
            <w:pPr>
              <w:rPr>
                <w:rFonts w:ascii="David" w:hAnsi="David"/>
                <w:b/>
                <w:bCs/>
                <w:sz w:val="26"/>
                <w:szCs w:val="26"/>
              </w:rPr>
            </w:pPr>
          </w:p>
        </w:tc>
        <w:tc>
          <w:tcPr>
            <w:tcW w:w="4126" w:type="dxa"/>
            <w:tcBorders>
              <w:top w:val="nil"/>
              <w:left w:val="nil"/>
              <w:bottom w:val="nil"/>
              <w:right w:val="nil"/>
            </w:tcBorders>
            <w:shd w:val="clear" w:color="auto" w:fill="auto"/>
          </w:tcPr>
          <w:p w14:paraId="4619CC4F" w14:textId="77777777" w:rsidR="00E90BE7" w:rsidRPr="00153611" w:rsidRDefault="00E90BE7" w:rsidP="00E72540">
            <w:pPr>
              <w:rPr>
                <w:rFonts w:ascii="David" w:hAnsi="David"/>
                <w:b/>
                <w:bCs/>
                <w:sz w:val="26"/>
                <w:szCs w:val="26"/>
                <w:rtl/>
              </w:rPr>
            </w:pPr>
            <w:r w:rsidRPr="00153611">
              <w:rPr>
                <w:rFonts w:ascii="David" w:hAnsi="David"/>
                <w:b/>
                <w:bCs/>
                <w:sz w:val="26"/>
                <w:szCs w:val="26"/>
                <w:rtl/>
              </w:rPr>
              <w:t>יצחק אטדגיו (עציר)</w:t>
            </w:r>
          </w:p>
        </w:tc>
        <w:tc>
          <w:tcPr>
            <w:tcW w:w="3771" w:type="dxa"/>
            <w:tcBorders>
              <w:top w:val="nil"/>
              <w:left w:val="nil"/>
              <w:bottom w:val="nil"/>
              <w:right w:val="nil"/>
            </w:tcBorders>
            <w:shd w:val="clear" w:color="auto" w:fill="auto"/>
          </w:tcPr>
          <w:p w14:paraId="66BFC019" w14:textId="77777777" w:rsidR="00E90BE7" w:rsidRPr="00153611" w:rsidRDefault="00E90BE7" w:rsidP="00E90BE7">
            <w:pPr>
              <w:jc w:val="right"/>
              <w:rPr>
                <w:rFonts w:ascii="David" w:hAnsi="David"/>
                <w:b/>
                <w:bCs/>
                <w:sz w:val="26"/>
                <w:szCs w:val="26"/>
                <w:rtl/>
              </w:rPr>
            </w:pPr>
          </w:p>
        </w:tc>
      </w:tr>
      <w:tr w:rsidR="00E90BE7" w:rsidRPr="00153611" w14:paraId="749E464A" w14:textId="77777777" w:rsidTr="00E90BE7">
        <w:trPr>
          <w:trHeight w:val="355"/>
          <w:jc w:val="center"/>
        </w:trPr>
        <w:tc>
          <w:tcPr>
            <w:tcW w:w="923" w:type="dxa"/>
            <w:tcBorders>
              <w:top w:val="nil"/>
              <w:left w:val="nil"/>
              <w:bottom w:val="nil"/>
              <w:right w:val="nil"/>
            </w:tcBorders>
            <w:shd w:val="clear" w:color="auto" w:fill="auto"/>
          </w:tcPr>
          <w:p w14:paraId="67BB5D60" w14:textId="77777777" w:rsidR="00E90BE7" w:rsidRPr="00153611" w:rsidRDefault="00E90BE7" w:rsidP="00E90BE7">
            <w:pPr>
              <w:jc w:val="both"/>
              <w:rPr>
                <w:rFonts w:ascii="David" w:hAnsi="David"/>
                <w:b/>
                <w:bCs/>
                <w:sz w:val="26"/>
                <w:szCs w:val="26"/>
              </w:rPr>
            </w:pPr>
          </w:p>
        </w:tc>
        <w:tc>
          <w:tcPr>
            <w:tcW w:w="4126" w:type="dxa"/>
            <w:tcBorders>
              <w:top w:val="nil"/>
              <w:left w:val="nil"/>
              <w:bottom w:val="nil"/>
              <w:right w:val="nil"/>
            </w:tcBorders>
            <w:shd w:val="clear" w:color="auto" w:fill="auto"/>
          </w:tcPr>
          <w:p w14:paraId="19FA08A4" w14:textId="77777777" w:rsidR="00E90BE7" w:rsidRPr="00153611" w:rsidRDefault="00E90BE7" w:rsidP="00E90BE7">
            <w:pPr>
              <w:jc w:val="both"/>
              <w:rPr>
                <w:rFonts w:ascii="David" w:hAnsi="David"/>
                <w:b/>
                <w:bCs/>
                <w:sz w:val="26"/>
                <w:szCs w:val="26"/>
                <w:rtl/>
              </w:rPr>
            </w:pPr>
          </w:p>
        </w:tc>
        <w:tc>
          <w:tcPr>
            <w:tcW w:w="3771" w:type="dxa"/>
            <w:tcBorders>
              <w:top w:val="nil"/>
              <w:left w:val="nil"/>
              <w:bottom w:val="nil"/>
              <w:right w:val="nil"/>
            </w:tcBorders>
            <w:shd w:val="clear" w:color="auto" w:fill="auto"/>
          </w:tcPr>
          <w:p w14:paraId="282A2A1C" w14:textId="77777777" w:rsidR="00E90BE7" w:rsidRPr="00153611" w:rsidRDefault="00E90BE7" w:rsidP="00E90BE7">
            <w:pPr>
              <w:jc w:val="right"/>
              <w:rPr>
                <w:rFonts w:ascii="David" w:hAnsi="David"/>
                <w:b/>
                <w:bCs/>
                <w:sz w:val="26"/>
                <w:szCs w:val="26"/>
                <w:rtl/>
              </w:rPr>
            </w:pPr>
            <w:r w:rsidRPr="00153611">
              <w:rPr>
                <w:rFonts w:ascii="David" w:hAnsi="David"/>
                <w:b/>
                <w:bCs/>
                <w:sz w:val="26"/>
                <w:szCs w:val="26"/>
                <w:rtl/>
              </w:rPr>
              <w:t>הנאשם</w:t>
            </w:r>
          </w:p>
        </w:tc>
      </w:tr>
    </w:tbl>
    <w:p w14:paraId="76FB8814" w14:textId="77777777" w:rsidR="009258A7" w:rsidRDefault="009258A7" w:rsidP="00E90BE7">
      <w:pPr>
        <w:ind w:left="612"/>
        <w:rPr>
          <w:rFonts w:ascii="David" w:hAnsi="David"/>
          <w:rtl/>
        </w:rPr>
      </w:pPr>
      <w:bookmarkStart w:id="2" w:name="LawTable"/>
      <w:bookmarkEnd w:id="2"/>
    </w:p>
    <w:p w14:paraId="2AA06991" w14:textId="77777777" w:rsidR="009258A7" w:rsidRPr="009258A7" w:rsidRDefault="009258A7" w:rsidP="009258A7">
      <w:pPr>
        <w:spacing w:after="120" w:line="240" w:lineRule="exact"/>
        <w:ind w:left="283" w:hanging="283"/>
        <w:jc w:val="both"/>
        <w:rPr>
          <w:rFonts w:ascii="FrankRuehl" w:hAnsi="FrankRuehl" w:cs="FrankRuehl"/>
          <w:rtl/>
        </w:rPr>
      </w:pPr>
    </w:p>
    <w:p w14:paraId="66FEB4B8" w14:textId="77777777" w:rsidR="009258A7" w:rsidRPr="009258A7" w:rsidRDefault="009258A7" w:rsidP="009258A7">
      <w:pPr>
        <w:spacing w:after="120" w:line="240" w:lineRule="exact"/>
        <w:ind w:left="283" w:hanging="283"/>
        <w:jc w:val="both"/>
        <w:rPr>
          <w:rFonts w:ascii="FrankRuehl" w:hAnsi="FrankRuehl" w:cs="FrankRuehl"/>
          <w:rtl/>
        </w:rPr>
      </w:pPr>
      <w:r w:rsidRPr="009258A7">
        <w:rPr>
          <w:rFonts w:ascii="FrankRuehl" w:hAnsi="FrankRuehl" w:cs="FrankRuehl"/>
          <w:rtl/>
        </w:rPr>
        <w:t xml:space="preserve">חקיקה שאוזכרה: </w:t>
      </w:r>
    </w:p>
    <w:p w14:paraId="5467D6E7" w14:textId="77777777" w:rsidR="009258A7" w:rsidRPr="009258A7" w:rsidRDefault="009258A7" w:rsidP="009258A7">
      <w:pPr>
        <w:spacing w:after="120" w:line="240" w:lineRule="exact"/>
        <w:ind w:left="283" w:hanging="283"/>
        <w:jc w:val="both"/>
        <w:rPr>
          <w:rFonts w:ascii="FrankRuehl" w:hAnsi="FrankRuehl" w:cs="FrankRuehl"/>
          <w:rtl/>
        </w:rPr>
      </w:pPr>
      <w:hyperlink r:id="rId7" w:history="1">
        <w:r w:rsidRPr="009258A7">
          <w:rPr>
            <w:rFonts w:ascii="FrankRuehl" w:hAnsi="FrankRuehl" w:cs="FrankRuehl"/>
            <w:color w:val="0000FF"/>
            <w:u w:val="single"/>
            <w:rtl/>
          </w:rPr>
          <w:t>פקודת הסמים המסוכנים [נוסח חדש], תשל"ג-1973</w:t>
        </w:r>
      </w:hyperlink>
      <w:r w:rsidRPr="009258A7">
        <w:rPr>
          <w:rFonts w:ascii="FrankRuehl" w:hAnsi="FrankRuehl" w:cs="FrankRuehl"/>
          <w:rtl/>
        </w:rPr>
        <w:t xml:space="preserve">: סע'  </w:t>
      </w:r>
      <w:hyperlink r:id="rId8" w:history="1">
        <w:r w:rsidRPr="009258A7">
          <w:rPr>
            <w:rFonts w:ascii="FrankRuehl" w:hAnsi="FrankRuehl" w:cs="FrankRuehl"/>
            <w:color w:val="0000FF"/>
            <w:u w:val="single"/>
            <w:rtl/>
          </w:rPr>
          <w:t>7.א.</w:t>
        </w:r>
      </w:hyperlink>
      <w:r w:rsidRPr="009258A7">
        <w:rPr>
          <w:rFonts w:ascii="FrankRuehl" w:hAnsi="FrankRuehl" w:cs="FrankRuehl"/>
          <w:rtl/>
        </w:rPr>
        <w:t xml:space="preserve">, </w:t>
      </w:r>
      <w:hyperlink r:id="rId9" w:history="1">
        <w:r w:rsidRPr="009258A7">
          <w:rPr>
            <w:rFonts w:ascii="FrankRuehl" w:hAnsi="FrankRuehl" w:cs="FrankRuehl"/>
            <w:color w:val="0000FF"/>
            <w:u w:val="single"/>
            <w:rtl/>
          </w:rPr>
          <w:t>7.ג</w:t>
        </w:r>
      </w:hyperlink>
    </w:p>
    <w:p w14:paraId="2EAC3083" w14:textId="77777777" w:rsidR="009258A7" w:rsidRPr="009258A7" w:rsidRDefault="009258A7" w:rsidP="009258A7">
      <w:pPr>
        <w:spacing w:after="120" w:line="240" w:lineRule="exact"/>
        <w:ind w:left="283" w:hanging="283"/>
        <w:jc w:val="both"/>
        <w:rPr>
          <w:rFonts w:ascii="FrankRuehl" w:hAnsi="FrankRuehl" w:cs="FrankRuehl"/>
          <w:rtl/>
        </w:rPr>
      </w:pPr>
      <w:hyperlink r:id="rId10" w:history="1">
        <w:r w:rsidRPr="009258A7">
          <w:rPr>
            <w:rFonts w:ascii="FrankRuehl" w:hAnsi="FrankRuehl" w:cs="FrankRuehl"/>
            <w:color w:val="0000FF"/>
            <w:u w:val="single"/>
            <w:rtl/>
          </w:rPr>
          <w:t>פקודת סדר הדין הפלילי (מעצר וחיפוש) [נוסח חדש], תשכ"ט-1969</w:t>
        </w:r>
      </w:hyperlink>
      <w:r w:rsidRPr="009258A7">
        <w:rPr>
          <w:rFonts w:ascii="FrankRuehl" w:hAnsi="FrankRuehl" w:cs="FrankRuehl"/>
          <w:rtl/>
        </w:rPr>
        <w:t xml:space="preserve">: סע'  </w:t>
      </w:r>
      <w:hyperlink r:id="rId11" w:history="1">
        <w:r w:rsidRPr="009258A7">
          <w:rPr>
            <w:rFonts w:ascii="FrankRuehl" w:hAnsi="FrankRuehl" w:cs="FrankRuehl"/>
            <w:color w:val="0000FF"/>
            <w:u w:val="single"/>
            <w:rtl/>
          </w:rPr>
          <w:t>47(א)</w:t>
        </w:r>
      </w:hyperlink>
    </w:p>
    <w:p w14:paraId="1ECDEE34" w14:textId="77777777" w:rsidR="009258A7" w:rsidRPr="009258A7" w:rsidRDefault="009258A7" w:rsidP="009258A7">
      <w:pPr>
        <w:spacing w:after="120" w:line="240" w:lineRule="exact"/>
        <w:ind w:left="283" w:hanging="283"/>
        <w:jc w:val="both"/>
        <w:rPr>
          <w:rFonts w:ascii="FrankRuehl" w:hAnsi="FrankRuehl" w:cs="FrankRuehl"/>
          <w:rtl/>
        </w:rPr>
      </w:pPr>
      <w:hyperlink r:id="rId12" w:history="1">
        <w:r w:rsidRPr="009258A7">
          <w:rPr>
            <w:rFonts w:ascii="FrankRuehl" w:hAnsi="FrankRuehl" w:cs="FrankRuehl"/>
            <w:color w:val="0000FF"/>
            <w:u w:val="single"/>
            <w:rtl/>
          </w:rPr>
          <w:t>חוק סדר הדין הפלילי [נוסח משולב], תשמ"ב-1982</w:t>
        </w:r>
      </w:hyperlink>
      <w:r w:rsidRPr="009258A7">
        <w:rPr>
          <w:rFonts w:ascii="FrankRuehl" w:hAnsi="FrankRuehl" w:cs="FrankRuehl"/>
          <w:rtl/>
        </w:rPr>
        <w:t xml:space="preserve">: סע'  </w:t>
      </w:r>
      <w:hyperlink r:id="rId13" w:history="1">
        <w:r w:rsidRPr="009258A7">
          <w:rPr>
            <w:rFonts w:ascii="FrankRuehl" w:hAnsi="FrankRuehl" w:cs="FrankRuehl"/>
            <w:color w:val="0000FF"/>
            <w:u w:val="single"/>
            <w:rtl/>
          </w:rPr>
          <w:t>192</w:t>
        </w:r>
      </w:hyperlink>
    </w:p>
    <w:p w14:paraId="5D3807D9" w14:textId="77777777" w:rsidR="009258A7" w:rsidRPr="009258A7" w:rsidRDefault="009258A7" w:rsidP="009258A7">
      <w:pPr>
        <w:spacing w:after="120" w:line="240" w:lineRule="exact"/>
        <w:ind w:left="283" w:hanging="283"/>
        <w:jc w:val="both"/>
        <w:rPr>
          <w:rFonts w:ascii="FrankRuehl" w:hAnsi="FrankRuehl" w:cs="FrankRuehl"/>
          <w:rtl/>
        </w:rPr>
      </w:pPr>
      <w:hyperlink r:id="rId14" w:history="1">
        <w:r w:rsidRPr="009258A7">
          <w:rPr>
            <w:rFonts w:ascii="FrankRuehl" w:hAnsi="FrankRuehl" w:cs="FrankRuehl"/>
            <w:color w:val="0000FF"/>
            <w:u w:val="single"/>
            <w:rtl/>
          </w:rPr>
          <w:t>חוק העונשין, תשל"ז-1977</w:t>
        </w:r>
      </w:hyperlink>
    </w:p>
    <w:p w14:paraId="4991EA32" w14:textId="77777777" w:rsidR="009258A7" w:rsidRPr="009258A7" w:rsidRDefault="009258A7" w:rsidP="009258A7">
      <w:pPr>
        <w:spacing w:after="120" w:line="240" w:lineRule="exact"/>
        <w:ind w:left="283" w:hanging="283"/>
        <w:jc w:val="both"/>
        <w:rPr>
          <w:rFonts w:ascii="FrankRuehl" w:hAnsi="FrankRuehl" w:cs="FrankRuehl"/>
          <w:rtl/>
        </w:rPr>
      </w:pPr>
      <w:hyperlink r:id="rId15" w:history="1">
        <w:r w:rsidRPr="009258A7">
          <w:rPr>
            <w:rFonts w:ascii="FrankRuehl" w:hAnsi="FrankRuehl" w:cs="FrankRuehl"/>
            <w:color w:val="0000FF"/>
            <w:u w:val="single"/>
            <w:rtl/>
          </w:rPr>
          <w:t>פקודת התעבורה [נוסח חדש]</w:t>
        </w:r>
      </w:hyperlink>
    </w:p>
    <w:p w14:paraId="7DD25C3F" w14:textId="77777777" w:rsidR="009258A7" w:rsidRPr="009258A7" w:rsidRDefault="009258A7" w:rsidP="009258A7">
      <w:pPr>
        <w:spacing w:after="120" w:line="240" w:lineRule="exact"/>
        <w:ind w:left="283" w:hanging="283"/>
        <w:jc w:val="both"/>
        <w:rPr>
          <w:rFonts w:ascii="FrankRuehl" w:hAnsi="FrankRuehl" w:cs="FrankRuehl"/>
          <w:rtl/>
        </w:rPr>
      </w:pPr>
    </w:p>
    <w:p w14:paraId="0A29E629" w14:textId="77777777" w:rsidR="009258A7" w:rsidRPr="009258A7" w:rsidRDefault="009258A7" w:rsidP="00E90BE7">
      <w:pPr>
        <w:ind w:left="612"/>
        <w:rPr>
          <w:rFonts w:ascii="David" w:hAnsi="David"/>
          <w:rtl/>
        </w:rPr>
      </w:pPr>
      <w:bookmarkStart w:id="3" w:name="LawTable_End"/>
      <w:bookmarkEnd w:id="3"/>
    </w:p>
    <w:p w14:paraId="046F5D62" w14:textId="77777777" w:rsidR="009258A7" w:rsidRPr="009258A7" w:rsidRDefault="009258A7" w:rsidP="00E90BE7">
      <w:pPr>
        <w:ind w:left="612"/>
        <w:rPr>
          <w:rFonts w:ascii="David" w:hAnsi="David"/>
          <w:rtl/>
        </w:rPr>
      </w:pPr>
    </w:p>
    <w:p w14:paraId="3F5E2BB4" w14:textId="77777777" w:rsidR="00E90BE7" w:rsidRPr="009258A7" w:rsidRDefault="00E90BE7" w:rsidP="00E90BE7">
      <w:pPr>
        <w:ind w:left="612"/>
        <w:rPr>
          <w:rFonts w:ascii="David" w:hAnsi="David"/>
        </w:rPr>
      </w:pPr>
    </w:p>
    <w:p w14:paraId="1ABF6D96" w14:textId="77777777" w:rsidR="00153611" w:rsidRPr="00153611" w:rsidRDefault="00153611" w:rsidP="00E90BE7">
      <w:pPr>
        <w:rPr>
          <w:rFonts w:ascii="David" w:hAnsi="David"/>
          <w:rtl/>
        </w:rPr>
      </w:pPr>
    </w:p>
    <w:p w14:paraId="3CDBDB20" w14:textId="77777777" w:rsidR="00153611" w:rsidRPr="00153611" w:rsidRDefault="00153611" w:rsidP="00E90BE7">
      <w:pPr>
        <w:rPr>
          <w:rFonts w:ascii="David" w:hAnsi="David"/>
          <w:rtl/>
        </w:rPr>
      </w:pPr>
    </w:p>
    <w:p w14:paraId="597226FA" w14:textId="77777777" w:rsidR="00E90BE7" w:rsidRPr="00153611" w:rsidRDefault="00E90BE7" w:rsidP="00E90BE7">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0BE7" w14:paraId="4ED1D56D" w14:textId="77777777" w:rsidTr="00E90BE7">
        <w:trPr>
          <w:trHeight w:val="355"/>
          <w:jc w:val="center"/>
        </w:trPr>
        <w:tc>
          <w:tcPr>
            <w:tcW w:w="8820" w:type="dxa"/>
            <w:tcBorders>
              <w:top w:val="nil"/>
              <w:left w:val="nil"/>
              <w:bottom w:val="nil"/>
              <w:right w:val="nil"/>
            </w:tcBorders>
            <w:shd w:val="clear" w:color="auto" w:fill="auto"/>
          </w:tcPr>
          <w:p w14:paraId="0B4E222F" w14:textId="77777777" w:rsidR="00153611" w:rsidRPr="00153611" w:rsidRDefault="00153611" w:rsidP="00153611">
            <w:pPr>
              <w:jc w:val="center"/>
              <w:rPr>
                <w:rFonts w:ascii="David" w:hAnsi="David"/>
                <w:b/>
                <w:bCs/>
                <w:sz w:val="32"/>
                <w:szCs w:val="32"/>
                <w:u w:val="single"/>
                <w:rtl/>
              </w:rPr>
            </w:pPr>
            <w:bookmarkStart w:id="4" w:name="PsakDin" w:colFirst="0" w:colLast="0"/>
            <w:bookmarkEnd w:id="0"/>
            <w:r w:rsidRPr="00153611">
              <w:rPr>
                <w:rFonts w:ascii="David" w:hAnsi="David"/>
                <w:b/>
                <w:bCs/>
                <w:sz w:val="32"/>
                <w:szCs w:val="32"/>
                <w:u w:val="single"/>
                <w:rtl/>
              </w:rPr>
              <w:t>גזר דין</w:t>
            </w:r>
          </w:p>
          <w:p w14:paraId="4F8224FD" w14:textId="77777777" w:rsidR="00E90BE7" w:rsidRPr="00153611" w:rsidRDefault="00E90BE7" w:rsidP="00153611">
            <w:pPr>
              <w:jc w:val="center"/>
              <w:rPr>
                <w:rFonts w:ascii="David" w:hAnsi="David"/>
                <w:bCs/>
                <w:sz w:val="32"/>
                <w:szCs w:val="32"/>
                <w:u w:val="single"/>
              </w:rPr>
            </w:pPr>
          </w:p>
        </w:tc>
      </w:tr>
      <w:bookmarkEnd w:id="4"/>
    </w:tbl>
    <w:p w14:paraId="62F5966E" w14:textId="77777777" w:rsidR="00E90BE7" w:rsidRDefault="00E90BE7" w:rsidP="00E90BE7">
      <w:pPr>
        <w:rPr>
          <w:rFonts w:ascii="David" w:hAnsi="David"/>
          <w:rtl/>
        </w:rPr>
      </w:pPr>
    </w:p>
    <w:p w14:paraId="0298E004" w14:textId="77777777" w:rsidR="00E90BE7" w:rsidRDefault="00E90BE7" w:rsidP="00E90BE7">
      <w:pPr>
        <w:pStyle w:val="a9"/>
        <w:numPr>
          <w:ilvl w:val="0"/>
          <w:numId w:val="1"/>
        </w:numPr>
        <w:spacing w:line="360" w:lineRule="auto"/>
        <w:jc w:val="both"/>
        <w:rPr>
          <w:rFonts w:ascii="David" w:hAnsi="David" w:cs="David"/>
          <w:sz w:val="24"/>
          <w:szCs w:val="24"/>
          <w:rtl/>
        </w:rPr>
      </w:pPr>
      <w:bookmarkStart w:id="5" w:name="ABSTRACT_START"/>
      <w:bookmarkEnd w:id="5"/>
      <w:r>
        <w:rPr>
          <w:rFonts w:ascii="David" w:hAnsi="David" w:cs="David"/>
          <w:sz w:val="24"/>
          <w:szCs w:val="24"/>
          <w:rtl/>
        </w:rPr>
        <w:t xml:space="preserve">הנאשם הורשע בעבירות של החזקה/שימוש בסמים שלא לצריכה עצמית – עבירה לפי </w:t>
      </w:r>
      <w:hyperlink r:id="rId16" w:history="1">
        <w:r w:rsidR="009258A7" w:rsidRPr="009258A7">
          <w:rPr>
            <w:rFonts w:ascii="David" w:hAnsi="David" w:cs="David"/>
            <w:color w:val="0000FF"/>
            <w:sz w:val="24"/>
            <w:szCs w:val="24"/>
            <w:u w:val="single"/>
            <w:rtl/>
          </w:rPr>
          <w:t>סעיף 7(א)+7(ג)</w:t>
        </w:r>
      </w:hyperlink>
      <w:r>
        <w:rPr>
          <w:rFonts w:ascii="David" w:hAnsi="David" w:cs="David"/>
          <w:sz w:val="24"/>
          <w:szCs w:val="24"/>
          <w:rtl/>
        </w:rPr>
        <w:t xml:space="preserve"> רישא ל</w:t>
      </w:r>
      <w:hyperlink r:id="rId17" w:history="1">
        <w:r w:rsidR="00153611" w:rsidRPr="0015361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ובעבירה של שימוש בכוח או באיומים כדי למנוע מעצר – עבירה לפי </w:t>
      </w:r>
      <w:hyperlink r:id="rId18" w:history="1">
        <w:r w:rsidR="009258A7" w:rsidRPr="009258A7">
          <w:rPr>
            <w:rFonts w:ascii="David" w:hAnsi="David" w:cs="David"/>
            <w:color w:val="0000FF"/>
            <w:sz w:val="24"/>
            <w:szCs w:val="24"/>
            <w:u w:val="single"/>
            <w:rtl/>
          </w:rPr>
          <w:t>סעיף 47(א)</w:t>
        </w:r>
      </w:hyperlink>
      <w:r>
        <w:rPr>
          <w:rFonts w:ascii="David" w:hAnsi="David" w:cs="David"/>
          <w:sz w:val="24"/>
          <w:szCs w:val="24"/>
          <w:rtl/>
        </w:rPr>
        <w:t xml:space="preserve"> ל</w:t>
      </w:r>
      <w:hyperlink r:id="rId19" w:history="1">
        <w:r w:rsidR="00153611" w:rsidRPr="00153611">
          <w:rPr>
            <w:rFonts w:ascii="David" w:hAnsi="David" w:cs="David"/>
            <w:color w:val="0000FF"/>
            <w:sz w:val="24"/>
            <w:szCs w:val="24"/>
            <w:u w:val="single"/>
            <w:rtl/>
          </w:rPr>
          <w:t>פקודת סדר הדין הפלילי (מעצר וחיפוש)</w:t>
        </w:r>
      </w:hyperlink>
      <w:r>
        <w:rPr>
          <w:rFonts w:ascii="David" w:hAnsi="David" w:cs="David"/>
          <w:sz w:val="24"/>
          <w:szCs w:val="24"/>
          <w:rtl/>
        </w:rPr>
        <w:t>.</w:t>
      </w:r>
    </w:p>
    <w:p w14:paraId="3DD6BC11" w14:textId="77777777" w:rsidR="00E90BE7" w:rsidRDefault="00E90BE7" w:rsidP="00E90BE7">
      <w:pPr>
        <w:ind w:left="510" w:hanging="510"/>
        <w:jc w:val="both"/>
        <w:rPr>
          <w:rFonts w:ascii="David" w:hAnsi="David"/>
        </w:rPr>
      </w:pPr>
      <w:bookmarkStart w:id="6" w:name="ABSTRACT_END"/>
      <w:bookmarkEnd w:id="6"/>
    </w:p>
    <w:p w14:paraId="71F99E02" w14:textId="77777777" w:rsidR="00E90BE7" w:rsidRDefault="00E90BE7" w:rsidP="00E90BE7">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על פי עובדות כתב האישום המתוקן - בתאריך 5.4.2019, סמוך לשעה 03:17, נעצר הנאשם בכביש 12, בכניסה לעיר אילת, בעודו נוהג ברכב שמספר הרישוי שלו 5764379, על ידי המשטרה, לשם ביקורת שגרתית. השוטר אמין ניגש אליו וביקש שיציג רישיון או מסמכים </w:t>
      </w:r>
      <w:r>
        <w:rPr>
          <w:rFonts w:ascii="David" w:hAnsi="David" w:cs="David"/>
          <w:sz w:val="24"/>
          <w:szCs w:val="24"/>
          <w:rtl/>
        </w:rPr>
        <w:lastRenderedPageBreak/>
        <w:t>מזהים. כשהנאשם הודיע לאמין שאין לו מסמכים מזהים הודיע לו אמין כי הוא מעוכב. במהלך דו השיח ביניהם הבחין אמין בסם מסוכן ברכב וכאשר הבחין הנאשם כי אמין רואה זאת, שחרר את בלם היד והחל בנסיעה, כשאמין נכנס לרכב ומורה לו לעצור והנאשם ממשיך בנסיעה. השוטר עצר את הרכב ומנע מהנאשם מלהמשיך בנסיעה, בעת ששוטר נוסף, אנטון,  הגיע לסייע לשוטר אמין. בזמן שעצרו השוטרים את הנאשם, השתולל הנאשם וברח מספר מטרים עד שנעצר. בכך השתמש הנאשם בכוח כדי למנוע את מעצרו. בחיפוש שנעשה ברכב כדין, החזיק הנאשם סם מסוכן מסוג קנבוס במשקל 1,250 גרם נטו, מחולק לכ-212 שקיות, שלא לצריכתו העצמית ולצורך הפצתו.</w:t>
      </w:r>
    </w:p>
    <w:p w14:paraId="102FAEA9" w14:textId="77777777" w:rsidR="00E90BE7" w:rsidRDefault="00E90BE7" w:rsidP="00E90BE7">
      <w:pPr>
        <w:ind w:left="510" w:hanging="510"/>
        <w:jc w:val="both"/>
        <w:rPr>
          <w:rFonts w:ascii="David" w:hAnsi="David"/>
        </w:rPr>
      </w:pPr>
    </w:p>
    <w:p w14:paraId="104C4DA8" w14:textId="77777777" w:rsidR="00E90BE7" w:rsidRDefault="00E90BE7" w:rsidP="00E90BE7">
      <w:pPr>
        <w:pStyle w:val="a9"/>
        <w:numPr>
          <w:ilvl w:val="0"/>
          <w:numId w:val="1"/>
        </w:numPr>
        <w:spacing w:line="360" w:lineRule="auto"/>
        <w:jc w:val="both"/>
        <w:rPr>
          <w:rFonts w:ascii="David" w:hAnsi="David" w:cs="David"/>
          <w:sz w:val="24"/>
          <w:szCs w:val="24"/>
          <w:rtl/>
        </w:rPr>
      </w:pPr>
      <w:r>
        <w:rPr>
          <w:rFonts w:ascii="David" w:hAnsi="David" w:cs="David"/>
          <w:sz w:val="24"/>
          <w:szCs w:val="24"/>
          <w:rtl/>
        </w:rPr>
        <w:t>המאשימה  טענה כי במעשיו  פגע הנאשם בערכים המוגנים של הגנה על הציבור בכללותו מפני היות נגע הסמים בגדר מחולל פשיעה על כל גווניה - רכוש, אלימות, תעבורה וסמים וכן הגנה על גופם של אלה שצורכים את הסמים המסוכנים. מידת הפגיעה לטענתה הינה גבוהה. המאשימה עתרה להשית על הנאשם עונש של 22 חודשי מאסר לצד ענישה נלוות של קנס, פסילת רישיון נהיגה ל-24 חודשים וכן עונשים מותנים של מאסר ופסילת רישיון נהיגה, זאת בשים לב לחומרת העבירה, משקל הסם והעובדה שחולק לשקיות, בשילוב עם העבירה הנלווית שביצע כלפי השוטרים שניסו לעצור אותו, עברו הפלילי המכביד ובשים לב למתחם העונש ההולם לעבירות בהן הורשע הנאשם כאשר בעניין זה ביקשה המאשימה לקבוע מתחם עונש כולל שינוע בין</w:t>
      </w:r>
      <w:r w:rsidR="00153611">
        <w:rPr>
          <w:rFonts w:ascii="David" w:hAnsi="David" w:cs="David"/>
          <w:sz w:val="24"/>
          <w:szCs w:val="24"/>
          <w:rtl/>
        </w:rPr>
        <w:t xml:space="preserve"> </w:t>
      </w:r>
      <w:r>
        <w:rPr>
          <w:rFonts w:ascii="David" w:hAnsi="David" w:cs="David"/>
          <w:sz w:val="24"/>
          <w:szCs w:val="24"/>
          <w:rtl/>
        </w:rPr>
        <w:t xml:space="preserve"> 12 חודשי מאסר לבין 24 חודשי מאסר בפועל. </w:t>
      </w:r>
    </w:p>
    <w:p w14:paraId="5A4BEBB7" w14:textId="77777777" w:rsidR="00E90BE7" w:rsidRDefault="00E90BE7" w:rsidP="00E90BE7">
      <w:pPr>
        <w:ind w:left="510" w:hanging="510"/>
        <w:jc w:val="both"/>
        <w:rPr>
          <w:rFonts w:ascii="David" w:hAnsi="David"/>
          <w:rtl/>
        </w:rPr>
      </w:pPr>
    </w:p>
    <w:p w14:paraId="2D9EA279" w14:textId="77777777" w:rsidR="00E90BE7" w:rsidRDefault="00E90BE7" w:rsidP="00E90BE7">
      <w:pPr>
        <w:pStyle w:val="a9"/>
        <w:numPr>
          <w:ilvl w:val="0"/>
          <w:numId w:val="1"/>
        </w:numPr>
        <w:spacing w:line="360" w:lineRule="auto"/>
        <w:jc w:val="both"/>
        <w:rPr>
          <w:rFonts w:ascii="David" w:hAnsi="David" w:cs="David"/>
          <w:sz w:val="24"/>
          <w:szCs w:val="24"/>
        </w:rPr>
      </w:pPr>
      <w:r>
        <w:rPr>
          <w:rFonts w:ascii="David" w:hAnsi="David" w:cs="David"/>
          <w:sz w:val="24"/>
          <w:szCs w:val="24"/>
          <w:rtl/>
        </w:rPr>
        <w:t>ב"כ הנאשם מנגד ביקש להשית על הנאשם עונש ברף התחתון של מתחם הענישה בלבד; זאת בשים לכך שמדובר בסם קל והכמות שנתפסה היא 1,250 גרם בלבד ובשים לב להיותו של הנאשם עצור מיום 5.4.2019. ב"כ הנאשם הוסיף וטען כי מתחם העונש ההולם לעבירה של התנגדות למעצר בנסיבות המיוחסות למבקש נע בין מאסר על תנאי ועד למספר חודשי מאסר, לביצוע בעבודות שירות. המתחם ההולם לעבירה של החזקת קנאביס שלא לצריכה עצמית נע בין מספר חודשי מאסר לביצוע בעבודות שירות ועד 10 חודשי מאסר בפועל. היות ולטענת ב"כ הנאשם, מדובר באירוע אחד, מתחם העונש הכולל ההולם את העבירות בהן הורשע הנאשם, נע בין</w:t>
      </w:r>
      <w:r w:rsidR="00153611">
        <w:rPr>
          <w:rFonts w:ascii="David" w:hAnsi="David" w:cs="David"/>
          <w:sz w:val="24"/>
          <w:szCs w:val="24"/>
          <w:rtl/>
        </w:rPr>
        <w:t xml:space="preserve"> </w:t>
      </w:r>
      <w:r>
        <w:rPr>
          <w:rFonts w:ascii="David" w:hAnsi="David" w:cs="David"/>
          <w:sz w:val="24"/>
          <w:szCs w:val="24"/>
          <w:rtl/>
        </w:rPr>
        <w:t xml:space="preserve">מאסר לתקופה של מספר חודשים בודדים, לביצוע בעבודות שירות - ועד ל-12 חודשי מאסר בפועל. </w:t>
      </w:r>
    </w:p>
    <w:p w14:paraId="39CBD160" w14:textId="77777777" w:rsidR="00E90BE7" w:rsidRDefault="00E90BE7" w:rsidP="00E90BE7">
      <w:pPr>
        <w:pStyle w:val="a9"/>
        <w:rPr>
          <w:rFonts w:ascii="David" w:hAnsi="David" w:cs="David"/>
          <w:sz w:val="24"/>
          <w:szCs w:val="24"/>
          <w:rtl/>
        </w:rPr>
      </w:pPr>
    </w:p>
    <w:p w14:paraId="5B2C2C69" w14:textId="77777777" w:rsidR="00E90BE7" w:rsidRDefault="00E90BE7" w:rsidP="00E90BE7">
      <w:pPr>
        <w:spacing w:line="360" w:lineRule="auto"/>
        <w:ind w:left="720" w:hanging="360"/>
        <w:jc w:val="both"/>
        <w:rPr>
          <w:rFonts w:ascii="David" w:hAnsi="David"/>
          <w:rtl/>
        </w:rPr>
      </w:pPr>
      <w:r>
        <w:rPr>
          <w:rtl/>
        </w:rPr>
        <w:t>5.</w:t>
      </w:r>
      <w:r>
        <w:rPr>
          <w:rtl/>
        </w:rPr>
        <w:tab/>
        <w:t>ב"כ הנאשם ביקש להבחין בין מקרה אחר (</w:t>
      </w:r>
      <w:hyperlink r:id="rId20" w:history="1">
        <w:r w:rsidR="00153611" w:rsidRPr="00153611">
          <w:rPr>
            <w:color w:val="0000FF"/>
            <w:u w:val="single"/>
            <w:rtl/>
          </w:rPr>
          <w:t>ת"פ 8657-03-19</w:t>
        </w:r>
      </w:hyperlink>
      <w:r>
        <w:rPr>
          <w:rtl/>
        </w:rPr>
        <w:t xml:space="preserve"> </w:t>
      </w:r>
      <w:r>
        <w:rPr>
          <w:b/>
          <w:bCs/>
          <w:rtl/>
        </w:rPr>
        <w:t>מדינת ישראל נ. מועתסם אגבריה</w:t>
      </w:r>
      <w:r>
        <w:rPr>
          <w:rtl/>
        </w:rPr>
        <w:t>) בו גזר מותב זה עונש של שישה חדשים ויום על מי שנתפס והוא מחזיק סם מסוכן מסוג קנבוס במשקל של 963.2 גרם נטו ובין המקרה הנוכחי, כאשר במקרה הקודם היה מדובר בנאשם שהיה עצור עד תום ההליכים, בעל עבר פלילי מכביד שבגינו אף ריצה עונשי מאסר, בניגוד לנאשם בתיק הנוכחי שמעולם לא ריצה עונש מאסר. לכן ביקש ב"כ הנאשם כי במקרה זה יקבע מתחם ענישה נמוך יותר ועונש קל יותר.</w:t>
      </w:r>
    </w:p>
    <w:p w14:paraId="48B09E7F" w14:textId="77777777" w:rsidR="00E90BE7" w:rsidRDefault="00E90BE7" w:rsidP="00E90BE7">
      <w:pPr>
        <w:ind w:left="720" w:hanging="360"/>
        <w:jc w:val="both"/>
      </w:pPr>
    </w:p>
    <w:p w14:paraId="3ABD4C9F" w14:textId="77777777" w:rsidR="00E90BE7" w:rsidRDefault="00E90BE7" w:rsidP="00E90BE7">
      <w:pPr>
        <w:spacing w:line="360" w:lineRule="auto"/>
        <w:ind w:left="714" w:hanging="354"/>
        <w:jc w:val="both"/>
        <w:rPr>
          <w:rtl/>
        </w:rPr>
      </w:pPr>
      <w:r>
        <w:rPr>
          <w:rtl/>
        </w:rPr>
        <w:lastRenderedPageBreak/>
        <w:t>6.</w:t>
      </w:r>
      <w:r>
        <w:rPr>
          <w:rtl/>
        </w:rPr>
        <w:tab/>
        <w:t>עוד הפנה ב"כ הנאשם לעברו ולנסיבותיו האישיות של הנאשם כפי שבאו לידי ביטוי בדיוני המעצר שנערכו בעניינו. ב"כ הנאשם ציטט את דברי כב' השופט ברגר בדיון המעצר, בהם קבע כי התרשם מתסקיר שירות המבחן שמדובר בנאשם בעל סיפור חיים מורכב ואף עצוב והביע הסכמתו לסייע למשיב אם ירצה להשתלב בקהילה טיפולית סגורה. ב"כ הנאשם הזכיר כי מאז שנת 2010 לא עבר הנאשם כל עבירה, וגם העבירות שעבר נעברו בתקופה של שלוש שנים בין 2007-2010 והוא מעולם לא ריצה מאסר מאחורי סורג ובריח. יתרה מכך הנאשם לדבריו מעולם לא עבר עבירת סמים וכל העבירות בהן הורשע היו עבירות רכוש. ב"כ הנאשם טען כי יש להתחשב בעובדה שהנאשם הודה, הודאה כנה ואמיתית, בעובדות המרכיבות את כתב האישום המתוקן, הביע חרטה כנה ואמיתית והתהליך בו נמצא עורר בו תובנה עמוקה לגבי מצבו ולבחירות השליליות שביצע בחייו עד כה -  דבר שעורר בו את הצורך לערוך שינוי אמיתי באורחות חייו; כשבשלב ראשון התקרב מחדש למשפחתו הגרעינית שאף באה לתמוך בו בדיוני בית המשפט.</w:t>
      </w:r>
    </w:p>
    <w:p w14:paraId="0B314B7A" w14:textId="77777777" w:rsidR="00E90BE7" w:rsidRDefault="00E90BE7" w:rsidP="00E90BE7">
      <w:pPr>
        <w:ind w:left="714" w:hanging="354"/>
        <w:jc w:val="both"/>
        <w:rPr>
          <w:rtl/>
        </w:rPr>
      </w:pPr>
    </w:p>
    <w:p w14:paraId="7D294761" w14:textId="77777777" w:rsidR="00E90BE7" w:rsidRDefault="00E90BE7" w:rsidP="00E90BE7">
      <w:pPr>
        <w:spacing w:line="360" w:lineRule="auto"/>
        <w:ind w:left="714" w:hanging="354"/>
        <w:jc w:val="both"/>
        <w:rPr>
          <w:rtl/>
        </w:rPr>
      </w:pPr>
      <w:r>
        <w:rPr>
          <w:rtl/>
        </w:rPr>
        <w:t>7.</w:t>
      </w:r>
      <w:r>
        <w:rPr>
          <w:rtl/>
        </w:rPr>
        <w:tab/>
        <w:t xml:space="preserve">הצדדים ביקשו, בשל פגרת בית המשפט, למסור את טיעוניהם לעונש בכתב וכי גזר הדין יוקרא לנאשם על ידי שופט תורן ובכך ויתר הנאשם על הזדמנות למסור את עמדתו לעונש מעבר לעמדה שנמסרה באמצעות בא כוחו. אולם על פי </w:t>
      </w:r>
      <w:hyperlink r:id="rId21" w:history="1">
        <w:r w:rsidR="009258A7" w:rsidRPr="009258A7">
          <w:rPr>
            <w:color w:val="0000FF"/>
            <w:u w:val="single"/>
            <w:rtl/>
          </w:rPr>
          <w:t>סעיף 192</w:t>
        </w:r>
      </w:hyperlink>
      <w:r>
        <w:rPr>
          <w:rtl/>
        </w:rPr>
        <w:t xml:space="preserve"> ל</w:t>
      </w:r>
      <w:hyperlink r:id="rId22" w:history="1">
        <w:r w:rsidR="00153611" w:rsidRPr="00153611">
          <w:rPr>
            <w:color w:val="0000FF"/>
            <w:u w:val="single"/>
            <w:rtl/>
          </w:rPr>
          <w:t>חוק סדר הדין הפלילי</w:t>
        </w:r>
      </w:hyperlink>
      <w:r>
        <w:rPr>
          <w:rtl/>
        </w:rPr>
        <w:t xml:space="preserve"> (נוסח משולב) "נסתיימו</w:t>
      </w:r>
      <w:r>
        <w:rPr>
          <w:rFonts w:hint="cs"/>
        </w:rPr>
        <w:t xml:space="preserve"> </w:t>
      </w:r>
      <w:r>
        <w:rPr>
          <w:rtl/>
        </w:rPr>
        <w:t>ההליכים</w:t>
      </w:r>
      <w:r>
        <w:rPr>
          <w:rFonts w:hint="cs"/>
        </w:rPr>
        <w:t xml:space="preserve"> </w:t>
      </w:r>
      <w:r>
        <w:rPr>
          <w:rtl/>
        </w:rPr>
        <w:t>האמורים</w:t>
      </w:r>
      <w:r>
        <w:rPr>
          <w:rFonts w:hint="cs"/>
        </w:rPr>
        <w:t xml:space="preserve"> </w:t>
      </w:r>
      <w:r>
        <w:rPr>
          <w:rtl/>
        </w:rPr>
        <w:t>בסעיפים</w:t>
      </w:r>
      <w:r>
        <w:t xml:space="preserve"> 187 </w:t>
      </w:r>
      <w:r>
        <w:rPr>
          <w:rtl/>
        </w:rPr>
        <w:t>עד</w:t>
      </w:r>
      <w:r>
        <w:t xml:space="preserve"> 191 </w:t>
      </w:r>
      <w:r>
        <w:rPr>
          <w:rtl/>
        </w:rPr>
        <w:t>רשאים</w:t>
      </w:r>
      <w:r>
        <w:rPr>
          <w:rFonts w:hint="cs"/>
        </w:rPr>
        <w:t xml:space="preserve"> </w:t>
      </w:r>
      <w:r>
        <w:rPr>
          <w:rtl/>
        </w:rPr>
        <w:t>התובע</w:t>
      </w:r>
      <w:r>
        <w:rPr>
          <w:rFonts w:hint="cs"/>
        </w:rPr>
        <w:t xml:space="preserve"> </w:t>
      </w:r>
      <w:r>
        <w:rPr>
          <w:rtl/>
        </w:rPr>
        <w:t>ואחריו הסניגור</w:t>
      </w:r>
      <w:r>
        <w:rPr>
          <w:rFonts w:hint="cs"/>
        </w:rPr>
        <w:t xml:space="preserve"> </w:t>
      </w:r>
      <w:r>
        <w:rPr>
          <w:rtl/>
        </w:rPr>
        <w:t>והנאשם</w:t>
      </w:r>
      <w:r>
        <w:rPr>
          <w:rFonts w:hint="cs"/>
        </w:rPr>
        <w:t xml:space="preserve"> </w:t>
      </w:r>
      <w:r>
        <w:rPr>
          <w:rtl/>
        </w:rPr>
        <w:t>להשמיע</w:t>
      </w:r>
      <w:r>
        <w:rPr>
          <w:rFonts w:hint="cs"/>
        </w:rPr>
        <w:t xml:space="preserve"> </w:t>
      </w:r>
      <w:r>
        <w:rPr>
          <w:rtl/>
        </w:rPr>
        <w:t>את</w:t>
      </w:r>
      <w:r>
        <w:rPr>
          <w:rFonts w:hint="cs"/>
        </w:rPr>
        <w:t xml:space="preserve"> </w:t>
      </w:r>
      <w:r>
        <w:rPr>
          <w:rtl/>
        </w:rPr>
        <w:t>טענותיהם</w:t>
      </w:r>
      <w:r>
        <w:rPr>
          <w:rFonts w:hint="cs"/>
        </w:rPr>
        <w:t xml:space="preserve"> </w:t>
      </w:r>
      <w:r>
        <w:rPr>
          <w:rtl/>
        </w:rPr>
        <w:t>לעניין</w:t>
      </w:r>
      <w:r>
        <w:rPr>
          <w:rFonts w:hint="cs"/>
        </w:rPr>
        <w:t xml:space="preserve"> </w:t>
      </w:r>
      <w:r>
        <w:rPr>
          <w:rtl/>
        </w:rPr>
        <w:t>העונ</w:t>
      </w:r>
      <w:r>
        <w:rPr>
          <w:rFonts w:hint="cs"/>
          <w:rtl/>
        </w:rPr>
        <w:t>ש"</w:t>
      </w:r>
      <w:r>
        <w:t>.</w:t>
      </w:r>
      <w:r>
        <w:rPr>
          <w:rtl/>
        </w:rPr>
        <w:t xml:space="preserve"> </w:t>
      </w:r>
      <w:r>
        <w:rPr>
          <w:rFonts w:hint="cs"/>
          <w:rtl/>
        </w:rPr>
        <w:t>על כן זכותו של הנאשם שלא להשמיע את טענותיו לעניין העונש.</w:t>
      </w:r>
    </w:p>
    <w:p w14:paraId="33A4600E" w14:textId="77777777" w:rsidR="00E90BE7" w:rsidRDefault="00E90BE7" w:rsidP="00E90BE7">
      <w:pPr>
        <w:ind w:left="714" w:hanging="354"/>
        <w:jc w:val="both"/>
        <w:rPr>
          <w:rtl/>
        </w:rPr>
      </w:pPr>
    </w:p>
    <w:p w14:paraId="4405D0D4" w14:textId="77777777" w:rsidR="00E90BE7" w:rsidRDefault="00E90BE7" w:rsidP="00E90BE7">
      <w:pPr>
        <w:pStyle w:val="a9"/>
        <w:spacing w:line="360" w:lineRule="auto"/>
        <w:ind w:left="714"/>
        <w:jc w:val="both"/>
        <w:rPr>
          <w:rFonts w:ascii="David" w:hAnsi="David" w:cs="David"/>
          <w:b/>
          <w:bCs/>
          <w:sz w:val="24"/>
          <w:szCs w:val="24"/>
          <w:rtl/>
        </w:rPr>
      </w:pPr>
      <w:r>
        <w:rPr>
          <w:rFonts w:ascii="David" w:hAnsi="David" w:cs="David"/>
          <w:b/>
          <w:bCs/>
          <w:sz w:val="24"/>
          <w:szCs w:val="24"/>
          <w:rtl/>
        </w:rPr>
        <w:t>דיון והכרעה:</w:t>
      </w:r>
    </w:p>
    <w:p w14:paraId="2E292364" w14:textId="77777777" w:rsidR="00E90BE7" w:rsidRDefault="00E90BE7" w:rsidP="00E90BE7">
      <w:pPr>
        <w:spacing w:line="360" w:lineRule="auto"/>
        <w:ind w:left="714" w:hanging="354"/>
        <w:jc w:val="both"/>
        <w:rPr>
          <w:rFonts w:ascii="David" w:hAnsi="David"/>
          <w:rtl/>
        </w:rPr>
      </w:pPr>
      <w:r>
        <w:rPr>
          <w:rtl/>
        </w:rPr>
        <w:t>8.</w:t>
      </w:r>
      <w:r>
        <w:rPr>
          <w:rtl/>
        </w:rPr>
        <w:tab/>
        <w:t>את דינו של הנאשם יש לגזור בהתאם לעקרון הענישה ההולמת, שהותווה בתיקון 113 ל</w:t>
      </w:r>
      <w:hyperlink r:id="rId23" w:history="1">
        <w:r w:rsidR="00153611" w:rsidRPr="00153611">
          <w:rPr>
            <w:color w:val="0000FF"/>
            <w:u w:val="single"/>
            <w:rtl/>
          </w:rPr>
          <w:t>חוק העונשין</w:t>
        </w:r>
      </w:hyperlink>
      <w:r>
        <w:rPr>
          <w:rtl/>
        </w:rPr>
        <w:t>, תשל"ז - 1977.</w:t>
      </w:r>
    </w:p>
    <w:p w14:paraId="7B3F8D04" w14:textId="77777777" w:rsidR="00E90BE7" w:rsidRDefault="00E90BE7" w:rsidP="00E90BE7">
      <w:pPr>
        <w:ind w:left="510" w:hanging="510"/>
        <w:jc w:val="both"/>
      </w:pPr>
    </w:p>
    <w:p w14:paraId="5011BC8D" w14:textId="77777777" w:rsidR="00E90BE7" w:rsidRDefault="00E90BE7" w:rsidP="00E90BE7">
      <w:pPr>
        <w:spacing w:line="360" w:lineRule="auto"/>
        <w:ind w:left="714" w:hanging="354"/>
        <w:jc w:val="both"/>
        <w:rPr>
          <w:rtl/>
        </w:rPr>
      </w:pPr>
      <w:r>
        <w:rPr>
          <w:rtl/>
        </w:rPr>
        <w:t>9.</w:t>
      </w:r>
      <w:r>
        <w:rPr>
          <w:rtl/>
        </w:rPr>
        <w:tab/>
        <w:t xml:space="preserve">לפיכך, תחילה יש לקבוע את מתחם העונש ההולם בהתאם לערכים החברתיים שנפגעו, מידת הפגיעה בהם, נסיבות ביצוע העבירה ומדיניות הענישה הנוהגת, ולאחר מכן לקבוע את העונש בתוך המתחם על פי נסיבותיו האישיות של הנאשם. </w:t>
      </w:r>
    </w:p>
    <w:p w14:paraId="537B4EDA" w14:textId="77777777" w:rsidR="00E90BE7" w:rsidRDefault="00E90BE7" w:rsidP="00E90BE7">
      <w:pPr>
        <w:ind w:left="714" w:hanging="354"/>
        <w:jc w:val="both"/>
        <w:rPr>
          <w:rtl/>
        </w:rPr>
      </w:pPr>
    </w:p>
    <w:p w14:paraId="3C8CF509" w14:textId="77777777" w:rsidR="00E90BE7" w:rsidRDefault="00E90BE7" w:rsidP="00E90BE7">
      <w:pPr>
        <w:spacing w:line="360" w:lineRule="auto"/>
        <w:ind w:left="714" w:hanging="354"/>
        <w:jc w:val="both"/>
        <w:rPr>
          <w:rtl/>
        </w:rPr>
      </w:pPr>
      <w:r>
        <w:rPr>
          <w:rtl/>
        </w:rPr>
        <w:t>10.</w:t>
      </w:r>
      <w:r>
        <w:rPr>
          <w:rtl/>
        </w:rPr>
        <w:tab/>
        <w:t xml:space="preserve">בחינת מדיניות הענישה הנוהגת מעלה כי מידת הענישה בעבירות לפי </w:t>
      </w:r>
      <w:hyperlink r:id="rId24" w:history="1">
        <w:r w:rsidR="00153611" w:rsidRPr="00153611">
          <w:rPr>
            <w:color w:val="0000FF"/>
            <w:u w:val="single"/>
            <w:rtl/>
          </w:rPr>
          <w:t>פקודת הסמים המסוכנים</w:t>
        </w:r>
      </w:hyperlink>
      <w:r>
        <w:rPr>
          <w:rtl/>
        </w:rPr>
        <w:t xml:space="preserve"> משתנה בהתאם לכמות  הסם, סוגו, נסיבות אישיות ועוד. במקרים דומים מבחינת סוג וכמות הסם הוטלו על נאשמים עונשים הנעים ממאסר מותנה ועד שנת מאסר.</w:t>
      </w:r>
    </w:p>
    <w:p w14:paraId="06A12D12" w14:textId="77777777" w:rsidR="00E90BE7" w:rsidRDefault="00E90BE7" w:rsidP="00E90BE7">
      <w:pPr>
        <w:ind w:left="714" w:hanging="354"/>
        <w:jc w:val="both"/>
        <w:rPr>
          <w:rtl/>
        </w:rPr>
      </w:pPr>
    </w:p>
    <w:p w14:paraId="704AB3FF" w14:textId="77777777" w:rsidR="00E90BE7" w:rsidRDefault="00E90BE7" w:rsidP="00E90BE7">
      <w:pPr>
        <w:spacing w:line="360" w:lineRule="auto"/>
        <w:ind w:left="714" w:hanging="354"/>
        <w:jc w:val="both"/>
      </w:pPr>
      <w:r>
        <w:rPr>
          <w:rtl/>
        </w:rPr>
        <w:t>11.</w:t>
      </w:r>
      <w:r>
        <w:rPr>
          <w:rtl/>
        </w:rPr>
        <w:tab/>
        <w:t xml:space="preserve">הערכים החברתיים שנפגעו מהעבירה של החזקת סמים שלא לצריכה עצמית הם הגנה על שלום הציבור ובטחונו מפני נגע הסמים המביא רעות חולות הן למשתמשים עצמם והן לחברה בכללותה. </w:t>
      </w:r>
    </w:p>
    <w:p w14:paraId="7CE84122" w14:textId="77777777" w:rsidR="00E90BE7" w:rsidRDefault="00E90BE7" w:rsidP="00E90BE7">
      <w:pPr>
        <w:ind w:left="714" w:hanging="354"/>
        <w:jc w:val="both"/>
        <w:rPr>
          <w:rtl/>
        </w:rPr>
      </w:pPr>
    </w:p>
    <w:p w14:paraId="7517AD29" w14:textId="77777777" w:rsidR="00E90BE7" w:rsidRDefault="00E90BE7" w:rsidP="00E90BE7">
      <w:pPr>
        <w:spacing w:line="360" w:lineRule="auto"/>
        <w:ind w:left="714" w:hanging="354"/>
        <w:jc w:val="both"/>
        <w:rPr>
          <w:rtl/>
        </w:rPr>
      </w:pPr>
      <w:r>
        <w:rPr>
          <w:rtl/>
        </w:rPr>
        <w:t>12.</w:t>
      </w:r>
      <w:r>
        <w:rPr>
          <w:rtl/>
        </w:rPr>
        <w:tab/>
        <w:t xml:space="preserve">הערכים החברתיים שנפגעו מעבירה של התנגדות למעצר, הם  הגנה על שמירת הסדר הציבורי ועל שלטון החוק והגנה על תפקודם וביטחונם של גורמי אכיפת החוק ויכולתם למלא תפקידם ללא מורא וללא פגע. </w:t>
      </w:r>
    </w:p>
    <w:p w14:paraId="285AE8D2" w14:textId="77777777" w:rsidR="00E90BE7" w:rsidRDefault="00E90BE7" w:rsidP="00E90BE7">
      <w:pPr>
        <w:ind w:left="714" w:hanging="354"/>
        <w:jc w:val="both"/>
        <w:rPr>
          <w:rtl/>
        </w:rPr>
      </w:pPr>
    </w:p>
    <w:p w14:paraId="42A27B8F" w14:textId="77777777" w:rsidR="00E90BE7" w:rsidRDefault="00E90BE7" w:rsidP="00E90BE7">
      <w:pPr>
        <w:spacing w:line="360" w:lineRule="auto"/>
        <w:ind w:left="714" w:hanging="354"/>
        <w:jc w:val="both"/>
        <w:rPr>
          <w:rtl/>
        </w:rPr>
      </w:pPr>
      <w:r>
        <w:rPr>
          <w:rtl/>
        </w:rPr>
        <w:t>13.</w:t>
      </w:r>
      <w:r>
        <w:rPr>
          <w:rtl/>
        </w:rPr>
        <w:tab/>
        <w:t xml:space="preserve">מידת הפגיעה בערכים החברתיים בשני המקרים היא בינונית. </w:t>
      </w:r>
    </w:p>
    <w:p w14:paraId="6E6AEA6C" w14:textId="77777777" w:rsidR="00E90BE7" w:rsidRDefault="00E90BE7" w:rsidP="00E90BE7">
      <w:pPr>
        <w:ind w:left="714" w:hanging="354"/>
        <w:jc w:val="both"/>
        <w:rPr>
          <w:rtl/>
        </w:rPr>
      </w:pPr>
    </w:p>
    <w:p w14:paraId="16B02A65" w14:textId="77777777" w:rsidR="00E90BE7" w:rsidRDefault="00E90BE7" w:rsidP="00E90BE7">
      <w:pPr>
        <w:spacing w:line="360" w:lineRule="auto"/>
        <w:ind w:left="714" w:hanging="354"/>
        <w:jc w:val="both"/>
        <w:rPr>
          <w:rtl/>
        </w:rPr>
      </w:pPr>
      <w:r>
        <w:rPr>
          <w:rtl/>
        </w:rPr>
        <w:t>14.</w:t>
      </w:r>
      <w:r>
        <w:rPr>
          <w:rtl/>
        </w:rPr>
        <w:tab/>
        <w:t>באשר לנסיבות ביצוע העבירה של החזקת הסם לקחתי בחשבון שהנאשם החזיק את הסם כשהוא מחולק למנות, כשדבר זה חמור יותר מאשר כשהסם מוחזק בתפזורת.</w:t>
      </w:r>
    </w:p>
    <w:p w14:paraId="7F573396" w14:textId="77777777" w:rsidR="00E90BE7" w:rsidRDefault="00E90BE7" w:rsidP="00E90BE7">
      <w:pPr>
        <w:ind w:left="714" w:hanging="354"/>
        <w:jc w:val="both"/>
        <w:rPr>
          <w:rtl/>
        </w:rPr>
      </w:pPr>
    </w:p>
    <w:p w14:paraId="4F630BF6" w14:textId="77777777" w:rsidR="00E90BE7" w:rsidRDefault="00E90BE7" w:rsidP="00E90BE7">
      <w:pPr>
        <w:spacing w:line="360" w:lineRule="auto"/>
        <w:ind w:left="714" w:hanging="354"/>
        <w:jc w:val="both"/>
        <w:rPr>
          <w:rtl/>
        </w:rPr>
      </w:pPr>
      <w:r>
        <w:rPr>
          <w:rtl/>
        </w:rPr>
        <w:t>15.</w:t>
      </w:r>
      <w:r>
        <w:rPr>
          <w:rtl/>
        </w:rPr>
        <w:tab/>
        <w:t>באשר לנסיבות ביצוע ההתנגדות למעצר מדובר במעשים שנעשו תוך סיכון בטחונו של השוטר אמין וללא התחשבות בכך זולת רצונו של הנאשם לנוס מהמקום. למרבה המזל לא נגרמה לשוטר אמין חבלה ממשית שהיא תוצאה מסתברת של מעשי הנאשם ועל כן מידת הפגיעה היא בינונית אחרי הכל.</w:t>
      </w:r>
    </w:p>
    <w:p w14:paraId="25CEA99F" w14:textId="77777777" w:rsidR="00E90BE7" w:rsidRDefault="00E90BE7" w:rsidP="00E90BE7">
      <w:pPr>
        <w:pStyle w:val="a9"/>
        <w:jc w:val="both"/>
        <w:rPr>
          <w:rFonts w:ascii="David" w:hAnsi="David" w:cs="David"/>
          <w:sz w:val="24"/>
          <w:szCs w:val="24"/>
          <w:u w:val="single"/>
          <w:rtl/>
        </w:rPr>
      </w:pPr>
    </w:p>
    <w:p w14:paraId="044DF6A8" w14:textId="77777777" w:rsidR="00E90BE7" w:rsidRDefault="00E90BE7" w:rsidP="00E90BE7">
      <w:pPr>
        <w:pStyle w:val="a9"/>
        <w:jc w:val="both"/>
        <w:rPr>
          <w:rFonts w:ascii="David" w:hAnsi="David" w:cs="David"/>
          <w:sz w:val="24"/>
          <w:szCs w:val="24"/>
          <w:u w:val="single"/>
          <w:rtl/>
        </w:rPr>
      </w:pPr>
    </w:p>
    <w:p w14:paraId="3DFC3FDB" w14:textId="77777777" w:rsidR="00E90BE7" w:rsidRDefault="00E90BE7" w:rsidP="00E90BE7">
      <w:pPr>
        <w:pStyle w:val="a9"/>
        <w:jc w:val="both"/>
        <w:rPr>
          <w:rFonts w:ascii="David" w:hAnsi="David" w:cs="David"/>
          <w:sz w:val="24"/>
          <w:szCs w:val="24"/>
          <w:u w:val="single"/>
          <w:rtl/>
        </w:rPr>
      </w:pPr>
    </w:p>
    <w:p w14:paraId="112A9093" w14:textId="77777777" w:rsidR="00E90BE7" w:rsidRDefault="00E90BE7" w:rsidP="00E90BE7">
      <w:pPr>
        <w:pStyle w:val="a9"/>
        <w:jc w:val="both"/>
        <w:rPr>
          <w:rFonts w:ascii="David" w:hAnsi="David" w:cs="David"/>
          <w:sz w:val="24"/>
          <w:szCs w:val="24"/>
          <w:u w:val="single"/>
          <w:rtl/>
        </w:rPr>
      </w:pPr>
    </w:p>
    <w:p w14:paraId="28F90CFA" w14:textId="77777777" w:rsidR="00E90BE7" w:rsidRDefault="00E90BE7" w:rsidP="00E90BE7">
      <w:pPr>
        <w:pStyle w:val="a9"/>
        <w:jc w:val="both"/>
        <w:rPr>
          <w:rFonts w:ascii="David" w:hAnsi="David" w:cs="David"/>
          <w:sz w:val="24"/>
          <w:szCs w:val="24"/>
          <w:u w:val="single"/>
          <w:rtl/>
        </w:rPr>
      </w:pPr>
    </w:p>
    <w:p w14:paraId="7573A7C9" w14:textId="77777777" w:rsidR="00E90BE7" w:rsidRDefault="00E90BE7" w:rsidP="00E90BE7">
      <w:pPr>
        <w:pStyle w:val="a9"/>
        <w:spacing w:line="360" w:lineRule="auto"/>
        <w:jc w:val="both"/>
        <w:rPr>
          <w:rFonts w:ascii="David" w:hAnsi="David" w:cs="David"/>
          <w:sz w:val="24"/>
          <w:szCs w:val="24"/>
          <w:rtl/>
        </w:rPr>
      </w:pPr>
      <w:r>
        <w:rPr>
          <w:rFonts w:ascii="David" w:hAnsi="David" w:cs="David"/>
          <w:sz w:val="24"/>
          <w:szCs w:val="24"/>
          <w:u w:val="single"/>
          <w:rtl/>
        </w:rPr>
        <w:t>באשר למדיניות הענישה הנוהגת</w:t>
      </w:r>
      <w:r>
        <w:rPr>
          <w:rFonts w:ascii="David" w:hAnsi="David" w:cs="David"/>
          <w:sz w:val="24"/>
          <w:szCs w:val="24"/>
          <w:rtl/>
        </w:rPr>
        <w:t xml:space="preserve"> - </w:t>
      </w:r>
    </w:p>
    <w:p w14:paraId="70F8C978" w14:textId="77777777" w:rsidR="00E90BE7" w:rsidRDefault="00E90BE7" w:rsidP="00E90BE7">
      <w:pPr>
        <w:pStyle w:val="a9"/>
        <w:spacing w:line="360" w:lineRule="auto"/>
        <w:jc w:val="both"/>
        <w:rPr>
          <w:rFonts w:ascii="David" w:hAnsi="David" w:cs="David"/>
          <w:sz w:val="24"/>
          <w:szCs w:val="24"/>
        </w:rPr>
      </w:pPr>
      <w:r>
        <w:rPr>
          <w:rFonts w:ascii="David" w:hAnsi="David" w:cs="David"/>
          <w:b/>
          <w:bCs/>
          <w:sz w:val="24"/>
          <w:szCs w:val="24"/>
          <w:rtl/>
        </w:rPr>
        <w:t>ב</w:t>
      </w:r>
      <w:hyperlink r:id="rId25" w:history="1">
        <w:r w:rsidR="00153611" w:rsidRPr="00153611">
          <w:rPr>
            <w:rFonts w:ascii="David" w:hAnsi="David" w:cs="David"/>
            <w:b/>
            <w:bCs/>
            <w:color w:val="0000FF"/>
            <w:sz w:val="24"/>
            <w:szCs w:val="24"/>
            <w:u w:val="single"/>
            <w:rtl/>
          </w:rPr>
          <w:t>ת"פ 31236-09-14</w:t>
        </w:r>
      </w:hyperlink>
      <w:r>
        <w:rPr>
          <w:rFonts w:ascii="David" w:hAnsi="David" w:cs="David"/>
          <w:b/>
          <w:bCs/>
          <w:sz w:val="24"/>
          <w:szCs w:val="24"/>
          <w:rtl/>
        </w:rPr>
        <w:t xml:space="preserve"> מדינת ישראל נ. סאלם רקיבי</w:t>
      </w:r>
      <w:r>
        <w:rPr>
          <w:rFonts w:ascii="David" w:hAnsi="David" w:cs="David"/>
          <w:sz w:val="24"/>
          <w:szCs w:val="24"/>
          <w:rtl/>
        </w:rPr>
        <w:t xml:space="preserve"> הורשע הנאשם (כב' השופטת ציגלר) בעבירה של החזקת סם (חשיש) שלא לצריכה עצמית במשקל כולל של 2,299.69 גרם נטו. מדובר היה בנאשם ללא עבר פלילי ונקבע כי מתחם העונש ההולם הינו בין תקופת מאסר בפועל של 6 חודשים ועד תקופת מאסר בפועל של 15 חודשים. בפועלו נגזרו על הנאשם 8 חודשי מאסר בפועל, ענישה מותנית וקנס. ערעור על פסק הדין נדחה וכך גם בקשת רשות ערעור (</w:t>
      </w:r>
      <w:hyperlink r:id="rId26" w:history="1">
        <w:r w:rsidR="00153611" w:rsidRPr="00153611">
          <w:rPr>
            <w:rFonts w:ascii="David" w:hAnsi="David" w:cs="David"/>
            <w:color w:val="0000FF"/>
            <w:sz w:val="24"/>
            <w:szCs w:val="24"/>
            <w:u w:val="single"/>
            <w:rtl/>
          </w:rPr>
          <w:t>רע"פ  1830/16</w:t>
        </w:r>
      </w:hyperlink>
      <w:r>
        <w:rPr>
          <w:rFonts w:ascii="David" w:hAnsi="David" w:cs="David"/>
          <w:sz w:val="24"/>
          <w:szCs w:val="24"/>
          <w:rtl/>
        </w:rPr>
        <w:t xml:space="preserve">) – בה נפסק, מפי כב' השופט (כתארו אז) חנן מלצר, כי "סבורני שהעונש שהושת על המבקש איננו סוטה לחומרא ממדיניות הענישה שנקבעה בעניינים כגון דא (והשוו </w:t>
      </w:r>
      <w:hyperlink r:id="rId27" w:history="1">
        <w:r w:rsidR="00153611" w:rsidRPr="00153611">
          <w:rPr>
            <w:rFonts w:ascii="David" w:hAnsi="David" w:cs="David"/>
            <w:color w:val="0000FF"/>
            <w:sz w:val="24"/>
            <w:szCs w:val="24"/>
            <w:u w:val="single"/>
            <w:rtl/>
          </w:rPr>
          <w:t>רע"פ 1515/14</w:t>
        </w:r>
      </w:hyperlink>
      <w:r>
        <w:rPr>
          <w:rFonts w:ascii="David" w:hAnsi="David" w:cs="David"/>
          <w:sz w:val="24"/>
          <w:szCs w:val="24"/>
          <w:rtl/>
        </w:rPr>
        <w:t xml:space="preserve"> </w:t>
      </w:r>
      <w:r>
        <w:rPr>
          <w:rFonts w:ascii="David" w:hAnsi="David" w:cs="David"/>
          <w:b/>
          <w:bCs/>
          <w:sz w:val="24"/>
          <w:szCs w:val="24"/>
          <w:rtl/>
        </w:rPr>
        <w:t>אוחנה נ. מדינת ישראל</w:t>
      </w:r>
      <w:r>
        <w:rPr>
          <w:rFonts w:ascii="David" w:hAnsi="David" w:cs="David"/>
          <w:sz w:val="24"/>
          <w:szCs w:val="24"/>
          <w:rtl/>
        </w:rPr>
        <w:t xml:space="preserve">, </w:t>
      </w:r>
      <w:hyperlink r:id="rId28" w:history="1">
        <w:r w:rsidR="00153611" w:rsidRPr="00153611">
          <w:rPr>
            <w:rFonts w:ascii="David" w:hAnsi="David" w:cs="David"/>
            <w:color w:val="0000FF"/>
            <w:sz w:val="24"/>
            <w:szCs w:val="24"/>
            <w:u w:val="single"/>
            <w:rtl/>
          </w:rPr>
          <w:t>רע"פ 1787/15</w:t>
        </w:r>
      </w:hyperlink>
      <w:r>
        <w:rPr>
          <w:rFonts w:ascii="David" w:hAnsi="David" w:cs="David"/>
          <w:sz w:val="24"/>
          <w:szCs w:val="24"/>
          <w:rtl/>
        </w:rPr>
        <w:t xml:space="preserve"> </w:t>
      </w:r>
      <w:r>
        <w:rPr>
          <w:rFonts w:ascii="David" w:hAnsi="David" w:cs="David"/>
          <w:b/>
          <w:bCs/>
          <w:sz w:val="24"/>
          <w:szCs w:val="24"/>
          <w:rtl/>
        </w:rPr>
        <w:t>עמר נ. מדינת ישראל</w:t>
      </w:r>
      <w:r>
        <w:rPr>
          <w:rFonts w:ascii="David" w:hAnsi="David" w:cs="David"/>
          <w:sz w:val="24"/>
          <w:szCs w:val="24"/>
          <w:rtl/>
        </w:rPr>
        <w:t>)".</w:t>
      </w:r>
    </w:p>
    <w:p w14:paraId="1355FFC0" w14:textId="77777777" w:rsidR="00E90BE7" w:rsidRDefault="00E90BE7" w:rsidP="00E90BE7">
      <w:pPr>
        <w:pStyle w:val="a9"/>
        <w:spacing w:line="360" w:lineRule="auto"/>
        <w:jc w:val="both"/>
        <w:rPr>
          <w:rFonts w:ascii="David" w:hAnsi="David" w:cs="David"/>
          <w:sz w:val="24"/>
          <w:szCs w:val="24"/>
          <w:rtl/>
        </w:rPr>
      </w:pPr>
      <w:r>
        <w:rPr>
          <w:rFonts w:ascii="David" w:hAnsi="David" w:cs="David"/>
          <w:b/>
          <w:bCs/>
          <w:sz w:val="24"/>
          <w:szCs w:val="24"/>
          <w:rtl/>
        </w:rPr>
        <w:t>ב</w:t>
      </w:r>
      <w:hyperlink r:id="rId29" w:history="1">
        <w:r w:rsidR="00153611" w:rsidRPr="00153611">
          <w:rPr>
            <w:rFonts w:ascii="David" w:hAnsi="David" w:cs="David"/>
            <w:b/>
            <w:bCs/>
            <w:color w:val="0000FF"/>
            <w:sz w:val="24"/>
            <w:szCs w:val="24"/>
            <w:u w:val="single"/>
            <w:rtl/>
          </w:rPr>
          <w:t>עפ"ג (מחוזי תל אביב) 730-05-10</w:t>
        </w:r>
      </w:hyperlink>
      <w:r>
        <w:rPr>
          <w:rFonts w:ascii="David" w:hAnsi="David" w:cs="David"/>
          <w:b/>
          <w:bCs/>
          <w:sz w:val="24"/>
          <w:szCs w:val="24"/>
          <w:rtl/>
        </w:rPr>
        <w:t xml:space="preserve"> אלוני נ. מדינת ישראל</w:t>
      </w:r>
      <w:r>
        <w:rPr>
          <w:rFonts w:ascii="David" w:hAnsi="David" w:cs="David"/>
          <w:sz w:val="24"/>
          <w:szCs w:val="24"/>
          <w:rtl/>
        </w:rPr>
        <w:t xml:space="preserve"> (20.3.2011) התקבל ערעור של נאשם שהורשע בהחזקת סמים שלא לצריכה עצמית (20 סוליות חשיש במשקל 1,885 גרם) ושהוטלו עליו 9 חודשי מאסר בפועל למרות היותו נעדר עבר פלילי ובעל נסיבות חיים מיוחדות. בית המשפט הקטין את עונשו ל-6 חודשי עבודות שירות.</w:t>
      </w:r>
    </w:p>
    <w:p w14:paraId="654125AA" w14:textId="77777777" w:rsidR="00E90BE7" w:rsidRDefault="00E90BE7" w:rsidP="00E90BE7">
      <w:pPr>
        <w:pStyle w:val="a9"/>
        <w:spacing w:line="360" w:lineRule="auto"/>
        <w:jc w:val="both"/>
        <w:rPr>
          <w:rFonts w:ascii="David" w:hAnsi="David" w:cs="David"/>
          <w:sz w:val="24"/>
          <w:szCs w:val="24"/>
          <w:rtl/>
        </w:rPr>
      </w:pPr>
      <w:r>
        <w:rPr>
          <w:rFonts w:ascii="David" w:hAnsi="David" w:cs="David"/>
          <w:b/>
          <w:bCs/>
          <w:sz w:val="24"/>
          <w:szCs w:val="24"/>
          <w:rtl/>
        </w:rPr>
        <w:t>ב</w:t>
      </w:r>
      <w:hyperlink r:id="rId30" w:history="1">
        <w:r w:rsidR="00153611" w:rsidRPr="00153611">
          <w:rPr>
            <w:rFonts w:ascii="David" w:hAnsi="David" w:cs="David"/>
            <w:b/>
            <w:bCs/>
            <w:color w:val="0000FF"/>
            <w:sz w:val="24"/>
            <w:szCs w:val="24"/>
            <w:u w:val="single"/>
            <w:rtl/>
          </w:rPr>
          <w:t>ת"פ 41189-09-15</w:t>
        </w:r>
      </w:hyperlink>
      <w:r>
        <w:rPr>
          <w:rFonts w:ascii="David" w:hAnsi="David" w:cs="David"/>
          <w:b/>
          <w:bCs/>
          <w:sz w:val="24"/>
          <w:szCs w:val="24"/>
          <w:rtl/>
        </w:rPr>
        <w:t xml:space="preserve"> מ"י נ. תאופיק אלדהיני</w:t>
      </w:r>
      <w:r>
        <w:rPr>
          <w:rFonts w:ascii="David" w:hAnsi="David" w:cs="David"/>
          <w:sz w:val="24"/>
          <w:szCs w:val="24"/>
          <w:rtl/>
        </w:rPr>
        <w:t xml:space="preserve"> הסליק הנאשם בתא המטען של הרכב 15 "פלטות" של חשיש במשקל כולל של 1435 גרם. צוין כי הנאשם התכוון להעביר סם זה לאדם אחר תמורת סכום של 50 ₪. כב' השופט טופף קבע כי מתחם הענישה ההולם לעבירה שביצע הנאשם הינו בין 5 חודשי מאסר בפועל שיכול ויבוצעו בעבודות שירות לבין 12 חודשי מאסר בפועל, לצד ענישה מותנית וענישה כלכלית.</w:t>
      </w:r>
    </w:p>
    <w:p w14:paraId="0F4EDE73" w14:textId="77777777" w:rsidR="00E90BE7" w:rsidRDefault="00E90BE7" w:rsidP="00E90BE7">
      <w:pPr>
        <w:jc w:val="both"/>
        <w:rPr>
          <w:rFonts w:ascii="David" w:hAnsi="David"/>
          <w:rtl/>
        </w:rPr>
      </w:pPr>
    </w:p>
    <w:p w14:paraId="5FB8A6A3" w14:textId="77777777" w:rsidR="00E90BE7" w:rsidRDefault="00E90BE7" w:rsidP="00E90BE7">
      <w:pPr>
        <w:spacing w:line="360" w:lineRule="auto"/>
        <w:ind w:left="720" w:hanging="438"/>
        <w:jc w:val="both"/>
        <w:rPr>
          <w:rtl/>
        </w:rPr>
      </w:pPr>
      <w:r>
        <w:rPr>
          <w:rtl/>
        </w:rPr>
        <w:t>16.</w:t>
      </w:r>
      <w:r>
        <w:rPr>
          <w:rtl/>
        </w:rPr>
        <w:tab/>
        <w:t xml:space="preserve">אם כן בעבירה של החזקת סמים שלא לצריכה עצמית נע מתחם העונש ההולם בין מספר חודשי מאסר בודדים ועד 12 חודשי מאסר כאשר במידה ומוטל עונש מאסר של עד 9 חודשים יכול והוא ירוצה בעבודות שירות; באשר להתנגדות למעצר – עבירה זו הינה ברובם המכריע של המקרים נלווית לעבירה הראשית שעבר הנאשם ונכללת בתוך מתחם העונש הכולל שקובע בית המשפט. בשים לב לעובדה שהעונש שקבע המחוקק לעבירה של התנגדות למעצר לפי </w:t>
      </w:r>
      <w:hyperlink r:id="rId31" w:history="1">
        <w:r w:rsidR="009258A7" w:rsidRPr="009258A7">
          <w:rPr>
            <w:color w:val="0000FF"/>
            <w:u w:val="single"/>
            <w:rtl/>
          </w:rPr>
          <w:t>סעיף 47(א)</w:t>
        </w:r>
      </w:hyperlink>
      <w:r>
        <w:rPr>
          <w:rtl/>
        </w:rPr>
        <w:t xml:space="preserve"> לפקודת סדר הדין הפלילי הוא 6 חודשי מאסר, סביר לקבל את טענת ב"כ הנאשם כי המתחם ינוע בין מאסר ע"ת למספר חודשי מאסר בודדים. </w:t>
      </w:r>
    </w:p>
    <w:p w14:paraId="49DD9248" w14:textId="77777777" w:rsidR="00E90BE7" w:rsidRDefault="00E90BE7" w:rsidP="00E90BE7">
      <w:pPr>
        <w:ind w:left="720" w:hanging="438"/>
        <w:jc w:val="both"/>
        <w:rPr>
          <w:rtl/>
        </w:rPr>
      </w:pPr>
    </w:p>
    <w:p w14:paraId="5441B08B" w14:textId="77777777" w:rsidR="00E90BE7" w:rsidRDefault="00E90BE7" w:rsidP="00E90BE7">
      <w:pPr>
        <w:spacing w:line="360" w:lineRule="auto"/>
        <w:ind w:left="720" w:hanging="438"/>
        <w:jc w:val="both"/>
        <w:rPr>
          <w:rtl/>
        </w:rPr>
      </w:pPr>
      <w:r>
        <w:rPr>
          <w:rtl/>
        </w:rPr>
        <w:t>17.</w:t>
      </w:r>
      <w:r>
        <w:rPr>
          <w:rtl/>
        </w:rPr>
        <w:tab/>
        <w:t xml:space="preserve">בשקלול כל האמור לעיל ובשים לב לעובדה ששני הצדדים מסכימים כי מדובר באירוע אחד, מתחם העונש ההולם לעבירות בהן הורשע הנאשם נע בין מאסר של מספר חודשי מאסר שיכול ויבוצע בעבודות שירות ועד 13 חודשי מאסר. </w:t>
      </w:r>
    </w:p>
    <w:p w14:paraId="771E9CE9" w14:textId="77777777" w:rsidR="00E90BE7" w:rsidRDefault="00E90BE7" w:rsidP="00E90BE7">
      <w:pPr>
        <w:ind w:left="720" w:hanging="438"/>
        <w:jc w:val="both"/>
        <w:rPr>
          <w:rtl/>
        </w:rPr>
      </w:pPr>
    </w:p>
    <w:p w14:paraId="6C767D5E" w14:textId="77777777" w:rsidR="00E90BE7" w:rsidRDefault="00E90BE7" w:rsidP="00E90BE7">
      <w:pPr>
        <w:spacing w:line="360" w:lineRule="auto"/>
        <w:ind w:left="720" w:hanging="438"/>
        <w:jc w:val="both"/>
        <w:rPr>
          <w:rtl/>
        </w:rPr>
      </w:pPr>
      <w:r>
        <w:rPr>
          <w:rtl/>
        </w:rPr>
        <w:t>18.</w:t>
      </w:r>
      <w:r>
        <w:rPr>
          <w:rtl/>
        </w:rPr>
        <w:tab/>
        <w:t xml:space="preserve">כעת נותר לבחון את העונש בתוך המתחם וזאת בשים לב לנסיבות שאינן קשורות לביצוע העבירה. </w:t>
      </w:r>
    </w:p>
    <w:p w14:paraId="18B4808D" w14:textId="77777777" w:rsidR="00E90BE7" w:rsidRDefault="00E90BE7" w:rsidP="00E90BE7">
      <w:pPr>
        <w:ind w:left="720" w:hanging="438"/>
        <w:jc w:val="both"/>
        <w:rPr>
          <w:rtl/>
        </w:rPr>
      </w:pPr>
    </w:p>
    <w:p w14:paraId="5FB46F5F" w14:textId="77777777" w:rsidR="00E90BE7" w:rsidRDefault="00E90BE7" w:rsidP="00E90BE7">
      <w:pPr>
        <w:spacing w:line="360" w:lineRule="auto"/>
        <w:ind w:left="720" w:hanging="438"/>
        <w:jc w:val="both"/>
        <w:rPr>
          <w:rtl/>
        </w:rPr>
      </w:pPr>
      <w:r>
        <w:rPr>
          <w:rtl/>
        </w:rPr>
        <w:t>19.</w:t>
      </w:r>
      <w:r>
        <w:rPr>
          <w:rtl/>
        </w:rPr>
        <w:tab/>
        <w:t xml:space="preserve">על פי גיליון ההרשעות מדובר בנאשם יליד 1992 (בן 27) שבעברו הרחוק הסתבך שלוש פעמים, בין השנים 2007 – 2010  - בעבירות שבעיקרן הן עבירות רכוש ובהן עבירת אלימות אחת – איומים. בניגוד לדברי ב"כ הנאשם  גם קיימת  עבירה אחת משנת 2009 – בגין </w:t>
      </w:r>
      <w:r>
        <w:rPr>
          <w:b/>
          <w:bCs/>
          <w:rtl/>
        </w:rPr>
        <w:t>שימוש</w:t>
      </w:r>
      <w:r>
        <w:rPr>
          <w:rtl/>
        </w:rPr>
        <w:t xml:space="preserve"> בסמים.  אולם בין השנים 2010 (בהיותו בן 18) ועד השנה  - לא עבר הנאשם ולו עבירה אחת. הנאשם אמנם לא בקש להישלח לתסקיר לעניין העונש, אולם בוצעו לגביו תסקירי מעצר ומהם ניתן ללמוד על הכיוון בו מבקש הנאשם כעת ללכת. יש להצטער כי הנאשם לא הגיע להליך טיפולי כאמור בדברי כב' השופט ברגר בתיק המ"ת אולם יש לקוות כי הנאשם, כאמור בדבריו הן לקצינ/ת המבחן כפי שצוטטו על ידי בא כוחו והן בטיעוני בא כוחו לעונש עצמם - אכן למד את לקחו ומתכוון לדבריו שלפיהם הוא יחזור למוטב. עוד צעיר הנאשם ומרבית סיפור חייו טרם נכתבה. בידי הנאשם ההחלטה כיצד ייכתב המשך סיפור זה. ילדותו של הנאשם, כעולה מטיעוניו לעונש של בא כוחו, לא הייתה פשוטה ותרמה אף היא להסתבכותו בעבירות נושא תיק זה. בשים לב לעברו הפלילי הרחוק של הנאשם, לעובדה כי מעולם לא ריצה עונש מאחורי סורג ובריח, להודאתו ולעובדה שלקח אחריות למעשהו ואף ביקש להישפט ולהיענש במהירות האפשרית, גם ללא תסקיר של שירות המבחן, ובשים לב לכך כי על אף שמדובר במשקל נכבד של סם שנתפס ברכבו הרי שמדובר בסם הקל ביותר בשרשרת הסמים, אני מחליטה לתת לנאשם הזדמנות וגוזרת עליו עונש מאסר במספר חודשים הנמצא בחלק הנמוך של מתחם הענישה, למרות חומרתן של העבירות שעבר. מנגד יוטלו על הנאשם עונשים מותנים חמורים על מנת לוודא כי לא יחזור על מעשיו.</w:t>
      </w:r>
    </w:p>
    <w:p w14:paraId="28217AA9" w14:textId="77777777" w:rsidR="00E90BE7" w:rsidRDefault="00E90BE7" w:rsidP="00E90BE7">
      <w:pPr>
        <w:ind w:left="720" w:hanging="438"/>
        <w:jc w:val="both"/>
        <w:rPr>
          <w:rtl/>
        </w:rPr>
      </w:pPr>
    </w:p>
    <w:p w14:paraId="276B757F" w14:textId="77777777" w:rsidR="00E90BE7" w:rsidRDefault="00E90BE7" w:rsidP="00E90BE7">
      <w:pPr>
        <w:spacing w:line="360" w:lineRule="auto"/>
        <w:ind w:left="720" w:hanging="438"/>
        <w:jc w:val="both"/>
        <w:rPr>
          <w:rtl/>
        </w:rPr>
      </w:pPr>
      <w:r>
        <w:rPr>
          <w:rtl/>
        </w:rPr>
        <w:t>20.</w:t>
      </w:r>
      <w:r>
        <w:rPr>
          <w:rtl/>
        </w:rPr>
        <w:tab/>
        <w:t>אשר על כן אני גוזרת על הנאשם את העונשים הבאים:</w:t>
      </w:r>
    </w:p>
    <w:p w14:paraId="60874348" w14:textId="77777777" w:rsidR="00E90BE7" w:rsidRDefault="00E90BE7" w:rsidP="00E90BE7">
      <w:pPr>
        <w:spacing w:line="360" w:lineRule="auto"/>
        <w:ind w:left="510" w:hanging="510"/>
        <w:jc w:val="both"/>
        <w:rPr>
          <w:rtl/>
        </w:rPr>
      </w:pPr>
    </w:p>
    <w:p w14:paraId="402CF933" w14:textId="77777777" w:rsidR="00E90BE7" w:rsidRDefault="00E90BE7" w:rsidP="00E90BE7">
      <w:pPr>
        <w:spacing w:line="360" w:lineRule="auto"/>
        <w:ind w:left="720"/>
        <w:jc w:val="both"/>
        <w:rPr>
          <w:rtl/>
          <w:lang w:eastAsia="he-IL"/>
        </w:rPr>
      </w:pPr>
      <w:r>
        <w:rPr>
          <w:b/>
          <w:bCs/>
          <w:rtl/>
          <w:lang w:eastAsia="he-IL"/>
        </w:rPr>
        <w:t xml:space="preserve">מאסר - </w:t>
      </w:r>
      <w:r>
        <w:rPr>
          <w:rtl/>
          <w:lang w:eastAsia="he-IL"/>
        </w:rPr>
        <w:t xml:space="preserve">מאסר בפועל לתקופה של 6 חודשים. תקופת מאסרו תחושב מיום מעצרו 05.04.2019. </w:t>
      </w:r>
    </w:p>
    <w:p w14:paraId="1860DD6A" w14:textId="77777777" w:rsidR="00E90BE7" w:rsidRDefault="00E90BE7" w:rsidP="00E90BE7">
      <w:pPr>
        <w:spacing w:line="360" w:lineRule="auto"/>
        <w:ind w:left="510"/>
        <w:jc w:val="both"/>
        <w:rPr>
          <w:rtl/>
          <w:lang w:eastAsia="he-IL"/>
        </w:rPr>
      </w:pPr>
    </w:p>
    <w:p w14:paraId="571AF4B6" w14:textId="77777777" w:rsidR="00E90BE7" w:rsidRDefault="00E90BE7" w:rsidP="00E90BE7">
      <w:pPr>
        <w:spacing w:line="360" w:lineRule="auto"/>
        <w:ind w:left="720"/>
        <w:jc w:val="both"/>
        <w:rPr>
          <w:rtl/>
          <w:lang w:eastAsia="he-IL"/>
        </w:rPr>
      </w:pPr>
      <w:r>
        <w:rPr>
          <w:b/>
          <w:bCs/>
          <w:rtl/>
          <w:lang w:eastAsia="he-IL"/>
        </w:rPr>
        <w:t>מאסר על תנאי</w:t>
      </w:r>
      <w:r>
        <w:rPr>
          <w:rtl/>
          <w:lang w:eastAsia="he-IL"/>
        </w:rPr>
        <w:t xml:space="preserve"> - מאסר על תנאי לתקופה של 12 חודשים. הנאשם יישא בעונש זה אם בתקופה של שלוש שנים מיום שחרורו מהמאסר יעבור על </w:t>
      </w:r>
      <w:r>
        <w:rPr>
          <w:b/>
          <w:bCs/>
          <w:rtl/>
          <w:lang w:eastAsia="he-IL"/>
        </w:rPr>
        <w:t>עבירות סמים מסוג פשע</w:t>
      </w:r>
      <w:r>
        <w:rPr>
          <w:rtl/>
          <w:lang w:eastAsia="he-IL"/>
        </w:rPr>
        <w:t>.</w:t>
      </w:r>
    </w:p>
    <w:p w14:paraId="402AD5B7" w14:textId="77777777" w:rsidR="00E90BE7" w:rsidRDefault="00E90BE7" w:rsidP="00E90BE7">
      <w:pPr>
        <w:spacing w:line="360" w:lineRule="auto"/>
        <w:ind w:left="510"/>
        <w:jc w:val="both"/>
        <w:rPr>
          <w:lang w:eastAsia="he-IL"/>
        </w:rPr>
      </w:pPr>
    </w:p>
    <w:p w14:paraId="4655A107" w14:textId="77777777" w:rsidR="00E90BE7" w:rsidRDefault="00E90BE7" w:rsidP="00E90BE7">
      <w:pPr>
        <w:spacing w:line="360" w:lineRule="auto"/>
        <w:ind w:left="720"/>
        <w:jc w:val="both"/>
        <w:rPr>
          <w:rtl/>
          <w:lang w:eastAsia="he-IL"/>
        </w:rPr>
      </w:pPr>
      <w:r>
        <w:rPr>
          <w:b/>
          <w:bCs/>
          <w:rtl/>
          <w:lang w:eastAsia="he-IL"/>
        </w:rPr>
        <w:t>מאסר על תנאי</w:t>
      </w:r>
      <w:r>
        <w:rPr>
          <w:rtl/>
          <w:lang w:eastAsia="he-IL"/>
        </w:rPr>
        <w:t xml:space="preserve"> - מאסר על תנאי לתקופה של 6  חודשים. הנאשם יישא בעונש זה אם בתקופה של שלוש שנים מיום שחרורו מהמאסר יעבור על </w:t>
      </w:r>
      <w:r>
        <w:rPr>
          <w:b/>
          <w:bCs/>
          <w:rtl/>
          <w:lang w:eastAsia="he-IL"/>
        </w:rPr>
        <w:t>עבירות סמים מסוג עוון</w:t>
      </w:r>
      <w:r>
        <w:rPr>
          <w:rtl/>
          <w:lang w:eastAsia="he-IL"/>
        </w:rPr>
        <w:t>.</w:t>
      </w:r>
    </w:p>
    <w:p w14:paraId="5E0F5153" w14:textId="77777777" w:rsidR="00E90BE7" w:rsidRDefault="00E90BE7" w:rsidP="00E90BE7">
      <w:pPr>
        <w:spacing w:line="360" w:lineRule="auto"/>
        <w:ind w:left="510"/>
        <w:jc w:val="both"/>
        <w:rPr>
          <w:rtl/>
          <w:lang w:eastAsia="he-IL"/>
        </w:rPr>
      </w:pPr>
    </w:p>
    <w:p w14:paraId="0CAFB772" w14:textId="77777777" w:rsidR="00E90BE7" w:rsidRDefault="00E90BE7" w:rsidP="00E90BE7">
      <w:pPr>
        <w:spacing w:line="360" w:lineRule="auto"/>
        <w:ind w:left="720"/>
        <w:jc w:val="both"/>
        <w:rPr>
          <w:rtl/>
          <w:lang w:eastAsia="he-IL"/>
        </w:rPr>
      </w:pPr>
      <w:r>
        <w:rPr>
          <w:b/>
          <w:bCs/>
          <w:rtl/>
          <w:lang w:eastAsia="he-IL"/>
        </w:rPr>
        <w:t>מאסר על תנאי</w:t>
      </w:r>
      <w:r>
        <w:rPr>
          <w:rtl/>
          <w:lang w:eastAsia="he-IL"/>
        </w:rPr>
        <w:t xml:space="preserve"> - מאסר על תנאי לתקופה של 2 חודשים. הנאשם יישא בעונש זה אם בתקופה של שלוש שנים מיום שחרורו מהמאסר יעבור על </w:t>
      </w:r>
      <w:r>
        <w:rPr>
          <w:b/>
          <w:bCs/>
          <w:rtl/>
          <w:lang w:eastAsia="he-IL"/>
        </w:rPr>
        <w:t>עבירה של הפרעה לשוטר</w:t>
      </w:r>
      <w:r>
        <w:rPr>
          <w:rtl/>
          <w:lang w:eastAsia="he-IL"/>
        </w:rPr>
        <w:t xml:space="preserve">. </w:t>
      </w:r>
    </w:p>
    <w:p w14:paraId="4C1D3F2B" w14:textId="77777777" w:rsidR="00E90BE7" w:rsidRDefault="00E90BE7" w:rsidP="00E90BE7">
      <w:pPr>
        <w:spacing w:line="360" w:lineRule="auto"/>
        <w:ind w:left="510"/>
        <w:jc w:val="both"/>
        <w:rPr>
          <w:rtl/>
          <w:lang w:eastAsia="he-IL"/>
        </w:rPr>
      </w:pPr>
    </w:p>
    <w:p w14:paraId="190D3BA6" w14:textId="77777777" w:rsidR="00E90BE7" w:rsidRDefault="00E90BE7" w:rsidP="00E90BE7">
      <w:pPr>
        <w:spacing w:line="360" w:lineRule="auto"/>
        <w:ind w:left="720"/>
        <w:jc w:val="both"/>
        <w:rPr>
          <w:rtl/>
        </w:rPr>
      </w:pPr>
      <w:r>
        <w:rPr>
          <w:b/>
          <w:bCs/>
          <w:rtl/>
        </w:rPr>
        <w:t xml:space="preserve">פסילה בפועל - </w:t>
      </w:r>
      <w:r>
        <w:rPr>
          <w:rtl/>
        </w:rPr>
        <w:t>פוסלת את הנאשם מלהחזיק או מלקבל רישיון נהיגה וזאת לתקופה של 24 חודשים, החל מיום שחרורו מהמאסר. רישיון הנהיגה יופקד עם שחרורו מהמאסר במזכירות בית המשפט, ואם לא יעשה כן ייחשב הנאשם פסול מלנהוג אך פסילתו לא תימנה.</w:t>
      </w:r>
    </w:p>
    <w:p w14:paraId="2BB61FC7" w14:textId="77777777" w:rsidR="00E90BE7" w:rsidRDefault="00E90BE7" w:rsidP="00E90BE7">
      <w:pPr>
        <w:spacing w:line="360" w:lineRule="auto"/>
        <w:ind w:left="720"/>
        <w:jc w:val="both"/>
        <w:rPr>
          <w:rtl/>
        </w:rPr>
      </w:pPr>
    </w:p>
    <w:p w14:paraId="04EDF248" w14:textId="77777777" w:rsidR="00E90BE7" w:rsidRDefault="00E90BE7" w:rsidP="00E90BE7">
      <w:pPr>
        <w:spacing w:line="360" w:lineRule="auto"/>
        <w:ind w:left="720"/>
        <w:jc w:val="both"/>
        <w:rPr>
          <w:rtl/>
        </w:rPr>
      </w:pPr>
      <w:r>
        <w:rPr>
          <w:b/>
          <w:bCs/>
          <w:rtl/>
        </w:rPr>
        <w:t xml:space="preserve">פסילה על תנאי - </w:t>
      </w:r>
      <w:r>
        <w:rPr>
          <w:rtl/>
        </w:rPr>
        <w:t xml:space="preserve">פוסלת את הנאשם לתקופה של 12 חודשים </w:t>
      </w:r>
      <w:r>
        <w:rPr>
          <w:b/>
          <w:bCs/>
          <w:rtl/>
        </w:rPr>
        <w:t>וזאת על תנאי</w:t>
      </w:r>
      <w:r>
        <w:rPr>
          <w:rtl/>
        </w:rPr>
        <w:t xml:space="preserve"> למשך שנתיים מיום שחרורו מהמאסר, אם יעבור על </w:t>
      </w:r>
      <w:r>
        <w:rPr>
          <w:b/>
          <w:bCs/>
          <w:rtl/>
        </w:rPr>
        <w:t>עבירות סמים</w:t>
      </w:r>
      <w:r>
        <w:rPr>
          <w:rtl/>
        </w:rPr>
        <w:t xml:space="preserve"> או על אחת העבירות הנמנות על התוספת הראשונה או השנייה ל</w:t>
      </w:r>
      <w:hyperlink r:id="rId32" w:history="1">
        <w:r w:rsidR="00153611" w:rsidRPr="00153611">
          <w:rPr>
            <w:color w:val="0000FF"/>
            <w:u w:val="single"/>
            <w:rtl/>
          </w:rPr>
          <w:t>פקודת התעבורה</w:t>
        </w:r>
      </w:hyperlink>
      <w:r>
        <w:rPr>
          <w:rtl/>
        </w:rPr>
        <w:t xml:space="preserve">. </w:t>
      </w:r>
    </w:p>
    <w:p w14:paraId="37747798" w14:textId="77777777" w:rsidR="00E90BE7" w:rsidRDefault="00E90BE7" w:rsidP="00E90BE7">
      <w:pPr>
        <w:spacing w:line="360" w:lineRule="auto"/>
        <w:ind w:left="510"/>
        <w:jc w:val="both"/>
        <w:rPr>
          <w:b/>
          <w:bCs/>
          <w:sz w:val="22"/>
          <w:rtl/>
        </w:rPr>
      </w:pPr>
    </w:p>
    <w:p w14:paraId="0A1CC7FB" w14:textId="77777777" w:rsidR="00E90BE7" w:rsidRDefault="00E90BE7" w:rsidP="00E90BE7">
      <w:pPr>
        <w:spacing w:line="360" w:lineRule="auto"/>
        <w:ind w:left="720"/>
        <w:jc w:val="both"/>
        <w:rPr>
          <w:rtl/>
          <w:lang w:eastAsia="he-IL"/>
        </w:rPr>
      </w:pPr>
      <w:r>
        <w:rPr>
          <w:b/>
          <w:bCs/>
          <w:rtl/>
          <w:lang w:eastAsia="he-IL"/>
        </w:rPr>
        <w:t>קנס</w:t>
      </w:r>
      <w:r>
        <w:rPr>
          <w:rtl/>
          <w:lang w:eastAsia="he-IL"/>
        </w:rPr>
        <w:t xml:space="preserve"> </w:t>
      </w:r>
      <w:r>
        <w:rPr>
          <w:b/>
          <w:bCs/>
          <w:rtl/>
          <w:lang w:eastAsia="he-IL"/>
        </w:rPr>
        <w:t xml:space="preserve">- </w:t>
      </w:r>
      <w:r>
        <w:rPr>
          <w:rtl/>
          <w:lang w:eastAsia="he-IL"/>
        </w:rPr>
        <w:t xml:space="preserve">קנס בסך 6,000 ש"ח או מאסר למשך 60 יום תחתיו; הקנס ישולם ב- 24 תשלומים חודשיים שווים ורצופים. התשלום הראשון ישולם עד ליום 10.11.2019 ובכל 10 לחודש שלאחר מכן.  פיגור בתשלום אחד מן התשלומים שנקבעו לעיל, יעמיד לפירעון מיידי את יתרת הקנס שטרם שולמה ויחייב את הנאשם בתשלום תוספת פיגורים כחוק. </w:t>
      </w:r>
    </w:p>
    <w:p w14:paraId="0D309FC9" w14:textId="77777777" w:rsidR="00E90BE7" w:rsidRDefault="00E90BE7" w:rsidP="00E90BE7">
      <w:pPr>
        <w:spacing w:line="360" w:lineRule="auto"/>
        <w:ind w:left="510"/>
        <w:jc w:val="both"/>
        <w:rPr>
          <w:rtl/>
          <w:lang w:eastAsia="he-IL"/>
        </w:rPr>
      </w:pPr>
    </w:p>
    <w:p w14:paraId="1D6E8CF5" w14:textId="77777777" w:rsidR="00E90BE7" w:rsidRDefault="00E90BE7" w:rsidP="00E90BE7">
      <w:pPr>
        <w:spacing w:line="360" w:lineRule="auto"/>
        <w:ind w:left="510" w:firstLine="210"/>
        <w:jc w:val="both"/>
        <w:rPr>
          <w:rtl/>
          <w:lang w:eastAsia="he-IL"/>
        </w:rPr>
      </w:pPr>
      <w:r>
        <w:rPr>
          <w:b/>
          <w:bCs/>
          <w:rtl/>
          <w:lang w:eastAsia="he-IL"/>
        </w:rPr>
        <w:t xml:space="preserve">מוצגים – </w:t>
      </w:r>
      <w:r>
        <w:rPr>
          <w:rtl/>
          <w:lang w:eastAsia="he-IL"/>
        </w:rPr>
        <w:t xml:space="preserve">כל המוצגים יושמדו/יחולטו/יושבו, לשיקול דעת המאשימה. </w:t>
      </w:r>
    </w:p>
    <w:p w14:paraId="3522498D" w14:textId="77777777" w:rsidR="00E90BE7" w:rsidRDefault="00E90BE7" w:rsidP="00E90BE7">
      <w:pPr>
        <w:spacing w:line="360" w:lineRule="auto"/>
        <w:ind w:left="720" w:hanging="210"/>
        <w:jc w:val="both"/>
        <w:rPr>
          <w:rtl/>
          <w:lang w:val="hy-AM" w:eastAsia="he-IL"/>
        </w:rPr>
      </w:pPr>
    </w:p>
    <w:p w14:paraId="7F6C890D" w14:textId="77777777" w:rsidR="00E90BE7" w:rsidRDefault="00E90BE7" w:rsidP="00E90BE7">
      <w:pPr>
        <w:spacing w:line="360" w:lineRule="auto"/>
        <w:jc w:val="both"/>
        <w:rPr>
          <w:rtl/>
          <w:lang w:eastAsia="he-IL"/>
        </w:rPr>
      </w:pPr>
      <w:r>
        <w:rPr>
          <w:rtl/>
          <w:lang w:eastAsia="he-IL"/>
        </w:rPr>
        <w:t>זכות ערעור תוך 45 יום מהיום.</w:t>
      </w:r>
    </w:p>
    <w:p w14:paraId="01D2A7F8" w14:textId="77777777" w:rsidR="00E90BE7" w:rsidRDefault="00E90BE7" w:rsidP="00E90BE7">
      <w:pPr>
        <w:rPr>
          <w:rFonts w:ascii="Arial" w:hAnsi="Arial"/>
          <w:rtl/>
        </w:rPr>
      </w:pPr>
    </w:p>
    <w:p w14:paraId="09828C78" w14:textId="77777777" w:rsidR="00E90BE7" w:rsidRDefault="00153611" w:rsidP="00E90BE7">
      <w:pPr>
        <w:rPr>
          <w:rFonts w:cs="FrankRuehl"/>
          <w:sz w:val="28"/>
          <w:szCs w:val="28"/>
        </w:rPr>
      </w:pPr>
      <w:bookmarkStart w:id="7" w:name="Nitan"/>
      <w:r>
        <w:rPr>
          <w:rFonts w:ascii="Arial" w:hAnsi="Arial"/>
          <w:rtl/>
        </w:rPr>
        <w:t xml:space="preserve">ניתן היום,  י"ז אב תשע"ט, 18 אוגוסט 2019, בהעדר הצדדים. </w:t>
      </w:r>
      <w:bookmarkEnd w:id="7"/>
    </w:p>
    <w:p w14:paraId="705393FC" w14:textId="77777777" w:rsidR="00E90BE7" w:rsidRPr="00153611" w:rsidRDefault="00153611" w:rsidP="00153611">
      <w:pPr>
        <w:jc w:val="center"/>
        <w:rPr>
          <w:color w:val="FFFFFF"/>
          <w:sz w:val="2"/>
          <w:szCs w:val="2"/>
        </w:rPr>
      </w:pPr>
      <w:r w:rsidRPr="00153611">
        <w:rPr>
          <w:color w:val="FFFFFF"/>
          <w:sz w:val="2"/>
          <w:szCs w:val="2"/>
          <w:rtl/>
        </w:rPr>
        <w:t>5129371</w:t>
      </w:r>
      <w:r w:rsidR="00E90BE7" w:rsidRPr="00153611">
        <w:rPr>
          <w:color w:val="FFFFFF"/>
          <w:sz w:val="2"/>
          <w:szCs w:val="2"/>
          <w:rtl/>
        </w:rPr>
        <w:t xml:space="preserve">   </w:t>
      </w:r>
      <w:r w:rsidR="00E90BE7" w:rsidRPr="00153611">
        <w:rPr>
          <w:color w:val="FFFFFF"/>
          <w:sz w:val="2"/>
          <w:szCs w:val="2"/>
          <w:rtl/>
        </w:rPr>
        <w:tab/>
      </w:r>
      <w:r w:rsidR="00E90BE7" w:rsidRPr="00153611">
        <w:rPr>
          <w:color w:val="FFFFFF"/>
          <w:sz w:val="2"/>
          <w:szCs w:val="2"/>
          <w:rtl/>
        </w:rPr>
        <w:tab/>
      </w:r>
      <w:r w:rsidR="00E90BE7" w:rsidRPr="00153611">
        <w:rPr>
          <w:color w:val="FFFFFF"/>
          <w:sz w:val="2"/>
          <w:szCs w:val="2"/>
          <w:rtl/>
        </w:rPr>
        <w:tab/>
      </w:r>
      <w:r w:rsidR="00E90BE7" w:rsidRPr="00153611">
        <w:rPr>
          <w:color w:val="FFFFFF"/>
          <w:sz w:val="2"/>
          <w:szCs w:val="2"/>
          <w:rtl/>
        </w:rPr>
        <w:tab/>
      </w:r>
      <w:r w:rsidR="00E90BE7" w:rsidRPr="00153611">
        <w:rPr>
          <w:color w:val="FFFFFF"/>
          <w:sz w:val="2"/>
          <w:szCs w:val="2"/>
          <w:rtl/>
        </w:rPr>
        <w:tab/>
      </w:r>
    </w:p>
    <w:p w14:paraId="51612AD0" w14:textId="77777777" w:rsidR="00E90BE7" w:rsidRPr="00153611" w:rsidRDefault="00153611" w:rsidP="00E90BE7">
      <w:pPr>
        <w:jc w:val="center"/>
        <w:rPr>
          <w:color w:val="FFFFFF"/>
          <w:sz w:val="2"/>
          <w:szCs w:val="2"/>
          <w:rtl/>
        </w:rPr>
      </w:pPr>
      <w:r w:rsidRPr="00153611">
        <w:rPr>
          <w:color w:val="FFFFFF"/>
          <w:sz w:val="2"/>
          <w:szCs w:val="2"/>
          <w:rtl/>
        </w:rPr>
        <w:t>54678313</w:t>
      </w:r>
    </w:p>
    <w:p w14:paraId="17B45D6F" w14:textId="77777777" w:rsidR="00E90BE7" w:rsidRDefault="00E90BE7" w:rsidP="00E90BE7">
      <w:pPr>
        <w:jc w:val="center"/>
        <w:rPr>
          <w:rFonts w:ascii="Arial" w:hAnsi="Arial" w:cs="FrankRuehl"/>
          <w:sz w:val="28"/>
          <w:szCs w:val="28"/>
        </w:rPr>
      </w:pPr>
    </w:p>
    <w:p w14:paraId="7D712611" w14:textId="77777777" w:rsidR="00E90BE7" w:rsidRDefault="00E90BE7" w:rsidP="00E90BE7">
      <w:pPr>
        <w:rPr>
          <w:rFonts w:cs="FrankRuehl"/>
          <w:sz w:val="28"/>
          <w:szCs w:val="28"/>
          <w:rtl/>
        </w:rPr>
      </w:pPr>
    </w:p>
    <w:p w14:paraId="78CE4399" w14:textId="77777777" w:rsidR="00E90BE7" w:rsidRDefault="00E90BE7" w:rsidP="00E90BE7">
      <w:pPr>
        <w:pStyle w:val="a3"/>
        <w:jc w:val="center"/>
        <w:rPr>
          <w:rtl/>
        </w:rPr>
      </w:pPr>
    </w:p>
    <w:p w14:paraId="1C04344D" w14:textId="77777777" w:rsidR="00E90BE7" w:rsidRPr="00A607AF" w:rsidRDefault="00E90BE7" w:rsidP="00E90BE7">
      <w:pPr>
        <w:rPr>
          <w:rtl/>
        </w:rPr>
      </w:pPr>
    </w:p>
    <w:p w14:paraId="68574137" w14:textId="77777777" w:rsidR="0057428A" w:rsidRPr="00153611" w:rsidRDefault="0057428A" w:rsidP="00153611">
      <w:pPr>
        <w:keepNext/>
        <w:rPr>
          <w:rFonts w:ascii="David" w:hAnsi="David"/>
          <w:color w:val="000000"/>
          <w:sz w:val="22"/>
          <w:szCs w:val="22"/>
          <w:rtl/>
        </w:rPr>
      </w:pPr>
    </w:p>
    <w:p w14:paraId="766DD39D" w14:textId="77777777" w:rsidR="00153611" w:rsidRPr="00153611" w:rsidRDefault="00153611" w:rsidP="00153611">
      <w:pPr>
        <w:keepNext/>
        <w:rPr>
          <w:rFonts w:ascii="David" w:hAnsi="David"/>
          <w:color w:val="000000"/>
          <w:sz w:val="22"/>
          <w:szCs w:val="22"/>
          <w:rtl/>
        </w:rPr>
      </w:pPr>
      <w:r w:rsidRPr="00153611">
        <w:rPr>
          <w:rFonts w:ascii="David" w:hAnsi="David"/>
          <w:color w:val="000000"/>
          <w:sz w:val="22"/>
          <w:szCs w:val="22"/>
          <w:rtl/>
        </w:rPr>
        <w:t>ליאורה אדלשטיין 54678313</w:t>
      </w:r>
    </w:p>
    <w:p w14:paraId="6E5C18CE" w14:textId="77777777" w:rsidR="00153611" w:rsidRDefault="00153611" w:rsidP="00153611">
      <w:r w:rsidRPr="00153611">
        <w:rPr>
          <w:color w:val="000000"/>
          <w:rtl/>
        </w:rPr>
        <w:t>נוסח מסמך זה כפוף לשינויי ניסוח ועריכה</w:t>
      </w:r>
    </w:p>
    <w:p w14:paraId="5E3090E5" w14:textId="77777777" w:rsidR="00153611" w:rsidRDefault="00153611" w:rsidP="00153611">
      <w:pPr>
        <w:rPr>
          <w:rtl/>
        </w:rPr>
      </w:pPr>
    </w:p>
    <w:p w14:paraId="083376FD" w14:textId="77777777" w:rsidR="00153611" w:rsidRDefault="00153611" w:rsidP="0015361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9687A90" w14:textId="77777777" w:rsidR="00153611" w:rsidRPr="00153611" w:rsidRDefault="00153611" w:rsidP="00153611">
      <w:pPr>
        <w:jc w:val="center"/>
        <w:rPr>
          <w:color w:val="0000FF"/>
          <w:u w:val="single"/>
        </w:rPr>
      </w:pPr>
    </w:p>
    <w:sectPr w:rsidR="00153611" w:rsidRPr="00153611" w:rsidSect="00153611">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B1A1D" w14:textId="77777777" w:rsidR="00E80944" w:rsidRDefault="00E80944" w:rsidP="00B66D7A">
      <w:r>
        <w:separator/>
      </w:r>
    </w:p>
  </w:endnote>
  <w:endnote w:type="continuationSeparator" w:id="0">
    <w:p w14:paraId="0D9E1319" w14:textId="77777777" w:rsidR="00E80944" w:rsidRDefault="00E80944" w:rsidP="00B66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7E15C" w14:textId="77777777" w:rsidR="00153611" w:rsidRDefault="00153611" w:rsidP="001536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ED71B8" w14:textId="77777777" w:rsidR="00E72540" w:rsidRPr="00153611" w:rsidRDefault="00153611" w:rsidP="001536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9F901" w14:textId="77777777" w:rsidR="00153611" w:rsidRDefault="00153611" w:rsidP="001536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2B45">
      <w:rPr>
        <w:rFonts w:ascii="FrankRuehl" w:hAnsi="FrankRuehl" w:cs="FrankRuehl"/>
        <w:noProof/>
        <w:rtl/>
      </w:rPr>
      <w:t>1</w:t>
    </w:r>
    <w:r>
      <w:rPr>
        <w:rFonts w:ascii="FrankRuehl" w:hAnsi="FrankRuehl" w:cs="FrankRuehl"/>
        <w:rtl/>
      </w:rPr>
      <w:fldChar w:fldCharType="end"/>
    </w:r>
  </w:p>
  <w:p w14:paraId="63B2744D" w14:textId="77777777" w:rsidR="00E72540" w:rsidRPr="00153611" w:rsidRDefault="00153611" w:rsidP="001536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6826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E8A74" w14:textId="77777777" w:rsidR="00E80944" w:rsidRDefault="00E80944" w:rsidP="00B66D7A">
      <w:r>
        <w:separator/>
      </w:r>
    </w:p>
  </w:footnote>
  <w:footnote w:type="continuationSeparator" w:id="0">
    <w:p w14:paraId="7E24D777" w14:textId="77777777" w:rsidR="00E80944" w:rsidRDefault="00E80944" w:rsidP="00B66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15EC3" w14:textId="77777777" w:rsidR="00153611" w:rsidRPr="00153611" w:rsidRDefault="00153611" w:rsidP="001536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33228-04-19</w:t>
    </w:r>
    <w:r>
      <w:rPr>
        <w:rFonts w:ascii="David" w:hAnsi="David"/>
        <w:color w:val="000000"/>
        <w:sz w:val="22"/>
        <w:szCs w:val="22"/>
        <w:rtl/>
      </w:rPr>
      <w:tab/>
      <w:t xml:space="preserve"> מדינת ישראל נ' יצחק אטדגיו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FA5D0" w14:textId="77777777" w:rsidR="00153611" w:rsidRPr="00153611" w:rsidRDefault="00153611" w:rsidP="001536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33228-04-19</w:t>
    </w:r>
    <w:r>
      <w:rPr>
        <w:rFonts w:ascii="David" w:hAnsi="David"/>
        <w:color w:val="000000"/>
        <w:sz w:val="22"/>
        <w:szCs w:val="22"/>
        <w:rtl/>
      </w:rPr>
      <w:tab/>
      <w:t xml:space="preserve"> מדינת ישראל נ' יצחק אטדגיו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9082B"/>
    <w:multiLevelType w:val="hybridMultilevel"/>
    <w:tmpl w:val="0F56CBC2"/>
    <w:lvl w:ilvl="0" w:tplc="38A6C74E">
      <w:start w:val="1"/>
      <w:numFmt w:val="decimal"/>
      <w:lvlText w:val="%1."/>
      <w:lvlJc w:val="left"/>
      <w:pPr>
        <w:ind w:left="720" w:hanging="360"/>
      </w:pPr>
    </w:lvl>
    <w:lvl w:ilvl="1" w:tplc="78945E94">
      <w:start w:val="1"/>
      <w:numFmt w:val="lowerLetter"/>
      <w:lvlText w:val="%2."/>
      <w:lvlJc w:val="left"/>
      <w:pPr>
        <w:ind w:left="1440" w:hanging="360"/>
      </w:pPr>
    </w:lvl>
    <w:lvl w:ilvl="2" w:tplc="D4F66BAE">
      <w:start w:val="1"/>
      <w:numFmt w:val="lowerRoman"/>
      <w:lvlText w:val="%3."/>
      <w:lvlJc w:val="right"/>
      <w:pPr>
        <w:ind w:left="2160" w:hanging="180"/>
      </w:pPr>
    </w:lvl>
    <w:lvl w:ilvl="3" w:tplc="5E206316">
      <w:start w:val="1"/>
      <w:numFmt w:val="decimal"/>
      <w:lvlText w:val="%4."/>
      <w:lvlJc w:val="left"/>
      <w:pPr>
        <w:ind w:left="2880" w:hanging="360"/>
      </w:pPr>
    </w:lvl>
    <w:lvl w:ilvl="4" w:tplc="A8CAD438">
      <w:start w:val="1"/>
      <w:numFmt w:val="lowerLetter"/>
      <w:lvlText w:val="%5."/>
      <w:lvlJc w:val="left"/>
      <w:pPr>
        <w:ind w:left="3600" w:hanging="360"/>
      </w:pPr>
    </w:lvl>
    <w:lvl w:ilvl="5" w:tplc="05A6F918">
      <w:start w:val="1"/>
      <w:numFmt w:val="lowerRoman"/>
      <w:lvlText w:val="%6."/>
      <w:lvlJc w:val="right"/>
      <w:pPr>
        <w:ind w:left="4320" w:hanging="180"/>
      </w:pPr>
    </w:lvl>
    <w:lvl w:ilvl="6" w:tplc="A8D68E22">
      <w:start w:val="1"/>
      <w:numFmt w:val="decimal"/>
      <w:lvlText w:val="%7."/>
      <w:lvlJc w:val="left"/>
      <w:pPr>
        <w:ind w:left="5040" w:hanging="360"/>
      </w:pPr>
    </w:lvl>
    <w:lvl w:ilvl="7" w:tplc="524E12B6">
      <w:start w:val="1"/>
      <w:numFmt w:val="lowerLetter"/>
      <w:lvlText w:val="%8."/>
      <w:lvlJc w:val="left"/>
      <w:pPr>
        <w:ind w:left="5760" w:hanging="360"/>
      </w:pPr>
    </w:lvl>
    <w:lvl w:ilvl="8" w:tplc="1DC46DF0">
      <w:start w:val="1"/>
      <w:numFmt w:val="lowerRoman"/>
      <w:lvlText w:val="%9."/>
      <w:lvlJc w:val="right"/>
      <w:pPr>
        <w:ind w:left="6480" w:hanging="180"/>
      </w:pPr>
    </w:lvl>
  </w:abstractNum>
  <w:num w:numId="1" w16cid:durableId="15187325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0BE7"/>
    <w:rsid w:val="00153611"/>
    <w:rsid w:val="00313A94"/>
    <w:rsid w:val="00381020"/>
    <w:rsid w:val="0057428A"/>
    <w:rsid w:val="005C2B45"/>
    <w:rsid w:val="009258A7"/>
    <w:rsid w:val="00B66D7A"/>
    <w:rsid w:val="00DD02C8"/>
    <w:rsid w:val="00E72540"/>
    <w:rsid w:val="00E80944"/>
    <w:rsid w:val="00E90B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E3948E"/>
  <w15:chartTrackingRefBased/>
  <w15:docId w15:val="{646CD27A-3991-4896-9ADD-DCCBF668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0BE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0BE7"/>
    <w:pPr>
      <w:tabs>
        <w:tab w:val="center" w:pos="4153"/>
        <w:tab w:val="right" w:pos="8306"/>
      </w:tabs>
    </w:pPr>
  </w:style>
  <w:style w:type="character" w:customStyle="1" w:styleId="a4">
    <w:name w:val="כותרת עליונה תו"/>
    <w:link w:val="a3"/>
    <w:rsid w:val="00E90BE7"/>
    <w:rPr>
      <w:rFonts w:ascii="Times New Roman" w:eastAsia="Times New Roman" w:hAnsi="Times New Roman" w:cs="David"/>
      <w:sz w:val="24"/>
      <w:szCs w:val="24"/>
    </w:rPr>
  </w:style>
  <w:style w:type="paragraph" w:styleId="a5">
    <w:name w:val="footer"/>
    <w:basedOn w:val="a"/>
    <w:link w:val="a6"/>
    <w:rsid w:val="00E90BE7"/>
    <w:pPr>
      <w:tabs>
        <w:tab w:val="center" w:pos="4153"/>
        <w:tab w:val="right" w:pos="8306"/>
      </w:tabs>
    </w:pPr>
  </w:style>
  <w:style w:type="character" w:customStyle="1" w:styleId="a6">
    <w:name w:val="כותרת תחתונה תו"/>
    <w:link w:val="a5"/>
    <w:rsid w:val="00E90BE7"/>
    <w:rPr>
      <w:rFonts w:ascii="Times New Roman" w:eastAsia="Times New Roman" w:hAnsi="Times New Roman" w:cs="David"/>
      <w:sz w:val="24"/>
      <w:szCs w:val="24"/>
    </w:rPr>
  </w:style>
  <w:style w:type="table" w:styleId="a7">
    <w:name w:val="Table Grid"/>
    <w:basedOn w:val="a1"/>
    <w:rsid w:val="00E90B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0BE7"/>
  </w:style>
  <w:style w:type="paragraph" w:styleId="a9">
    <w:name w:val="List Paragraph"/>
    <w:basedOn w:val="a"/>
    <w:qFormat/>
    <w:rsid w:val="00E90BE7"/>
    <w:pPr>
      <w:snapToGrid w:val="0"/>
      <w:ind w:left="720"/>
      <w:contextualSpacing/>
    </w:pPr>
    <w:rPr>
      <w:rFonts w:eastAsia="Calibri" w:cs="Times New Roman"/>
      <w:sz w:val="20"/>
      <w:szCs w:val="20"/>
      <w:lang w:eastAsia="he-IL"/>
    </w:rPr>
  </w:style>
  <w:style w:type="paragraph" w:styleId="NormalWeb">
    <w:name w:val="Normal (Web)"/>
    <w:basedOn w:val="a"/>
    <w:rsid w:val="00E90BE7"/>
    <w:pPr>
      <w:bidi w:val="0"/>
      <w:spacing w:before="100" w:beforeAutospacing="1" w:after="100" w:afterAutospacing="1"/>
    </w:pPr>
    <w:rPr>
      <w:rFonts w:cs="Times New Roman"/>
    </w:rPr>
  </w:style>
  <w:style w:type="character" w:styleId="Hyperlink">
    <w:name w:val="Hyperlink"/>
    <w:rsid w:val="0015361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192" TargetMode="External"/><Relationship Id="rId18" Type="http://schemas.openxmlformats.org/officeDocument/2006/relationships/hyperlink" Target="http://www.nevo.co.il/law/74918/47.a" TargetMode="External"/><Relationship Id="rId26" Type="http://schemas.openxmlformats.org/officeDocument/2006/relationships/hyperlink" Target="http://www.nevo.co.il/case/21017469" TargetMode="External"/><Relationship Id="rId39" Type="http://schemas.openxmlformats.org/officeDocument/2006/relationships/theme" Target="theme/theme1.xml"/><Relationship Id="rId21" Type="http://schemas.openxmlformats.org/officeDocument/2006/relationships/hyperlink" Target="http://www.nevo.co.il/law/74903/192"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4903"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8028196"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5509319" TargetMode="External"/><Relationship Id="rId29" Type="http://schemas.openxmlformats.org/officeDocument/2006/relationships/hyperlink" Target="http://www.nevo.co.il/case/57309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47.a" TargetMode="External"/><Relationship Id="rId24" Type="http://schemas.openxmlformats.org/officeDocument/2006/relationships/hyperlink" Target="http://www.nevo.co.il/law/4216" TargetMode="External"/><Relationship Id="rId32" Type="http://schemas.openxmlformats.org/officeDocument/2006/relationships/hyperlink" Target="http://www.nevo.co.il/law/5227"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111708" TargetMode="External"/><Relationship Id="rId36" Type="http://schemas.openxmlformats.org/officeDocument/2006/relationships/footer" Target="footer1.xml"/><Relationship Id="rId10" Type="http://schemas.openxmlformats.org/officeDocument/2006/relationships/hyperlink" Target="http://www.nevo.co.il/law/74918" TargetMode="External"/><Relationship Id="rId19" Type="http://schemas.openxmlformats.org/officeDocument/2006/relationships/hyperlink" Target="http://www.nevo.co.il/law/74918" TargetMode="External"/><Relationship Id="rId31" Type="http://schemas.openxmlformats.org/officeDocument/2006/relationships/hyperlink" Target="http://www.nevo.co.il/law/74918/47.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4903" TargetMode="External"/><Relationship Id="rId27" Type="http://schemas.openxmlformats.org/officeDocument/2006/relationships/hyperlink" Target="http://www.nevo.co.il/case/13015508" TargetMode="External"/><Relationship Id="rId30" Type="http://schemas.openxmlformats.org/officeDocument/2006/relationships/hyperlink" Target="http://www.nevo.co.il/case/20591775"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2063</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12354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8323175</vt:i4>
      </vt:variant>
      <vt:variant>
        <vt:i4>75</vt:i4>
      </vt:variant>
      <vt:variant>
        <vt:i4>0</vt:i4>
      </vt:variant>
      <vt:variant>
        <vt:i4>5</vt:i4>
      </vt:variant>
      <vt:variant>
        <vt:lpwstr>http://www.nevo.co.il/law/5227</vt:lpwstr>
      </vt:variant>
      <vt:variant>
        <vt:lpwstr/>
      </vt:variant>
      <vt:variant>
        <vt:i4>393292</vt:i4>
      </vt:variant>
      <vt:variant>
        <vt:i4>72</vt:i4>
      </vt:variant>
      <vt:variant>
        <vt:i4>0</vt:i4>
      </vt:variant>
      <vt:variant>
        <vt:i4>5</vt:i4>
      </vt:variant>
      <vt:variant>
        <vt:lpwstr>http://www.nevo.co.il/law/74918/47.a</vt:lpwstr>
      </vt:variant>
      <vt:variant>
        <vt:lpwstr/>
      </vt:variant>
      <vt:variant>
        <vt:i4>3211386</vt:i4>
      </vt:variant>
      <vt:variant>
        <vt:i4>69</vt:i4>
      </vt:variant>
      <vt:variant>
        <vt:i4>0</vt:i4>
      </vt:variant>
      <vt:variant>
        <vt:i4>5</vt:i4>
      </vt:variant>
      <vt:variant>
        <vt:lpwstr>http://www.nevo.co.il/case/20591775</vt:lpwstr>
      </vt:variant>
      <vt:variant>
        <vt:lpwstr/>
      </vt:variant>
      <vt:variant>
        <vt:i4>4128884</vt:i4>
      </vt:variant>
      <vt:variant>
        <vt:i4>66</vt:i4>
      </vt:variant>
      <vt:variant>
        <vt:i4>0</vt:i4>
      </vt:variant>
      <vt:variant>
        <vt:i4>5</vt:i4>
      </vt:variant>
      <vt:variant>
        <vt:lpwstr>http://www.nevo.co.il/case/5730970</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3407987</vt:i4>
      </vt:variant>
      <vt:variant>
        <vt:i4>60</vt:i4>
      </vt:variant>
      <vt:variant>
        <vt:i4>0</vt:i4>
      </vt:variant>
      <vt:variant>
        <vt:i4>5</vt:i4>
      </vt:variant>
      <vt:variant>
        <vt:lpwstr>http://www.nevo.co.il/case/13015508</vt:lpwstr>
      </vt:variant>
      <vt:variant>
        <vt:lpwstr/>
      </vt:variant>
      <vt:variant>
        <vt:i4>3342448</vt:i4>
      </vt:variant>
      <vt:variant>
        <vt:i4>57</vt:i4>
      </vt:variant>
      <vt:variant>
        <vt:i4>0</vt:i4>
      </vt:variant>
      <vt:variant>
        <vt:i4>5</vt:i4>
      </vt:variant>
      <vt:variant>
        <vt:lpwstr>http://www.nevo.co.il/case/21017469</vt:lpwstr>
      </vt:variant>
      <vt:variant>
        <vt:lpwstr/>
      </vt:variant>
      <vt:variant>
        <vt:i4>3145855</vt:i4>
      </vt:variant>
      <vt:variant>
        <vt:i4>54</vt:i4>
      </vt:variant>
      <vt:variant>
        <vt:i4>0</vt:i4>
      </vt:variant>
      <vt:variant>
        <vt:i4>5</vt:i4>
      </vt:variant>
      <vt:variant>
        <vt:lpwstr>http://www.nevo.co.il/case/18028196</vt:lpwstr>
      </vt:variant>
      <vt:variant>
        <vt:lpwstr/>
      </vt: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8257646</vt:i4>
      </vt:variant>
      <vt:variant>
        <vt:i4>45</vt:i4>
      </vt:variant>
      <vt:variant>
        <vt:i4>0</vt:i4>
      </vt:variant>
      <vt:variant>
        <vt:i4>5</vt:i4>
      </vt:variant>
      <vt:variant>
        <vt:lpwstr>http://www.nevo.co.il/law/74903</vt:lpwstr>
      </vt:variant>
      <vt:variant>
        <vt:lpwstr/>
      </vt:variant>
      <vt:variant>
        <vt:i4>6815852</vt:i4>
      </vt:variant>
      <vt:variant>
        <vt:i4>42</vt:i4>
      </vt:variant>
      <vt:variant>
        <vt:i4>0</vt:i4>
      </vt:variant>
      <vt:variant>
        <vt:i4>5</vt:i4>
      </vt:variant>
      <vt:variant>
        <vt:lpwstr>http://www.nevo.co.il/law/74903/192</vt:lpwstr>
      </vt:variant>
      <vt:variant>
        <vt:lpwstr/>
      </vt:variant>
      <vt:variant>
        <vt:i4>4128882</vt:i4>
      </vt:variant>
      <vt:variant>
        <vt:i4>39</vt:i4>
      </vt:variant>
      <vt:variant>
        <vt:i4>0</vt:i4>
      </vt:variant>
      <vt:variant>
        <vt:i4>5</vt:i4>
      </vt:variant>
      <vt:variant>
        <vt:lpwstr>http://www.nevo.co.il/case/25509319</vt:lpwstr>
      </vt:variant>
      <vt:variant>
        <vt:lpwstr/>
      </vt:variant>
      <vt:variant>
        <vt:i4>8323182</vt:i4>
      </vt:variant>
      <vt:variant>
        <vt:i4>36</vt:i4>
      </vt:variant>
      <vt:variant>
        <vt:i4>0</vt:i4>
      </vt:variant>
      <vt:variant>
        <vt:i4>5</vt:i4>
      </vt:variant>
      <vt:variant>
        <vt:lpwstr>http://www.nevo.co.il/law/74918</vt:lpwstr>
      </vt:variant>
      <vt:variant>
        <vt:lpwstr/>
      </vt:variant>
      <vt:variant>
        <vt:i4>393292</vt:i4>
      </vt:variant>
      <vt:variant>
        <vt:i4>33</vt:i4>
      </vt:variant>
      <vt:variant>
        <vt:i4>0</vt:i4>
      </vt:variant>
      <vt:variant>
        <vt:i4>5</vt:i4>
      </vt:variant>
      <vt:variant>
        <vt:lpwstr>http://www.nevo.co.il/law/74918/47.a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8323175</vt:i4>
      </vt:variant>
      <vt:variant>
        <vt:i4>24</vt:i4>
      </vt:variant>
      <vt:variant>
        <vt:i4>0</vt:i4>
      </vt:variant>
      <vt:variant>
        <vt:i4>5</vt:i4>
      </vt:variant>
      <vt:variant>
        <vt:lpwstr>http://www.nevo.co.il/law/5227</vt:lpwstr>
      </vt:variant>
      <vt:variant>
        <vt:lpwstr/>
      </vt:variant>
      <vt:variant>
        <vt:i4>7995492</vt:i4>
      </vt:variant>
      <vt:variant>
        <vt:i4>21</vt:i4>
      </vt:variant>
      <vt:variant>
        <vt:i4>0</vt:i4>
      </vt:variant>
      <vt:variant>
        <vt:i4>5</vt:i4>
      </vt:variant>
      <vt:variant>
        <vt:lpwstr>http://www.nevo.co.il/law/70301</vt:lpwstr>
      </vt:variant>
      <vt:variant>
        <vt:lpwstr/>
      </vt:variant>
      <vt:variant>
        <vt:i4>6815852</vt:i4>
      </vt:variant>
      <vt:variant>
        <vt:i4>18</vt:i4>
      </vt:variant>
      <vt:variant>
        <vt:i4>0</vt:i4>
      </vt:variant>
      <vt:variant>
        <vt:i4>5</vt:i4>
      </vt:variant>
      <vt:variant>
        <vt:lpwstr>http://www.nevo.co.il/law/74903/192</vt:lpwstr>
      </vt:variant>
      <vt:variant>
        <vt:lpwstr/>
      </vt:variant>
      <vt:variant>
        <vt:i4>8257646</vt:i4>
      </vt:variant>
      <vt:variant>
        <vt:i4>15</vt:i4>
      </vt:variant>
      <vt:variant>
        <vt:i4>0</vt:i4>
      </vt:variant>
      <vt:variant>
        <vt:i4>5</vt:i4>
      </vt:variant>
      <vt:variant>
        <vt:lpwstr>http://www.nevo.co.il/law/74903</vt:lpwstr>
      </vt:variant>
      <vt:variant>
        <vt:lpwstr/>
      </vt:variant>
      <vt:variant>
        <vt:i4>393292</vt:i4>
      </vt:variant>
      <vt:variant>
        <vt:i4>12</vt:i4>
      </vt:variant>
      <vt:variant>
        <vt:i4>0</vt:i4>
      </vt:variant>
      <vt:variant>
        <vt:i4>5</vt:i4>
      </vt:variant>
      <vt:variant>
        <vt:lpwstr>http://www.nevo.co.il/law/74918/47.a</vt:lpwstr>
      </vt:variant>
      <vt:variant>
        <vt:lpwstr/>
      </vt:variant>
      <vt:variant>
        <vt:i4>8323182</vt:i4>
      </vt:variant>
      <vt:variant>
        <vt:i4>9</vt:i4>
      </vt:variant>
      <vt:variant>
        <vt:i4>0</vt:i4>
      </vt:variant>
      <vt:variant>
        <vt:i4>5</vt:i4>
      </vt:variant>
      <vt:variant>
        <vt:lpwstr>http://www.nevo.co.il/law/74918</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33228</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יצחק אטדגיו</vt:lpwstr>
  </property>
  <property fmtid="{D5CDD505-2E9C-101B-9397-08002B2CF9AE}" pid="10" name="JUDGE">
    <vt:lpwstr>ליאורה אדלשטיין</vt:lpwstr>
  </property>
  <property fmtid="{D5CDD505-2E9C-101B-9397-08002B2CF9AE}" pid="11" name="CITY">
    <vt:lpwstr>אי'</vt:lpwstr>
  </property>
  <property fmtid="{D5CDD505-2E9C-101B-9397-08002B2CF9AE}" pid="12" name="DATE">
    <vt:lpwstr>20190818</vt:lpwstr>
  </property>
  <property fmtid="{D5CDD505-2E9C-101B-9397-08002B2CF9AE}" pid="13" name="TYPE_N_DATE">
    <vt:lpwstr>38020190818</vt:lpwstr>
  </property>
  <property fmtid="{D5CDD505-2E9C-101B-9397-08002B2CF9AE}" pid="14" name="CASESLISTTMP1">
    <vt:lpwstr>25509319;18028196;21017469;13015508;20111708;5730970;20591775</vt:lpwstr>
  </property>
  <property fmtid="{D5CDD505-2E9C-101B-9397-08002B2CF9AE}" pid="15" name="WORDNUMPAGES">
    <vt:lpwstr>6</vt:lpwstr>
  </property>
  <property fmtid="{D5CDD505-2E9C-101B-9397-08002B2CF9AE}" pid="16" name="TYPE_ABS_DATE">
    <vt:lpwstr>380020190818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74918/047.a:2</vt:lpwstr>
  </property>
  <property fmtid="{D5CDD505-2E9C-101B-9397-08002B2CF9AE}" pid="38" name="LAWLISTTMP3">
    <vt:lpwstr>74903/192</vt:lpwstr>
  </property>
  <property fmtid="{D5CDD505-2E9C-101B-9397-08002B2CF9AE}" pid="39" name="LAWLISTTMP4">
    <vt:lpwstr>70301</vt:lpwstr>
  </property>
  <property fmtid="{D5CDD505-2E9C-101B-9397-08002B2CF9AE}" pid="40" name="LAWLISTTMP5">
    <vt:lpwstr>5227</vt:lpwstr>
  </property>
</Properties>
</file>