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45245" w:rsidRPr="003D63DD" w14:paraId="13103DCD" w14:textId="77777777" w:rsidTr="003D63DD">
        <w:trPr>
          <w:trHeight w:hRule="exact" w:val="418"/>
          <w:jc w:val="center"/>
        </w:trPr>
        <w:tc>
          <w:tcPr>
            <w:tcW w:w="8721" w:type="dxa"/>
            <w:gridSpan w:val="2"/>
          </w:tcPr>
          <w:p w14:paraId="3ECB29D2" w14:textId="77777777" w:rsidR="00345245" w:rsidRPr="003D63DD" w:rsidRDefault="00345245" w:rsidP="00C47915">
            <w:pPr>
              <w:pStyle w:val="a3"/>
              <w:jc w:val="center"/>
              <w:rPr>
                <w:rFonts w:ascii="FrankRuehl" w:hAnsi="FrankRuehl"/>
                <w:b/>
                <w:bCs/>
                <w:color w:val="000080"/>
                <w:sz w:val="28"/>
                <w:szCs w:val="28"/>
                <w:rtl/>
              </w:rPr>
            </w:pPr>
            <w:bookmarkStart w:id="0" w:name="LastJudge"/>
            <w:r w:rsidRPr="003D63DD">
              <w:rPr>
                <w:rFonts w:ascii="FrankRuehl" w:hAnsi="FrankRuehl"/>
                <w:b/>
                <w:bCs/>
                <w:color w:val="000080"/>
                <w:sz w:val="28"/>
                <w:szCs w:val="28"/>
                <w:rtl/>
              </w:rPr>
              <w:t>בית משפט השלום בירושלים</w:t>
            </w:r>
          </w:p>
        </w:tc>
      </w:tr>
      <w:tr w:rsidR="00345245" w:rsidRPr="003D63DD" w14:paraId="11503739" w14:textId="77777777" w:rsidTr="003D63DD">
        <w:trPr>
          <w:trHeight w:val="337"/>
          <w:jc w:val="center"/>
        </w:trPr>
        <w:tc>
          <w:tcPr>
            <w:tcW w:w="5054" w:type="dxa"/>
          </w:tcPr>
          <w:p w14:paraId="711F9326" w14:textId="77777777" w:rsidR="00345245" w:rsidRPr="003D63DD" w:rsidRDefault="00345245" w:rsidP="00C47915">
            <w:pPr>
              <w:rPr>
                <w:rFonts w:ascii="FrankRuehl" w:hAnsi="FrankRuehl"/>
                <w:b/>
                <w:bCs/>
                <w:sz w:val="28"/>
                <w:szCs w:val="28"/>
                <w:rtl/>
              </w:rPr>
            </w:pPr>
            <w:r w:rsidRPr="003D63DD">
              <w:rPr>
                <w:rFonts w:ascii="FrankRuehl" w:hAnsi="FrankRuehl"/>
                <w:b/>
                <w:bCs/>
                <w:sz w:val="28"/>
                <w:szCs w:val="28"/>
                <w:rtl/>
              </w:rPr>
              <w:t>ת"פ 35051-04-19 מדינת ישראל נ' מאיר</w:t>
            </w:r>
          </w:p>
          <w:p w14:paraId="635D030D" w14:textId="77777777" w:rsidR="00345245" w:rsidRPr="003D63DD" w:rsidRDefault="00345245" w:rsidP="00C47915">
            <w:pPr>
              <w:pStyle w:val="a3"/>
              <w:rPr>
                <w:rFonts w:ascii="FrankRuehl" w:hAnsi="FrankRuehl"/>
                <w:b/>
                <w:bCs/>
                <w:sz w:val="28"/>
                <w:szCs w:val="28"/>
                <w:rtl/>
              </w:rPr>
            </w:pPr>
          </w:p>
        </w:tc>
        <w:tc>
          <w:tcPr>
            <w:tcW w:w="3667" w:type="dxa"/>
          </w:tcPr>
          <w:p w14:paraId="024AF972" w14:textId="77777777" w:rsidR="00345245" w:rsidRPr="003D63DD" w:rsidRDefault="00345245" w:rsidP="00C47915">
            <w:pPr>
              <w:pStyle w:val="a3"/>
              <w:jc w:val="right"/>
              <w:rPr>
                <w:rFonts w:ascii="FrankRuehl" w:hAnsi="FrankRuehl"/>
                <w:b/>
                <w:bCs/>
                <w:sz w:val="28"/>
                <w:szCs w:val="28"/>
                <w:rtl/>
              </w:rPr>
            </w:pPr>
          </w:p>
        </w:tc>
      </w:tr>
    </w:tbl>
    <w:p w14:paraId="4D635103" w14:textId="77777777" w:rsidR="00345245" w:rsidRPr="003D63DD" w:rsidRDefault="00345245" w:rsidP="00345245">
      <w:pPr>
        <w:pStyle w:val="a3"/>
        <w:rPr>
          <w:rtl/>
        </w:rPr>
      </w:pPr>
      <w:r w:rsidRPr="003D63DD">
        <w:rPr>
          <w:rFonts w:hint="cs"/>
          <w:rtl/>
        </w:rPr>
        <w:t xml:space="preserve"> </w:t>
      </w:r>
    </w:p>
    <w:p w14:paraId="7627BF9F" w14:textId="77777777" w:rsidR="00345245" w:rsidRPr="003D63DD" w:rsidRDefault="00345245" w:rsidP="00345245">
      <w:pPr>
        <w:rPr>
          <w:rtl/>
        </w:rPr>
      </w:pPr>
    </w:p>
    <w:p w14:paraId="6DEF274D" w14:textId="77777777" w:rsidR="00345245" w:rsidRPr="003D63DD" w:rsidRDefault="00345245" w:rsidP="0034524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345245" w:rsidRPr="003D63DD" w14:paraId="58229B3E" w14:textId="77777777" w:rsidTr="00345245">
        <w:trPr>
          <w:trHeight w:val="295"/>
          <w:jc w:val="center"/>
        </w:trPr>
        <w:tc>
          <w:tcPr>
            <w:tcW w:w="923" w:type="dxa"/>
            <w:tcBorders>
              <w:top w:val="nil"/>
              <w:left w:val="nil"/>
              <w:bottom w:val="nil"/>
              <w:right w:val="nil"/>
            </w:tcBorders>
            <w:shd w:val="clear" w:color="auto" w:fill="auto"/>
          </w:tcPr>
          <w:p w14:paraId="0AC3AE96" w14:textId="77777777" w:rsidR="00345245" w:rsidRPr="003D63DD" w:rsidRDefault="00345245" w:rsidP="00345245">
            <w:pPr>
              <w:jc w:val="both"/>
              <w:rPr>
                <w:rFonts w:ascii="FrankRuehl" w:hAnsi="FrankRuehl"/>
                <w:b/>
                <w:bCs/>
                <w:sz w:val="28"/>
                <w:szCs w:val="28"/>
              </w:rPr>
            </w:pPr>
            <w:r w:rsidRPr="003D63DD">
              <w:rPr>
                <w:rFonts w:ascii="FrankRuehl" w:hAnsi="FrankRuehl"/>
                <w:b/>
                <w:bCs/>
                <w:sz w:val="28"/>
                <w:szCs w:val="28"/>
                <w:rtl/>
              </w:rPr>
              <w:t xml:space="preserve">בפני </w:t>
            </w:r>
          </w:p>
        </w:tc>
        <w:tc>
          <w:tcPr>
            <w:tcW w:w="7897" w:type="dxa"/>
            <w:gridSpan w:val="2"/>
            <w:tcBorders>
              <w:top w:val="nil"/>
              <w:left w:val="nil"/>
              <w:bottom w:val="nil"/>
              <w:right w:val="nil"/>
            </w:tcBorders>
            <w:shd w:val="clear" w:color="auto" w:fill="auto"/>
          </w:tcPr>
          <w:p w14:paraId="100D5C7A" w14:textId="77777777" w:rsidR="00345245" w:rsidRPr="003D63DD" w:rsidRDefault="00345245" w:rsidP="00C47915">
            <w:pPr>
              <w:rPr>
                <w:rFonts w:ascii="FrankRuehl" w:hAnsi="FrankRuehl"/>
                <w:b/>
                <w:bCs/>
                <w:sz w:val="28"/>
                <w:szCs w:val="28"/>
                <w:rtl/>
              </w:rPr>
            </w:pPr>
            <w:r w:rsidRPr="003D63DD">
              <w:rPr>
                <w:rFonts w:ascii="FrankRuehl" w:hAnsi="FrankRuehl"/>
                <w:b/>
                <w:bCs/>
                <w:sz w:val="28"/>
                <w:szCs w:val="28"/>
                <w:rtl/>
              </w:rPr>
              <w:t>כבוד השופט  דוד שאול גבאי ריכטר</w:t>
            </w:r>
          </w:p>
          <w:p w14:paraId="6BA17FB2" w14:textId="77777777" w:rsidR="00345245" w:rsidRPr="003D63DD" w:rsidRDefault="00345245" w:rsidP="00C47915">
            <w:pPr>
              <w:rPr>
                <w:rFonts w:ascii="FrankRuehl" w:hAnsi="FrankRuehl"/>
                <w:b/>
                <w:bCs/>
                <w:sz w:val="28"/>
                <w:szCs w:val="28"/>
                <w:rtl/>
              </w:rPr>
            </w:pPr>
          </w:p>
          <w:p w14:paraId="2DACC587" w14:textId="77777777" w:rsidR="00345245" w:rsidRPr="003D63DD" w:rsidRDefault="00345245" w:rsidP="00345245">
            <w:pPr>
              <w:jc w:val="both"/>
              <w:rPr>
                <w:rFonts w:ascii="FrankRuehl" w:hAnsi="FrankRuehl"/>
                <w:b/>
                <w:bCs/>
                <w:sz w:val="28"/>
                <w:szCs w:val="28"/>
              </w:rPr>
            </w:pPr>
          </w:p>
        </w:tc>
      </w:tr>
      <w:tr w:rsidR="00345245" w:rsidRPr="003D63DD" w14:paraId="356433CF" w14:textId="77777777" w:rsidTr="00345245">
        <w:trPr>
          <w:trHeight w:val="355"/>
          <w:jc w:val="center"/>
        </w:trPr>
        <w:tc>
          <w:tcPr>
            <w:tcW w:w="923" w:type="dxa"/>
            <w:tcBorders>
              <w:top w:val="nil"/>
              <w:left w:val="nil"/>
              <w:bottom w:val="nil"/>
              <w:right w:val="nil"/>
            </w:tcBorders>
            <w:shd w:val="clear" w:color="auto" w:fill="auto"/>
          </w:tcPr>
          <w:p w14:paraId="42AA7323" w14:textId="77777777" w:rsidR="00345245" w:rsidRPr="003D63DD" w:rsidRDefault="00345245" w:rsidP="00345245">
            <w:pPr>
              <w:jc w:val="both"/>
              <w:rPr>
                <w:rFonts w:ascii="FrankRuehl" w:hAnsi="FrankRuehl"/>
                <w:b/>
                <w:bCs/>
                <w:sz w:val="28"/>
                <w:szCs w:val="28"/>
              </w:rPr>
            </w:pPr>
            <w:bookmarkStart w:id="1" w:name="FirstAppellant"/>
            <w:r w:rsidRPr="003D63DD">
              <w:rPr>
                <w:rFonts w:ascii="FrankRuehl" w:hAnsi="FrankRuehl"/>
                <w:b/>
                <w:bCs/>
                <w:sz w:val="28"/>
                <w:szCs w:val="28"/>
                <w:rtl/>
              </w:rPr>
              <w:t>בעניין:</w:t>
            </w:r>
          </w:p>
        </w:tc>
        <w:tc>
          <w:tcPr>
            <w:tcW w:w="4126" w:type="dxa"/>
            <w:tcBorders>
              <w:top w:val="nil"/>
              <w:left w:val="nil"/>
              <w:bottom w:val="nil"/>
              <w:right w:val="nil"/>
            </w:tcBorders>
            <w:shd w:val="clear" w:color="auto" w:fill="auto"/>
          </w:tcPr>
          <w:p w14:paraId="200FE8D9" w14:textId="77777777" w:rsidR="00345245" w:rsidRPr="003D63DD" w:rsidRDefault="00345245" w:rsidP="00C47915">
            <w:pPr>
              <w:rPr>
                <w:rFonts w:ascii="FrankRuehl" w:hAnsi="FrankRuehl"/>
                <w:b/>
                <w:bCs/>
                <w:sz w:val="28"/>
                <w:szCs w:val="28"/>
              </w:rPr>
            </w:pPr>
            <w:r w:rsidRPr="003D63DD">
              <w:rPr>
                <w:rFonts w:ascii="FrankRuehl" w:hAnsi="FrankRuehl"/>
                <w:b/>
                <w:bCs/>
                <w:sz w:val="28"/>
                <w:szCs w:val="28"/>
                <w:rtl/>
              </w:rPr>
              <w:t>מדינת ישראל</w:t>
            </w:r>
          </w:p>
        </w:tc>
        <w:tc>
          <w:tcPr>
            <w:tcW w:w="3771" w:type="dxa"/>
            <w:tcBorders>
              <w:top w:val="nil"/>
              <w:left w:val="nil"/>
              <w:bottom w:val="nil"/>
              <w:right w:val="nil"/>
            </w:tcBorders>
            <w:shd w:val="clear" w:color="auto" w:fill="auto"/>
          </w:tcPr>
          <w:p w14:paraId="1D648C39" w14:textId="77777777" w:rsidR="00345245" w:rsidRPr="003D63DD" w:rsidRDefault="00345245" w:rsidP="00345245">
            <w:pPr>
              <w:jc w:val="both"/>
              <w:rPr>
                <w:rFonts w:ascii="FrankRuehl" w:hAnsi="FrankRuehl"/>
                <w:b/>
                <w:bCs/>
                <w:sz w:val="28"/>
                <w:szCs w:val="28"/>
              </w:rPr>
            </w:pPr>
          </w:p>
        </w:tc>
      </w:tr>
      <w:bookmarkEnd w:id="1"/>
      <w:tr w:rsidR="00345245" w:rsidRPr="003D63DD" w14:paraId="1DD6506B" w14:textId="77777777" w:rsidTr="00345245">
        <w:trPr>
          <w:trHeight w:val="355"/>
          <w:jc w:val="center"/>
        </w:trPr>
        <w:tc>
          <w:tcPr>
            <w:tcW w:w="923" w:type="dxa"/>
            <w:tcBorders>
              <w:top w:val="nil"/>
              <w:left w:val="nil"/>
              <w:bottom w:val="nil"/>
              <w:right w:val="nil"/>
            </w:tcBorders>
            <w:shd w:val="clear" w:color="auto" w:fill="auto"/>
          </w:tcPr>
          <w:p w14:paraId="60246284" w14:textId="77777777" w:rsidR="00345245" w:rsidRPr="003D63DD" w:rsidRDefault="00345245" w:rsidP="00345245">
            <w:pPr>
              <w:jc w:val="both"/>
              <w:rPr>
                <w:rFonts w:ascii="FrankRuehl" w:hAnsi="FrankRuehl"/>
                <w:b/>
                <w:bCs/>
                <w:sz w:val="28"/>
                <w:szCs w:val="28"/>
                <w:rtl/>
              </w:rPr>
            </w:pPr>
          </w:p>
        </w:tc>
        <w:tc>
          <w:tcPr>
            <w:tcW w:w="4126" w:type="dxa"/>
            <w:tcBorders>
              <w:top w:val="nil"/>
              <w:left w:val="nil"/>
              <w:bottom w:val="nil"/>
              <w:right w:val="nil"/>
            </w:tcBorders>
            <w:shd w:val="clear" w:color="auto" w:fill="auto"/>
          </w:tcPr>
          <w:p w14:paraId="6EE44561" w14:textId="77777777" w:rsidR="00345245" w:rsidRPr="003D63DD" w:rsidRDefault="00345245" w:rsidP="00345245">
            <w:pPr>
              <w:jc w:val="both"/>
              <w:rPr>
                <w:rFonts w:ascii="FrankRuehl" w:hAnsi="FrankRuehl"/>
                <w:b/>
                <w:bCs/>
                <w:sz w:val="28"/>
                <w:szCs w:val="28"/>
                <w:rtl/>
              </w:rPr>
            </w:pPr>
            <w:r w:rsidRPr="003D63DD">
              <w:rPr>
                <w:rFonts w:ascii="FrankRuehl" w:hAnsi="FrankRuehl" w:hint="cs"/>
                <w:b/>
                <w:bCs/>
                <w:sz w:val="28"/>
                <w:szCs w:val="28"/>
                <w:rtl/>
              </w:rPr>
              <w:t>ע"י תביעות ירושלים</w:t>
            </w:r>
          </w:p>
        </w:tc>
        <w:tc>
          <w:tcPr>
            <w:tcW w:w="3771" w:type="dxa"/>
            <w:tcBorders>
              <w:top w:val="nil"/>
              <w:left w:val="nil"/>
              <w:bottom w:val="nil"/>
              <w:right w:val="nil"/>
            </w:tcBorders>
            <w:shd w:val="clear" w:color="auto" w:fill="auto"/>
          </w:tcPr>
          <w:p w14:paraId="46469BDD" w14:textId="77777777" w:rsidR="00345245" w:rsidRPr="003D63DD" w:rsidRDefault="00345245" w:rsidP="00345245">
            <w:pPr>
              <w:jc w:val="right"/>
              <w:rPr>
                <w:rFonts w:ascii="FrankRuehl" w:hAnsi="FrankRuehl"/>
                <w:b/>
                <w:bCs/>
                <w:sz w:val="28"/>
                <w:szCs w:val="28"/>
                <w:rtl/>
              </w:rPr>
            </w:pPr>
            <w:r w:rsidRPr="003D63DD">
              <w:rPr>
                <w:rFonts w:ascii="FrankRuehl" w:hAnsi="FrankRuehl"/>
                <w:b/>
                <w:bCs/>
                <w:sz w:val="28"/>
                <w:szCs w:val="28"/>
                <w:rtl/>
              </w:rPr>
              <w:t>המאשימה</w:t>
            </w:r>
          </w:p>
        </w:tc>
      </w:tr>
      <w:tr w:rsidR="00345245" w:rsidRPr="003D63DD" w14:paraId="623FB607" w14:textId="77777777" w:rsidTr="00345245">
        <w:trPr>
          <w:trHeight w:val="355"/>
          <w:jc w:val="center"/>
        </w:trPr>
        <w:tc>
          <w:tcPr>
            <w:tcW w:w="923" w:type="dxa"/>
            <w:tcBorders>
              <w:top w:val="nil"/>
              <w:left w:val="nil"/>
              <w:bottom w:val="nil"/>
              <w:right w:val="nil"/>
            </w:tcBorders>
            <w:shd w:val="clear" w:color="auto" w:fill="auto"/>
          </w:tcPr>
          <w:p w14:paraId="41D7D843" w14:textId="77777777" w:rsidR="00345245" w:rsidRPr="003D63DD" w:rsidRDefault="00345245" w:rsidP="00345245">
            <w:pPr>
              <w:jc w:val="both"/>
              <w:rPr>
                <w:rFonts w:ascii="FrankRuehl" w:hAnsi="FrankRuehl"/>
                <w:b/>
                <w:bCs/>
                <w:sz w:val="28"/>
                <w:szCs w:val="28"/>
                <w:rtl/>
              </w:rPr>
            </w:pPr>
          </w:p>
        </w:tc>
        <w:tc>
          <w:tcPr>
            <w:tcW w:w="7897" w:type="dxa"/>
            <w:gridSpan w:val="2"/>
            <w:tcBorders>
              <w:top w:val="nil"/>
              <w:left w:val="nil"/>
              <w:bottom w:val="nil"/>
              <w:right w:val="nil"/>
            </w:tcBorders>
            <w:shd w:val="clear" w:color="auto" w:fill="auto"/>
          </w:tcPr>
          <w:p w14:paraId="10904F72" w14:textId="77777777" w:rsidR="00345245" w:rsidRPr="003D63DD" w:rsidRDefault="00345245" w:rsidP="00345245">
            <w:pPr>
              <w:jc w:val="center"/>
              <w:rPr>
                <w:rFonts w:ascii="FrankRuehl" w:hAnsi="FrankRuehl"/>
                <w:b/>
                <w:bCs/>
                <w:sz w:val="28"/>
                <w:szCs w:val="28"/>
                <w:rtl/>
              </w:rPr>
            </w:pPr>
          </w:p>
          <w:p w14:paraId="0B44785F" w14:textId="77777777" w:rsidR="00345245" w:rsidRPr="003D63DD" w:rsidRDefault="00345245" w:rsidP="00345245">
            <w:pPr>
              <w:jc w:val="center"/>
              <w:rPr>
                <w:rFonts w:ascii="FrankRuehl" w:hAnsi="FrankRuehl"/>
                <w:b/>
                <w:bCs/>
                <w:sz w:val="28"/>
                <w:szCs w:val="28"/>
                <w:rtl/>
              </w:rPr>
            </w:pPr>
            <w:r w:rsidRPr="003D63DD">
              <w:rPr>
                <w:rFonts w:ascii="FrankRuehl" w:hAnsi="FrankRuehl"/>
                <w:b/>
                <w:bCs/>
                <w:sz w:val="28"/>
                <w:szCs w:val="28"/>
                <w:rtl/>
              </w:rPr>
              <w:t>נגד</w:t>
            </w:r>
          </w:p>
          <w:p w14:paraId="5CCA9194" w14:textId="77777777" w:rsidR="00345245" w:rsidRPr="003D63DD" w:rsidRDefault="00345245" w:rsidP="00345245">
            <w:pPr>
              <w:jc w:val="both"/>
              <w:rPr>
                <w:rFonts w:ascii="FrankRuehl" w:hAnsi="FrankRuehl"/>
                <w:b/>
                <w:bCs/>
                <w:sz w:val="28"/>
                <w:szCs w:val="28"/>
              </w:rPr>
            </w:pPr>
          </w:p>
        </w:tc>
      </w:tr>
      <w:tr w:rsidR="00345245" w:rsidRPr="003D63DD" w14:paraId="5ED11A53" w14:textId="77777777" w:rsidTr="00345245">
        <w:trPr>
          <w:trHeight w:val="355"/>
          <w:jc w:val="center"/>
        </w:trPr>
        <w:tc>
          <w:tcPr>
            <w:tcW w:w="923" w:type="dxa"/>
            <w:tcBorders>
              <w:top w:val="nil"/>
              <w:left w:val="nil"/>
              <w:bottom w:val="nil"/>
              <w:right w:val="nil"/>
            </w:tcBorders>
            <w:shd w:val="clear" w:color="auto" w:fill="auto"/>
          </w:tcPr>
          <w:p w14:paraId="41370D86" w14:textId="77777777" w:rsidR="00345245" w:rsidRPr="003D63DD" w:rsidRDefault="00345245" w:rsidP="00C47915">
            <w:pPr>
              <w:rPr>
                <w:rFonts w:ascii="FrankRuehl" w:hAnsi="FrankRuehl"/>
                <w:b/>
                <w:bCs/>
                <w:sz w:val="28"/>
                <w:szCs w:val="28"/>
                <w:rtl/>
              </w:rPr>
            </w:pPr>
          </w:p>
        </w:tc>
        <w:tc>
          <w:tcPr>
            <w:tcW w:w="4126" w:type="dxa"/>
            <w:tcBorders>
              <w:top w:val="nil"/>
              <w:left w:val="nil"/>
              <w:bottom w:val="nil"/>
              <w:right w:val="nil"/>
            </w:tcBorders>
            <w:shd w:val="clear" w:color="auto" w:fill="auto"/>
          </w:tcPr>
          <w:p w14:paraId="780EA57E" w14:textId="77777777" w:rsidR="00345245" w:rsidRPr="003D63DD" w:rsidRDefault="00345245" w:rsidP="00C47915">
            <w:pPr>
              <w:rPr>
                <w:rFonts w:ascii="FrankRuehl" w:hAnsi="FrankRuehl"/>
                <w:b/>
                <w:bCs/>
                <w:sz w:val="28"/>
                <w:szCs w:val="28"/>
                <w:rtl/>
              </w:rPr>
            </w:pPr>
            <w:r w:rsidRPr="003D63DD">
              <w:rPr>
                <w:rFonts w:ascii="FrankRuehl" w:hAnsi="FrankRuehl"/>
                <w:b/>
                <w:bCs/>
                <w:sz w:val="28"/>
                <w:szCs w:val="28"/>
                <w:rtl/>
              </w:rPr>
              <w:t xml:space="preserve">אהרון מאיר </w:t>
            </w:r>
            <w:r w:rsidRPr="003D63DD">
              <w:rPr>
                <w:rFonts w:ascii="FrankRuehl" w:hAnsi="FrankRuehl" w:hint="cs"/>
                <w:b/>
                <w:bCs/>
                <w:sz w:val="28"/>
                <w:szCs w:val="28"/>
                <w:rtl/>
              </w:rPr>
              <w:t xml:space="preserve"> </w:t>
            </w:r>
          </w:p>
        </w:tc>
        <w:tc>
          <w:tcPr>
            <w:tcW w:w="3771" w:type="dxa"/>
            <w:tcBorders>
              <w:top w:val="nil"/>
              <w:left w:val="nil"/>
              <w:bottom w:val="nil"/>
              <w:right w:val="nil"/>
            </w:tcBorders>
            <w:shd w:val="clear" w:color="auto" w:fill="auto"/>
          </w:tcPr>
          <w:p w14:paraId="64EFCE7A" w14:textId="77777777" w:rsidR="00345245" w:rsidRPr="003D63DD" w:rsidRDefault="00345245" w:rsidP="00345245">
            <w:pPr>
              <w:jc w:val="right"/>
              <w:rPr>
                <w:rFonts w:ascii="FrankRuehl" w:hAnsi="FrankRuehl"/>
                <w:b/>
                <w:bCs/>
                <w:sz w:val="28"/>
                <w:szCs w:val="28"/>
              </w:rPr>
            </w:pPr>
          </w:p>
        </w:tc>
      </w:tr>
      <w:tr w:rsidR="00345245" w:rsidRPr="003D63DD" w14:paraId="5CE7076E" w14:textId="77777777" w:rsidTr="00345245">
        <w:trPr>
          <w:trHeight w:val="355"/>
          <w:jc w:val="center"/>
        </w:trPr>
        <w:tc>
          <w:tcPr>
            <w:tcW w:w="923" w:type="dxa"/>
            <w:tcBorders>
              <w:top w:val="nil"/>
              <w:left w:val="nil"/>
              <w:bottom w:val="nil"/>
              <w:right w:val="nil"/>
            </w:tcBorders>
            <w:shd w:val="clear" w:color="auto" w:fill="auto"/>
          </w:tcPr>
          <w:p w14:paraId="16EBD399" w14:textId="77777777" w:rsidR="00345245" w:rsidRPr="003D63DD" w:rsidRDefault="00345245" w:rsidP="00345245">
            <w:pPr>
              <w:jc w:val="both"/>
              <w:rPr>
                <w:rFonts w:ascii="FrankRuehl" w:hAnsi="FrankRuehl"/>
                <w:b/>
                <w:bCs/>
                <w:sz w:val="28"/>
                <w:szCs w:val="28"/>
                <w:rtl/>
              </w:rPr>
            </w:pPr>
            <w:bookmarkStart w:id="2" w:name="FirstLawyer"/>
          </w:p>
        </w:tc>
        <w:tc>
          <w:tcPr>
            <w:tcW w:w="4126" w:type="dxa"/>
            <w:tcBorders>
              <w:top w:val="nil"/>
              <w:left w:val="nil"/>
              <w:bottom w:val="nil"/>
              <w:right w:val="nil"/>
            </w:tcBorders>
            <w:shd w:val="clear" w:color="auto" w:fill="auto"/>
          </w:tcPr>
          <w:p w14:paraId="70214834" w14:textId="77777777" w:rsidR="00345245" w:rsidRPr="003D63DD" w:rsidRDefault="00345245" w:rsidP="00345245">
            <w:pPr>
              <w:jc w:val="both"/>
              <w:rPr>
                <w:rFonts w:ascii="FrankRuehl" w:hAnsi="FrankRuehl"/>
                <w:b/>
                <w:bCs/>
                <w:sz w:val="28"/>
                <w:szCs w:val="28"/>
                <w:rtl/>
              </w:rPr>
            </w:pPr>
            <w:r w:rsidRPr="003D63DD">
              <w:rPr>
                <w:rFonts w:ascii="FrankRuehl" w:hAnsi="FrankRuehl" w:hint="cs"/>
                <w:b/>
                <w:bCs/>
                <w:sz w:val="28"/>
                <w:szCs w:val="28"/>
                <w:rtl/>
              </w:rPr>
              <w:t>ע"י ב"כ עו"ד ארז בר-צבי</w:t>
            </w:r>
          </w:p>
        </w:tc>
        <w:tc>
          <w:tcPr>
            <w:tcW w:w="3771" w:type="dxa"/>
            <w:tcBorders>
              <w:top w:val="nil"/>
              <w:left w:val="nil"/>
              <w:bottom w:val="nil"/>
              <w:right w:val="nil"/>
            </w:tcBorders>
            <w:shd w:val="clear" w:color="auto" w:fill="auto"/>
          </w:tcPr>
          <w:p w14:paraId="47DBF8DD" w14:textId="77777777" w:rsidR="00345245" w:rsidRPr="003D63DD" w:rsidRDefault="00345245" w:rsidP="00345245">
            <w:pPr>
              <w:jc w:val="right"/>
              <w:rPr>
                <w:rFonts w:ascii="FrankRuehl" w:hAnsi="FrankRuehl"/>
                <w:b/>
                <w:bCs/>
                <w:sz w:val="28"/>
                <w:szCs w:val="28"/>
              </w:rPr>
            </w:pPr>
            <w:r w:rsidRPr="003D63DD">
              <w:rPr>
                <w:rFonts w:ascii="FrankRuehl" w:hAnsi="FrankRuehl"/>
                <w:b/>
                <w:bCs/>
                <w:sz w:val="28"/>
                <w:szCs w:val="28"/>
                <w:rtl/>
              </w:rPr>
              <w:t>הנאשם</w:t>
            </w:r>
          </w:p>
        </w:tc>
      </w:tr>
    </w:tbl>
    <w:p w14:paraId="2614FC4D" w14:textId="77777777" w:rsidR="003D63DD" w:rsidRDefault="003D63DD" w:rsidP="00345245">
      <w:pPr>
        <w:rPr>
          <w:rtl/>
        </w:rPr>
      </w:pPr>
      <w:bookmarkStart w:id="3" w:name="LawTable"/>
      <w:bookmarkEnd w:id="2"/>
      <w:bookmarkEnd w:id="3"/>
    </w:p>
    <w:p w14:paraId="0E1FDAAF" w14:textId="77777777" w:rsidR="003D63DD" w:rsidRPr="003D63DD" w:rsidRDefault="003D63DD" w:rsidP="003D63DD">
      <w:pPr>
        <w:spacing w:after="120" w:line="240" w:lineRule="exact"/>
        <w:ind w:left="283" w:hanging="283"/>
        <w:jc w:val="both"/>
        <w:rPr>
          <w:rFonts w:ascii="FrankRuehl" w:hAnsi="FrankRuehl" w:cs="FrankRuehl"/>
          <w:rtl/>
        </w:rPr>
      </w:pPr>
    </w:p>
    <w:p w14:paraId="771534B4" w14:textId="77777777" w:rsidR="003D63DD" w:rsidRPr="003D63DD" w:rsidRDefault="003D63DD" w:rsidP="003D63DD">
      <w:pPr>
        <w:spacing w:after="120" w:line="240" w:lineRule="exact"/>
        <w:ind w:left="283" w:hanging="283"/>
        <w:jc w:val="both"/>
        <w:rPr>
          <w:rFonts w:ascii="FrankRuehl" w:hAnsi="FrankRuehl" w:cs="FrankRuehl"/>
          <w:rtl/>
        </w:rPr>
      </w:pPr>
      <w:r w:rsidRPr="003D63DD">
        <w:rPr>
          <w:rFonts w:ascii="FrankRuehl" w:hAnsi="FrankRuehl" w:cs="FrankRuehl"/>
          <w:rtl/>
        </w:rPr>
        <w:t xml:space="preserve">חקיקה שאוזכרה: </w:t>
      </w:r>
    </w:p>
    <w:p w14:paraId="0393C206" w14:textId="77777777" w:rsidR="003D63DD" w:rsidRPr="003D63DD" w:rsidRDefault="003D63DD" w:rsidP="003D63DD">
      <w:pPr>
        <w:spacing w:after="120" w:line="240" w:lineRule="exact"/>
        <w:ind w:left="283" w:hanging="283"/>
        <w:jc w:val="both"/>
        <w:rPr>
          <w:rFonts w:ascii="FrankRuehl" w:hAnsi="FrankRuehl" w:cs="FrankRuehl"/>
          <w:rtl/>
        </w:rPr>
      </w:pPr>
      <w:hyperlink r:id="rId7" w:history="1">
        <w:r w:rsidRPr="003D63DD">
          <w:rPr>
            <w:rFonts w:ascii="FrankRuehl" w:hAnsi="FrankRuehl" w:cs="FrankRuehl"/>
            <w:color w:val="0000FF"/>
            <w:u w:val="single"/>
            <w:rtl/>
          </w:rPr>
          <w:t>פקודת הסמים המסוכנים [נוסח חדש], תשל"ג-1973</w:t>
        </w:r>
      </w:hyperlink>
      <w:r w:rsidRPr="003D63DD">
        <w:rPr>
          <w:rFonts w:ascii="FrankRuehl" w:hAnsi="FrankRuehl" w:cs="FrankRuehl"/>
          <w:rtl/>
        </w:rPr>
        <w:t xml:space="preserve">: סע'  </w:t>
      </w:r>
      <w:hyperlink r:id="rId8" w:history="1">
        <w:r w:rsidRPr="003D63DD">
          <w:rPr>
            <w:rFonts w:ascii="FrankRuehl" w:hAnsi="FrankRuehl" w:cs="FrankRuehl"/>
            <w:color w:val="0000FF"/>
            <w:u w:val="single"/>
            <w:rtl/>
          </w:rPr>
          <w:t>7.א.</w:t>
        </w:r>
      </w:hyperlink>
      <w:r w:rsidRPr="003D63DD">
        <w:rPr>
          <w:rFonts w:ascii="FrankRuehl" w:hAnsi="FrankRuehl" w:cs="FrankRuehl"/>
          <w:rtl/>
        </w:rPr>
        <w:t xml:space="preserve">, </w:t>
      </w:r>
      <w:hyperlink r:id="rId9" w:history="1">
        <w:r w:rsidRPr="003D63DD">
          <w:rPr>
            <w:rFonts w:ascii="FrankRuehl" w:hAnsi="FrankRuehl" w:cs="FrankRuehl"/>
            <w:color w:val="0000FF"/>
            <w:u w:val="single"/>
            <w:rtl/>
          </w:rPr>
          <w:t>7.ג</w:t>
        </w:r>
      </w:hyperlink>
      <w:r w:rsidRPr="003D63DD">
        <w:rPr>
          <w:rFonts w:ascii="FrankRuehl" w:hAnsi="FrankRuehl" w:cs="FrankRuehl"/>
          <w:rtl/>
        </w:rPr>
        <w:t xml:space="preserve">, </w:t>
      </w:r>
      <w:hyperlink r:id="rId10" w:history="1">
        <w:r w:rsidRPr="003D63DD">
          <w:rPr>
            <w:rFonts w:ascii="FrankRuehl" w:hAnsi="FrankRuehl" w:cs="FrankRuehl"/>
            <w:color w:val="0000FF"/>
            <w:u w:val="single"/>
            <w:rtl/>
          </w:rPr>
          <w:t>10</w:t>
        </w:r>
      </w:hyperlink>
    </w:p>
    <w:p w14:paraId="5687118E" w14:textId="77777777" w:rsidR="003D63DD" w:rsidRPr="003D63DD" w:rsidRDefault="003D63DD" w:rsidP="003D63DD">
      <w:pPr>
        <w:spacing w:after="120" w:line="240" w:lineRule="exact"/>
        <w:ind w:left="283" w:hanging="283"/>
        <w:jc w:val="both"/>
        <w:rPr>
          <w:rFonts w:ascii="FrankRuehl" w:hAnsi="FrankRuehl" w:cs="FrankRuehl"/>
          <w:rtl/>
        </w:rPr>
      </w:pPr>
      <w:hyperlink r:id="rId11" w:history="1">
        <w:r w:rsidRPr="003D63DD">
          <w:rPr>
            <w:rFonts w:ascii="FrankRuehl" w:hAnsi="FrankRuehl" w:cs="FrankRuehl"/>
            <w:color w:val="0000FF"/>
            <w:u w:val="single"/>
            <w:rtl/>
          </w:rPr>
          <w:t>חוק העונשין, תשל"ז-1977</w:t>
        </w:r>
      </w:hyperlink>
      <w:r w:rsidRPr="003D63DD">
        <w:rPr>
          <w:rFonts w:ascii="FrankRuehl" w:hAnsi="FrankRuehl" w:cs="FrankRuehl"/>
          <w:rtl/>
        </w:rPr>
        <w:t xml:space="preserve">: סע'  </w:t>
      </w:r>
      <w:hyperlink r:id="rId12" w:history="1">
        <w:r w:rsidRPr="003D63DD">
          <w:rPr>
            <w:rFonts w:ascii="FrankRuehl" w:hAnsi="FrankRuehl" w:cs="FrankRuehl"/>
            <w:color w:val="0000FF"/>
            <w:u w:val="single"/>
            <w:rtl/>
          </w:rPr>
          <w:t>40ד'</w:t>
        </w:r>
      </w:hyperlink>
      <w:r w:rsidRPr="003D63DD">
        <w:rPr>
          <w:rFonts w:ascii="FrankRuehl" w:hAnsi="FrankRuehl" w:cs="FrankRuehl"/>
          <w:rtl/>
        </w:rPr>
        <w:t xml:space="preserve">, </w:t>
      </w:r>
      <w:hyperlink r:id="rId13" w:history="1">
        <w:r w:rsidRPr="003D63DD">
          <w:rPr>
            <w:rFonts w:ascii="FrankRuehl" w:hAnsi="FrankRuehl" w:cs="FrankRuehl"/>
            <w:color w:val="0000FF"/>
            <w:u w:val="single"/>
            <w:rtl/>
          </w:rPr>
          <w:t>40ט'</w:t>
        </w:r>
      </w:hyperlink>
      <w:r w:rsidRPr="003D63DD">
        <w:rPr>
          <w:rFonts w:ascii="FrankRuehl" w:hAnsi="FrankRuehl" w:cs="FrankRuehl"/>
          <w:rtl/>
        </w:rPr>
        <w:t xml:space="preserve">, </w:t>
      </w:r>
      <w:hyperlink r:id="rId14" w:history="1">
        <w:r w:rsidRPr="003D63DD">
          <w:rPr>
            <w:rFonts w:ascii="FrankRuehl" w:hAnsi="FrankRuehl" w:cs="FrankRuehl"/>
            <w:color w:val="0000FF"/>
            <w:u w:val="single"/>
            <w:rtl/>
          </w:rPr>
          <w:t>40יא</w:t>
        </w:r>
      </w:hyperlink>
    </w:p>
    <w:p w14:paraId="16B96954" w14:textId="77777777" w:rsidR="003D63DD" w:rsidRPr="003D63DD" w:rsidRDefault="003D63DD" w:rsidP="003D63DD">
      <w:pPr>
        <w:spacing w:after="120" w:line="240" w:lineRule="exact"/>
        <w:ind w:left="283" w:hanging="283"/>
        <w:jc w:val="both"/>
        <w:rPr>
          <w:rFonts w:ascii="FrankRuehl" w:hAnsi="FrankRuehl" w:cs="FrankRuehl"/>
          <w:rtl/>
        </w:rPr>
      </w:pPr>
      <w:hyperlink r:id="rId15" w:history="1">
        <w:r w:rsidRPr="003D63DD">
          <w:rPr>
            <w:rFonts w:ascii="FrankRuehl" w:hAnsi="FrankRuehl" w:cs="FrankRuehl"/>
            <w:color w:val="0000FF"/>
            <w:u w:val="single"/>
            <w:rtl/>
          </w:rPr>
          <w:t>חוק הממשלה, תשס"א-2001</w:t>
        </w:r>
      </w:hyperlink>
    </w:p>
    <w:p w14:paraId="620A6ED7" w14:textId="77777777" w:rsidR="001765BB" w:rsidRPr="003D63DD" w:rsidRDefault="001765BB" w:rsidP="00345245">
      <w:pPr>
        <w:rPr>
          <w:rtl/>
        </w:rPr>
      </w:pPr>
      <w:bookmarkStart w:id="4" w:name="LawTable_End"/>
      <w:bookmarkEnd w:id="4"/>
    </w:p>
    <w:p w14:paraId="454B1834" w14:textId="77777777" w:rsidR="001765BB" w:rsidRPr="003D63DD" w:rsidRDefault="001765BB" w:rsidP="00345245">
      <w:pPr>
        <w:rPr>
          <w:rtl/>
        </w:rPr>
      </w:pPr>
    </w:p>
    <w:p w14:paraId="6CEC6485" w14:textId="77777777" w:rsidR="00345245" w:rsidRPr="003D63DD" w:rsidRDefault="00345245" w:rsidP="003452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5245" w:rsidRPr="003D63DD" w14:paraId="28647815" w14:textId="77777777" w:rsidTr="00345245">
        <w:trPr>
          <w:trHeight w:val="355"/>
          <w:jc w:val="center"/>
        </w:trPr>
        <w:tc>
          <w:tcPr>
            <w:tcW w:w="8820" w:type="dxa"/>
            <w:tcBorders>
              <w:top w:val="nil"/>
              <w:left w:val="nil"/>
              <w:bottom w:val="nil"/>
              <w:right w:val="nil"/>
            </w:tcBorders>
            <w:shd w:val="clear" w:color="auto" w:fill="auto"/>
          </w:tcPr>
          <w:p w14:paraId="43D93628" w14:textId="77777777" w:rsidR="001765BB" w:rsidRPr="003D63DD" w:rsidRDefault="001765BB" w:rsidP="001765BB">
            <w:pPr>
              <w:jc w:val="center"/>
              <w:rPr>
                <w:rFonts w:ascii="Arial" w:hAnsi="Arial"/>
                <w:b/>
                <w:bCs/>
                <w:sz w:val="32"/>
                <w:szCs w:val="32"/>
                <w:u w:val="single"/>
                <w:rtl/>
              </w:rPr>
            </w:pPr>
            <w:bookmarkStart w:id="5" w:name="PsakDin" w:colFirst="0" w:colLast="0"/>
            <w:bookmarkEnd w:id="0"/>
            <w:r w:rsidRPr="003D63DD">
              <w:rPr>
                <w:rFonts w:ascii="Arial" w:hAnsi="Arial"/>
                <w:b/>
                <w:bCs/>
                <w:sz w:val="32"/>
                <w:szCs w:val="32"/>
                <w:u w:val="single"/>
                <w:rtl/>
              </w:rPr>
              <w:t>גזר דין</w:t>
            </w:r>
          </w:p>
          <w:p w14:paraId="7EFF6F79" w14:textId="77777777" w:rsidR="00345245" w:rsidRPr="003D63DD" w:rsidRDefault="00345245" w:rsidP="001765BB">
            <w:pPr>
              <w:jc w:val="center"/>
              <w:rPr>
                <w:rFonts w:ascii="Arial" w:hAnsi="Arial"/>
                <w:bCs/>
                <w:sz w:val="32"/>
                <w:szCs w:val="32"/>
                <w:u w:val="single"/>
                <w:rtl/>
              </w:rPr>
            </w:pPr>
          </w:p>
        </w:tc>
      </w:tr>
      <w:bookmarkEnd w:id="5"/>
    </w:tbl>
    <w:p w14:paraId="315F92AC" w14:textId="77777777" w:rsidR="00345245" w:rsidRPr="003D63DD" w:rsidRDefault="00345245" w:rsidP="00345245">
      <w:pPr>
        <w:rPr>
          <w:rFonts w:ascii="Arial" w:hAnsi="Arial"/>
          <w:rtl/>
        </w:rPr>
      </w:pPr>
    </w:p>
    <w:p w14:paraId="3A8AB08B" w14:textId="77777777" w:rsidR="00345245" w:rsidRPr="003D63DD" w:rsidRDefault="00345245" w:rsidP="00345245">
      <w:pPr>
        <w:rPr>
          <w:rFonts w:ascii="Arial" w:hAnsi="Arial"/>
          <w:rtl/>
        </w:rPr>
      </w:pPr>
    </w:p>
    <w:p w14:paraId="75A39916" w14:textId="77777777" w:rsidR="00345245" w:rsidRPr="003D63DD" w:rsidRDefault="00345245" w:rsidP="00345245">
      <w:pPr>
        <w:rPr>
          <w:rtl/>
        </w:rPr>
      </w:pPr>
    </w:p>
    <w:p w14:paraId="2034E3F8" w14:textId="77777777" w:rsidR="00345245" w:rsidRPr="003D63DD" w:rsidRDefault="00345245" w:rsidP="00345245">
      <w:pPr>
        <w:spacing w:line="360" w:lineRule="auto"/>
        <w:rPr>
          <w:b/>
          <w:bCs/>
          <w:sz w:val="28"/>
          <w:szCs w:val="28"/>
          <w:u w:val="single"/>
        </w:rPr>
      </w:pPr>
      <w:r w:rsidRPr="003D63DD">
        <w:rPr>
          <w:rFonts w:hint="cs"/>
          <w:b/>
          <w:bCs/>
          <w:sz w:val="28"/>
          <w:szCs w:val="28"/>
          <w:u w:val="single"/>
          <w:rtl/>
        </w:rPr>
        <w:t>כתב האישום המתוקן</w:t>
      </w:r>
    </w:p>
    <w:p w14:paraId="281A680D" w14:textId="77777777" w:rsidR="00345245" w:rsidRPr="003D63DD" w:rsidRDefault="00345245" w:rsidP="00345245">
      <w:pPr>
        <w:spacing w:line="360" w:lineRule="auto"/>
        <w:jc w:val="both"/>
        <w:rPr>
          <w:sz w:val="28"/>
          <w:szCs w:val="28"/>
        </w:rPr>
      </w:pPr>
      <w:bookmarkStart w:id="6" w:name="ABSTRACT_START"/>
      <w:bookmarkEnd w:id="6"/>
      <w:r w:rsidRPr="003D63DD">
        <w:rPr>
          <w:rFonts w:hint="cs"/>
          <w:sz w:val="28"/>
          <w:szCs w:val="28"/>
          <w:rtl/>
        </w:rPr>
        <w:t xml:space="preserve">הנאשם הורשע על פי הודאתו בעבירות ובעובדות המנויות בכתב האישום המתוקן, בכך שגידל בביתו 19 שתילים של קנביס במשקל של 19.7 קילוגרם. כמו כן התקין בביתו ציוד שנועד לסייע לו בגידול הסם, לרבות מנורות חימום, פילטרים, ספקי כוח, משאבות ומשאבות חמצן, נייר כסף לכיסוי חלונות הבית, מדי חום ולחות, תקעים עם שעון הפעלה, ארגז ובו בקבוקי כימיקלים וטפטפות וכן משקל. באותן נסיבות החזיק הנאשם בדירה שקית ובה 407.74 גרם קנביס וסכום כסף של 1,050 ₪ ו-2,000 דולר. </w:t>
      </w:r>
      <w:bookmarkStart w:id="7" w:name="ABSTRACT_END"/>
      <w:bookmarkEnd w:id="7"/>
      <w:r w:rsidRPr="003D63DD">
        <w:rPr>
          <w:rFonts w:hint="cs"/>
          <w:sz w:val="28"/>
          <w:szCs w:val="28"/>
          <w:rtl/>
        </w:rPr>
        <w:t>על סמך כל זאת, הודה הנאשם והורשע בביצוע עבירות של גידול סם לפי סעיף 6 ל</w:t>
      </w:r>
      <w:hyperlink r:id="rId16" w:history="1">
        <w:r w:rsidR="001765BB" w:rsidRPr="003D63DD">
          <w:rPr>
            <w:color w:val="0000FF"/>
            <w:sz w:val="28"/>
            <w:szCs w:val="28"/>
            <w:u w:val="single"/>
            <w:rtl/>
          </w:rPr>
          <w:t>פקודת הסמים המסוכנים</w:t>
        </w:r>
      </w:hyperlink>
      <w:r w:rsidRPr="003D63DD">
        <w:rPr>
          <w:rFonts w:hint="cs"/>
          <w:sz w:val="28"/>
          <w:szCs w:val="28"/>
          <w:rtl/>
        </w:rPr>
        <w:t xml:space="preserve"> (להלן </w:t>
      </w:r>
      <w:r w:rsidRPr="003D63DD">
        <w:rPr>
          <w:sz w:val="28"/>
          <w:szCs w:val="28"/>
          <w:rtl/>
        </w:rPr>
        <w:t>–</w:t>
      </w:r>
      <w:r w:rsidRPr="003D63DD">
        <w:rPr>
          <w:rFonts w:hint="cs"/>
          <w:sz w:val="28"/>
          <w:szCs w:val="28"/>
          <w:rtl/>
        </w:rPr>
        <w:t xml:space="preserve"> </w:t>
      </w:r>
      <w:r w:rsidRPr="003D63DD">
        <w:rPr>
          <w:rFonts w:hint="cs"/>
          <w:b/>
          <w:bCs/>
          <w:sz w:val="28"/>
          <w:szCs w:val="28"/>
          <w:rtl/>
        </w:rPr>
        <w:t>הפקודה</w:t>
      </w:r>
      <w:r w:rsidRPr="003D63DD">
        <w:rPr>
          <w:rFonts w:hint="cs"/>
          <w:sz w:val="28"/>
          <w:szCs w:val="28"/>
          <w:rtl/>
        </w:rPr>
        <w:t xml:space="preserve">), החזקת סם שלא לצריכה עצמית, לפי </w:t>
      </w:r>
      <w:r w:rsidRPr="003D63DD">
        <w:rPr>
          <w:rFonts w:hint="cs"/>
          <w:sz w:val="28"/>
          <w:szCs w:val="28"/>
          <w:rtl/>
        </w:rPr>
        <w:lastRenderedPageBreak/>
        <w:t xml:space="preserve">סעיפים </w:t>
      </w:r>
      <w:hyperlink r:id="rId17" w:history="1">
        <w:r w:rsidR="003D63DD" w:rsidRPr="003D63DD">
          <w:rPr>
            <w:rStyle w:val="Hyperlink"/>
            <w:color w:val="0000FF"/>
            <w:sz w:val="28"/>
            <w:szCs w:val="28"/>
            <w:rtl/>
          </w:rPr>
          <w:t>7(א) + (ג)</w:t>
        </w:r>
      </w:hyperlink>
      <w:r w:rsidRPr="003D63DD">
        <w:rPr>
          <w:rFonts w:hint="cs"/>
          <w:sz w:val="28"/>
          <w:szCs w:val="28"/>
          <w:rtl/>
        </w:rPr>
        <w:t xml:space="preserve"> רישא לפקודה והחזקת כלים להכנת סם שלא לצריכה עצמית, לפי </w:t>
      </w:r>
      <w:hyperlink r:id="rId18" w:history="1">
        <w:r w:rsidR="003D63DD" w:rsidRPr="003D63DD">
          <w:rPr>
            <w:rStyle w:val="Hyperlink"/>
            <w:rFonts w:hint="eastAsia"/>
            <w:color w:val="0000FF"/>
            <w:sz w:val="28"/>
            <w:szCs w:val="28"/>
            <w:rtl/>
          </w:rPr>
          <w:t>סעיף</w:t>
        </w:r>
        <w:r w:rsidR="003D63DD" w:rsidRPr="003D63DD">
          <w:rPr>
            <w:rStyle w:val="Hyperlink"/>
            <w:color w:val="0000FF"/>
            <w:sz w:val="28"/>
            <w:szCs w:val="28"/>
            <w:rtl/>
          </w:rPr>
          <w:t xml:space="preserve"> 10</w:t>
        </w:r>
      </w:hyperlink>
      <w:r w:rsidRPr="003D63DD">
        <w:rPr>
          <w:rFonts w:hint="cs"/>
          <w:sz w:val="28"/>
          <w:szCs w:val="28"/>
          <w:rtl/>
        </w:rPr>
        <w:t xml:space="preserve"> רישא לפקודה.</w:t>
      </w:r>
    </w:p>
    <w:p w14:paraId="18169517" w14:textId="77777777" w:rsidR="00345245" w:rsidRPr="003D63DD" w:rsidRDefault="00345245" w:rsidP="00345245">
      <w:pPr>
        <w:spacing w:line="360" w:lineRule="auto"/>
        <w:jc w:val="both"/>
        <w:rPr>
          <w:b/>
          <w:bCs/>
          <w:sz w:val="28"/>
          <w:szCs w:val="28"/>
          <w:u w:val="single"/>
        </w:rPr>
      </w:pPr>
    </w:p>
    <w:p w14:paraId="35624914" w14:textId="77777777" w:rsidR="00345245" w:rsidRPr="003D63DD" w:rsidRDefault="00345245" w:rsidP="00345245">
      <w:pPr>
        <w:spacing w:line="360" w:lineRule="auto"/>
        <w:jc w:val="both"/>
        <w:rPr>
          <w:b/>
          <w:bCs/>
          <w:sz w:val="28"/>
          <w:szCs w:val="28"/>
          <w:u w:val="single"/>
        </w:rPr>
      </w:pPr>
      <w:r w:rsidRPr="003D63DD">
        <w:rPr>
          <w:rFonts w:hint="cs"/>
          <w:b/>
          <w:bCs/>
          <w:sz w:val="28"/>
          <w:szCs w:val="28"/>
          <w:u w:val="single"/>
          <w:rtl/>
        </w:rPr>
        <w:t>מהלך הדיון</w:t>
      </w:r>
    </w:p>
    <w:p w14:paraId="169A672C" w14:textId="77777777" w:rsidR="00345245" w:rsidRPr="003D63DD" w:rsidRDefault="00345245" w:rsidP="00345245">
      <w:pPr>
        <w:spacing w:line="360" w:lineRule="auto"/>
        <w:jc w:val="both"/>
        <w:rPr>
          <w:sz w:val="28"/>
          <w:szCs w:val="28"/>
          <w:rtl/>
        </w:rPr>
      </w:pPr>
      <w:r w:rsidRPr="003D63DD">
        <w:rPr>
          <w:rFonts w:hint="cs"/>
          <w:sz w:val="28"/>
          <w:szCs w:val="28"/>
          <w:rtl/>
        </w:rPr>
        <w:t xml:space="preserve">נגד הנאשם הוגש כתב אישום, יחד עם בקשה להותרת תנאי השחרור משלב "מעצר הימים" על כנם, דהיינו מעצר בית מלא. הנאשם שהה בתנאים אלו תקופה לא מבוטלת, ובסופו של יום, בוטלו התנאים לנוכח היעדר הפרתם ורכיב חלוף הזמן. </w:t>
      </w:r>
    </w:p>
    <w:p w14:paraId="3C74D3D5" w14:textId="77777777" w:rsidR="00345245" w:rsidRPr="003D63DD" w:rsidRDefault="00345245" w:rsidP="00345245">
      <w:pPr>
        <w:spacing w:line="360" w:lineRule="auto"/>
        <w:jc w:val="both"/>
        <w:rPr>
          <w:sz w:val="28"/>
          <w:szCs w:val="28"/>
          <w:rtl/>
        </w:rPr>
      </w:pPr>
      <w:r w:rsidRPr="003D63DD">
        <w:rPr>
          <w:rFonts w:hint="cs"/>
          <w:sz w:val="28"/>
          <w:szCs w:val="28"/>
          <w:rtl/>
        </w:rPr>
        <w:t>הנאשם הודה בכתב אישום מתוקן, והצדדים הגיעו להסכמות, לפיהן ישונו תנאי שחרורו של הנאשם, הוא לא יוכרז סוחר סמים, והכספים שנתפסו ישמשו לתשלום קנס בסך 10,000 ₪, כשיתר הרכיבים לא הוסכמו.</w:t>
      </w:r>
    </w:p>
    <w:p w14:paraId="68EF6BD7" w14:textId="77777777" w:rsidR="00345245" w:rsidRPr="003D63DD" w:rsidRDefault="00345245" w:rsidP="00345245">
      <w:pPr>
        <w:spacing w:line="360" w:lineRule="auto"/>
        <w:jc w:val="both"/>
        <w:rPr>
          <w:sz w:val="28"/>
          <w:szCs w:val="28"/>
        </w:rPr>
      </w:pPr>
    </w:p>
    <w:p w14:paraId="440912AA" w14:textId="77777777" w:rsidR="00345245" w:rsidRPr="003D63DD" w:rsidRDefault="00345245" w:rsidP="00345245">
      <w:pPr>
        <w:spacing w:line="360" w:lineRule="auto"/>
        <w:jc w:val="both"/>
        <w:rPr>
          <w:b/>
          <w:bCs/>
          <w:sz w:val="28"/>
          <w:szCs w:val="28"/>
          <w:u w:val="single"/>
          <w:rtl/>
        </w:rPr>
      </w:pPr>
    </w:p>
    <w:p w14:paraId="2B1DCB64" w14:textId="77777777" w:rsidR="00345245" w:rsidRPr="003D63DD" w:rsidRDefault="00345245" w:rsidP="00345245">
      <w:pPr>
        <w:spacing w:line="360" w:lineRule="auto"/>
        <w:jc w:val="both"/>
        <w:rPr>
          <w:b/>
          <w:bCs/>
          <w:sz w:val="28"/>
          <w:szCs w:val="28"/>
          <w:u w:val="single"/>
          <w:rtl/>
        </w:rPr>
      </w:pPr>
      <w:r w:rsidRPr="003D63DD">
        <w:rPr>
          <w:rFonts w:hint="cs"/>
          <w:b/>
          <w:bCs/>
          <w:sz w:val="28"/>
          <w:szCs w:val="28"/>
          <w:u w:val="single"/>
          <w:rtl/>
        </w:rPr>
        <w:t>תסקיר</w:t>
      </w:r>
    </w:p>
    <w:p w14:paraId="311087AE" w14:textId="77777777" w:rsidR="00345245" w:rsidRPr="003D63DD" w:rsidRDefault="00345245" w:rsidP="00345245">
      <w:pPr>
        <w:spacing w:line="360" w:lineRule="auto"/>
        <w:jc w:val="both"/>
        <w:rPr>
          <w:sz w:val="28"/>
          <w:szCs w:val="28"/>
          <w:rtl/>
        </w:rPr>
      </w:pPr>
      <w:r w:rsidRPr="003D63DD">
        <w:rPr>
          <w:rFonts w:hint="cs"/>
          <w:sz w:val="28"/>
          <w:szCs w:val="28"/>
          <w:rtl/>
        </w:rPr>
        <w:t>מהתסקיר שהוגש בעניינו של הנאשם עולה מדובר באדם ללא עבר פלילי, גרוש כבן 44, ואב לבן כבן 20. גרושתו והבן מתגוררים בחו"ל ואין לו קשר עימם. הוריו של הנאשם בשנות השישים לחייהם, גרושים, ואביו מתגורר בחו"ל ואמו מתגוררת בארץ. הנאשם מתגורר בגפו בדירה של הדיור הציבורי. בשנת 2001 הוכר כנפגע פעולות איבה והוא בעל נכות 74% מהמוסד לביטוח לאומי, כשהוא מטופל במחלקת השיקום של מוסד זה. הנאשם יליד אוקראינה, ובהיותו כבן 21 עלה ארצה. הוא למד במסגרת תורנית, נישא ונולד לו בנו, כשלאחר מכן, התגרשו בני הזוג. בשנת 2000 נפגע הנאשם בפיגוע ירי בכביש 443 באורח אנוש. משפחה בישוב בו התגורר סעדה אותו, ואולם למרבה הפלצות, זוג ההורים של משפחה זו נרצחו בפיגוע בירושלים, דבר שהקשה עוד יותר על הנאשם הפגוע ממילא. הנאשם סובל מפוסט טראומה ומטופל ע"י פסיכולוג פרטי במשך כשמונה שנים ברציפות, והם נפגשים אחת לשבועיים. בנוסף הנאשם  עבר 10 ניתוחים בגופו לאורך השנים מאז הפיגוע בו נפצע, הוא מתקשה לאכול אוכל מוצק, יד ימינו אינה מתפקדת למרות טיפולים פיזיותראפיים אינטנסיביים, הוא סובל מכאבים עזים, מקשיי שינה וממצב רוח ירוד. בפועל, הוא נעדר יכולת לעבוד, ואין לו מעגל תמיכה חברי או משפחתי. נמסר כי לנאשם אושר רישיון לשימוש בקנביס, בשל תחלואיו. הנאשם נטל אחריות מלאה למעשים וטען כי עשה אותם מתוך שעמום, לאחר שצפה בסרטונים ב-</w:t>
      </w:r>
      <w:r w:rsidRPr="003D63DD">
        <w:rPr>
          <w:sz w:val="28"/>
          <w:szCs w:val="28"/>
        </w:rPr>
        <w:t>You Tube</w:t>
      </w:r>
      <w:r w:rsidRPr="003D63DD">
        <w:rPr>
          <w:rFonts w:hint="cs"/>
          <w:sz w:val="28"/>
          <w:szCs w:val="28"/>
          <w:rtl/>
        </w:rPr>
        <w:t xml:space="preserve"> לגבי אופן גידול הקנביס. הוא </w:t>
      </w:r>
      <w:r w:rsidRPr="003D63DD">
        <w:rPr>
          <w:rFonts w:hint="cs"/>
          <w:sz w:val="28"/>
          <w:szCs w:val="28"/>
          <w:rtl/>
        </w:rPr>
        <w:lastRenderedPageBreak/>
        <w:t>שלל כוונה לסחור בסם או לחלקו לאחרים.  שירות המבחן התרשם כי הנאשם שיתף עמו פעולה באופן כן וכמיטב יכולתו. שירות המבחן העריך כי הנאשם למרות היותו אימפולסיבי במידת מה, חווה את ההליך הפלילי באופן מרתיע והוא חש בושה בשל כך. השירות המליץ על הטלת של"ץ בהיקף 160 שעות במסגרת עמותת "אלווין" בתפקידי הדרכה וכן צו מבחן לתקופה של שנה.</w:t>
      </w:r>
    </w:p>
    <w:p w14:paraId="6231FB92" w14:textId="77777777" w:rsidR="00345245" w:rsidRPr="003D63DD" w:rsidRDefault="00345245" w:rsidP="00345245">
      <w:pPr>
        <w:spacing w:line="360" w:lineRule="auto"/>
        <w:jc w:val="both"/>
        <w:rPr>
          <w:b/>
          <w:bCs/>
          <w:sz w:val="28"/>
          <w:szCs w:val="28"/>
          <w:u w:val="single"/>
        </w:rPr>
      </w:pPr>
    </w:p>
    <w:p w14:paraId="328CF651" w14:textId="77777777" w:rsidR="00345245" w:rsidRPr="003D63DD" w:rsidRDefault="00345245" w:rsidP="00345245">
      <w:pPr>
        <w:spacing w:line="360" w:lineRule="auto"/>
        <w:jc w:val="both"/>
        <w:rPr>
          <w:b/>
          <w:bCs/>
          <w:sz w:val="28"/>
          <w:szCs w:val="28"/>
          <w:u w:val="single"/>
          <w:rtl/>
        </w:rPr>
      </w:pPr>
      <w:r w:rsidRPr="003D63DD">
        <w:rPr>
          <w:rFonts w:hint="cs"/>
          <w:b/>
          <w:bCs/>
          <w:sz w:val="28"/>
          <w:szCs w:val="28"/>
          <w:u w:val="single"/>
          <w:rtl/>
        </w:rPr>
        <w:t>טיעונים לעונש</w:t>
      </w:r>
    </w:p>
    <w:p w14:paraId="64D258F1" w14:textId="77777777" w:rsidR="00345245" w:rsidRPr="003D63DD" w:rsidRDefault="00345245" w:rsidP="00345245">
      <w:pPr>
        <w:spacing w:line="360" w:lineRule="auto"/>
        <w:jc w:val="both"/>
        <w:rPr>
          <w:sz w:val="28"/>
          <w:szCs w:val="28"/>
          <w:rtl/>
        </w:rPr>
      </w:pPr>
      <w:r w:rsidRPr="003D63DD">
        <w:rPr>
          <w:rFonts w:hint="cs"/>
          <w:sz w:val="28"/>
          <w:szCs w:val="28"/>
          <w:rtl/>
        </w:rPr>
        <w:t xml:space="preserve">הצדדים לא הגיעו להסכמה עונשית. </w:t>
      </w:r>
    </w:p>
    <w:p w14:paraId="74AAF562" w14:textId="77777777" w:rsidR="00345245" w:rsidRPr="003D63DD" w:rsidRDefault="00345245" w:rsidP="00345245">
      <w:pPr>
        <w:spacing w:line="360" w:lineRule="auto"/>
        <w:jc w:val="both"/>
        <w:rPr>
          <w:sz w:val="28"/>
          <w:szCs w:val="28"/>
          <w:rtl/>
        </w:rPr>
      </w:pPr>
      <w:r w:rsidRPr="003D63DD">
        <w:rPr>
          <w:rFonts w:hint="cs"/>
          <w:sz w:val="28"/>
          <w:szCs w:val="28"/>
          <w:rtl/>
        </w:rPr>
        <w:t xml:space="preserve">מחד, ב"כ המאשימה טענה לחומרת נסיבות ביצוע העבירה, כמות הסמים, כמות הציוד שבו נעשה שימוש לצורך גידול הסמים והמקום שבו גודלו </w:t>
      </w:r>
      <w:r w:rsidRPr="003D63DD">
        <w:rPr>
          <w:sz w:val="28"/>
          <w:szCs w:val="28"/>
          <w:rtl/>
        </w:rPr>
        <w:t>–</w:t>
      </w:r>
      <w:r w:rsidRPr="003D63DD">
        <w:rPr>
          <w:rFonts w:hint="cs"/>
          <w:sz w:val="28"/>
          <w:szCs w:val="28"/>
          <w:rtl/>
        </w:rPr>
        <w:t xml:space="preserve"> ביתו של הנאשם. המאשימה עתרה למתחם ענישה שבין 18 ל-36 חודשי מאסר, וביקשה להשית על הנאשם עונש ברף התחתון, יחד עם ענישה נלווית והקנס המוסכם. לדעת ב"כ המאשימה, בענייננו אין נסיבות המאפשרות לחרוג ממתחם הענישה. </w:t>
      </w:r>
    </w:p>
    <w:p w14:paraId="5D9496A7" w14:textId="77777777" w:rsidR="00345245" w:rsidRPr="003D63DD" w:rsidRDefault="00345245" w:rsidP="00345245">
      <w:pPr>
        <w:spacing w:line="360" w:lineRule="auto"/>
        <w:jc w:val="both"/>
        <w:rPr>
          <w:sz w:val="28"/>
          <w:szCs w:val="28"/>
          <w:rtl/>
        </w:rPr>
      </w:pPr>
      <w:r w:rsidRPr="003D63DD">
        <w:rPr>
          <w:rFonts w:hint="cs"/>
          <w:sz w:val="28"/>
          <w:szCs w:val="28"/>
          <w:rtl/>
        </w:rPr>
        <w:t>מאידך, הסניגור הדגיש את נסיבותיו האישיות הקשות של הנאשם, ועתר לאמץ את המלצת שירות המבחן.</w:t>
      </w:r>
    </w:p>
    <w:p w14:paraId="28646DCB" w14:textId="77777777" w:rsidR="00345245" w:rsidRPr="003D63DD" w:rsidRDefault="00345245" w:rsidP="00345245">
      <w:pPr>
        <w:spacing w:line="360" w:lineRule="auto"/>
        <w:jc w:val="both"/>
        <w:rPr>
          <w:sz w:val="28"/>
          <w:szCs w:val="28"/>
          <w:rtl/>
        </w:rPr>
      </w:pPr>
    </w:p>
    <w:p w14:paraId="2FD4D884" w14:textId="77777777" w:rsidR="00345245" w:rsidRPr="003D63DD" w:rsidRDefault="00345245" w:rsidP="00345245">
      <w:pPr>
        <w:spacing w:line="360" w:lineRule="auto"/>
        <w:jc w:val="both"/>
        <w:rPr>
          <w:sz w:val="28"/>
          <w:szCs w:val="28"/>
        </w:rPr>
      </w:pPr>
      <w:r w:rsidRPr="003D63DD">
        <w:rPr>
          <w:rFonts w:hint="cs"/>
          <w:sz w:val="28"/>
          <w:szCs w:val="28"/>
          <w:rtl/>
        </w:rPr>
        <w:t xml:space="preserve">הנאשם סיפר, כי נוסף לכל תחלואיו, חלה בסרטן בפלג גופו העליון. הוא סיפר כי בפיגוע נפצע מקליע שחדר לצווארו ויצא מן הגוף. הנאשם הביע צער על מעשיו וסיפר כי עבר תהליך קשה, ובסופו של יום ביקש סליחה. </w:t>
      </w:r>
    </w:p>
    <w:p w14:paraId="13831CA4" w14:textId="77777777" w:rsidR="00345245" w:rsidRPr="003D63DD" w:rsidRDefault="00345245" w:rsidP="00345245">
      <w:pPr>
        <w:spacing w:line="360" w:lineRule="auto"/>
        <w:jc w:val="both"/>
        <w:rPr>
          <w:b/>
          <w:bCs/>
          <w:sz w:val="28"/>
          <w:szCs w:val="28"/>
          <w:u w:val="single"/>
          <w:rtl/>
        </w:rPr>
      </w:pPr>
    </w:p>
    <w:p w14:paraId="27EE8D81" w14:textId="77777777" w:rsidR="00345245" w:rsidRPr="003D63DD" w:rsidRDefault="00345245" w:rsidP="00345245">
      <w:pPr>
        <w:spacing w:line="360" w:lineRule="auto"/>
        <w:jc w:val="both"/>
        <w:rPr>
          <w:b/>
          <w:bCs/>
          <w:sz w:val="28"/>
          <w:szCs w:val="28"/>
          <w:u w:val="single"/>
          <w:rtl/>
        </w:rPr>
      </w:pPr>
      <w:r w:rsidRPr="003D63DD">
        <w:rPr>
          <w:rFonts w:hint="cs"/>
          <w:b/>
          <w:bCs/>
          <w:sz w:val="28"/>
          <w:szCs w:val="28"/>
          <w:u w:val="single"/>
          <w:rtl/>
        </w:rPr>
        <w:t xml:space="preserve">קביעת מתחם הענישה </w:t>
      </w:r>
      <w:r w:rsidRPr="003D63DD">
        <w:rPr>
          <w:rFonts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05B7641C" w14:textId="77777777" w:rsidR="00345245" w:rsidRPr="003D63DD" w:rsidRDefault="00345245" w:rsidP="00345245">
      <w:pPr>
        <w:spacing w:line="360" w:lineRule="auto"/>
        <w:jc w:val="both"/>
        <w:rPr>
          <w:b/>
          <w:bCs/>
          <w:sz w:val="28"/>
          <w:szCs w:val="28"/>
          <w:u w:val="single"/>
          <w:rtl/>
        </w:rPr>
      </w:pPr>
    </w:p>
    <w:p w14:paraId="67883C45" w14:textId="77777777" w:rsidR="00345245" w:rsidRPr="003D63DD" w:rsidRDefault="00345245" w:rsidP="00345245">
      <w:pPr>
        <w:spacing w:line="360" w:lineRule="auto"/>
        <w:jc w:val="both"/>
        <w:rPr>
          <w:sz w:val="28"/>
          <w:szCs w:val="28"/>
          <w:rtl/>
        </w:rPr>
      </w:pPr>
      <w:r w:rsidRPr="003D63DD">
        <w:rPr>
          <w:rFonts w:hint="cs"/>
          <w:b/>
          <w:bCs/>
          <w:sz w:val="28"/>
          <w:szCs w:val="28"/>
          <w:u w:val="single"/>
          <w:rtl/>
        </w:rPr>
        <w:t xml:space="preserve">אשר לערך המוגן </w:t>
      </w:r>
      <w:r w:rsidRPr="003D63DD">
        <w:rPr>
          <w:rFonts w:hint="cs"/>
          <w:sz w:val="28"/>
          <w:szCs w:val="28"/>
          <w:rtl/>
        </w:rPr>
        <w:t xml:space="preserve">– העבירות אותן עבר הנאשם פוגעות בערך המוגן של בריאות הציבור, שלומו ובטחונו. נגע הסמים פוגע בכל, מקטון ועד גדול, בעני ובעשיר, ללא קשר למוצא, מגדר, מצב סוציו-אקונומי או כל משתנה אחר, המבחין בין פרטי החברה. בענייננו, מידת הפגיעה בערך המוגן מורכבת </w:t>
      </w:r>
      <w:r w:rsidRPr="003D63DD">
        <w:rPr>
          <w:sz w:val="28"/>
          <w:szCs w:val="28"/>
          <w:rtl/>
        </w:rPr>
        <w:t>–</w:t>
      </w:r>
      <w:r w:rsidRPr="003D63DD">
        <w:rPr>
          <w:rFonts w:hint="cs"/>
          <w:sz w:val="28"/>
          <w:szCs w:val="28"/>
          <w:rtl/>
        </w:rPr>
        <w:t xml:space="preserve"> מחד, מדובר בכמות סמים גדולה ביותר שבצדק אינה נחשבת לכמות לצריכה עצמית. מאידך, מכלול הנסיבות מלמד, כי ספק אם הנאשם הספציפי שלפניי, בבדידותו המזהרת, התכוון להפיץ את הסמים לאחרים. כך או כך, מדובר באירוע חריג שלא התברר עד תומו. </w:t>
      </w:r>
    </w:p>
    <w:p w14:paraId="707D0273" w14:textId="77777777" w:rsidR="00345245" w:rsidRPr="003D63DD" w:rsidRDefault="00345245" w:rsidP="00345245">
      <w:pPr>
        <w:spacing w:line="360" w:lineRule="auto"/>
        <w:jc w:val="both"/>
        <w:rPr>
          <w:b/>
          <w:bCs/>
          <w:sz w:val="28"/>
          <w:szCs w:val="28"/>
          <w:rtl/>
        </w:rPr>
      </w:pPr>
    </w:p>
    <w:p w14:paraId="06D3D863" w14:textId="77777777" w:rsidR="00345245" w:rsidRPr="003D63DD" w:rsidRDefault="00345245" w:rsidP="00345245">
      <w:pPr>
        <w:spacing w:line="360" w:lineRule="auto"/>
        <w:jc w:val="both"/>
        <w:rPr>
          <w:sz w:val="28"/>
          <w:szCs w:val="28"/>
        </w:rPr>
      </w:pPr>
      <w:r w:rsidRPr="003D63DD">
        <w:rPr>
          <w:rFonts w:hint="cs"/>
          <w:b/>
          <w:bCs/>
          <w:sz w:val="28"/>
          <w:szCs w:val="28"/>
          <w:u w:val="single"/>
          <w:rtl/>
        </w:rPr>
        <w:t xml:space="preserve">נסיבות הקשורות בביצוע העבירה, לפי </w:t>
      </w:r>
      <w:hyperlink r:id="rId19" w:history="1">
        <w:r w:rsidR="003D63DD" w:rsidRPr="003D63DD">
          <w:rPr>
            <w:rStyle w:val="Hyperlink"/>
            <w:rFonts w:hint="eastAsia"/>
            <w:b/>
            <w:bCs/>
            <w:color w:val="0000FF"/>
            <w:sz w:val="28"/>
            <w:szCs w:val="28"/>
            <w:rtl/>
          </w:rPr>
          <w:t>סעיף</w:t>
        </w:r>
        <w:r w:rsidR="003D63DD" w:rsidRPr="003D63DD">
          <w:rPr>
            <w:rStyle w:val="Hyperlink"/>
            <w:b/>
            <w:bCs/>
            <w:color w:val="0000FF"/>
            <w:sz w:val="28"/>
            <w:szCs w:val="28"/>
            <w:rtl/>
          </w:rPr>
          <w:t xml:space="preserve"> 40ט'</w:t>
        </w:r>
      </w:hyperlink>
      <w:r w:rsidRPr="003D63DD">
        <w:rPr>
          <w:rFonts w:hint="cs"/>
          <w:b/>
          <w:bCs/>
          <w:sz w:val="28"/>
          <w:szCs w:val="28"/>
          <w:u w:val="single"/>
          <w:rtl/>
        </w:rPr>
        <w:t xml:space="preserve"> ל</w:t>
      </w:r>
      <w:hyperlink r:id="rId20" w:history="1">
        <w:r w:rsidR="001765BB" w:rsidRPr="003D63DD">
          <w:rPr>
            <w:b/>
            <w:bCs/>
            <w:color w:val="0000FF"/>
            <w:sz w:val="28"/>
            <w:szCs w:val="28"/>
            <w:u w:val="single"/>
            <w:rtl/>
          </w:rPr>
          <w:t>חוק העונשין</w:t>
        </w:r>
      </w:hyperlink>
      <w:r w:rsidRPr="003D63DD">
        <w:rPr>
          <w:rFonts w:hint="cs"/>
          <w:b/>
          <w:bCs/>
          <w:sz w:val="28"/>
          <w:szCs w:val="28"/>
          <w:rtl/>
        </w:rPr>
        <w:t xml:space="preserve"> – </w:t>
      </w:r>
      <w:r w:rsidRPr="003D63DD">
        <w:rPr>
          <w:rFonts w:hint="cs"/>
          <w:sz w:val="28"/>
          <w:szCs w:val="28"/>
          <w:rtl/>
        </w:rPr>
        <w:t xml:space="preserve">בין הנסיבות הקשורות בביצוע העבירה יש לשקול את אלה, לעניין קביעת המתחם: מדובר בעבירה מתוכננת לפרטי פרטים </w:t>
      </w:r>
      <w:r w:rsidRPr="003D63DD">
        <w:rPr>
          <w:sz w:val="28"/>
          <w:szCs w:val="28"/>
          <w:rtl/>
        </w:rPr>
        <w:t>–</w:t>
      </w:r>
      <w:r w:rsidRPr="003D63DD">
        <w:rPr>
          <w:rFonts w:hint="cs"/>
          <w:sz w:val="28"/>
          <w:szCs w:val="28"/>
          <w:rtl/>
        </w:rPr>
        <w:t xml:space="preserve"> כמות הציוד לצורך גידול הסם, כיסוי חלונות לצורך מימוש הגידול, וכמותו של הסם, אשר הופכת ל"איכות" במובן השלילי, גם אם מדובר ב"סם קל" מסוג קנביס; הנאשם אחראי באופן בלעדי למעשים וצריך היה להימנע מהם; בפועל לא נגרם נזק מביצוע העבירה, אך אילו היה מופץ הסם, נזקו היה בלתי מדיד לחומרה; "שעמום" אינה מהווה הגנה במשפט הפלילי, וכידוע בטלה ושעמום, סופם בחטא.</w:t>
      </w:r>
    </w:p>
    <w:p w14:paraId="082102F1" w14:textId="77777777" w:rsidR="00345245" w:rsidRPr="003D63DD" w:rsidRDefault="00345245" w:rsidP="00345245">
      <w:pPr>
        <w:spacing w:line="360" w:lineRule="auto"/>
        <w:jc w:val="both"/>
        <w:rPr>
          <w:b/>
          <w:bCs/>
          <w:sz w:val="28"/>
          <w:szCs w:val="28"/>
          <w:u w:val="single"/>
          <w:rtl/>
        </w:rPr>
      </w:pPr>
    </w:p>
    <w:p w14:paraId="757A9B22" w14:textId="77777777" w:rsidR="00345245" w:rsidRPr="003D63DD" w:rsidRDefault="00345245" w:rsidP="00345245">
      <w:pPr>
        <w:spacing w:line="360" w:lineRule="auto"/>
        <w:jc w:val="both"/>
        <w:rPr>
          <w:sz w:val="28"/>
          <w:szCs w:val="28"/>
          <w:rtl/>
        </w:rPr>
      </w:pPr>
      <w:r w:rsidRPr="003D63DD">
        <w:rPr>
          <w:rFonts w:hint="cs"/>
          <w:b/>
          <w:bCs/>
          <w:sz w:val="28"/>
          <w:szCs w:val="28"/>
          <w:u w:val="single"/>
          <w:rtl/>
        </w:rPr>
        <w:t>מדיניות הענישה הנוהגת</w:t>
      </w:r>
      <w:r w:rsidRPr="003D63DD">
        <w:rPr>
          <w:rFonts w:hint="cs"/>
          <w:b/>
          <w:bCs/>
          <w:sz w:val="28"/>
          <w:szCs w:val="28"/>
          <w:rtl/>
        </w:rPr>
        <w:t xml:space="preserve"> – </w:t>
      </w:r>
      <w:r w:rsidRPr="003D63DD">
        <w:rPr>
          <w:rFonts w:hint="cs"/>
          <w:sz w:val="28"/>
          <w:szCs w:val="28"/>
          <w:rtl/>
        </w:rPr>
        <w:t xml:space="preserve">הכלל בעבירות גידול בהיקפים גדולים הוא מאסר. בעפ"ג (מרכז) </w:t>
      </w:r>
      <w:r w:rsidRPr="003D63DD">
        <w:rPr>
          <w:rFonts w:hint="cs"/>
          <w:b/>
          <w:bCs/>
          <w:sz w:val="28"/>
          <w:szCs w:val="28"/>
          <w:u w:val="single"/>
          <w:rtl/>
        </w:rPr>
        <w:t>שובל</w:t>
      </w:r>
      <w:r w:rsidRPr="003D63DD">
        <w:rPr>
          <w:rFonts w:hint="cs"/>
          <w:sz w:val="28"/>
          <w:szCs w:val="28"/>
          <w:rtl/>
        </w:rPr>
        <w:t xml:space="preserve"> נ' </w:t>
      </w:r>
      <w:r w:rsidRPr="003D63DD">
        <w:rPr>
          <w:rFonts w:hint="cs"/>
          <w:b/>
          <w:bCs/>
          <w:sz w:val="28"/>
          <w:szCs w:val="28"/>
          <w:u w:val="single"/>
          <w:rtl/>
        </w:rPr>
        <w:t>מ"י</w:t>
      </w:r>
      <w:r w:rsidRPr="003D63DD">
        <w:rPr>
          <w:rFonts w:hint="cs"/>
          <w:sz w:val="28"/>
          <w:szCs w:val="28"/>
          <w:rtl/>
        </w:rPr>
        <w:t xml:space="preserve"> (מיום 15.7.2019) גזר בין המשפט 10 חודשי מאסר על נאשם שגידל 10 ק"ג קנביס להפצה, על בסיס מתחם שבין 10 ל-24 חודשי מאסר; בנסיבות חמורות ממקרנו, נגזרו 8 חודשי מאסר בפועל על בסיס מתחם שבין 8 ל-20 חודשים על אדם שגידל כמעט 10 טון קנביס במעבדת הידרו </w:t>
      </w:r>
      <w:r w:rsidRPr="003D63DD">
        <w:rPr>
          <w:sz w:val="28"/>
          <w:szCs w:val="28"/>
          <w:rtl/>
        </w:rPr>
        <w:t>–</w:t>
      </w:r>
      <w:r w:rsidRPr="003D63DD">
        <w:rPr>
          <w:rFonts w:hint="cs"/>
          <w:sz w:val="28"/>
          <w:szCs w:val="28"/>
          <w:rtl/>
        </w:rPr>
        <w:t xml:space="preserve"> </w:t>
      </w:r>
      <w:hyperlink r:id="rId21" w:history="1">
        <w:r w:rsidR="001765BB" w:rsidRPr="003D63DD">
          <w:rPr>
            <w:color w:val="0000FF"/>
            <w:sz w:val="28"/>
            <w:szCs w:val="28"/>
            <w:u w:val="single"/>
            <w:rtl/>
          </w:rPr>
          <w:t>רע"פ 3864/16</w:t>
        </w:r>
      </w:hyperlink>
      <w:r w:rsidRPr="003D63DD">
        <w:rPr>
          <w:rFonts w:hint="cs"/>
          <w:sz w:val="28"/>
          <w:szCs w:val="28"/>
          <w:rtl/>
        </w:rPr>
        <w:t xml:space="preserve"> </w:t>
      </w:r>
      <w:r w:rsidRPr="003D63DD">
        <w:rPr>
          <w:rFonts w:hint="cs"/>
          <w:b/>
          <w:bCs/>
          <w:sz w:val="28"/>
          <w:szCs w:val="28"/>
          <w:u w:val="single"/>
          <w:rtl/>
        </w:rPr>
        <w:t>בן דוד</w:t>
      </w:r>
      <w:r w:rsidRPr="003D63DD">
        <w:rPr>
          <w:rFonts w:hint="cs"/>
          <w:sz w:val="28"/>
          <w:szCs w:val="28"/>
          <w:rtl/>
        </w:rPr>
        <w:t xml:space="preserve"> נ' </w:t>
      </w:r>
      <w:r w:rsidRPr="003D63DD">
        <w:rPr>
          <w:rFonts w:hint="cs"/>
          <w:b/>
          <w:bCs/>
          <w:sz w:val="28"/>
          <w:szCs w:val="28"/>
          <w:u w:val="single"/>
          <w:rtl/>
        </w:rPr>
        <w:t>מ"י</w:t>
      </w:r>
      <w:r w:rsidRPr="003D63DD">
        <w:rPr>
          <w:rFonts w:hint="cs"/>
          <w:sz w:val="28"/>
          <w:szCs w:val="28"/>
          <w:rtl/>
        </w:rPr>
        <w:t xml:space="preserve"> (מיום 17.5.2016); במקרה אחר נגזר עונש של 9 חודשי מאסר על בסיס מתחם שבין 8 ל-18 חודשי מאסר על נאשם שהחזיק במקלט 5 ק"ג קנביס בשתילים, אך היה לו עבר מכביד </w:t>
      </w:r>
      <w:r w:rsidRPr="003D63DD">
        <w:rPr>
          <w:sz w:val="28"/>
          <w:szCs w:val="28"/>
          <w:rtl/>
        </w:rPr>
        <w:t>–</w:t>
      </w:r>
      <w:r w:rsidRPr="003D63DD">
        <w:rPr>
          <w:rFonts w:hint="cs"/>
          <w:sz w:val="28"/>
          <w:szCs w:val="28"/>
          <w:rtl/>
        </w:rPr>
        <w:t xml:space="preserve"> </w:t>
      </w:r>
      <w:hyperlink r:id="rId22" w:history="1">
        <w:r w:rsidR="001765BB" w:rsidRPr="003D63DD">
          <w:rPr>
            <w:color w:val="0000FF"/>
            <w:sz w:val="28"/>
            <w:szCs w:val="28"/>
            <w:u w:val="single"/>
            <w:rtl/>
          </w:rPr>
          <w:t>רע"פ 2675/17</w:t>
        </w:r>
      </w:hyperlink>
      <w:r w:rsidRPr="003D63DD">
        <w:rPr>
          <w:rFonts w:hint="cs"/>
          <w:sz w:val="28"/>
          <w:szCs w:val="28"/>
          <w:rtl/>
        </w:rPr>
        <w:t xml:space="preserve"> </w:t>
      </w:r>
      <w:r w:rsidRPr="003D63DD">
        <w:rPr>
          <w:rFonts w:hint="cs"/>
          <w:b/>
          <w:bCs/>
          <w:sz w:val="28"/>
          <w:szCs w:val="28"/>
          <w:u w:val="single"/>
          <w:rtl/>
        </w:rPr>
        <w:t>ארצי</w:t>
      </w:r>
      <w:r w:rsidRPr="003D63DD">
        <w:rPr>
          <w:rFonts w:hint="cs"/>
          <w:sz w:val="28"/>
          <w:szCs w:val="28"/>
          <w:rtl/>
        </w:rPr>
        <w:t xml:space="preserve"> נ' </w:t>
      </w:r>
      <w:r w:rsidRPr="003D63DD">
        <w:rPr>
          <w:rFonts w:hint="cs"/>
          <w:b/>
          <w:bCs/>
          <w:sz w:val="28"/>
          <w:szCs w:val="28"/>
          <w:u w:val="single"/>
          <w:rtl/>
        </w:rPr>
        <w:t xml:space="preserve">מ"י </w:t>
      </w:r>
      <w:r w:rsidRPr="003D63DD">
        <w:rPr>
          <w:rFonts w:hint="cs"/>
          <w:sz w:val="28"/>
          <w:szCs w:val="28"/>
          <w:rtl/>
        </w:rPr>
        <w:t>(מיום 23.8.2017). גם הפסיקה אליה הפנתה המאשימה תומכת בכך.</w:t>
      </w:r>
    </w:p>
    <w:p w14:paraId="7B9E6168" w14:textId="77777777" w:rsidR="00345245" w:rsidRPr="003D63DD" w:rsidRDefault="00345245" w:rsidP="00345245">
      <w:pPr>
        <w:spacing w:line="360" w:lineRule="auto"/>
        <w:jc w:val="both"/>
        <w:rPr>
          <w:b/>
          <w:bCs/>
          <w:sz w:val="28"/>
          <w:szCs w:val="28"/>
          <w:u w:val="single"/>
          <w:rtl/>
        </w:rPr>
      </w:pPr>
    </w:p>
    <w:p w14:paraId="060BCEF1" w14:textId="77777777" w:rsidR="00345245" w:rsidRPr="003D63DD" w:rsidRDefault="00345245" w:rsidP="00345245">
      <w:pPr>
        <w:spacing w:line="360" w:lineRule="auto"/>
        <w:jc w:val="both"/>
        <w:rPr>
          <w:sz w:val="28"/>
          <w:szCs w:val="28"/>
          <w:rtl/>
        </w:rPr>
      </w:pPr>
      <w:r w:rsidRPr="003D63DD">
        <w:rPr>
          <w:rFonts w:hint="cs"/>
          <w:b/>
          <w:bCs/>
          <w:sz w:val="28"/>
          <w:szCs w:val="28"/>
          <w:u w:val="single"/>
          <w:rtl/>
        </w:rPr>
        <w:t>מתחם הענישה</w:t>
      </w:r>
      <w:r w:rsidRPr="003D63DD">
        <w:rPr>
          <w:rFonts w:hint="cs"/>
          <w:sz w:val="28"/>
          <w:szCs w:val="28"/>
          <w:rtl/>
        </w:rPr>
        <w:t xml:space="preserve"> – לפיכך, מתחם הענישה צריך לעמוד על בין 12 ל-24 חודשי מאסר. </w:t>
      </w:r>
    </w:p>
    <w:p w14:paraId="0E0EA648" w14:textId="77777777" w:rsidR="00345245" w:rsidRPr="003D63DD" w:rsidRDefault="00345245" w:rsidP="00345245">
      <w:pPr>
        <w:spacing w:line="360" w:lineRule="auto"/>
        <w:jc w:val="both"/>
        <w:rPr>
          <w:b/>
          <w:bCs/>
          <w:sz w:val="28"/>
          <w:szCs w:val="28"/>
          <w:rtl/>
        </w:rPr>
      </w:pPr>
    </w:p>
    <w:p w14:paraId="630DCA82" w14:textId="77777777" w:rsidR="00345245" w:rsidRPr="003D63DD" w:rsidRDefault="00345245" w:rsidP="00345245">
      <w:pPr>
        <w:spacing w:line="360" w:lineRule="auto"/>
        <w:jc w:val="both"/>
        <w:rPr>
          <w:sz w:val="28"/>
          <w:szCs w:val="28"/>
          <w:rtl/>
        </w:rPr>
      </w:pPr>
      <w:r w:rsidRPr="003D63DD">
        <w:rPr>
          <w:rFonts w:hint="cs"/>
          <w:b/>
          <w:bCs/>
          <w:sz w:val="28"/>
          <w:szCs w:val="28"/>
          <w:u w:val="single"/>
          <w:rtl/>
        </w:rPr>
        <w:t xml:space="preserve">נסיבות שאינן קשורות בביצוע העבירה לפי </w:t>
      </w:r>
      <w:hyperlink r:id="rId23" w:history="1">
        <w:r w:rsidR="003D63DD" w:rsidRPr="003D63DD">
          <w:rPr>
            <w:rStyle w:val="Hyperlink"/>
            <w:rFonts w:hint="eastAsia"/>
            <w:b/>
            <w:bCs/>
            <w:color w:val="0000FF"/>
            <w:sz w:val="28"/>
            <w:szCs w:val="28"/>
            <w:rtl/>
          </w:rPr>
          <w:t>סעיף</w:t>
        </w:r>
        <w:r w:rsidR="003D63DD" w:rsidRPr="003D63DD">
          <w:rPr>
            <w:rStyle w:val="Hyperlink"/>
            <w:b/>
            <w:bCs/>
            <w:color w:val="0000FF"/>
            <w:sz w:val="28"/>
            <w:szCs w:val="28"/>
            <w:rtl/>
          </w:rPr>
          <w:t xml:space="preserve"> 40י"א</w:t>
        </w:r>
      </w:hyperlink>
      <w:r w:rsidRPr="003D63DD">
        <w:rPr>
          <w:rFonts w:hint="cs"/>
          <w:b/>
          <w:bCs/>
          <w:sz w:val="28"/>
          <w:szCs w:val="28"/>
          <w:u w:val="single"/>
          <w:rtl/>
        </w:rPr>
        <w:t xml:space="preserve"> ל</w:t>
      </w:r>
      <w:hyperlink r:id="rId24" w:history="1">
        <w:r w:rsidR="001765BB" w:rsidRPr="003D63DD">
          <w:rPr>
            <w:b/>
            <w:bCs/>
            <w:color w:val="0000FF"/>
            <w:sz w:val="28"/>
            <w:szCs w:val="28"/>
            <w:u w:val="single"/>
            <w:rtl/>
          </w:rPr>
          <w:t>חוק העונשין</w:t>
        </w:r>
      </w:hyperlink>
      <w:r w:rsidRPr="003D63DD">
        <w:rPr>
          <w:rFonts w:hint="cs"/>
          <w:b/>
          <w:bCs/>
          <w:sz w:val="28"/>
          <w:szCs w:val="28"/>
          <w:rtl/>
        </w:rPr>
        <w:t xml:space="preserve"> – </w:t>
      </w:r>
      <w:r w:rsidRPr="003D63DD">
        <w:rPr>
          <w:rFonts w:hint="cs"/>
          <w:sz w:val="28"/>
          <w:szCs w:val="28"/>
          <w:rtl/>
        </w:rPr>
        <w:t xml:space="preserve">ניתן  לתת משקל לנסיבות הבאות שאינן קשורות בביצוע העבירה, במסגרת גזירת העונש בתוך המתחם: מדובר בנאשם בשנות הארבעים לחייו, ללא כל עבר פלילי; למעשה, מדובר באדם ערירי ללא מוקד תמיכה משפחתי כלשהו (הוא אינו בקשר סדיר עם אמו שחיה בארץ, בקשר אם אביו החי בחו"ל, ומנותק קשר מבנו היחיד ומגרושתו המתגוררים בחו"ל); חייו בארץ היו רצופי טרגדיות </w:t>
      </w:r>
      <w:r w:rsidRPr="003D63DD">
        <w:rPr>
          <w:sz w:val="28"/>
          <w:szCs w:val="28"/>
          <w:rtl/>
        </w:rPr>
        <w:t>–</w:t>
      </w:r>
      <w:r w:rsidRPr="003D63DD">
        <w:rPr>
          <w:rFonts w:hint="cs"/>
          <w:sz w:val="28"/>
          <w:szCs w:val="28"/>
          <w:rtl/>
        </w:rPr>
        <w:t xml:space="preserve"> החל מפציעתו האנושה בפיגוע דרך אובדן חבריו שסעדו אותו, בנסיבות דומות, דרך טיפולים קשים ומפרכים, ודרך העובדה שתחלואיו רבים וקשים עד מאוד; הנאשם נעדר יכולת ממשית לפרנס עצמו לנוכח מצבו </w:t>
      </w:r>
      <w:r w:rsidRPr="003D63DD">
        <w:rPr>
          <w:sz w:val="28"/>
          <w:szCs w:val="28"/>
          <w:rtl/>
        </w:rPr>
        <w:t>–</w:t>
      </w:r>
      <w:r w:rsidRPr="003D63DD">
        <w:rPr>
          <w:rFonts w:hint="cs"/>
          <w:sz w:val="28"/>
          <w:szCs w:val="28"/>
          <w:rtl/>
        </w:rPr>
        <w:t xml:space="preserve"> גוף-נפש-רגש; הוא נטל אחריות מלאה, צער חרטה ובושה על מעשיו; לכל אורך השנים האחרונות הוא משולב בטיפול נפשי, והביע רצון להיעזר בשירות המבחן לצרכים טיפוליים.</w:t>
      </w:r>
    </w:p>
    <w:p w14:paraId="231EB977" w14:textId="77777777" w:rsidR="00345245" w:rsidRPr="003D63DD" w:rsidRDefault="00345245" w:rsidP="00345245">
      <w:pPr>
        <w:spacing w:line="360" w:lineRule="auto"/>
        <w:jc w:val="both"/>
        <w:rPr>
          <w:b/>
          <w:bCs/>
          <w:sz w:val="28"/>
          <w:szCs w:val="28"/>
          <w:u w:val="single"/>
          <w:rtl/>
        </w:rPr>
      </w:pPr>
    </w:p>
    <w:p w14:paraId="6CBDD4B5" w14:textId="77777777" w:rsidR="00345245" w:rsidRPr="003D63DD" w:rsidRDefault="00345245" w:rsidP="00345245">
      <w:pPr>
        <w:spacing w:after="160" w:line="360" w:lineRule="auto"/>
        <w:jc w:val="both"/>
        <w:rPr>
          <w:rFonts w:ascii="FrankRuehl" w:hAnsi="FrankRuehl"/>
          <w:sz w:val="28"/>
          <w:szCs w:val="28"/>
          <w:rtl/>
        </w:rPr>
      </w:pPr>
      <w:r w:rsidRPr="003D63DD">
        <w:rPr>
          <w:rFonts w:hint="cs"/>
          <w:b/>
          <w:bCs/>
          <w:sz w:val="28"/>
          <w:szCs w:val="28"/>
          <w:u w:val="single"/>
          <w:rtl/>
        </w:rPr>
        <w:t>המיקום במתחם והחריגה ממנו מטעמי נסיבותיו האישיות הרפואיות החריגות של הנאשם</w:t>
      </w:r>
      <w:r w:rsidRPr="003D63DD">
        <w:rPr>
          <w:rFonts w:hint="cs"/>
          <w:sz w:val="28"/>
          <w:szCs w:val="28"/>
          <w:rtl/>
        </w:rPr>
        <w:t xml:space="preserve"> </w:t>
      </w:r>
      <w:r w:rsidRPr="003D63DD">
        <w:rPr>
          <w:sz w:val="28"/>
          <w:szCs w:val="28"/>
          <w:rtl/>
        </w:rPr>
        <w:t>–</w:t>
      </w:r>
      <w:r w:rsidRPr="003D63DD">
        <w:rPr>
          <w:rFonts w:hint="cs"/>
          <w:sz w:val="28"/>
          <w:szCs w:val="28"/>
          <w:rtl/>
        </w:rPr>
        <w:t xml:space="preserve"> אלמלא נסיבותיו האישיות החריגות של הנאשם, היה מקום למקמו באמצע מתחם הענישה לנוכח נסיבות ביצוע העבירה. אלא, שנסיבותיו של הנאשם חריגות בכל קנה מידה, והגם </w:t>
      </w:r>
      <w:hyperlink r:id="rId25" w:history="1">
        <w:r w:rsidR="003D63DD" w:rsidRPr="003D63DD">
          <w:rPr>
            <w:rStyle w:val="Hyperlink"/>
            <w:rFonts w:hint="eastAsia"/>
            <w:color w:val="0000FF"/>
            <w:sz w:val="28"/>
            <w:szCs w:val="28"/>
            <w:rtl/>
          </w:rPr>
          <w:t>שסעיף</w:t>
        </w:r>
        <w:r w:rsidR="003D63DD" w:rsidRPr="003D63DD">
          <w:rPr>
            <w:rStyle w:val="Hyperlink"/>
            <w:color w:val="0000FF"/>
            <w:sz w:val="28"/>
            <w:szCs w:val="28"/>
            <w:rtl/>
          </w:rPr>
          <w:t xml:space="preserve"> 40ד'</w:t>
        </w:r>
      </w:hyperlink>
      <w:r w:rsidRPr="003D63DD">
        <w:rPr>
          <w:rFonts w:hint="cs"/>
          <w:sz w:val="28"/>
          <w:szCs w:val="28"/>
          <w:rtl/>
        </w:rPr>
        <w:t xml:space="preserve"> ל</w:t>
      </w:r>
      <w:hyperlink r:id="rId26" w:history="1">
        <w:r w:rsidR="001765BB" w:rsidRPr="003D63DD">
          <w:rPr>
            <w:color w:val="0000FF"/>
            <w:sz w:val="28"/>
            <w:szCs w:val="28"/>
            <w:u w:val="single"/>
            <w:rtl/>
          </w:rPr>
          <w:t>חוק העונשין</w:t>
        </w:r>
      </w:hyperlink>
      <w:r w:rsidRPr="003D63DD">
        <w:rPr>
          <w:rFonts w:hint="cs"/>
          <w:sz w:val="28"/>
          <w:szCs w:val="28"/>
          <w:rtl/>
        </w:rPr>
        <w:t xml:space="preserve"> אינו יכול לחול בענייננו (טעמי שיקום), הרי שיש מקום לאמץ את הדרך בה הלך בית המשפט העליון </w:t>
      </w:r>
      <w:r w:rsidRPr="003D63DD">
        <w:rPr>
          <w:rFonts w:ascii="FrankRuehl" w:hAnsi="FrankRuehl"/>
          <w:sz w:val="28"/>
          <w:szCs w:val="28"/>
          <w:rtl/>
        </w:rPr>
        <w:t>ב-</w:t>
      </w:r>
      <w:hyperlink r:id="rId27" w:history="1">
        <w:r w:rsidR="001765BB" w:rsidRPr="003D63DD">
          <w:rPr>
            <w:rFonts w:ascii="FrankRuehl" w:hAnsi="FrankRuehl"/>
            <w:color w:val="0000FF"/>
            <w:sz w:val="28"/>
            <w:szCs w:val="28"/>
            <w:u w:val="single"/>
            <w:rtl/>
          </w:rPr>
          <w:t>ע"פ 4456/14</w:t>
        </w:r>
      </w:hyperlink>
      <w:r w:rsidRPr="003D63DD">
        <w:rPr>
          <w:rFonts w:ascii="FrankRuehl" w:hAnsi="FrankRuehl"/>
          <w:sz w:val="28"/>
          <w:szCs w:val="28"/>
          <w:rtl/>
        </w:rPr>
        <w:t xml:space="preserve"> </w:t>
      </w:r>
      <w:r w:rsidRPr="003D63DD">
        <w:rPr>
          <w:rFonts w:ascii="FrankRuehl" w:hAnsi="FrankRuehl"/>
          <w:b/>
          <w:bCs/>
          <w:sz w:val="28"/>
          <w:szCs w:val="28"/>
          <w:u w:val="single"/>
          <w:rtl/>
        </w:rPr>
        <w:t>קלנר ואח'</w:t>
      </w:r>
      <w:r w:rsidRPr="003D63DD">
        <w:rPr>
          <w:rFonts w:ascii="FrankRuehl" w:hAnsi="FrankRuehl"/>
          <w:sz w:val="28"/>
          <w:szCs w:val="28"/>
          <w:rtl/>
        </w:rPr>
        <w:t xml:space="preserve"> נ' </w:t>
      </w:r>
      <w:r w:rsidRPr="003D63DD">
        <w:rPr>
          <w:rFonts w:ascii="FrankRuehl" w:hAnsi="FrankRuehl"/>
          <w:b/>
          <w:bCs/>
          <w:sz w:val="28"/>
          <w:szCs w:val="28"/>
          <w:u w:val="single"/>
          <w:rtl/>
        </w:rPr>
        <w:t>מ"י</w:t>
      </w:r>
      <w:r w:rsidRPr="003D63DD">
        <w:rPr>
          <w:rFonts w:ascii="FrankRuehl" w:hAnsi="FrankRuehl"/>
          <w:sz w:val="28"/>
          <w:szCs w:val="28"/>
          <w:rtl/>
        </w:rPr>
        <w:t xml:space="preserve"> (מיום 29.12.2015, להלן – </w:t>
      </w:r>
      <w:r w:rsidRPr="003D63DD">
        <w:rPr>
          <w:rFonts w:ascii="FrankRuehl" w:hAnsi="FrankRuehl"/>
          <w:b/>
          <w:bCs/>
          <w:sz w:val="28"/>
          <w:szCs w:val="28"/>
          <w:rtl/>
        </w:rPr>
        <w:t>עניין לופוליאנסקי</w:t>
      </w:r>
      <w:r w:rsidRPr="003D63DD">
        <w:rPr>
          <w:rFonts w:ascii="FrankRuehl" w:hAnsi="FrankRuehl"/>
          <w:sz w:val="28"/>
          <w:szCs w:val="28"/>
          <w:rtl/>
        </w:rPr>
        <w:t>), והוא חריגה מ"שיקולי צדק" (ר' סעיפים 212-218 לפסק דינו של כב' השופט פוגלמן). נקבע אמנם, כי מדובר בחריג שבחריגים, ואולם אני סבור כי יש לאמץ גישה זו כאן</w:t>
      </w:r>
      <w:r w:rsidRPr="003D63DD">
        <w:rPr>
          <w:rFonts w:ascii="FrankRuehl" w:hAnsi="FrankRuehl" w:hint="cs"/>
          <w:sz w:val="28"/>
          <w:szCs w:val="28"/>
          <w:rtl/>
        </w:rPr>
        <w:t>,</w:t>
      </w:r>
      <w:r w:rsidRPr="003D63DD">
        <w:rPr>
          <w:rFonts w:ascii="FrankRuehl" w:hAnsi="FrankRuehl"/>
          <w:sz w:val="28"/>
          <w:szCs w:val="28"/>
          <w:rtl/>
        </w:rPr>
        <w:t xml:space="preserve"> </w:t>
      </w:r>
      <w:r w:rsidRPr="003D63DD">
        <w:rPr>
          <w:rFonts w:ascii="FrankRuehl" w:hAnsi="FrankRuehl" w:hint="cs"/>
          <w:sz w:val="28"/>
          <w:szCs w:val="28"/>
          <w:rtl/>
        </w:rPr>
        <w:t xml:space="preserve">לנוכח הנסיבות החריגות של הנאשם </w:t>
      </w:r>
      <w:r w:rsidRPr="003D63DD">
        <w:rPr>
          <w:rFonts w:ascii="FrankRuehl" w:hAnsi="FrankRuehl"/>
          <w:sz w:val="28"/>
          <w:szCs w:val="28"/>
          <w:rtl/>
        </w:rPr>
        <w:t>–</w:t>
      </w:r>
      <w:r w:rsidRPr="003D63DD">
        <w:rPr>
          <w:rFonts w:ascii="FrankRuehl" w:hAnsi="FrankRuehl" w:hint="cs"/>
          <w:sz w:val="28"/>
          <w:szCs w:val="28"/>
          <w:rtl/>
        </w:rPr>
        <w:t xml:space="preserve"> מדובר בנפגע פעולות איבה שפציעתו מהפיגוע הייתה קשה והיא מתפרשת לא רק על ההיבט הפיזי של חייו, אלא גם על ההיבט הנפשי והרגשי </w:t>
      </w:r>
      <w:r w:rsidRPr="003D63DD">
        <w:rPr>
          <w:rFonts w:ascii="FrankRuehl" w:hAnsi="FrankRuehl"/>
          <w:sz w:val="28"/>
          <w:szCs w:val="28"/>
          <w:rtl/>
        </w:rPr>
        <w:t>–</w:t>
      </w:r>
      <w:r w:rsidRPr="003D63DD">
        <w:rPr>
          <w:rFonts w:ascii="FrankRuehl" w:hAnsi="FrankRuehl" w:hint="cs"/>
          <w:sz w:val="28"/>
          <w:szCs w:val="28"/>
          <w:rtl/>
        </w:rPr>
        <w:t xml:space="preserve"> לא רק שהוא סובל ממגבלות גופניות קשות אלא שהוא סובל מפוסט טראומה, נדודי שינה וכאבים עזים. אם לא די בכך, גם לקה בסרטן. </w:t>
      </w:r>
    </w:p>
    <w:p w14:paraId="499612B9" w14:textId="77777777" w:rsidR="00345245" w:rsidRPr="003D63DD" w:rsidRDefault="00345245" w:rsidP="00345245">
      <w:pPr>
        <w:spacing w:after="160" w:line="360" w:lineRule="auto"/>
        <w:jc w:val="both"/>
        <w:rPr>
          <w:rFonts w:ascii="FrankRuehl" w:hAnsi="FrankRuehl"/>
          <w:sz w:val="28"/>
          <w:szCs w:val="28"/>
          <w:rtl/>
        </w:rPr>
      </w:pPr>
      <w:r w:rsidRPr="003D63DD">
        <w:rPr>
          <w:rFonts w:ascii="FrankRuehl" w:hAnsi="FrankRuehl" w:hint="cs"/>
          <w:sz w:val="28"/>
          <w:szCs w:val="28"/>
          <w:rtl/>
        </w:rPr>
        <w:t xml:space="preserve">בשל כל אלה, עונש של מאסר בפועל מאחורי סורג ובריח יהא בגדר התאכזרות לא מידתית בנאשם בנסיבותיו. </w:t>
      </w:r>
    </w:p>
    <w:p w14:paraId="1D591D80" w14:textId="77777777" w:rsidR="00345245" w:rsidRPr="003D63DD" w:rsidRDefault="00345245" w:rsidP="00345245">
      <w:pPr>
        <w:spacing w:after="160" w:line="360" w:lineRule="auto"/>
        <w:jc w:val="both"/>
        <w:rPr>
          <w:rFonts w:ascii="FrankRuehl" w:hAnsi="FrankRuehl"/>
          <w:sz w:val="28"/>
          <w:szCs w:val="28"/>
          <w:rtl/>
        </w:rPr>
      </w:pPr>
      <w:r w:rsidRPr="003D63DD">
        <w:rPr>
          <w:rFonts w:ascii="FrankRuehl" w:hAnsi="FrankRuehl" w:hint="cs"/>
          <w:sz w:val="28"/>
          <w:szCs w:val="28"/>
          <w:rtl/>
        </w:rPr>
        <w:t>אציין, כי נדמה שהמחוקק שת לבו לדברי בית המשפט העליון ב</w:t>
      </w:r>
      <w:r w:rsidRPr="003D63DD">
        <w:rPr>
          <w:rFonts w:ascii="FrankRuehl" w:hAnsi="FrankRuehl" w:hint="cs"/>
          <w:b/>
          <w:bCs/>
          <w:sz w:val="28"/>
          <w:szCs w:val="28"/>
          <w:rtl/>
        </w:rPr>
        <w:t>עניין לופוליאנסקי</w:t>
      </w:r>
      <w:r w:rsidRPr="003D63DD">
        <w:rPr>
          <w:rFonts w:ascii="FrankRuehl" w:hAnsi="FrankRuehl" w:hint="cs"/>
          <w:sz w:val="28"/>
          <w:szCs w:val="28"/>
          <w:rtl/>
        </w:rPr>
        <w:t xml:space="preserve">, שעה שאושרה הצעת חוק ממשלתית לתיקון </w:t>
      </w:r>
      <w:hyperlink r:id="rId28" w:history="1">
        <w:r w:rsidR="001765BB" w:rsidRPr="003D63DD">
          <w:rPr>
            <w:rFonts w:ascii="FrankRuehl" w:hAnsi="FrankRuehl"/>
            <w:color w:val="0000FF"/>
            <w:sz w:val="28"/>
            <w:szCs w:val="28"/>
            <w:u w:val="single"/>
            <w:rtl/>
          </w:rPr>
          <w:t>חוק העונשין</w:t>
        </w:r>
      </w:hyperlink>
      <w:r w:rsidRPr="003D63DD">
        <w:rPr>
          <w:rFonts w:ascii="FrankRuehl" w:hAnsi="FrankRuehl" w:hint="cs"/>
          <w:sz w:val="28"/>
          <w:szCs w:val="28"/>
          <w:rtl/>
        </w:rPr>
        <w:t xml:space="preserve"> (להלן </w:t>
      </w:r>
      <w:r w:rsidRPr="003D63DD">
        <w:rPr>
          <w:rFonts w:ascii="FrankRuehl" w:hAnsi="FrankRuehl"/>
          <w:sz w:val="28"/>
          <w:szCs w:val="28"/>
          <w:rtl/>
        </w:rPr>
        <w:t>–</w:t>
      </w:r>
      <w:r w:rsidRPr="003D63DD">
        <w:rPr>
          <w:rFonts w:ascii="FrankRuehl" w:hAnsi="FrankRuehl" w:hint="cs"/>
          <w:sz w:val="28"/>
          <w:szCs w:val="28"/>
          <w:rtl/>
        </w:rPr>
        <w:t xml:space="preserve"> </w:t>
      </w:r>
      <w:r w:rsidRPr="003D63DD">
        <w:rPr>
          <w:rFonts w:ascii="FrankRuehl" w:hAnsi="FrankRuehl" w:hint="cs"/>
          <w:b/>
          <w:bCs/>
          <w:sz w:val="28"/>
          <w:szCs w:val="28"/>
          <w:rtl/>
        </w:rPr>
        <w:t>תיקון 128</w:t>
      </w:r>
      <w:r w:rsidRPr="003D63DD">
        <w:rPr>
          <w:rFonts w:ascii="FrankRuehl" w:hAnsi="FrankRuehl" w:hint="cs"/>
          <w:sz w:val="28"/>
          <w:szCs w:val="28"/>
          <w:rtl/>
        </w:rPr>
        <w:t xml:space="preserve">). על-פי הצעת החוק, מוצע כי לאחר </w:t>
      </w:r>
      <w:hyperlink r:id="rId29" w:history="1">
        <w:r w:rsidR="003D63DD" w:rsidRPr="003D63DD">
          <w:rPr>
            <w:rStyle w:val="Hyperlink"/>
            <w:rFonts w:ascii="FrankRuehl" w:hAnsi="FrankRuehl" w:hint="eastAsia"/>
            <w:color w:val="0000FF"/>
            <w:sz w:val="28"/>
            <w:szCs w:val="28"/>
            <w:rtl/>
          </w:rPr>
          <w:t>סעיף</w:t>
        </w:r>
        <w:r w:rsidR="003D63DD" w:rsidRPr="003D63DD">
          <w:rPr>
            <w:rStyle w:val="Hyperlink"/>
            <w:rFonts w:ascii="FrankRuehl" w:hAnsi="FrankRuehl"/>
            <w:color w:val="0000FF"/>
            <w:sz w:val="28"/>
            <w:szCs w:val="28"/>
            <w:rtl/>
          </w:rPr>
          <w:t xml:space="preserve"> 40יא</w:t>
        </w:r>
      </w:hyperlink>
      <w:r w:rsidRPr="003D63DD">
        <w:rPr>
          <w:rFonts w:ascii="FrankRuehl" w:hAnsi="FrankRuehl" w:hint="cs"/>
          <w:sz w:val="28"/>
          <w:szCs w:val="28"/>
          <w:rtl/>
        </w:rPr>
        <w:t xml:space="preserve"> הנוכחי, יובא התיקון הבא:</w:t>
      </w:r>
    </w:p>
    <w:p w14:paraId="7ECD6640" w14:textId="77777777" w:rsidR="00345245" w:rsidRPr="003D63DD" w:rsidRDefault="00345245" w:rsidP="00345245">
      <w:pPr>
        <w:spacing w:after="160"/>
        <w:ind w:leftChars="680" w:left="1632" w:right="680"/>
        <w:jc w:val="both"/>
        <w:rPr>
          <w:rFonts w:ascii="FrankRuehl" w:hAnsi="FrankRuehl"/>
          <w:sz w:val="28"/>
          <w:szCs w:val="28"/>
          <w:rtl/>
        </w:rPr>
      </w:pPr>
      <w:r w:rsidRPr="003D63DD">
        <w:rPr>
          <w:rFonts w:ascii="FrankRuehl" w:hAnsi="FrankRuehl" w:hint="cs"/>
          <w:sz w:val="28"/>
          <w:szCs w:val="28"/>
          <w:rtl/>
        </w:rPr>
        <w:t>"40יא1. (א) על אף האמור בסעיף 40יא, רשאי בית המשפט לקבוע את עונשו של הנאשם בחריגה ממתחם העונש ההולם, אם מצא כי מתקיימת נסיבה מיוחדת ויוצאת דופן שאינה קשורה בביצוע העבירה, מהנסיבות המפורטות להלן, המצדיקה חריגה ממתחם הענישה ההולם כדי למנוע עיוות דין:</w:t>
      </w:r>
    </w:p>
    <w:p w14:paraId="28D8B2A4" w14:textId="77777777" w:rsidR="00345245" w:rsidRPr="003D63DD" w:rsidRDefault="00345245" w:rsidP="00345245">
      <w:pPr>
        <w:pStyle w:val="a9"/>
        <w:numPr>
          <w:ilvl w:val="0"/>
          <w:numId w:val="2"/>
        </w:numPr>
        <w:spacing w:after="160"/>
        <w:ind w:leftChars="680" w:left="1992" w:right="680"/>
        <w:jc w:val="both"/>
        <w:rPr>
          <w:rFonts w:ascii="FrankRuehl" w:hAnsi="FrankRuehl"/>
          <w:sz w:val="28"/>
          <w:szCs w:val="28"/>
        </w:rPr>
      </w:pPr>
      <w:r w:rsidRPr="003D63DD">
        <w:rPr>
          <w:rFonts w:ascii="FrankRuehl" w:hAnsi="FrankRuehl" w:hint="cs"/>
          <w:sz w:val="28"/>
          <w:szCs w:val="28"/>
          <w:rtl/>
        </w:rPr>
        <w:t>הפגיעה של העונש בנאשם עלולה להיות קשה במיוחד בשל מצבו הבריאותי החריג..."</w:t>
      </w:r>
    </w:p>
    <w:p w14:paraId="1C4A0E21" w14:textId="77777777" w:rsidR="00345245" w:rsidRPr="003D63DD" w:rsidRDefault="00345245" w:rsidP="00345245">
      <w:pPr>
        <w:spacing w:after="160" w:line="360" w:lineRule="auto"/>
        <w:jc w:val="both"/>
        <w:rPr>
          <w:rFonts w:ascii="FrankRuehl" w:hAnsi="FrankRuehl"/>
          <w:sz w:val="28"/>
          <w:szCs w:val="28"/>
          <w:rtl/>
        </w:rPr>
      </w:pPr>
      <w:r w:rsidRPr="003D63DD">
        <w:rPr>
          <w:rFonts w:ascii="FrankRuehl" w:hAnsi="FrankRuehl" w:hint="cs"/>
          <w:sz w:val="28"/>
          <w:szCs w:val="28"/>
          <w:rtl/>
        </w:rPr>
        <w:t>בעניין זה נאמר בהצעת החוק כך:</w:t>
      </w:r>
    </w:p>
    <w:p w14:paraId="600CC594" w14:textId="77777777" w:rsidR="00345245" w:rsidRPr="003D63DD" w:rsidRDefault="00345245" w:rsidP="00345245">
      <w:pPr>
        <w:spacing w:after="160"/>
        <w:ind w:left="680" w:right="680"/>
        <w:jc w:val="both"/>
        <w:rPr>
          <w:rFonts w:ascii="FrankRuehl" w:hAnsi="FrankRuehl"/>
          <w:sz w:val="28"/>
          <w:szCs w:val="28"/>
          <w:rtl/>
        </w:rPr>
      </w:pPr>
      <w:r w:rsidRPr="003D63DD">
        <w:rPr>
          <w:rFonts w:ascii="FrankRuehl" w:hAnsi="FrankRuehl" w:hint="cs"/>
          <w:sz w:val="28"/>
          <w:szCs w:val="28"/>
          <w:rtl/>
        </w:rPr>
        <w:t xml:space="preserve">"על-פי סעיף 40יא1 המוצע, הסוג הראשון והמרכזי של נסיבות חריגות ויוצאות דופן המצדיקות חריגה ממתחם העונש ההולם כדי למנוע עיוות דין, הן נסיבות אישיות מיוחדות המהוות 'נטל עונשי נוסף' מובהק על נאשם במידה המצדיקה חריגה לקולה מאותו מתחם, וזאת כנגזרת של עקרון ההלימה. נסיבות מסוג זה, העשויות ליצור את ההבדל מבחינת 'השפעת העונש' </w:t>
      </w:r>
      <w:r w:rsidRPr="003D63DD">
        <w:rPr>
          <w:rFonts w:ascii="FrankRuehl" w:hAnsi="FrankRuehl"/>
          <w:sz w:val="28"/>
          <w:szCs w:val="28"/>
        </w:rPr>
        <w:t>(Impact)</w:t>
      </w:r>
      <w:r w:rsidRPr="003D63DD">
        <w:rPr>
          <w:rFonts w:ascii="FrankRuehl" w:hAnsi="FrankRuehl" w:hint="cs"/>
          <w:sz w:val="28"/>
          <w:szCs w:val="28"/>
          <w:rtl/>
        </w:rPr>
        <w:t xml:space="preserve"> על הנאשם, יכולות לנבוע, למשל, ממצבו הרפואי של הנאשם..." (</w:t>
      </w:r>
      <w:r w:rsidRPr="003D63DD">
        <w:rPr>
          <w:rFonts w:ascii="FrankRuehl" w:hAnsi="FrankRuehl" w:hint="cs"/>
          <w:b/>
          <w:bCs/>
          <w:sz w:val="28"/>
          <w:szCs w:val="28"/>
          <w:rtl/>
        </w:rPr>
        <w:t xml:space="preserve">הצעות </w:t>
      </w:r>
      <w:hyperlink r:id="rId30" w:history="1">
        <w:r w:rsidR="001765BB" w:rsidRPr="003D63DD">
          <w:rPr>
            <w:rFonts w:ascii="FrankRuehl" w:hAnsi="FrankRuehl"/>
            <w:b/>
            <w:bCs/>
            <w:color w:val="0000FF"/>
            <w:sz w:val="28"/>
            <w:szCs w:val="28"/>
            <w:u w:val="single"/>
            <w:rtl/>
          </w:rPr>
          <w:t>חוק הממשלה</w:t>
        </w:r>
      </w:hyperlink>
      <w:r w:rsidRPr="003D63DD">
        <w:rPr>
          <w:rFonts w:ascii="FrankRuehl" w:hAnsi="FrankRuehl" w:hint="cs"/>
          <w:b/>
          <w:bCs/>
          <w:sz w:val="28"/>
          <w:szCs w:val="28"/>
          <w:rtl/>
        </w:rPr>
        <w:t xml:space="preserve"> </w:t>
      </w:r>
      <w:r w:rsidRPr="003D63DD">
        <w:rPr>
          <w:rFonts w:ascii="FrankRuehl" w:hAnsi="FrankRuehl"/>
          <w:b/>
          <w:bCs/>
          <w:sz w:val="28"/>
          <w:szCs w:val="28"/>
          <w:rtl/>
        </w:rPr>
        <w:t>–</w:t>
      </w:r>
      <w:r w:rsidRPr="003D63DD">
        <w:rPr>
          <w:rFonts w:ascii="FrankRuehl" w:hAnsi="FrankRuehl" w:hint="cs"/>
          <w:b/>
          <w:bCs/>
          <w:sz w:val="28"/>
          <w:szCs w:val="28"/>
          <w:rtl/>
        </w:rPr>
        <w:t xml:space="preserve"> 1052</w:t>
      </w:r>
      <w:r w:rsidRPr="003D63DD">
        <w:rPr>
          <w:rFonts w:ascii="FrankRuehl" w:hAnsi="FrankRuehl" w:hint="cs"/>
          <w:sz w:val="28"/>
          <w:szCs w:val="28"/>
          <w:rtl/>
        </w:rPr>
        <w:t xml:space="preserve">, כ"א בסיוון התשע"ו, 27.6.2016, ע"ע 1078-1079).  </w:t>
      </w:r>
    </w:p>
    <w:p w14:paraId="6504A471" w14:textId="77777777" w:rsidR="00345245" w:rsidRPr="003D63DD" w:rsidRDefault="00345245" w:rsidP="00345245">
      <w:pPr>
        <w:spacing w:after="160" w:line="360" w:lineRule="auto"/>
        <w:jc w:val="both"/>
        <w:rPr>
          <w:rFonts w:ascii="FrankRuehl" w:hAnsi="FrankRuehl"/>
          <w:sz w:val="28"/>
          <w:szCs w:val="28"/>
          <w:rtl/>
        </w:rPr>
      </w:pPr>
      <w:r w:rsidRPr="003D63DD">
        <w:rPr>
          <w:rFonts w:ascii="FrankRuehl" w:hAnsi="FrankRuehl" w:hint="cs"/>
          <w:sz w:val="28"/>
          <w:szCs w:val="28"/>
          <w:rtl/>
        </w:rPr>
        <w:t>בהמשך מופנה הקורא לאמור ב</w:t>
      </w:r>
      <w:r w:rsidRPr="003D63DD">
        <w:rPr>
          <w:rFonts w:ascii="FrankRuehl" w:hAnsi="FrankRuehl" w:hint="cs"/>
          <w:b/>
          <w:bCs/>
          <w:sz w:val="28"/>
          <w:szCs w:val="28"/>
          <w:rtl/>
        </w:rPr>
        <w:t>עניין לופוליאנסקי</w:t>
      </w:r>
      <w:r w:rsidRPr="003D63DD">
        <w:rPr>
          <w:rFonts w:ascii="FrankRuehl" w:hAnsi="FrankRuehl" w:hint="cs"/>
          <w:sz w:val="28"/>
          <w:szCs w:val="28"/>
          <w:rtl/>
        </w:rPr>
        <w:t>.  אמנם, אין מדובר בחוק שנכנס לתוקף, אך מדובר בכוונה ברורה של המחוקק, לנוכח אמירות בית המשפט העליון, ויש לתת לכך משקל.</w:t>
      </w:r>
    </w:p>
    <w:p w14:paraId="7E256F8B" w14:textId="77777777" w:rsidR="00345245" w:rsidRPr="003D63DD" w:rsidRDefault="00345245" w:rsidP="00345245">
      <w:pPr>
        <w:spacing w:line="360" w:lineRule="auto"/>
        <w:jc w:val="both"/>
        <w:rPr>
          <w:sz w:val="28"/>
          <w:szCs w:val="28"/>
          <w:rtl/>
        </w:rPr>
      </w:pPr>
    </w:p>
    <w:p w14:paraId="7D35284B" w14:textId="77777777" w:rsidR="00345245" w:rsidRPr="003D63DD" w:rsidRDefault="00345245" w:rsidP="00345245">
      <w:pPr>
        <w:spacing w:line="360" w:lineRule="auto"/>
        <w:jc w:val="both"/>
        <w:rPr>
          <w:b/>
          <w:bCs/>
          <w:sz w:val="28"/>
          <w:szCs w:val="28"/>
          <w:u w:val="single"/>
          <w:rtl/>
        </w:rPr>
      </w:pPr>
      <w:r w:rsidRPr="003D63DD">
        <w:rPr>
          <w:rFonts w:hint="cs"/>
          <w:b/>
          <w:bCs/>
          <w:sz w:val="28"/>
          <w:szCs w:val="28"/>
          <w:u w:val="single"/>
          <w:rtl/>
        </w:rPr>
        <w:t>גזירת הדין</w:t>
      </w:r>
    </w:p>
    <w:p w14:paraId="7B57CEBC" w14:textId="77777777" w:rsidR="00345245" w:rsidRPr="003D63DD" w:rsidRDefault="00345245" w:rsidP="00345245">
      <w:pPr>
        <w:spacing w:line="360" w:lineRule="auto"/>
        <w:jc w:val="both"/>
        <w:rPr>
          <w:sz w:val="28"/>
          <w:szCs w:val="28"/>
          <w:rtl/>
        </w:rPr>
      </w:pPr>
      <w:r w:rsidRPr="003D63DD">
        <w:rPr>
          <w:rFonts w:hint="cs"/>
          <w:sz w:val="28"/>
          <w:szCs w:val="28"/>
          <w:rtl/>
        </w:rPr>
        <w:t>לפיכך, אני מחליט לגזור על הנאשם את העונשים הבאים:</w:t>
      </w:r>
    </w:p>
    <w:p w14:paraId="72A30E7C" w14:textId="77777777" w:rsidR="00345245" w:rsidRPr="003D63DD" w:rsidRDefault="00345245" w:rsidP="00345245">
      <w:pPr>
        <w:numPr>
          <w:ilvl w:val="0"/>
          <w:numId w:val="1"/>
        </w:numPr>
        <w:spacing w:after="160" w:line="360" w:lineRule="auto"/>
        <w:contextualSpacing/>
        <w:jc w:val="both"/>
        <w:rPr>
          <w:sz w:val="28"/>
          <w:szCs w:val="28"/>
        </w:rPr>
      </w:pPr>
      <w:r w:rsidRPr="003D63DD">
        <w:rPr>
          <w:rFonts w:hint="cs"/>
          <w:sz w:val="28"/>
          <w:szCs w:val="28"/>
          <w:rtl/>
        </w:rPr>
        <w:t xml:space="preserve">8 חודשי מאסר, שלא ירוצו אלא אם יעבור הנאשם כל עבירה לפי </w:t>
      </w:r>
      <w:hyperlink r:id="rId31" w:history="1">
        <w:r w:rsidR="001765BB" w:rsidRPr="003D63DD">
          <w:rPr>
            <w:color w:val="0000FF"/>
            <w:sz w:val="28"/>
            <w:szCs w:val="28"/>
            <w:u w:val="single"/>
            <w:rtl/>
          </w:rPr>
          <w:t>פקודת הסמים המסוכנים</w:t>
        </w:r>
      </w:hyperlink>
      <w:r w:rsidRPr="003D63DD">
        <w:rPr>
          <w:rFonts w:hint="cs"/>
          <w:sz w:val="28"/>
          <w:szCs w:val="28"/>
          <w:rtl/>
        </w:rPr>
        <w:t>, בתוך שלוש שנים מהיום, למעט שימוש עצמי והחזקת כלים לשימוש עצמי;</w:t>
      </w:r>
    </w:p>
    <w:p w14:paraId="746FA58D" w14:textId="77777777" w:rsidR="00345245" w:rsidRPr="003D63DD" w:rsidRDefault="00345245" w:rsidP="00345245">
      <w:pPr>
        <w:numPr>
          <w:ilvl w:val="0"/>
          <w:numId w:val="1"/>
        </w:numPr>
        <w:spacing w:after="160" w:line="360" w:lineRule="auto"/>
        <w:contextualSpacing/>
        <w:jc w:val="both"/>
        <w:rPr>
          <w:b/>
          <w:bCs/>
          <w:sz w:val="28"/>
          <w:szCs w:val="28"/>
        </w:rPr>
      </w:pPr>
      <w:r w:rsidRPr="003D63DD">
        <w:rPr>
          <w:rFonts w:hint="cs"/>
          <w:sz w:val="28"/>
          <w:szCs w:val="28"/>
          <w:rtl/>
        </w:rPr>
        <w:t xml:space="preserve">קנס בסך 10,000 ₪, אשר ישולם עד ליום 1.3.2020, או  חודשיים מאסר תמורתו אם לא ישולם. המאשימה תעביר לקופת בית המשפט עד ליום 15.12.2019 את הכספים שנתפסו בתיק זה </w:t>
      </w:r>
      <w:r w:rsidRPr="003D63DD">
        <w:rPr>
          <w:sz w:val="28"/>
          <w:szCs w:val="28"/>
          <w:rtl/>
        </w:rPr>
        <w:t>–</w:t>
      </w:r>
      <w:r w:rsidRPr="003D63DD">
        <w:rPr>
          <w:rFonts w:hint="cs"/>
          <w:sz w:val="28"/>
          <w:szCs w:val="28"/>
          <w:rtl/>
        </w:rPr>
        <w:t xml:space="preserve"> 1,050 ₪ ו-2000 דולר, סכום זה יקוזז מהקנס, והיתרה תשולם עד 1.3.2020. מחדלה של המאשימה לבצע את האמור לא ייזקף לחובת הנאשם</w:t>
      </w:r>
      <w:r w:rsidRPr="003D63DD">
        <w:rPr>
          <w:rFonts w:hint="cs"/>
          <w:b/>
          <w:bCs/>
          <w:sz w:val="28"/>
          <w:szCs w:val="28"/>
          <w:rtl/>
        </w:rPr>
        <w:t xml:space="preserve">. מורה על קיזוז הפקדה מתיק מעצר הימים. </w:t>
      </w:r>
    </w:p>
    <w:p w14:paraId="7A2F11D3" w14:textId="77777777" w:rsidR="00345245" w:rsidRPr="003D63DD" w:rsidRDefault="00345245" w:rsidP="00345245">
      <w:pPr>
        <w:numPr>
          <w:ilvl w:val="0"/>
          <w:numId w:val="1"/>
        </w:numPr>
        <w:spacing w:after="160" w:line="360" w:lineRule="auto"/>
        <w:contextualSpacing/>
        <w:jc w:val="both"/>
        <w:rPr>
          <w:sz w:val="28"/>
          <w:szCs w:val="28"/>
        </w:rPr>
      </w:pPr>
      <w:r w:rsidRPr="003D63DD">
        <w:rPr>
          <w:rFonts w:hint="cs"/>
          <w:sz w:val="28"/>
          <w:szCs w:val="28"/>
          <w:rtl/>
        </w:rPr>
        <w:t>250 שעות שירות לתועלת הציבור (של"ץ), אשר ירוצו החל מיום 5.1.2020 ב"אלווין" ירושלים, על-פי התוכנית שהכין שירות המבחן ובפיקוחו. הנאשם הוזהר כי אי-קיום צו השל"ץ באופן משביע רצון עלול להביא להפקעת הצו ולדיון מחודש בשאלת גזר הדין הראוי לרבות הרשעה והטלת מאסר בפועל;</w:t>
      </w:r>
    </w:p>
    <w:p w14:paraId="7ACBB260" w14:textId="77777777" w:rsidR="00345245" w:rsidRPr="003D63DD" w:rsidRDefault="00345245" w:rsidP="00345245">
      <w:pPr>
        <w:numPr>
          <w:ilvl w:val="0"/>
          <w:numId w:val="1"/>
        </w:numPr>
        <w:spacing w:after="160" w:line="360" w:lineRule="auto"/>
        <w:contextualSpacing/>
        <w:jc w:val="both"/>
        <w:rPr>
          <w:sz w:val="28"/>
          <w:szCs w:val="28"/>
          <w:rtl/>
        </w:rPr>
      </w:pPr>
      <w:r w:rsidRPr="003D63DD">
        <w:rPr>
          <w:rFonts w:hint="cs"/>
          <w:sz w:val="28"/>
          <w:szCs w:val="28"/>
          <w:rtl/>
        </w:rPr>
        <w:t>צו מבחן לתקופה של 18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73870E46" w14:textId="77777777" w:rsidR="00345245" w:rsidRPr="003D63DD" w:rsidRDefault="00345245" w:rsidP="00345245">
      <w:pPr>
        <w:numPr>
          <w:ilvl w:val="0"/>
          <w:numId w:val="1"/>
        </w:numPr>
        <w:spacing w:after="160" w:line="360" w:lineRule="auto"/>
        <w:contextualSpacing/>
        <w:jc w:val="both"/>
        <w:rPr>
          <w:sz w:val="28"/>
          <w:szCs w:val="28"/>
          <w:rtl/>
        </w:rPr>
      </w:pPr>
      <w:r w:rsidRPr="003D63DD">
        <w:rPr>
          <w:rFonts w:hint="cs"/>
          <w:sz w:val="28"/>
          <w:szCs w:val="28"/>
          <w:rtl/>
        </w:rPr>
        <w:t>התחייבות בסך 10,000 ₪ שלא לעבור כל עבירה  לפי פקודת הסמים למעט שימוש עצמי והחזקת כלים לשימוש עצמי, במשך שנתיים מהיום או שבועיים מאסר תמורתה אם לא תיחתם. הובהר לנאשם שמשמעות ההתחייבות היא, כי אם יעבור את העבירה בתוך התקופה שצוינה, בית המשפט שיגזור את הדין יהא חייב לחלט את ההתחייבות כקנס.</w:t>
      </w:r>
    </w:p>
    <w:p w14:paraId="1F3B87F2" w14:textId="77777777" w:rsidR="00345245" w:rsidRPr="003D63DD" w:rsidRDefault="00345245" w:rsidP="00345245">
      <w:pPr>
        <w:spacing w:line="360" w:lineRule="auto"/>
        <w:rPr>
          <w:rFonts w:ascii="FrankRuehl" w:hAnsi="FrankRuehl"/>
          <w:sz w:val="28"/>
          <w:szCs w:val="28"/>
        </w:rPr>
      </w:pPr>
      <w:r w:rsidRPr="003D63DD">
        <w:rPr>
          <w:rFonts w:ascii="FrankRuehl" w:hAnsi="FrankRuehl" w:hint="cs"/>
          <w:sz w:val="28"/>
          <w:szCs w:val="28"/>
          <w:rtl/>
        </w:rPr>
        <w:t>יש לשלוח לשירות המבחן.</w:t>
      </w:r>
    </w:p>
    <w:p w14:paraId="49DB13C6" w14:textId="77777777" w:rsidR="00345245" w:rsidRPr="003D63DD" w:rsidRDefault="00345245" w:rsidP="00345245">
      <w:pPr>
        <w:rPr>
          <w:rFonts w:ascii="FrankRuehl" w:hAnsi="FrankRuehl"/>
          <w:sz w:val="28"/>
          <w:szCs w:val="28"/>
          <w:rtl/>
        </w:rPr>
      </w:pPr>
    </w:p>
    <w:p w14:paraId="749269FE" w14:textId="77777777" w:rsidR="00345245" w:rsidRPr="003D63DD" w:rsidRDefault="00345245" w:rsidP="00345245">
      <w:pPr>
        <w:rPr>
          <w:rFonts w:ascii="FrankRuehl" w:hAnsi="FrankRuehl"/>
          <w:sz w:val="28"/>
          <w:szCs w:val="28"/>
          <w:rtl/>
        </w:rPr>
      </w:pPr>
      <w:r w:rsidRPr="003D63DD">
        <w:rPr>
          <w:rFonts w:ascii="FrankRuehl" w:hAnsi="FrankRuehl" w:hint="cs"/>
          <w:sz w:val="28"/>
          <w:szCs w:val="28"/>
          <w:rtl/>
        </w:rPr>
        <w:t>זכות ערעור כחוק לבית המשפט המחוזי בירושלים בתוך 45 יום מהיום.</w:t>
      </w:r>
    </w:p>
    <w:p w14:paraId="2FF93806" w14:textId="77777777" w:rsidR="00345245" w:rsidRPr="003D63DD" w:rsidRDefault="001765BB" w:rsidP="00345245">
      <w:pPr>
        <w:rPr>
          <w:color w:val="FFFFFF"/>
          <w:sz w:val="2"/>
          <w:szCs w:val="2"/>
          <w:rtl/>
        </w:rPr>
      </w:pPr>
      <w:r w:rsidRPr="003D63DD">
        <w:rPr>
          <w:color w:val="FFFFFF"/>
          <w:sz w:val="2"/>
          <w:szCs w:val="2"/>
          <w:rtl/>
        </w:rPr>
        <w:t>5129371</w:t>
      </w:r>
    </w:p>
    <w:p w14:paraId="06E716AC" w14:textId="77777777" w:rsidR="00345245" w:rsidRPr="003D63DD" w:rsidRDefault="001765BB" w:rsidP="00345245">
      <w:pPr>
        <w:rPr>
          <w:sz w:val="28"/>
          <w:szCs w:val="28"/>
          <w:rtl/>
        </w:rPr>
      </w:pPr>
      <w:bookmarkStart w:id="8" w:name="Nitan"/>
      <w:r w:rsidRPr="003D63DD">
        <w:rPr>
          <w:rFonts w:ascii="FrankRuehl" w:hAnsi="FrankRuehl"/>
          <w:color w:val="FFFFFF"/>
          <w:sz w:val="2"/>
          <w:szCs w:val="2"/>
          <w:rtl/>
        </w:rPr>
        <w:t>54678313</w:t>
      </w:r>
      <w:r w:rsidRPr="003D63DD">
        <w:rPr>
          <w:rFonts w:ascii="FrankRuehl" w:hAnsi="FrankRuehl"/>
          <w:sz w:val="28"/>
          <w:szCs w:val="28"/>
          <w:rtl/>
        </w:rPr>
        <w:t xml:space="preserve">ניתן היום,  י"ט חשוון תש"פ, 17 נובמבר 2019, במעמד הצדדים. </w:t>
      </w:r>
      <w:bookmarkEnd w:id="8"/>
    </w:p>
    <w:p w14:paraId="6A5D8BD0" w14:textId="77777777" w:rsidR="00345245" w:rsidRPr="003D63DD" w:rsidRDefault="00345245" w:rsidP="001765BB">
      <w:pPr>
        <w:jc w:val="center"/>
      </w:pPr>
      <w:r w:rsidRPr="003D63DD">
        <w:rPr>
          <w:rFonts w:hint="cs"/>
          <w:rtl/>
        </w:rPr>
        <w:t xml:space="preserve">   </w:t>
      </w:r>
      <w:r w:rsidRPr="003D63DD">
        <w:rPr>
          <w:rFonts w:hint="cs"/>
          <w:rtl/>
        </w:rPr>
        <w:tab/>
      </w:r>
      <w:r w:rsidRPr="003D63DD">
        <w:rPr>
          <w:rFonts w:hint="cs"/>
          <w:rtl/>
        </w:rPr>
        <w:tab/>
      </w:r>
      <w:r w:rsidRPr="003D63DD">
        <w:rPr>
          <w:rFonts w:hint="cs"/>
          <w:rtl/>
        </w:rPr>
        <w:tab/>
      </w:r>
      <w:r w:rsidRPr="003D63DD">
        <w:rPr>
          <w:rFonts w:hint="cs"/>
          <w:rtl/>
        </w:rPr>
        <w:tab/>
      </w:r>
      <w:r w:rsidRPr="003D63DD">
        <w:rPr>
          <w:rFonts w:hint="cs"/>
          <w:rtl/>
        </w:rPr>
        <w:tab/>
      </w:r>
    </w:p>
    <w:p w14:paraId="21C9A7C5" w14:textId="77777777" w:rsidR="00345245" w:rsidRPr="003D63DD" w:rsidRDefault="00345245" w:rsidP="00345245">
      <w:pPr>
        <w:jc w:val="center"/>
        <w:rPr>
          <w:rFonts w:ascii="Arial" w:hAnsi="Arial"/>
          <w:sz w:val="28"/>
          <w:szCs w:val="28"/>
          <w:rtl/>
        </w:rPr>
      </w:pPr>
    </w:p>
    <w:p w14:paraId="5035F80C" w14:textId="77777777" w:rsidR="001765BB" w:rsidRPr="003D63DD" w:rsidRDefault="001765BB" w:rsidP="001765BB">
      <w:pPr>
        <w:rPr>
          <w:rtl/>
        </w:rPr>
      </w:pPr>
    </w:p>
    <w:p w14:paraId="4179C923" w14:textId="77777777" w:rsidR="001765BB" w:rsidRPr="003D63DD" w:rsidRDefault="001765BB" w:rsidP="001765BB">
      <w:pPr>
        <w:jc w:val="center"/>
        <w:rPr>
          <w:color w:val="0000FF"/>
          <w:u w:val="single"/>
        </w:rPr>
      </w:pPr>
      <w:hyperlink r:id="rId32" w:history="1">
        <w:r w:rsidRPr="003D63DD">
          <w:rPr>
            <w:color w:val="0000FF"/>
            <w:u w:val="single"/>
            <w:rtl/>
          </w:rPr>
          <w:t>בעניין עריכה ושינויים במסמכי פסיקה, חקיקה ועוד באתר נבו – הקש כאן</w:t>
        </w:r>
      </w:hyperlink>
    </w:p>
    <w:p w14:paraId="78262951" w14:textId="77777777" w:rsidR="003D63DD" w:rsidRPr="003D63DD" w:rsidRDefault="003D63DD" w:rsidP="003D63DD">
      <w:pPr>
        <w:keepNext/>
        <w:rPr>
          <w:rFonts w:ascii="David" w:hAnsi="David"/>
          <w:color w:val="000000"/>
          <w:sz w:val="22"/>
          <w:szCs w:val="22"/>
          <w:rtl/>
        </w:rPr>
      </w:pPr>
    </w:p>
    <w:p w14:paraId="6B0BEDF4" w14:textId="77777777" w:rsidR="003D63DD" w:rsidRPr="003D63DD" w:rsidRDefault="003D63DD" w:rsidP="003D63DD">
      <w:pPr>
        <w:keepNext/>
        <w:rPr>
          <w:rFonts w:ascii="David" w:hAnsi="David"/>
          <w:color w:val="000000"/>
          <w:sz w:val="22"/>
          <w:szCs w:val="22"/>
          <w:rtl/>
        </w:rPr>
      </w:pPr>
      <w:r w:rsidRPr="003D63DD">
        <w:rPr>
          <w:rFonts w:ascii="David" w:hAnsi="David"/>
          <w:color w:val="000000"/>
          <w:sz w:val="22"/>
          <w:szCs w:val="22"/>
          <w:rtl/>
        </w:rPr>
        <w:t>דוד שאול גבאי ריכטר 54678313-/</w:t>
      </w:r>
    </w:p>
    <w:p w14:paraId="43B48846" w14:textId="77777777" w:rsidR="001765BB" w:rsidRPr="003D63DD" w:rsidRDefault="003D63DD" w:rsidP="003D63DD">
      <w:pPr>
        <w:rPr>
          <w:color w:val="0000FF"/>
          <w:u w:val="single"/>
        </w:rPr>
      </w:pPr>
      <w:r w:rsidRPr="003D63DD">
        <w:rPr>
          <w:color w:val="000000"/>
          <w:u w:val="single"/>
          <w:rtl/>
        </w:rPr>
        <w:t>נוסח מסמך זה כפוף לשינויי ניסוח ועריכה</w:t>
      </w:r>
    </w:p>
    <w:sectPr w:rsidR="001765BB" w:rsidRPr="003D63DD" w:rsidSect="003D63DD">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DBC74" w14:textId="77777777" w:rsidR="000B401E" w:rsidRDefault="000B401E" w:rsidP="00674A5E">
      <w:r>
        <w:separator/>
      </w:r>
    </w:p>
  </w:endnote>
  <w:endnote w:type="continuationSeparator" w:id="0">
    <w:p w14:paraId="5F59E293" w14:textId="77777777" w:rsidR="000B401E" w:rsidRDefault="000B401E" w:rsidP="0067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CCA0C" w14:textId="77777777" w:rsidR="003D63DD" w:rsidRDefault="003D63DD" w:rsidP="003D6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EFF52B" w14:textId="77777777" w:rsidR="00C47915" w:rsidRPr="003D63DD" w:rsidRDefault="003D63DD" w:rsidP="003D63DD">
    <w:pPr>
      <w:pStyle w:val="a5"/>
      <w:pBdr>
        <w:top w:val="single" w:sz="4" w:space="1" w:color="auto"/>
        <w:between w:val="single" w:sz="4" w:space="0" w:color="auto"/>
      </w:pBdr>
      <w:spacing w:after="60"/>
      <w:jc w:val="center"/>
      <w:rPr>
        <w:rFonts w:ascii="FrankRuehl" w:hAnsi="FrankRuehl" w:cs="FrankRuehl"/>
        <w:color w:val="000000"/>
      </w:rPr>
    </w:pPr>
    <w:r w:rsidRPr="003D63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893B0" w14:textId="77777777" w:rsidR="003D63DD" w:rsidRDefault="003D63DD" w:rsidP="003D63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E6C1F">
      <w:rPr>
        <w:rFonts w:ascii="FrankRuehl" w:hAnsi="FrankRuehl" w:cs="FrankRuehl"/>
        <w:noProof/>
        <w:rtl/>
      </w:rPr>
      <w:t>1</w:t>
    </w:r>
    <w:r>
      <w:rPr>
        <w:rFonts w:ascii="FrankRuehl" w:hAnsi="FrankRuehl" w:cs="FrankRuehl"/>
        <w:rtl/>
      </w:rPr>
      <w:fldChar w:fldCharType="end"/>
    </w:r>
  </w:p>
  <w:p w14:paraId="7296A917" w14:textId="77777777" w:rsidR="00C47915" w:rsidRPr="003D63DD" w:rsidRDefault="003D63DD" w:rsidP="003D63DD">
    <w:pPr>
      <w:pStyle w:val="a5"/>
      <w:pBdr>
        <w:top w:val="single" w:sz="4" w:space="1" w:color="auto"/>
        <w:between w:val="single" w:sz="4" w:space="0" w:color="auto"/>
      </w:pBdr>
      <w:spacing w:after="60"/>
      <w:jc w:val="center"/>
      <w:rPr>
        <w:rFonts w:ascii="FrankRuehl" w:hAnsi="FrankRuehl" w:cs="FrankRuehl"/>
        <w:color w:val="000000"/>
      </w:rPr>
    </w:pPr>
    <w:r w:rsidRPr="003D63DD">
      <w:rPr>
        <w:rFonts w:ascii="FrankRuehl" w:hAnsi="FrankRuehl" w:cs="FrankRuehl"/>
        <w:color w:val="000000"/>
      </w:rPr>
      <w:pict w14:anchorId="06D87D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3F052" w14:textId="77777777" w:rsidR="000B401E" w:rsidRDefault="000B401E" w:rsidP="00674A5E">
      <w:r>
        <w:separator/>
      </w:r>
    </w:p>
  </w:footnote>
  <w:footnote w:type="continuationSeparator" w:id="0">
    <w:p w14:paraId="68020AAC" w14:textId="77777777" w:rsidR="000B401E" w:rsidRDefault="000B401E" w:rsidP="0067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45FFF" w14:textId="77777777" w:rsidR="001765BB" w:rsidRPr="003D63DD" w:rsidRDefault="003D63DD" w:rsidP="003D63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35051-04-19</w:t>
    </w:r>
    <w:r>
      <w:rPr>
        <w:rFonts w:ascii="David" w:hAnsi="David"/>
        <w:color w:val="000000"/>
        <w:sz w:val="22"/>
        <w:szCs w:val="22"/>
        <w:rtl/>
      </w:rPr>
      <w:tab/>
      <w:t xml:space="preserve"> מדינת ישראל נ' אהרון מאיר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E379C" w14:textId="77777777" w:rsidR="001765BB" w:rsidRPr="003D63DD" w:rsidRDefault="003D63DD" w:rsidP="003D63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35051-04-19</w:t>
    </w:r>
    <w:r>
      <w:rPr>
        <w:rFonts w:ascii="David" w:hAnsi="David"/>
        <w:color w:val="000000"/>
        <w:sz w:val="22"/>
        <w:szCs w:val="22"/>
        <w:rtl/>
      </w:rPr>
      <w:tab/>
      <w:t xml:space="preserve"> מדינת ישראל נ' אהרון מאיר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B7568"/>
    <w:multiLevelType w:val="hybridMultilevel"/>
    <w:tmpl w:val="444EE262"/>
    <w:lvl w:ilvl="0" w:tplc="5F28F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468931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44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5245"/>
    <w:rsid w:val="000B401E"/>
    <w:rsid w:val="001765BB"/>
    <w:rsid w:val="00345245"/>
    <w:rsid w:val="003D63DD"/>
    <w:rsid w:val="005066AD"/>
    <w:rsid w:val="00674A5E"/>
    <w:rsid w:val="00721A85"/>
    <w:rsid w:val="00AC4FC3"/>
    <w:rsid w:val="00AE60AF"/>
    <w:rsid w:val="00AE6C1F"/>
    <w:rsid w:val="00BC42B5"/>
    <w:rsid w:val="00C47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C6440D"/>
  <w15:chartTrackingRefBased/>
  <w15:docId w15:val="{9EA8F286-5F70-4021-80FD-BB37D3CE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52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45245"/>
    <w:pPr>
      <w:tabs>
        <w:tab w:val="center" w:pos="4153"/>
        <w:tab w:val="right" w:pos="8306"/>
      </w:tabs>
    </w:pPr>
  </w:style>
  <w:style w:type="character" w:customStyle="1" w:styleId="a4">
    <w:name w:val="כותרת עליונה תו"/>
    <w:link w:val="a3"/>
    <w:rsid w:val="00345245"/>
    <w:rPr>
      <w:rFonts w:ascii="Times New Roman" w:eastAsia="Times New Roman" w:hAnsi="Times New Roman" w:cs="David"/>
      <w:sz w:val="24"/>
      <w:szCs w:val="24"/>
    </w:rPr>
  </w:style>
  <w:style w:type="paragraph" w:styleId="a5">
    <w:name w:val="footer"/>
    <w:basedOn w:val="a"/>
    <w:link w:val="a6"/>
    <w:rsid w:val="00345245"/>
    <w:pPr>
      <w:tabs>
        <w:tab w:val="center" w:pos="4153"/>
        <w:tab w:val="right" w:pos="8306"/>
      </w:tabs>
    </w:pPr>
  </w:style>
  <w:style w:type="character" w:customStyle="1" w:styleId="a6">
    <w:name w:val="כותרת תחתונה תו"/>
    <w:link w:val="a5"/>
    <w:rsid w:val="00345245"/>
    <w:rPr>
      <w:rFonts w:ascii="Times New Roman" w:eastAsia="Times New Roman" w:hAnsi="Times New Roman" w:cs="David"/>
      <w:sz w:val="24"/>
      <w:szCs w:val="24"/>
    </w:rPr>
  </w:style>
  <w:style w:type="table" w:styleId="a7">
    <w:name w:val="Table Grid"/>
    <w:basedOn w:val="a1"/>
    <w:rsid w:val="003452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45245"/>
  </w:style>
  <w:style w:type="paragraph" w:styleId="a9">
    <w:name w:val="List Paragraph"/>
    <w:basedOn w:val="a"/>
    <w:qFormat/>
    <w:rsid w:val="00345245"/>
    <w:pPr>
      <w:ind w:left="720"/>
      <w:contextualSpacing/>
    </w:pPr>
  </w:style>
  <w:style w:type="character" w:styleId="Hyperlink">
    <w:name w:val="Hyperlink"/>
    <w:rsid w:val="001765B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0" TargetMode="External"/><Relationship Id="rId26" Type="http://schemas.openxmlformats.org/officeDocument/2006/relationships/hyperlink" Target="http://www.nevo.co.il/law/70301" TargetMode="External"/><Relationship Id="rId21" Type="http://schemas.openxmlformats.org/officeDocument/2006/relationships/hyperlink" Target="http://www.nevo.co.il/case/21474176"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40d"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3606"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law/70301/40i"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2505600" TargetMode="External"/><Relationship Id="rId27" Type="http://schemas.openxmlformats.org/officeDocument/2006/relationships/hyperlink" Target="http://www.nevo.co.il/case/17015235" TargetMode="External"/><Relationship Id="rId30" Type="http://schemas.openxmlformats.org/officeDocument/2006/relationships/hyperlink" Target="http://www.nevo.co.il/law/73606" TargetMode="External"/><Relationship Id="rId35"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1879</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11252</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7929953</vt:i4>
      </vt:variant>
      <vt:variant>
        <vt:i4>69</vt:i4>
      </vt:variant>
      <vt:variant>
        <vt:i4>0</vt:i4>
      </vt:variant>
      <vt:variant>
        <vt:i4>5</vt:i4>
      </vt:variant>
      <vt:variant>
        <vt:lpwstr>http://www.nevo.co.il/law/73606</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3604592</vt:i4>
      </vt:variant>
      <vt:variant>
        <vt:i4>60</vt:i4>
      </vt:variant>
      <vt:variant>
        <vt:i4>0</vt:i4>
      </vt:variant>
      <vt:variant>
        <vt:i4>5</vt:i4>
      </vt:variant>
      <vt:variant>
        <vt:lpwstr>http://www.nevo.co.il/case/17015235</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3276912</vt:i4>
      </vt:variant>
      <vt:variant>
        <vt:i4>45</vt:i4>
      </vt:variant>
      <vt:variant>
        <vt:i4>0</vt:i4>
      </vt:variant>
      <vt:variant>
        <vt:i4>5</vt:i4>
      </vt:variant>
      <vt:variant>
        <vt:lpwstr>http://www.nevo.co.il/case/22505600</vt:lpwstr>
      </vt:variant>
      <vt:variant>
        <vt:lpwstr/>
      </vt:variant>
      <vt:variant>
        <vt:i4>3473523</vt:i4>
      </vt:variant>
      <vt:variant>
        <vt:i4>42</vt:i4>
      </vt:variant>
      <vt:variant>
        <vt:i4>0</vt:i4>
      </vt:variant>
      <vt:variant>
        <vt:i4>5</vt:i4>
      </vt:variant>
      <vt:variant>
        <vt:lpwstr>http://www.nevo.co.il/case/21474176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7929953</vt:i4>
      </vt:variant>
      <vt:variant>
        <vt:i4>24</vt:i4>
      </vt:variant>
      <vt:variant>
        <vt:i4>0</vt:i4>
      </vt:variant>
      <vt:variant>
        <vt:i4>5</vt:i4>
      </vt:variant>
      <vt:variant>
        <vt:lpwstr>http://www.nevo.co.il/law/73606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35051</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אהרון מאיר</vt:lpwstr>
  </property>
  <property fmtid="{D5CDD505-2E9C-101B-9397-08002B2CF9AE}" pid="10" name="LAWYER">
    <vt:lpwstr>ארז בר-צבי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20191117</vt:lpwstr>
  </property>
  <property fmtid="{D5CDD505-2E9C-101B-9397-08002B2CF9AE}" pid="14" name="TYPE_N_DATE">
    <vt:lpwstr>38020191117</vt:lpwstr>
  </property>
  <property fmtid="{D5CDD505-2E9C-101B-9397-08002B2CF9AE}" pid="15" name="CASESLISTTMP1">
    <vt:lpwstr>21474176;22505600;17015235</vt:lpwstr>
  </property>
  <property fmtid="{D5CDD505-2E9C-101B-9397-08002B2CF9AE}" pid="16" name="CASENOTES1">
    <vt:lpwstr>ProcID=129;278&amp;PartA=1078&amp;PartC=10</vt:lpwstr>
  </property>
  <property fmtid="{D5CDD505-2E9C-101B-9397-08002B2CF9AE}" pid="17" name="WORDNUMPAGES">
    <vt:lpwstr>7</vt:lpwstr>
  </property>
  <property fmtid="{D5CDD505-2E9C-101B-9397-08002B2CF9AE}" pid="18" name="TYPE_ABS_DATE">
    <vt:lpwstr>380020191117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4216/007.a;007.c;010</vt:lpwstr>
  </property>
  <property fmtid="{D5CDD505-2E9C-101B-9397-08002B2CF9AE}" pid="38" name="LAWLISTTMP2">
    <vt:lpwstr>70301/040i;40ja:2;040d</vt:lpwstr>
  </property>
  <property fmtid="{D5CDD505-2E9C-101B-9397-08002B2CF9AE}" pid="39" name="LAWLISTTMP3">
    <vt:lpwstr>73606</vt:lpwstr>
  </property>
</Properties>
</file>