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9"/>
        <w:gridCol w:w="3580"/>
      </w:tblGrid>
      <w:tr w:rsidR="008F0153" w:rsidRPr="00AD7EB6" w14:paraId="00C8D27C" w14:textId="77777777" w:rsidTr="00F45389">
        <w:trPr>
          <w:trHeight w:hRule="exact" w:val="418"/>
          <w:jc w:val="center"/>
        </w:trPr>
        <w:tc>
          <w:tcPr>
            <w:tcW w:w="8529" w:type="dxa"/>
            <w:gridSpan w:val="2"/>
          </w:tcPr>
          <w:p w14:paraId="470AB4D9" w14:textId="77777777" w:rsidR="008F0153" w:rsidRPr="00AD7EB6" w:rsidRDefault="008F0153" w:rsidP="00A65D9C">
            <w:pPr>
              <w:pStyle w:val="a3"/>
              <w:jc w:val="center"/>
              <w:rPr>
                <w:rFonts w:ascii="Tahoma" w:hAnsi="Tahoma" w:cs="Tahoma"/>
                <w:color w:val="000080"/>
                <w:rtl/>
              </w:rPr>
            </w:pPr>
            <w:bookmarkStart w:id="0" w:name="LastJudge"/>
            <w:r w:rsidRPr="00AD7EB6">
              <w:rPr>
                <w:rFonts w:ascii="Tahoma" w:hAnsi="Tahoma" w:cs="Tahoma"/>
                <w:b/>
                <w:bCs/>
                <w:color w:val="000080"/>
                <w:rtl/>
              </w:rPr>
              <w:t>בית משפט השלום בראשון לציון</w:t>
            </w:r>
          </w:p>
        </w:tc>
      </w:tr>
      <w:tr w:rsidR="008F0153" w:rsidRPr="00AD7EB6" w14:paraId="4E593020" w14:textId="77777777" w:rsidTr="00F45389">
        <w:trPr>
          <w:trHeight w:val="337"/>
          <w:jc w:val="center"/>
        </w:trPr>
        <w:tc>
          <w:tcPr>
            <w:tcW w:w="4949" w:type="dxa"/>
          </w:tcPr>
          <w:p w14:paraId="333F96DF" w14:textId="77777777" w:rsidR="008F0153" w:rsidRPr="00AD7EB6" w:rsidRDefault="008F0153" w:rsidP="00A65D9C">
            <w:pPr>
              <w:rPr>
                <w:rFonts w:cs="FrankRuehl"/>
                <w:sz w:val="28"/>
                <w:szCs w:val="28"/>
                <w:rtl/>
              </w:rPr>
            </w:pPr>
            <w:r w:rsidRPr="00AD7EB6">
              <w:rPr>
                <w:rFonts w:cs="FrankRuehl"/>
                <w:sz w:val="28"/>
                <w:szCs w:val="28"/>
                <w:rtl/>
              </w:rPr>
              <w:t>ת"פ</w:t>
            </w:r>
            <w:r w:rsidRPr="00AD7EB6">
              <w:rPr>
                <w:rFonts w:cs="FrankRuehl" w:hint="cs"/>
                <w:sz w:val="28"/>
                <w:szCs w:val="28"/>
                <w:rtl/>
              </w:rPr>
              <w:t xml:space="preserve"> </w:t>
            </w:r>
            <w:r w:rsidRPr="00AD7EB6">
              <w:rPr>
                <w:rFonts w:cs="FrankRuehl"/>
                <w:sz w:val="28"/>
                <w:szCs w:val="28"/>
                <w:rtl/>
              </w:rPr>
              <w:t>58141-04-19</w:t>
            </w:r>
            <w:r w:rsidRPr="00AD7EB6">
              <w:rPr>
                <w:rFonts w:cs="FrankRuehl" w:hint="cs"/>
                <w:sz w:val="28"/>
                <w:szCs w:val="28"/>
                <w:rtl/>
              </w:rPr>
              <w:t xml:space="preserve"> </w:t>
            </w:r>
            <w:r w:rsidRPr="00AD7EB6">
              <w:rPr>
                <w:rFonts w:cs="FrankRuehl"/>
                <w:sz w:val="28"/>
                <w:szCs w:val="28"/>
                <w:rtl/>
              </w:rPr>
              <w:t>מדינת ישראל נ' סבן</w:t>
            </w:r>
          </w:p>
          <w:p w14:paraId="298BA8DA" w14:textId="77777777" w:rsidR="008F0153" w:rsidRPr="00AD7EB6" w:rsidRDefault="008F0153" w:rsidP="00A65D9C">
            <w:pPr>
              <w:pStyle w:val="a3"/>
              <w:rPr>
                <w:rFonts w:cs="FrankRuehl"/>
                <w:sz w:val="28"/>
                <w:szCs w:val="28"/>
                <w:rtl/>
              </w:rPr>
            </w:pPr>
          </w:p>
        </w:tc>
        <w:tc>
          <w:tcPr>
            <w:tcW w:w="3580" w:type="dxa"/>
          </w:tcPr>
          <w:p w14:paraId="6DD98F3E" w14:textId="77777777" w:rsidR="008F0153" w:rsidRPr="00AD7EB6" w:rsidRDefault="008F0153" w:rsidP="00A65D9C">
            <w:pPr>
              <w:pStyle w:val="a3"/>
              <w:jc w:val="right"/>
              <w:rPr>
                <w:rFonts w:cs="FrankRuehl"/>
                <w:sz w:val="28"/>
                <w:szCs w:val="28"/>
                <w:rtl/>
              </w:rPr>
            </w:pPr>
          </w:p>
        </w:tc>
      </w:tr>
    </w:tbl>
    <w:p w14:paraId="4E9821C0" w14:textId="77777777" w:rsidR="008F0153" w:rsidRPr="00AD7EB6" w:rsidRDefault="008F0153" w:rsidP="008F0153">
      <w:pPr>
        <w:pStyle w:val="a3"/>
        <w:rPr>
          <w:rtl/>
        </w:rPr>
      </w:pPr>
      <w:r w:rsidRPr="00AD7EB6">
        <w:rPr>
          <w:rFonts w:hint="cs"/>
          <w:rtl/>
        </w:rPr>
        <w:t xml:space="preserve"> </w:t>
      </w:r>
    </w:p>
    <w:p w14:paraId="3D53B2B1" w14:textId="77777777" w:rsidR="008F0153" w:rsidRPr="00AD7EB6" w:rsidRDefault="008F0153" w:rsidP="008F0153">
      <w:pPr>
        <w:rPr>
          <w:rFonts w:ascii="David" w:hAnsi="David"/>
          <w:bCs/>
          <w:sz w:val="28"/>
          <w:szCs w:val="28"/>
          <w:rtl/>
        </w:rPr>
      </w:pPr>
    </w:p>
    <w:p w14:paraId="4EFB1860" w14:textId="77777777" w:rsidR="008F0153" w:rsidRPr="00AD7EB6" w:rsidRDefault="008F0153" w:rsidP="008F0153">
      <w:pPr>
        <w:rPr>
          <w:rFonts w:ascii="David" w:hAnsi="David"/>
          <w:bCs/>
          <w:sz w:val="28"/>
          <w:szCs w:val="28"/>
        </w:rPr>
      </w:pPr>
      <w:r w:rsidRPr="00AD7EB6">
        <w:rPr>
          <w:rFonts w:ascii="David" w:hAnsi="David"/>
          <w:bCs/>
          <w:sz w:val="28"/>
          <w:szCs w:val="28"/>
          <w:rtl/>
        </w:rPr>
        <w:softHyphen/>
      </w:r>
      <w:r w:rsidRPr="00AD7EB6">
        <w:rPr>
          <w:rFonts w:ascii="David" w:hAnsi="David"/>
          <w:bCs/>
          <w:sz w:val="28"/>
          <w:szCs w:val="28"/>
          <w:rtl/>
        </w:rPr>
        <w:softHyphen/>
        <w:t>לפני:</w:t>
      </w:r>
      <w:r w:rsidRPr="00AD7EB6">
        <w:rPr>
          <w:rFonts w:ascii="David" w:hAnsi="David"/>
          <w:bCs/>
          <w:sz w:val="28"/>
          <w:szCs w:val="28"/>
          <w:rtl/>
        </w:rPr>
        <w:tab/>
      </w:r>
      <w:r w:rsidRPr="00AD7EB6">
        <w:rPr>
          <w:rFonts w:ascii="David" w:hAnsi="David"/>
          <w:bCs/>
          <w:sz w:val="28"/>
          <w:szCs w:val="28"/>
          <w:rtl/>
        </w:rPr>
        <w:tab/>
      </w:r>
      <w:r w:rsidRPr="00AD7EB6">
        <w:rPr>
          <w:rFonts w:ascii="David" w:hAnsi="David"/>
          <w:bCs/>
          <w:sz w:val="28"/>
          <w:szCs w:val="28"/>
          <w:rtl/>
        </w:rPr>
        <w:tab/>
      </w:r>
      <w:r w:rsidRPr="00AD7EB6">
        <w:rPr>
          <w:rFonts w:ascii="David" w:hAnsi="David"/>
          <w:bCs/>
          <w:sz w:val="28"/>
          <w:szCs w:val="28"/>
          <w:rtl/>
        </w:rPr>
        <w:tab/>
        <w:t>כבוד השופט גיא אבנון</w:t>
      </w:r>
    </w:p>
    <w:p w14:paraId="11E3002E" w14:textId="77777777" w:rsidR="008F0153" w:rsidRPr="00AD7EB6" w:rsidRDefault="008F0153" w:rsidP="008F0153">
      <w:pPr>
        <w:rPr>
          <w:rFonts w:ascii="David" w:hAnsi="David"/>
          <w:bCs/>
          <w:sz w:val="28"/>
          <w:szCs w:val="28"/>
        </w:rPr>
      </w:pPr>
    </w:p>
    <w:p w14:paraId="4C8AAE5D" w14:textId="77777777" w:rsidR="008F0153" w:rsidRPr="00AD7EB6" w:rsidRDefault="008F0153" w:rsidP="008F0153">
      <w:pPr>
        <w:rPr>
          <w:rFonts w:ascii="David" w:hAnsi="David"/>
          <w:bCs/>
          <w:sz w:val="28"/>
          <w:szCs w:val="28"/>
        </w:rPr>
      </w:pPr>
      <w:r w:rsidRPr="00AD7EB6">
        <w:rPr>
          <w:rFonts w:ascii="David" w:hAnsi="David"/>
          <w:bCs/>
          <w:sz w:val="28"/>
          <w:szCs w:val="28"/>
          <w:rtl/>
        </w:rPr>
        <w:t>ה</w:t>
      </w:r>
      <w:bookmarkStart w:id="1" w:name="FirstAppellant"/>
      <w:r w:rsidRPr="00AD7EB6">
        <w:rPr>
          <w:rFonts w:ascii="David" w:hAnsi="David"/>
          <w:bCs/>
          <w:sz w:val="28"/>
          <w:szCs w:val="28"/>
          <w:rtl/>
        </w:rPr>
        <w:t>מאשימ</w:t>
      </w:r>
      <w:bookmarkEnd w:id="1"/>
      <w:r w:rsidRPr="00AD7EB6">
        <w:rPr>
          <w:rFonts w:ascii="David" w:hAnsi="David"/>
          <w:bCs/>
          <w:sz w:val="28"/>
          <w:szCs w:val="28"/>
          <w:rtl/>
        </w:rPr>
        <w:t>ה:</w:t>
      </w:r>
      <w:r w:rsidRPr="00AD7EB6">
        <w:rPr>
          <w:rFonts w:ascii="David" w:hAnsi="David"/>
          <w:bCs/>
          <w:sz w:val="28"/>
          <w:szCs w:val="28"/>
          <w:rtl/>
        </w:rPr>
        <w:tab/>
      </w:r>
      <w:r w:rsidRPr="00AD7EB6">
        <w:rPr>
          <w:rFonts w:ascii="David" w:hAnsi="David"/>
          <w:bCs/>
          <w:sz w:val="28"/>
          <w:szCs w:val="28"/>
          <w:rtl/>
        </w:rPr>
        <w:tab/>
      </w:r>
      <w:r w:rsidRPr="00AD7EB6">
        <w:rPr>
          <w:rFonts w:ascii="David" w:hAnsi="David"/>
          <w:bCs/>
          <w:sz w:val="28"/>
          <w:szCs w:val="28"/>
          <w:rtl/>
        </w:rPr>
        <w:tab/>
        <w:t>מדינת ישראל</w:t>
      </w:r>
    </w:p>
    <w:p w14:paraId="7F5014D3" w14:textId="77777777" w:rsidR="008F0153" w:rsidRPr="00AD7EB6" w:rsidRDefault="008F0153" w:rsidP="008F0153">
      <w:pPr>
        <w:rPr>
          <w:rFonts w:ascii="David" w:hAnsi="David"/>
          <w:bCs/>
          <w:sz w:val="28"/>
          <w:szCs w:val="28"/>
          <w:rtl/>
        </w:rPr>
      </w:pPr>
      <w:r w:rsidRPr="00AD7EB6">
        <w:rPr>
          <w:rFonts w:ascii="David" w:hAnsi="David"/>
          <w:bCs/>
          <w:sz w:val="28"/>
          <w:szCs w:val="28"/>
          <w:rtl/>
        </w:rPr>
        <w:tab/>
      </w:r>
      <w:r w:rsidRPr="00AD7EB6">
        <w:rPr>
          <w:rFonts w:ascii="David" w:hAnsi="David"/>
          <w:bCs/>
          <w:sz w:val="28"/>
          <w:szCs w:val="28"/>
          <w:rtl/>
        </w:rPr>
        <w:tab/>
      </w:r>
      <w:r w:rsidRPr="00AD7EB6">
        <w:rPr>
          <w:rFonts w:ascii="David" w:hAnsi="David"/>
          <w:bCs/>
          <w:sz w:val="28"/>
          <w:szCs w:val="28"/>
          <w:rtl/>
        </w:rPr>
        <w:tab/>
      </w:r>
      <w:r w:rsidRPr="00AD7EB6">
        <w:rPr>
          <w:rFonts w:ascii="David" w:hAnsi="David"/>
          <w:bCs/>
          <w:sz w:val="28"/>
          <w:szCs w:val="28"/>
          <w:rtl/>
        </w:rPr>
        <w:tab/>
        <w:t>באמצעות תביעות ראשון לציון</w:t>
      </w:r>
    </w:p>
    <w:p w14:paraId="3E3BEA33" w14:textId="77777777" w:rsidR="008F0153" w:rsidRPr="00AD7EB6" w:rsidRDefault="008F0153" w:rsidP="008F0153">
      <w:pPr>
        <w:rPr>
          <w:rFonts w:ascii="David" w:hAnsi="David"/>
          <w:bCs/>
          <w:sz w:val="28"/>
          <w:szCs w:val="28"/>
          <w:rtl/>
        </w:rPr>
      </w:pPr>
    </w:p>
    <w:p w14:paraId="1B9470A2" w14:textId="77777777" w:rsidR="008F0153" w:rsidRPr="00AD7EB6" w:rsidRDefault="008F0153" w:rsidP="008F0153">
      <w:pPr>
        <w:rPr>
          <w:rFonts w:ascii="David" w:hAnsi="David"/>
          <w:bCs/>
          <w:sz w:val="28"/>
          <w:szCs w:val="28"/>
          <w:rtl/>
        </w:rPr>
      </w:pPr>
      <w:r w:rsidRPr="00AD7EB6">
        <w:rPr>
          <w:rFonts w:ascii="David" w:hAnsi="David"/>
          <w:bCs/>
          <w:sz w:val="28"/>
          <w:szCs w:val="28"/>
          <w:rtl/>
        </w:rPr>
        <w:tab/>
      </w:r>
      <w:r w:rsidRPr="00AD7EB6">
        <w:rPr>
          <w:rFonts w:ascii="David" w:hAnsi="David"/>
          <w:bCs/>
          <w:sz w:val="28"/>
          <w:szCs w:val="28"/>
          <w:rtl/>
        </w:rPr>
        <w:tab/>
      </w:r>
      <w:r w:rsidRPr="00AD7EB6">
        <w:rPr>
          <w:rFonts w:ascii="David" w:hAnsi="David"/>
          <w:bCs/>
          <w:sz w:val="28"/>
          <w:szCs w:val="28"/>
          <w:rtl/>
        </w:rPr>
        <w:tab/>
      </w:r>
      <w:r w:rsidRPr="00AD7EB6">
        <w:rPr>
          <w:rFonts w:ascii="David" w:hAnsi="David"/>
          <w:bCs/>
          <w:sz w:val="28"/>
          <w:szCs w:val="28"/>
          <w:rtl/>
        </w:rPr>
        <w:tab/>
      </w:r>
      <w:r w:rsidRPr="00AD7EB6">
        <w:rPr>
          <w:rFonts w:ascii="David" w:hAnsi="David"/>
          <w:bCs/>
          <w:sz w:val="28"/>
          <w:szCs w:val="28"/>
          <w:rtl/>
        </w:rPr>
        <w:tab/>
      </w:r>
      <w:r w:rsidRPr="00AD7EB6">
        <w:rPr>
          <w:rFonts w:ascii="David" w:hAnsi="David"/>
          <w:bCs/>
          <w:sz w:val="28"/>
          <w:szCs w:val="28"/>
          <w:rtl/>
        </w:rPr>
        <w:tab/>
        <w:t>נ ג ד</w:t>
      </w:r>
    </w:p>
    <w:p w14:paraId="28B1C2FB" w14:textId="77777777" w:rsidR="008F0153" w:rsidRPr="00AD7EB6" w:rsidRDefault="008F0153" w:rsidP="008F0153">
      <w:pPr>
        <w:rPr>
          <w:rFonts w:ascii="David" w:hAnsi="David"/>
          <w:bCs/>
          <w:sz w:val="28"/>
          <w:szCs w:val="28"/>
          <w:rtl/>
        </w:rPr>
      </w:pPr>
    </w:p>
    <w:p w14:paraId="4691DFA4" w14:textId="77777777" w:rsidR="008F0153" w:rsidRPr="00AD7EB6" w:rsidRDefault="00F45389" w:rsidP="00F45389">
      <w:pPr>
        <w:rPr>
          <w:rFonts w:ascii="David" w:hAnsi="David"/>
          <w:bCs/>
          <w:sz w:val="28"/>
          <w:szCs w:val="28"/>
          <w:rtl/>
        </w:rPr>
      </w:pPr>
      <w:r>
        <w:rPr>
          <w:rFonts w:ascii="David" w:hAnsi="David"/>
          <w:bCs/>
          <w:sz w:val="28"/>
          <w:szCs w:val="28"/>
          <w:rtl/>
        </w:rPr>
        <w:t>הנאשם:</w:t>
      </w:r>
      <w:r>
        <w:rPr>
          <w:rFonts w:ascii="David" w:hAnsi="David"/>
          <w:bCs/>
          <w:sz w:val="28"/>
          <w:szCs w:val="28"/>
          <w:rtl/>
        </w:rPr>
        <w:tab/>
      </w:r>
      <w:r>
        <w:rPr>
          <w:rFonts w:ascii="David" w:hAnsi="David"/>
          <w:bCs/>
          <w:sz w:val="28"/>
          <w:szCs w:val="28"/>
          <w:rtl/>
        </w:rPr>
        <w:tab/>
      </w:r>
      <w:r>
        <w:rPr>
          <w:rFonts w:ascii="David" w:hAnsi="David"/>
          <w:bCs/>
          <w:sz w:val="28"/>
          <w:szCs w:val="28"/>
          <w:rtl/>
        </w:rPr>
        <w:tab/>
        <w:t xml:space="preserve">עמוס סבן </w:t>
      </w:r>
    </w:p>
    <w:p w14:paraId="653D62DA" w14:textId="77777777" w:rsidR="008F0153" w:rsidRPr="00AD7EB6" w:rsidRDefault="008F0153" w:rsidP="008F0153">
      <w:pPr>
        <w:rPr>
          <w:rFonts w:ascii="David" w:hAnsi="David"/>
          <w:bCs/>
          <w:sz w:val="28"/>
          <w:szCs w:val="28"/>
          <w:rtl/>
        </w:rPr>
      </w:pPr>
    </w:p>
    <w:p w14:paraId="7F0641F3" w14:textId="77777777" w:rsidR="008F0153" w:rsidRPr="00AD7EB6" w:rsidRDefault="008F0153" w:rsidP="008F0153">
      <w:pPr>
        <w:rPr>
          <w:rFonts w:ascii="David" w:hAnsi="David"/>
          <w:b/>
          <w:sz w:val="28"/>
          <w:szCs w:val="28"/>
          <w:rtl/>
        </w:rPr>
      </w:pPr>
      <w:bookmarkStart w:id="2" w:name="FirstLawyer"/>
      <w:r w:rsidRPr="00AD7EB6">
        <w:rPr>
          <w:rFonts w:ascii="David" w:hAnsi="David"/>
          <w:b/>
          <w:sz w:val="28"/>
          <w:szCs w:val="28"/>
          <w:rtl/>
        </w:rPr>
        <w:t>בשם</w:t>
      </w:r>
      <w:bookmarkEnd w:id="2"/>
      <w:r w:rsidRPr="00AD7EB6">
        <w:rPr>
          <w:rFonts w:ascii="David" w:hAnsi="David"/>
          <w:b/>
          <w:sz w:val="28"/>
          <w:szCs w:val="28"/>
          <w:rtl/>
        </w:rPr>
        <w:t xml:space="preserve"> המאשימה:</w:t>
      </w:r>
      <w:r w:rsidRPr="00AD7EB6">
        <w:rPr>
          <w:rFonts w:ascii="David" w:hAnsi="David"/>
          <w:b/>
          <w:sz w:val="28"/>
          <w:szCs w:val="28"/>
          <w:rtl/>
        </w:rPr>
        <w:tab/>
      </w:r>
      <w:r w:rsidRPr="00AD7EB6">
        <w:rPr>
          <w:rFonts w:ascii="David" w:hAnsi="David"/>
          <w:b/>
          <w:sz w:val="28"/>
          <w:szCs w:val="28"/>
          <w:rtl/>
        </w:rPr>
        <w:tab/>
        <w:t>עו"ד עידן סטולוב</w:t>
      </w:r>
    </w:p>
    <w:p w14:paraId="2E1CF1AD" w14:textId="77777777" w:rsidR="00F45389" w:rsidRDefault="008F0153" w:rsidP="008F0153">
      <w:pPr>
        <w:rPr>
          <w:rFonts w:ascii="David" w:hAnsi="David"/>
          <w:b/>
          <w:sz w:val="28"/>
          <w:szCs w:val="28"/>
          <w:rtl/>
        </w:rPr>
      </w:pPr>
      <w:r w:rsidRPr="00AD7EB6">
        <w:rPr>
          <w:rFonts w:ascii="David" w:hAnsi="David"/>
          <w:b/>
          <w:sz w:val="28"/>
          <w:szCs w:val="28"/>
          <w:rtl/>
        </w:rPr>
        <w:t>בשם הנאשם:</w:t>
      </w:r>
      <w:r w:rsidRPr="00AD7EB6">
        <w:rPr>
          <w:rFonts w:ascii="David" w:hAnsi="David"/>
          <w:b/>
          <w:sz w:val="28"/>
          <w:szCs w:val="28"/>
          <w:rtl/>
        </w:rPr>
        <w:tab/>
      </w:r>
      <w:r w:rsidRPr="00AD7EB6">
        <w:rPr>
          <w:rFonts w:ascii="David" w:hAnsi="David"/>
          <w:b/>
          <w:sz w:val="28"/>
          <w:szCs w:val="28"/>
          <w:rtl/>
        </w:rPr>
        <w:tab/>
      </w:r>
      <w:r w:rsidRPr="00AD7EB6">
        <w:rPr>
          <w:rFonts w:ascii="David" w:hAnsi="David"/>
          <w:b/>
          <w:sz w:val="28"/>
          <w:szCs w:val="28"/>
          <w:rtl/>
        </w:rPr>
        <w:tab/>
        <w:t>עו"ד דגנית משעלי</w:t>
      </w:r>
    </w:p>
    <w:p w14:paraId="277050FE" w14:textId="77777777" w:rsidR="00F45389" w:rsidRPr="00F45389" w:rsidRDefault="00F45389" w:rsidP="00F45389">
      <w:pPr>
        <w:spacing w:after="120" w:line="240" w:lineRule="exact"/>
        <w:ind w:left="283" w:hanging="283"/>
        <w:jc w:val="both"/>
        <w:rPr>
          <w:rFonts w:ascii="FrankRuehl" w:hAnsi="FrankRuehl" w:cs="FrankRuehl"/>
          <w:rtl/>
        </w:rPr>
      </w:pPr>
    </w:p>
    <w:p w14:paraId="1ADFDD45" w14:textId="77777777" w:rsidR="006B0498" w:rsidRDefault="006B0498" w:rsidP="006B0498">
      <w:pPr>
        <w:rPr>
          <w:rtl/>
        </w:rPr>
      </w:pPr>
      <w:bookmarkStart w:id="3" w:name="LawTable"/>
      <w:bookmarkEnd w:id="3"/>
    </w:p>
    <w:p w14:paraId="19384E00" w14:textId="77777777" w:rsidR="006B0498" w:rsidRPr="006B0498" w:rsidRDefault="006B0498" w:rsidP="006B0498">
      <w:pPr>
        <w:spacing w:before="120" w:after="120" w:line="240" w:lineRule="exact"/>
        <w:ind w:left="283" w:hanging="283"/>
        <w:jc w:val="both"/>
        <w:rPr>
          <w:rFonts w:ascii="FrankRuehl" w:hAnsi="FrankRuehl" w:cs="FrankRuehl"/>
          <w:rtl/>
        </w:rPr>
      </w:pPr>
    </w:p>
    <w:p w14:paraId="201516BE" w14:textId="77777777" w:rsidR="006B0498" w:rsidRPr="006B0498" w:rsidRDefault="006B0498" w:rsidP="006B0498">
      <w:pPr>
        <w:spacing w:before="120" w:after="120" w:line="240" w:lineRule="exact"/>
        <w:ind w:left="283" w:hanging="283"/>
        <w:jc w:val="both"/>
        <w:rPr>
          <w:rFonts w:ascii="FrankRuehl" w:hAnsi="FrankRuehl" w:cs="FrankRuehl"/>
          <w:rtl/>
        </w:rPr>
      </w:pPr>
    </w:p>
    <w:p w14:paraId="64162819" w14:textId="77777777" w:rsidR="006B0498" w:rsidRPr="006B0498" w:rsidRDefault="006B0498" w:rsidP="006B0498">
      <w:pPr>
        <w:spacing w:before="120" w:after="120" w:line="240" w:lineRule="exact"/>
        <w:ind w:left="283" w:hanging="283"/>
        <w:jc w:val="both"/>
        <w:rPr>
          <w:rFonts w:ascii="FrankRuehl" w:hAnsi="FrankRuehl" w:cs="FrankRuehl"/>
          <w:rtl/>
        </w:rPr>
      </w:pPr>
      <w:r w:rsidRPr="006B0498">
        <w:rPr>
          <w:rFonts w:ascii="FrankRuehl" w:hAnsi="FrankRuehl" w:cs="FrankRuehl"/>
          <w:rtl/>
        </w:rPr>
        <w:t xml:space="preserve">חקיקה שאוזכרה: </w:t>
      </w:r>
    </w:p>
    <w:p w14:paraId="410D464F" w14:textId="77777777" w:rsidR="006B0498" w:rsidRPr="006B0498" w:rsidRDefault="006B0498" w:rsidP="006B0498">
      <w:pPr>
        <w:spacing w:before="120" w:after="120" w:line="240" w:lineRule="exact"/>
        <w:ind w:left="283" w:hanging="283"/>
        <w:jc w:val="both"/>
        <w:rPr>
          <w:rFonts w:ascii="FrankRuehl" w:hAnsi="FrankRuehl" w:cs="FrankRuehl"/>
          <w:rtl/>
        </w:rPr>
      </w:pPr>
      <w:hyperlink r:id="rId7" w:history="1">
        <w:r w:rsidRPr="006B0498">
          <w:rPr>
            <w:rFonts w:ascii="FrankRuehl" w:hAnsi="FrankRuehl" w:cs="FrankRuehl"/>
            <w:color w:val="0000FF"/>
            <w:rtl/>
          </w:rPr>
          <w:t>פקודת הסמים המסוכנים [נוסח חדש], תשל"ג-1973</w:t>
        </w:r>
      </w:hyperlink>
      <w:r w:rsidRPr="006B0498">
        <w:rPr>
          <w:rFonts w:ascii="FrankRuehl" w:hAnsi="FrankRuehl" w:cs="FrankRuehl"/>
          <w:rtl/>
        </w:rPr>
        <w:t xml:space="preserve">: סע'  </w:t>
      </w:r>
      <w:hyperlink r:id="rId8" w:history="1">
        <w:r w:rsidRPr="006B0498">
          <w:rPr>
            <w:rFonts w:ascii="FrankRuehl" w:hAnsi="FrankRuehl" w:cs="FrankRuehl"/>
            <w:color w:val="0000FF"/>
            <w:rtl/>
          </w:rPr>
          <w:t>6</w:t>
        </w:r>
      </w:hyperlink>
      <w:r w:rsidRPr="006B0498">
        <w:rPr>
          <w:rFonts w:ascii="FrankRuehl" w:hAnsi="FrankRuehl" w:cs="FrankRuehl"/>
          <w:rtl/>
        </w:rPr>
        <w:t xml:space="preserve">, </w:t>
      </w:r>
      <w:hyperlink r:id="rId9" w:history="1">
        <w:r w:rsidRPr="006B0498">
          <w:rPr>
            <w:rFonts w:ascii="FrankRuehl" w:hAnsi="FrankRuehl" w:cs="FrankRuehl"/>
            <w:color w:val="0000FF"/>
            <w:rtl/>
          </w:rPr>
          <w:t>15</w:t>
        </w:r>
      </w:hyperlink>
    </w:p>
    <w:p w14:paraId="354F2EE0" w14:textId="77777777" w:rsidR="006B0498" w:rsidRPr="006B0498" w:rsidRDefault="006B0498" w:rsidP="006B0498">
      <w:pPr>
        <w:spacing w:before="120" w:after="120" w:line="240" w:lineRule="exact"/>
        <w:ind w:left="283" w:hanging="283"/>
        <w:jc w:val="both"/>
        <w:rPr>
          <w:rFonts w:ascii="FrankRuehl" w:hAnsi="FrankRuehl" w:cs="FrankRuehl"/>
          <w:rtl/>
        </w:rPr>
      </w:pPr>
      <w:hyperlink r:id="rId10" w:history="1">
        <w:r w:rsidRPr="006B0498">
          <w:rPr>
            <w:rFonts w:ascii="FrankRuehl" w:hAnsi="FrankRuehl" w:cs="FrankRuehl"/>
            <w:color w:val="0000FF"/>
            <w:rtl/>
          </w:rPr>
          <w:t>חוק העונשין, תשל"ז-1977</w:t>
        </w:r>
      </w:hyperlink>
      <w:r w:rsidRPr="006B0498">
        <w:rPr>
          <w:rFonts w:ascii="FrankRuehl" w:hAnsi="FrankRuehl" w:cs="FrankRuehl"/>
          <w:rtl/>
        </w:rPr>
        <w:t xml:space="preserve">: סע'  </w:t>
      </w:r>
      <w:hyperlink r:id="rId11" w:history="1">
        <w:r w:rsidRPr="006B0498">
          <w:rPr>
            <w:rFonts w:ascii="FrankRuehl" w:hAnsi="FrankRuehl" w:cs="FrankRuehl"/>
            <w:color w:val="0000FF"/>
            <w:rtl/>
          </w:rPr>
          <w:t>40ג(א)</w:t>
        </w:r>
      </w:hyperlink>
      <w:r w:rsidRPr="006B0498">
        <w:rPr>
          <w:rFonts w:ascii="FrankRuehl" w:hAnsi="FrankRuehl" w:cs="FrankRuehl"/>
          <w:rtl/>
        </w:rPr>
        <w:t xml:space="preserve">, </w:t>
      </w:r>
      <w:hyperlink r:id="rId12" w:history="1">
        <w:r w:rsidRPr="006B0498">
          <w:rPr>
            <w:rFonts w:ascii="FrankRuehl" w:hAnsi="FrankRuehl" w:cs="FrankRuehl"/>
            <w:color w:val="0000FF"/>
            <w:rtl/>
          </w:rPr>
          <w:t>40ט</w:t>
        </w:r>
      </w:hyperlink>
      <w:r w:rsidRPr="006B0498">
        <w:rPr>
          <w:rFonts w:ascii="FrankRuehl" w:hAnsi="FrankRuehl" w:cs="FrankRuehl"/>
          <w:rtl/>
        </w:rPr>
        <w:t xml:space="preserve">, </w:t>
      </w:r>
      <w:hyperlink r:id="rId13" w:history="1">
        <w:r w:rsidRPr="006B0498">
          <w:rPr>
            <w:rFonts w:ascii="FrankRuehl" w:hAnsi="FrankRuehl" w:cs="FrankRuehl"/>
            <w:color w:val="0000FF"/>
            <w:rtl/>
          </w:rPr>
          <w:t>40יא(9)</w:t>
        </w:r>
      </w:hyperlink>
    </w:p>
    <w:p w14:paraId="39C6099D" w14:textId="77777777" w:rsidR="006B0498" w:rsidRPr="006B0498" w:rsidRDefault="006B0498" w:rsidP="006B0498">
      <w:pPr>
        <w:rPr>
          <w:rtl/>
        </w:rPr>
      </w:pPr>
      <w:bookmarkStart w:id="4" w:name="LawTable_End"/>
      <w:bookmarkEnd w:id="4"/>
    </w:p>
    <w:p w14:paraId="7D6B9563" w14:textId="77777777" w:rsidR="008F0153" w:rsidRPr="00AD7EB6" w:rsidRDefault="008F0153" w:rsidP="008F015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F0153" w14:paraId="44EF4C1C" w14:textId="77777777" w:rsidTr="008F0153">
        <w:trPr>
          <w:trHeight w:val="355"/>
          <w:jc w:val="center"/>
        </w:trPr>
        <w:tc>
          <w:tcPr>
            <w:tcW w:w="8820" w:type="dxa"/>
            <w:tcBorders>
              <w:top w:val="nil"/>
              <w:left w:val="nil"/>
              <w:bottom w:val="nil"/>
              <w:right w:val="nil"/>
            </w:tcBorders>
            <w:shd w:val="clear" w:color="auto" w:fill="auto"/>
          </w:tcPr>
          <w:p w14:paraId="234EF080" w14:textId="77777777" w:rsidR="00AD7EB6" w:rsidRPr="00AD7EB6" w:rsidRDefault="00AD7EB6" w:rsidP="00AD7EB6">
            <w:pPr>
              <w:jc w:val="center"/>
              <w:rPr>
                <w:rFonts w:ascii="David" w:hAnsi="David"/>
                <w:b/>
                <w:bCs/>
                <w:sz w:val="28"/>
                <w:szCs w:val="28"/>
                <w:u w:val="single"/>
                <w:rtl/>
              </w:rPr>
            </w:pPr>
            <w:bookmarkStart w:id="5" w:name="PsakDin" w:colFirst="0" w:colLast="0"/>
            <w:bookmarkEnd w:id="0"/>
            <w:r w:rsidRPr="00AD7EB6">
              <w:rPr>
                <w:rFonts w:ascii="David" w:hAnsi="David"/>
                <w:b/>
                <w:bCs/>
                <w:sz w:val="28"/>
                <w:szCs w:val="28"/>
                <w:u w:val="single"/>
                <w:rtl/>
              </w:rPr>
              <w:t>גזר דין</w:t>
            </w:r>
          </w:p>
          <w:p w14:paraId="266D29F4" w14:textId="77777777" w:rsidR="008F0153" w:rsidRPr="00AD7EB6" w:rsidRDefault="008F0153" w:rsidP="00AD7EB6">
            <w:pPr>
              <w:jc w:val="center"/>
              <w:rPr>
                <w:rFonts w:ascii="David" w:hAnsi="David"/>
                <w:bCs/>
                <w:sz w:val="28"/>
                <w:szCs w:val="28"/>
                <w:u w:val="single"/>
                <w:rtl/>
              </w:rPr>
            </w:pPr>
          </w:p>
        </w:tc>
      </w:tr>
      <w:bookmarkEnd w:id="5"/>
    </w:tbl>
    <w:p w14:paraId="2B47992D" w14:textId="77777777" w:rsidR="008F0153" w:rsidRPr="00B05847" w:rsidRDefault="008F0153" w:rsidP="008F0153">
      <w:pPr>
        <w:rPr>
          <w:rFonts w:ascii="Arial" w:hAnsi="Arial"/>
          <w:rtl/>
        </w:rPr>
      </w:pPr>
    </w:p>
    <w:p w14:paraId="74CC265E" w14:textId="77777777" w:rsidR="008F0153" w:rsidRPr="000E6F9E" w:rsidRDefault="008F0153" w:rsidP="008F0153">
      <w:pPr>
        <w:spacing w:line="360" w:lineRule="auto"/>
        <w:ind w:firstLine="720"/>
        <w:jc w:val="both"/>
        <w:rPr>
          <w:rFonts w:ascii="FrankRuehl" w:hAnsi="FrankRuehl" w:cs="FrankRuehl"/>
          <w:sz w:val="28"/>
          <w:szCs w:val="28"/>
        </w:rPr>
      </w:pPr>
      <w:bookmarkStart w:id="6" w:name="ABSTRACT_START"/>
      <w:bookmarkEnd w:id="6"/>
      <w:r w:rsidRPr="000E6F9E">
        <w:rPr>
          <w:rFonts w:ascii="FrankRuehl" w:hAnsi="FrankRuehl" w:cs="FrankRuehl"/>
          <w:sz w:val="28"/>
          <w:szCs w:val="28"/>
          <w:rtl/>
        </w:rPr>
        <w:t xml:space="preserve">הנאשם הורשע לאחר שמיעת ראיות, בביצוע עבירה של גידול סמים מסוכנים, לפי </w:t>
      </w:r>
      <w:hyperlink r:id="rId14" w:history="1">
        <w:r w:rsidR="00F45389" w:rsidRPr="00F45389">
          <w:rPr>
            <w:rStyle w:val="Hyperlink"/>
            <w:rFonts w:ascii="FrankRuehl" w:hAnsi="FrankRuehl" w:cs="FrankRuehl"/>
            <w:sz w:val="28"/>
            <w:szCs w:val="28"/>
            <w:rtl/>
          </w:rPr>
          <w:t>סעיף 6</w:t>
        </w:r>
      </w:hyperlink>
      <w:r w:rsidRPr="000E6F9E">
        <w:rPr>
          <w:rFonts w:ascii="FrankRuehl" w:hAnsi="FrankRuehl" w:cs="FrankRuehl"/>
          <w:sz w:val="28"/>
          <w:szCs w:val="28"/>
          <w:rtl/>
        </w:rPr>
        <w:t xml:space="preserve"> ל</w:t>
      </w:r>
      <w:hyperlink r:id="rId15" w:history="1">
        <w:r w:rsidR="00AD7EB6" w:rsidRPr="00AD7EB6">
          <w:rPr>
            <w:rFonts w:ascii="FrankRuehl" w:hAnsi="FrankRuehl" w:cs="FrankRuehl"/>
            <w:color w:val="0000FF"/>
            <w:sz w:val="28"/>
            <w:szCs w:val="28"/>
            <w:u w:val="single"/>
            <w:rtl/>
          </w:rPr>
          <w:t>פקודת הסמים המסוכנים</w:t>
        </w:r>
      </w:hyperlink>
      <w:r w:rsidRPr="000E6F9E">
        <w:rPr>
          <w:rFonts w:ascii="FrankRuehl" w:hAnsi="FrankRuehl" w:cs="FrankRuehl"/>
          <w:sz w:val="28"/>
          <w:szCs w:val="28"/>
          <w:rtl/>
        </w:rPr>
        <w:t xml:space="preserve"> [נוסח חדש], תשל"ג-1973 (להלן: </w:t>
      </w:r>
      <w:r w:rsidRPr="000E6F9E">
        <w:rPr>
          <w:rFonts w:ascii="Miriam" w:hAnsi="Miriam" w:cs="Miriam"/>
          <w:rtl/>
        </w:rPr>
        <w:t>פקודת הסמים</w:t>
      </w:r>
      <w:r w:rsidRPr="000E6F9E">
        <w:rPr>
          <w:rFonts w:ascii="FrankRuehl" w:hAnsi="FrankRuehl" w:cs="FrankRuehl"/>
          <w:sz w:val="28"/>
          <w:szCs w:val="28"/>
          <w:rtl/>
        </w:rPr>
        <w:t xml:space="preserve">). </w:t>
      </w:r>
    </w:p>
    <w:p w14:paraId="56E8C7E0" w14:textId="77777777" w:rsidR="008F0153" w:rsidRPr="000E6F9E" w:rsidRDefault="008F0153" w:rsidP="008F0153">
      <w:pPr>
        <w:spacing w:line="360" w:lineRule="auto"/>
        <w:jc w:val="both"/>
        <w:rPr>
          <w:rFonts w:ascii="Miriam" w:hAnsi="Miriam" w:cs="Miriam"/>
        </w:rPr>
      </w:pPr>
    </w:p>
    <w:p w14:paraId="3B48D396" w14:textId="77777777" w:rsidR="008F0153" w:rsidRPr="000E6F9E" w:rsidRDefault="008F0153" w:rsidP="008F0153">
      <w:pPr>
        <w:spacing w:line="360" w:lineRule="auto"/>
        <w:jc w:val="both"/>
        <w:rPr>
          <w:rFonts w:ascii="Miriam" w:hAnsi="Miriam" w:cs="Miriam"/>
          <w:rtl/>
        </w:rPr>
      </w:pPr>
      <w:bookmarkStart w:id="7" w:name="ABSTRACT_END"/>
      <w:bookmarkEnd w:id="7"/>
      <w:r w:rsidRPr="000E6F9E">
        <w:rPr>
          <w:rFonts w:ascii="Miriam" w:hAnsi="Miriam" w:cs="Miriam"/>
          <w:rtl/>
        </w:rPr>
        <w:t>כתב האישום והכרעת הדין</w:t>
      </w:r>
    </w:p>
    <w:p w14:paraId="73E9FAF4" w14:textId="77777777" w:rsidR="008F0153" w:rsidRPr="000E6F9E" w:rsidRDefault="008F0153" w:rsidP="008F0153">
      <w:pPr>
        <w:spacing w:line="360" w:lineRule="auto"/>
        <w:jc w:val="both"/>
        <w:rPr>
          <w:rFonts w:ascii="Miriam" w:hAnsi="Miriam" w:cs="Miriam"/>
          <w:rtl/>
        </w:rPr>
      </w:pPr>
    </w:p>
    <w:p w14:paraId="724D5E32" w14:textId="77777777" w:rsidR="008F0153" w:rsidRPr="000E6F9E" w:rsidRDefault="008F0153" w:rsidP="008F0153">
      <w:pPr>
        <w:spacing w:line="360" w:lineRule="auto"/>
        <w:jc w:val="both"/>
        <w:rPr>
          <w:rFonts w:ascii="FrankRuehl" w:hAnsi="FrankRuehl" w:cs="FrankRuehl"/>
          <w:sz w:val="28"/>
          <w:szCs w:val="28"/>
          <w:rtl/>
        </w:rPr>
      </w:pPr>
      <w:r w:rsidRPr="000E6F9E">
        <w:rPr>
          <w:rFonts w:ascii="FrankRuehl" w:eastAsia="Calibri" w:hAnsi="FrankRuehl" w:cs="FrankRuehl"/>
          <w:sz w:val="28"/>
          <w:szCs w:val="28"/>
          <w:rtl/>
        </w:rPr>
        <w:t>1.</w:t>
      </w:r>
      <w:r w:rsidRPr="000E6F9E">
        <w:rPr>
          <w:rFonts w:ascii="FrankRuehl" w:eastAsia="Calibri" w:hAnsi="FrankRuehl" w:cs="FrankRuehl"/>
          <w:sz w:val="28"/>
          <w:szCs w:val="28"/>
          <w:rtl/>
        </w:rPr>
        <w:tab/>
        <w:t xml:space="preserve">ביום 13.11.18 נתפס בבית בו התגורר הנאשם בראשון לציון (להלן: </w:t>
      </w:r>
      <w:r w:rsidRPr="000E6F9E">
        <w:rPr>
          <w:rFonts w:ascii="Miriam" w:eastAsia="Calibri" w:hAnsi="Miriam" w:cs="Miriam"/>
          <w:b/>
          <w:rtl/>
        </w:rPr>
        <w:t>הבית</w:t>
      </w:r>
      <w:r w:rsidRPr="000E6F9E">
        <w:rPr>
          <w:rFonts w:ascii="FrankRuehl" w:eastAsia="Calibri" w:hAnsi="FrankRuehl" w:cs="FrankRuehl"/>
          <w:sz w:val="28"/>
          <w:szCs w:val="28"/>
          <w:rtl/>
        </w:rPr>
        <w:t>) סם מסוכן מסוג קנאביס – 12 שתילים במשקל 900 גרם נטו, אותם גידל הנאשם בתנאי מעבדה בה החזיק ציוד ששימש אותו בביצוע העבירה: עציצים, אוהל, מפוחים, מנורות, חומרי דשן, שרוולי אוויר, מאווררים, רפלקטורים, מד חום ולחות</w:t>
      </w:r>
      <w:r w:rsidRPr="000E6F9E">
        <w:rPr>
          <w:rFonts w:ascii="FrankRuehl" w:hAnsi="FrankRuehl" w:cs="FrankRuehl"/>
          <w:sz w:val="28"/>
          <w:szCs w:val="28"/>
          <w:rtl/>
        </w:rPr>
        <w:t xml:space="preserve">. </w:t>
      </w:r>
      <w:r w:rsidRPr="000E6F9E">
        <w:rPr>
          <w:rFonts w:ascii="FrankRuehl" w:eastAsia="Calibri" w:hAnsi="FrankRuehl" w:cs="FrankRuehl"/>
          <w:sz w:val="28"/>
          <w:szCs w:val="28"/>
          <w:rtl/>
        </w:rPr>
        <w:t>הנאשם לא כפר בכך שגידל את הסמים בביתו, וטען לחיפוש בלתי חוקי, המצדיק פסילת תוצרי החיפוש</w:t>
      </w:r>
      <w:r w:rsidRPr="000E6F9E">
        <w:rPr>
          <w:rFonts w:ascii="FrankRuehl" w:hAnsi="FrankRuehl" w:cs="FrankRuehl"/>
          <w:sz w:val="28"/>
          <w:szCs w:val="28"/>
          <w:rtl/>
        </w:rPr>
        <w:t xml:space="preserve">. בהכרעת דין מיום 27.7.20 נקבע כי חרף הפגמים שנתגלו במהלך החיפוש, בדגש על האופן בו התבצע, הרי שתוצריו לא ייפסלו, והסוגיה תזכה להתייחסות בגזר הדין. </w:t>
      </w:r>
    </w:p>
    <w:p w14:paraId="1D23923C" w14:textId="77777777" w:rsidR="008F0153" w:rsidRPr="000E6F9E" w:rsidRDefault="008F0153" w:rsidP="008F0153">
      <w:pPr>
        <w:spacing w:line="360" w:lineRule="auto"/>
        <w:jc w:val="both"/>
        <w:rPr>
          <w:rFonts w:ascii="Miriam" w:hAnsi="Miriam" w:cs="Miriam"/>
          <w:rtl/>
        </w:rPr>
      </w:pPr>
    </w:p>
    <w:p w14:paraId="78ADDB30" w14:textId="77777777" w:rsidR="008F0153" w:rsidRPr="000E6F9E" w:rsidRDefault="008F0153" w:rsidP="008F0153">
      <w:pPr>
        <w:spacing w:line="360" w:lineRule="auto"/>
        <w:jc w:val="both"/>
        <w:rPr>
          <w:rFonts w:ascii="Miriam" w:hAnsi="Miriam" w:cs="Miriam"/>
          <w:rtl/>
        </w:rPr>
      </w:pPr>
      <w:r w:rsidRPr="000E6F9E">
        <w:rPr>
          <w:rFonts w:ascii="Miriam" w:hAnsi="Miriam" w:cs="Miriam"/>
          <w:rtl/>
        </w:rPr>
        <w:lastRenderedPageBreak/>
        <w:t xml:space="preserve">ראיות לעונש וטיעוני הצדדים </w:t>
      </w:r>
    </w:p>
    <w:p w14:paraId="40BEC702" w14:textId="77777777" w:rsidR="008F0153" w:rsidRPr="000E6F9E" w:rsidRDefault="008F0153" w:rsidP="008F0153">
      <w:pPr>
        <w:spacing w:line="360" w:lineRule="auto"/>
        <w:jc w:val="both"/>
        <w:rPr>
          <w:rFonts w:ascii="Miriam" w:hAnsi="Miriam" w:cs="Miriam"/>
          <w:rtl/>
        </w:rPr>
      </w:pPr>
    </w:p>
    <w:p w14:paraId="71E57A41" w14:textId="77777777" w:rsidR="008F0153" w:rsidRPr="000E6F9E" w:rsidRDefault="008F0153" w:rsidP="008F0153">
      <w:pPr>
        <w:spacing w:line="360" w:lineRule="auto"/>
        <w:jc w:val="both"/>
        <w:rPr>
          <w:rFonts w:ascii="Calibri" w:eastAsia="Calibri" w:hAnsi="Calibri" w:cs="FrankRuehl"/>
          <w:sz w:val="28"/>
          <w:szCs w:val="28"/>
          <w:rtl/>
        </w:rPr>
      </w:pPr>
      <w:r w:rsidRPr="000E6F9E">
        <w:rPr>
          <w:rFonts w:ascii="FrankRuehl" w:hAnsi="FrankRuehl" w:cs="FrankRuehl"/>
          <w:sz w:val="28"/>
          <w:szCs w:val="28"/>
          <w:rtl/>
        </w:rPr>
        <w:t>2.</w:t>
      </w:r>
      <w:r w:rsidRPr="000E6F9E">
        <w:rPr>
          <w:rFonts w:ascii="FrankRuehl" w:hAnsi="FrankRuehl" w:cs="FrankRuehl"/>
          <w:sz w:val="28"/>
          <w:szCs w:val="28"/>
          <w:rtl/>
        </w:rPr>
        <w:tab/>
      </w:r>
      <w:r w:rsidRPr="000E6F9E">
        <w:rPr>
          <w:rFonts w:ascii="Miriam" w:hAnsi="Miriam" w:cs="Miriam"/>
          <w:rtl/>
        </w:rPr>
        <w:t xml:space="preserve">ב"כ המאשימה </w:t>
      </w:r>
      <w:r w:rsidRPr="000E6F9E">
        <w:rPr>
          <w:rFonts w:ascii="FrankRuehl" w:eastAsia="Calibri" w:hAnsi="FrankRuehl" w:cs="FrankRuehl"/>
          <w:sz w:val="28"/>
          <w:szCs w:val="28"/>
          <w:rtl/>
        </w:rPr>
        <w:t>הגיש את גיליון הרשעותיו של הנאשם (</w:t>
      </w:r>
      <w:r w:rsidRPr="000E6F9E">
        <w:rPr>
          <w:rFonts w:ascii="Miriam" w:eastAsia="Calibri" w:hAnsi="Miriam" w:cs="Miriam"/>
          <w:sz w:val="22"/>
          <w:szCs w:val="22"/>
          <w:rtl/>
        </w:rPr>
        <w:t>עת/1</w:t>
      </w:r>
      <w:r w:rsidRPr="000E6F9E">
        <w:rPr>
          <w:rFonts w:ascii="FrankRuehl" w:eastAsia="Calibri" w:hAnsi="FrankRuehl" w:cs="FrankRuehl"/>
          <w:sz w:val="28"/>
          <w:szCs w:val="28"/>
          <w:rtl/>
        </w:rPr>
        <w:t xml:space="preserve">) – לחובתו 6 הרשעות קודמות שעיקרן בעבירות סמים ואלימות, כולן ישנות, האחרונה משנת 2005, מעולם לא ריצה עונש מאסר, אף לא בעבודות שירות. </w:t>
      </w:r>
      <w:r w:rsidRPr="000E6F9E">
        <w:rPr>
          <w:rFonts w:ascii="Calibri" w:eastAsia="Calibri" w:hAnsi="Calibri" w:cs="FrankRuehl"/>
          <w:sz w:val="28"/>
          <w:szCs w:val="28"/>
          <w:rtl/>
        </w:rPr>
        <w:t xml:space="preserve">הוא הפנה לערכים המוגנים שנפגעו ממעשי הנאשם, ובהם הגנה ושמירה על שלום הציבור מפני נגע הסמים מחולל הפשיעה, הדגיש את חומרתן ושכיחותן הגוברת של עבירות גידול וייצור הסמים, טען כי יש להעביר מסר הרתעתי לאלו המגדלים סמים בביתם, וביקש לקבוע מתחם ענישה בין מספר חודשי מאסר ועד 18 חודשי מאסר בפועל. אשר לנסיבות שאינן קשורות בביצוע העבירה, הפנה להרשעותיו הקודמות של הנאשם שחלקן כאמור בעבירות סמים, הוסיף כי המאשימה לקחה בחשבון את הערות בית המשפט שנגעו לאופן ביצוע החיפוש וגילוי הסמים, וביקש לגזור את דינו של הנאשם  ל- 6 חודשי מאסר שיכול וירוצו בדרך של עבודות שירות, לצד מאסר מותנה, קנס, פסילת רישיון נהיגה בפועל ופסילה על תנאי. </w:t>
      </w:r>
    </w:p>
    <w:p w14:paraId="0B900A59" w14:textId="77777777" w:rsidR="008F0153" w:rsidRPr="000E6F9E" w:rsidRDefault="008F0153" w:rsidP="008F0153">
      <w:pPr>
        <w:spacing w:line="360" w:lineRule="auto"/>
        <w:jc w:val="both"/>
        <w:rPr>
          <w:rFonts w:ascii="Miriam" w:hAnsi="Miriam" w:cs="Miriam"/>
          <w:rtl/>
        </w:rPr>
      </w:pPr>
    </w:p>
    <w:p w14:paraId="2FE9C031" w14:textId="77777777" w:rsidR="008F0153" w:rsidRPr="000E6F9E" w:rsidRDefault="008F0153" w:rsidP="008F0153">
      <w:pPr>
        <w:spacing w:line="360" w:lineRule="auto"/>
        <w:ind w:firstLine="720"/>
        <w:jc w:val="both"/>
        <w:rPr>
          <w:rFonts w:ascii="FrankRuehl" w:eastAsia="Calibri" w:hAnsi="FrankRuehl" w:cs="FrankRuehl"/>
          <w:sz w:val="28"/>
          <w:szCs w:val="28"/>
          <w:rtl/>
        </w:rPr>
      </w:pPr>
      <w:r w:rsidRPr="000E6F9E">
        <w:rPr>
          <w:rFonts w:ascii="Miriam" w:hAnsi="Miriam" w:cs="Miriam"/>
          <w:rtl/>
        </w:rPr>
        <w:t>ב"כ הנאשם</w:t>
      </w:r>
      <w:r w:rsidRPr="000E6F9E">
        <w:rPr>
          <w:rFonts w:ascii="FrankRuehl" w:hAnsi="FrankRuehl" w:cs="FrankRuehl"/>
          <w:sz w:val="28"/>
          <w:szCs w:val="28"/>
          <w:rtl/>
        </w:rPr>
        <w:t xml:space="preserve"> הפנתה אף היא לקביעות בהכרעת הדין באשר לאי-חוקיות שנפלה בביצוע החיפוש, להפרת זכויותיו של הנאשם, ולנפקות שיש ליתן לכך בגזר הדין, הן בקביעת מתחם העונש והן בגזירת העונש בתוך המתחם. טענה להפליית הנאשם לרעה ביחס לבת זוגו, שלא הואשמה, על רקע הקביעה בהכרעת הדין כי בני הזוג התגוררו בצוותא בבית (לכאורה טענה לאכיפה בררנית). הפנתה לסוג הסם, לכמות הסם הקטנה שנתפסה, ולטענת הנאשם לפיה הסם נועד לשימושו העצמי בלבד, טענה שאומצה בהכרעת הדין (סיפא לפסקה 9). הפנתה לתיקון </w:t>
      </w:r>
      <w:hyperlink r:id="rId16" w:history="1">
        <w:r w:rsidR="00F45389" w:rsidRPr="00F45389">
          <w:rPr>
            <w:rStyle w:val="Hyperlink"/>
            <w:rFonts w:ascii="FrankRuehl" w:hAnsi="FrankRuehl" w:cs="FrankRuehl"/>
            <w:sz w:val="28"/>
            <w:szCs w:val="28"/>
            <w:rtl/>
          </w:rPr>
          <w:t>מס' 15</w:t>
        </w:r>
      </w:hyperlink>
      <w:r w:rsidRPr="000E6F9E">
        <w:rPr>
          <w:rFonts w:ascii="FrankRuehl" w:hAnsi="FrankRuehl" w:cs="FrankRuehl"/>
          <w:sz w:val="28"/>
          <w:szCs w:val="28"/>
          <w:rtl/>
        </w:rPr>
        <w:t xml:space="preserve"> לפקודת הסמים (הוראת שעה מיום 26.7.18), במסגרתו נקבעו תנאים שבהתקיימם תיחשב עבירה של החזקת סם מסוג קנאביס לצריכה עצמית לעבירת קנס מיוחדת. </w:t>
      </w:r>
      <w:r w:rsidRPr="000E6F9E">
        <w:rPr>
          <w:rFonts w:ascii="FrankRuehl" w:eastAsia="Calibri" w:hAnsi="FrankRuehl" w:cs="FrankRuehl"/>
          <w:sz w:val="28"/>
          <w:szCs w:val="28"/>
          <w:rtl/>
        </w:rPr>
        <w:t>אשר לנסיבות שאינן קשורות בביצוע העבירה, טענה כי הנאשם הודה בביצוע העבירה ולקח מלכתחילה אחריות מלאה על מעשיו, וכי החלטתו לנהל הוכחות התבססה על טענות משפטיות גרידא. אשר להרשעותיו הקודמות, הפנתה לחלוף הזמן. עתרה להסתפק בחתימה על התחייבות ולחלופין בקנס. שני הצדדים תמכו טיעוניהם בפסיקה.</w:t>
      </w:r>
    </w:p>
    <w:p w14:paraId="357ED2B2" w14:textId="77777777" w:rsidR="008F0153" w:rsidRPr="000E6F9E" w:rsidRDefault="008F0153" w:rsidP="008F0153">
      <w:pPr>
        <w:spacing w:line="360" w:lineRule="auto"/>
        <w:jc w:val="both"/>
        <w:rPr>
          <w:rFonts w:ascii="FrankRuehl" w:eastAsia="Calibri" w:hAnsi="FrankRuehl" w:cs="FrankRuehl"/>
          <w:sz w:val="28"/>
          <w:szCs w:val="28"/>
          <w:rtl/>
        </w:rPr>
      </w:pPr>
    </w:p>
    <w:p w14:paraId="5D65C7A9" w14:textId="77777777" w:rsidR="008F0153" w:rsidRPr="000E6F9E" w:rsidRDefault="008F0153" w:rsidP="008F0153">
      <w:pPr>
        <w:spacing w:line="360" w:lineRule="auto"/>
        <w:ind w:firstLine="720"/>
        <w:jc w:val="both"/>
        <w:rPr>
          <w:rFonts w:ascii="FrankRuehl" w:eastAsia="Calibri" w:hAnsi="FrankRuehl" w:cs="FrankRuehl"/>
          <w:sz w:val="28"/>
          <w:szCs w:val="28"/>
          <w:rtl/>
        </w:rPr>
      </w:pPr>
      <w:r w:rsidRPr="000E6F9E">
        <w:rPr>
          <w:rFonts w:ascii="Miriam" w:eastAsia="Calibri" w:hAnsi="Miriam" w:cs="Miriam"/>
          <w:rtl/>
        </w:rPr>
        <w:t>הנאשם</w:t>
      </w:r>
      <w:r w:rsidRPr="000E6F9E">
        <w:rPr>
          <w:rFonts w:ascii="FrankRuehl" w:eastAsia="Calibri" w:hAnsi="FrankRuehl" w:cs="FrankRuehl"/>
          <w:sz w:val="28"/>
          <w:szCs w:val="28"/>
          <w:rtl/>
        </w:rPr>
        <w:t xml:space="preserve"> ביקש לראות בסם שגידל כתרופה, לה הוא זקוק לטענתו. לדבריו, הגיש בקשה לקבלת היתר לצריכת קנביס רפואי (על רקע תאונת דרכים שהתרחשה לאחר האירוע מושא כתב האישום), וממתין לקבלת החלטה.</w:t>
      </w:r>
    </w:p>
    <w:p w14:paraId="24A985CC" w14:textId="77777777" w:rsidR="008F0153" w:rsidRPr="000E6F9E" w:rsidRDefault="008F0153" w:rsidP="008F0153">
      <w:pPr>
        <w:spacing w:line="360" w:lineRule="auto"/>
        <w:jc w:val="both"/>
        <w:rPr>
          <w:rFonts w:ascii="Calibri" w:eastAsia="Calibri" w:hAnsi="Calibri" w:cs="Miriam"/>
          <w:sz w:val="22"/>
          <w:szCs w:val="22"/>
          <w:rtl/>
        </w:rPr>
      </w:pPr>
    </w:p>
    <w:p w14:paraId="167EB010" w14:textId="77777777" w:rsidR="008F0153" w:rsidRPr="000E6F9E" w:rsidRDefault="008F0153" w:rsidP="008F0153">
      <w:pPr>
        <w:shd w:val="clear" w:color="auto" w:fill="FFFFFF"/>
        <w:spacing w:line="360" w:lineRule="auto"/>
        <w:ind w:firstLine="720"/>
        <w:jc w:val="both"/>
        <w:rPr>
          <w:rFonts w:ascii="FrankRuehl" w:eastAsia="Calibri" w:hAnsi="FrankRuehl" w:cs="FrankRuehl"/>
          <w:sz w:val="28"/>
          <w:szCs w:val="28"/>
          <w:rtl/>
        </w:rPr>
      </w:pPr>
      <w:r w:rsidRPr="000E6F9E">
        <w:rPr>
          <w:rFonts w:ascii="FrankRuehl" w:eastAsia="Calibri" w:hAnsi="FrankRuehl" w:cs="FrankRuehl"/>
          <w:sz w:val="28"/>
          <w:szCs w:val="28"/>
          <w:rtl/>
        </w:rPr>
        <w:t xml:space="preserve">מבלי להביע עמדה באשר לתוצאת ההליך הוריתי על קבלת חוות דעת מאת הממונה על עבודות שירות. מחוות דעת מיום 26.10.20 עולה כי הנאשם </w:t>
      </w:r>
      <w:r w:rsidRPr="000E6F9E">
        <w:rPr>
          <w:rFonts w:ascii="Miriam" w:eastAsia="Calibri" w:hAnsi="Miriam" w:cs="Miriam"/>
          <w:rtl/>
        </w:rPr>
        <w:t xml:space="preserve">סירב </w:t>
      </w:r>
      <w:r w:rsidRPr="000E6F9E">
        <w:rPr>
          <w:rFonts w:ascii="FrankRuehl" w:eastAsia="Calibri" w:hAnsi="FrankRuehl" w:cs="FrankRuehl"/>
          <w:sz w:val="28"/>
          <w:szCs w:val="28"/>
          <w:rtl/>
        </w:rPr>
        <w:t xml:space="preserve">לבצע עבודות שירות: </w:t>
      </w:r>
      <w:r w:rsidRPr="000E6F9E">
        <w:rPr>
          <w:rFonts w:ascii="Miriam" w:eastAsia="Calibri" w:hAnsi="Miriam" w:cs="Miriam"/>
          <w:rtl/>
        </w:rPr>
        <w:t xml:space="preserve">"חבל </w:t>
      </w:r>
      <w:r w:rsidRPr="000E6F9E">
        <w:rPr>
          <w:rFonts w:ascii="Miriam" w:eastAsia="Calibri" w:hAnsi="Miriam" w:cs="Miriam"/>
          <w:rtl/>
        </w:rPr>
        <w:lastRenderedPageBreak/>
        <w:t>על הזמן, אני לא עומד להיות עובד שירות, אני עומד להגיע לעליון, זה לא היה הבית שלי בו מצאו סמים, עשו טעות בכלל"</w:t>
      </w:r>
      <w:r w:rsidRPr="000E6F9E">
        <w:rPr>
          <w:rFonts w:ascii="FrankRuehl" w:eastAsia="Calibri" w:hAnsi="FrankRuehl" w:cs="FrankRuehl"/>
          <w:sz w:val="28"/>
          <w:szCs w:val="28"/>
          <w:rtl/>
        </w:rPr>
        <w:t>.</w:t>
      </w:r>
    </w:p>
    <w:p w14:paraId="15351E32" w14:textId="77777777" w:rsidR="008F0153" w:rsidRPr="000E6F9E" w:rsidRDefault="008F0153" w:rsidP="008F0153">
      <w:pPr>
        <w:spacing w:line="360" w:lineRule="auto"/>
        <w:jc w:val="both"/>
        <w:rPr>
          <w:rFonts w:ascii="Calibri" w:eastAsia="Calibri" w:hAnsi="Calibri" w:cs="Miriam"/>
          <w:rtl/>
        </w:rPr>
      </w:pPr>
    </w:p>
    <w:p w14:paraId="31D42979" w14:textId="77777777" w:rsidR="008F0153" w:rsidRPr="000E6F9E" w:rsidRDefault="008F0153" w:rsidP="008F0153">
      <w:pPr>
        <w:spacing w:line="360" w:lineRule="auto"/>
        <w:jc w:val="both"/>
        <w:rPr>
          <w:rFonts w:ascii="Calibri" w:eastAsia="Calibri" w:hAnsi="Calibri" w:cs="Miriam"/>
          <w:rtl/>
        </w:rPr>
      </w:pPr>
      <w:r w:rsidRPr="000E6F9E">
        <w:rPr>
          <w:rFonts w:ascii="Calibri" w:eastAsia="Calibri" w:hAnsi="Calibri" w:cs="Miriam"/>
          <w:rtl/>
        </w:rPr>
        <w:t xml:space="preserve">דיון והכרעה </w:t>
      </w:r>
    </w:p>
    <w:p w14:paraId="3347E179" w14:textId="77777777" w:rsidR="008F0153" w:rsidRPr="000E6F9E" w:rsidRDefault="008F0153" w:rsidP="008F0153">
      <w:pPr>
        <w:spacing w:line="360" w:lineRule="auto"/>
        <w:jc w:val="both"/>
        <w:rPr>
          <w:rFonts w:ascii="Calibri" w:eastAsia="Calibri" w:hAnsi="Calibri" w:cs="Miriam"/>
          <w:rtl/>
        </w:rPr>
      </w:pPr>
    </w:p>
    <w:p w14:paraId="67A1A29D" w14:textId="77777777" w:rsidR="008F0153" w:rsidRPr="000E6F9E" w:rsidRDefault="008F0153" w:rsidP="008F0153">
      <w:pPr>
        <w:spacing w:line="360" w:lineRule="auto"/>
        <w:jc w:val="both"/>
        <w:rPr>
          <w:rFonts w:ascii="Calibri" w:eastAsia="Calibri" w:hAnsi="Calibri" w:cs="Miriam"/>
          <w:rtl/>
        </w:rPr>
      </w:pPr>
      <w:r w:rsidRPr="000E6F9E">
        <w:rPr>
          <w:rFonts w:ascii="Calibri" w:eastAsia="Calibri" w:hAnsi="Calibri" w:cs="Miriam"/>
          <w:rtl/>
        </w:rPr>
        <w:t xml:space="preserve">מדיניות הענישה </w:t>
      </w:r>
    </w:p>
    <w:p w14:paraId="3EE86210" w14:textId="77777777" w:rsidR="008F0153" w:rsidRPr="000E6F9E" w:rsidRDefault="008F0153" w:rsidP="008F0153">
      <w:pPr>
        <w:spacing w:line="360" w:lineRule="auto"/>
        <w:jc w:val="both"/>
        <w:rPr>
          <w:rFonts w:ascii="FrankRuehl" w:eastAsia="Calibri" w:hAnsi="FrankRuehl" w:cs="FrankRuehl"/>
          <w:sz w:val="28"/>
          <w:szCs w:val="28"/>
          <w:rtl/>
        </w:rPr>
      </w:pPr>
    </w:p>
    <w:p w14:paraId="7406D168" w14:textId="77777777" w:rsidR="008F0153" w:rsidRPr="000E6F9E" w:rsidRDefault="008F0153" w:rsidP="008F0153">
      <w:pPr>
        <w:spacing w:line="360" w:lineRule="auto"/>
        <w:jc w:val="both"/>
        <w:rPr>
          <w:rFonts w:ascii="FrankRuehl" w:eastAsia="Calibri" w:hAnsi="FrankRuehl" w:cs="FrankRuehl"/>
          <w:sz w:val="28"/>
          <w:szCs w:val="28"/>
          <w:rtl/>
        </w:rPr>
      </w:pPr>
      <w:r w:rsidRPr="000E6F9E">
        <w:rPr>
          <w:rFonts w:ascii="FrankRuehl" w:eastAsia="Calibri" w:hAnsi="FrankRuehl" w:cs="FrankRuehl"/>
          <w:sz w:val="28"/>
          <w:szCs w:val="28"/>
          <w:rtl/>
        </w:rPr>
        <w:t>3.</w:t>
      </w:r>
      <w:r w:rsidRPr="000E6F9E">
        <w:rPr>
          <w:rFonts w:ascii="FrankRuehl" w:eastAsia="Calibri" w:hAnsi="FrankRuehl" w:cs="FrankRuehl"/>
          <w:sz w:val="28"/>
          <w:szCs w:val="28"/>
          <w:rtl/>
        </w:rPr>
        <w:tab/>
        <w:t xml:space="preserve">עבירות גידול וייצור סמים מסוג קנאביס, בין אם למטרות סחר ובין אם לצריכה עצמית, הפכו בשנים האחרונות, למרבה הצער, לתופעה נפוצה המסכנת את בריאות הציבור, ובמקרים החמורים (מסחר) בעלת פוטנציאל נזק גבוה במיוחד משהיא מהווה זרז לביצוע עבירות נוספות. הגם שפקודת הסמים (סעיף 6) איננה מבחינה בין מטרות שונות בביצוע עבירה של גידול הסמים (ובכך נבדלת מעבירה של החזקת סמים – סעיף 7) , אין חולק על כך שיש להבחין בין סוגי הייצור השונים: החל מזה המחזיק עציץ קנאביס בודד במרפסת ביתו, המשך בגידול מספר מצומצם של שתילים (לעתים תוך שימוש בכלים וציוד), ועד המגדלים המקצועיים המחזיקים מעבדות משוכללות שנועדו לאפשר ייצור כמויות מסחריות של סמים – בחדר נפרד בבית, בדירה ייעודית ולעתים במבנים חקלאיים וחממות, תוך שימוש בכלים ובציוד יקרי ערך. בענייננו מדובר על מי שגידל בביתו, בתוך אוהל, 12 שתילים (קטנים בשלב התפיסה) של סם מסוג קנאביס, במשקל כולל של 900 גרם. כאמור בהכרעת הדין, מצאתי כי הגידול נועד לשימושו העצמי של הנאשם. לפיכך תיבחן מדיניות הענישה בכמויות ובנסיבות דומות ככל הניתן:  </w:t>
      </w:r>
    </w:p>
    <w:p w14:paraId="449C7B91" w14:textId="77777777" w:rsidR="008F0153" w:rsidRPr="000E6F9E" w:rsidRDefault="008F0153" w:rsidP="008F0153">
      <w:pPr>
        <w:spacing w:line="360" w:lineRule="auto"/>
        <w:ind w:firstLine="720"/>
        <w:jc w:val="both"/>
        <w:rPr>
          <w:rFonts w:ascii="FrankRuehl" w:eastAsia="Calibri" w:hAnsi="FrankRuehl" w:cs="FrankRuehl"/>
          <w:sz w:val="28"/>
          <w:szCs w:val="28"/>
          <w:rtl/>
        </w:rPr>
      </w:pPr>
    </w:p>
    <w:p w14:paraId="423D3C06" w14:textId="77777777" w:rsidR="008F0153" w:rsidRPr="000E6F9E" w:rsidRDefault="00AD7EB6" w:rsidP="008F0153">
      <w:pPr>
        <w:spacing w:line="360" w:lineRule="auto"/>
        <w:ind w:firstLine="720"/>
        <w:jc w:val="both"/>
        <w:rPr>
          <w:rFonts w:ascii="FrankRuehl" w:hAnsi="FrankRuehl" w:cs="FrankRuehl"/>
          <w:sz w:val="28"/>
          <w:szCs w:val="28"/>
          <w:rtl/>
        </w:rPr>
      </w:pPr>
      <w:hyperlink r:id="rId17" w:history="1">
        <w:r w:rsidRPr="00AD7EB6">
          <w:rPr>
            <w:rFonts w:ascii="FrankRuehl" w:hAnsi="FrankRuehl" w:cs="FrankRuehl"/>
            <w:color w:val="0000FF"/>
            <w:sz w:val="28"/>
            <w:szCs w:val="28"/>
            <w:u w:val="single"/>
            <w:rtl/>
          </w:rPr>
          <w:t>רע"פ 8458/18</w:t>
        </w:r>
      </w:hyperlink>
      <w:r w:rsidR="008F0153" w:rsidRPr="000E6F9E">
        <w:rPr>
          <w:rFonts w:ascii="FrankRuehl" w:hAnsi="FrankRuehl" w:cs="FrankRuehl"/>
          <w:sz w:val="28"/>
          <w:szCs w:val="28"/>
          <w:rtl/>
        </w:rPr>
        <w:t xml:space="preserve"> </w:t>
      </w:r>
      <w:r w:rsidR="008F0153" w:rsidRPr="000E6F9E">
        <w:rPr>
          <w:rFonts w:ascii="Miriam" w:hAnsi="Miriam" w:cs="Miriam"/>
          <w:rtl/>
        </w:rPr>
        <w:t>יונתן שטרר נ' מדינת ישראל</w:t>
      </w:r>
      <w:r w:rsidR="008F0153" w:rsidRPr="000E6F9E">
        <w:rPr>
          <w:rFonts w:ascii="FrankRuehl" w:hAnsi="FrankRuehl" w:cs="FrankRuehl"/>
          <w:rtl/>
        </w:rPr>
        <w:t xml:space="preserve"> </w:t>
      </w:r>
      <w:r w:rsidR="008F0153" w:rsidRPr="000E6F9E">
        <w:rPr>
          <w:rFonts w:ascii="FrankRuehl" w:hAnsi="FrankRuehl" w:cs="FrankRuehl"/>
          <w:sz w:val="28"/>
          <w:szCs w:val="28"/>
          <w:rtl/>
        </w:rPr>
        <w:t>(4.4.2019): נדחתה בקשת רשות ערעור של המבקש על פסק דינו של בית משפט המחוזי, שדחה את ערעור המבקש על ההחלטה להותיר את הרשעתו על כנה. המבקש הורשע בעבירות של גידול סמים מסוכנים והחזקתם לצריכה עצמית, בכך שגידל 2 שתילי קנאביס במשקל 248.4 גרם, ולצורך כך נעזר בציוד רלוונטי. כן החזיק כ-2 גרם של סם מסוכן מסוג קנאביס. המבקש נדון למאסר על תנאי, של"צ וקנס.</w:t>
      </w:r>
    </w:p>
    <w:p w14:paraId="42347D8F" w14:textId="77777777" w:rsidR="008F0153" w:rsidRPr="000E6F9E" w:rsidRDefault="008F0153" w:rsidP="008F0153">
      <w:pPr>
        <w:spacing w:line="360" w:lineRule="auto"/>
        <w:jc w:val="both"/>
        <w:rPr>
          <w:rFonts w:ascii="FrankRuehl" w:hAnsi="FrankRuehl" w:cs="FrankRuehl"/>
          <w:sz w:val="28"/>
          <w:szCs w:val="28"/>
          <w:rtl/>
        </w:rPr>
      </w:pPr>
    </w:p>
    <w:p w14:paraId="72C1A672" w14:textId="77777777" w:rsidR="008F0153" w:rsidRPr="000E6F9E" w:rsidRDefault="00AD7EB6" w:rsidP="008F0153">
      <w:pPr>
        <w:spacing w:line="360" w:lineRule="auto"/>
        <w:ind w:firstLine="720"/>
        <w:jc w:val="both"/>
        <w:rPr>
          <w:rFonts w:ascii="FrankRuehl" w:eastAsia="Calibri" w:hAnsi="FrankRuehl" w:cs="FrankRuehl"/>
          <w:sz w:val="28"/>
          <w:szCs w:val="28"/>
          <w:rtl/>
        </w:rPr>
      </w:pPr>
      <w:hyperlink r:id="rId18" w:history="1">
        <w:r w:rsidRPr="00AD7EB6">
          <w:rPr>
            <w:rFonts w:ascii="FrankRuehl" w:hAnsi="FrankRuehl" w:cs="FrankRuehl"/>
            <w:color w:val="0000FF"/>
            <w:sz w:val="27"/>
            <w:szCs w:val="28"/>
            <w:u w:val="single"/>
            <w:rtl/>
          </w:rPr>
          <w:t>רע"פ 5261/18</w:t>
        </w:r>
      </w:hyperlink>
      <w:r w:rsidR="008F0153" w:rsidRPr="000E6F9E">
        <w:rPr>
          <w:rFonts w:ascii="FrankRuehl" w:hAnsi="FrankRuehl" w:cs="FrankRuehl"/>
          <w:sz w:val="27"/>
          <w:szCs w:val="28"/>
          <w:rtl/>
        </w:rPr>
        <w:t xml:space="preserve"> </w:t>
      </w:r>
      <w:r w:rsidR="008F0153" w:rsidRPr="000E6F9E">
        <w:rPr>
          <w:rFonts w:ascii="Miriam" w:hAnsi="Miriam" w:cs="Miriam"/>
          <w:rtl/>
        </w:rPr>
        <w:t>רחמים דוידוף נ' מדינת ישראל</w:t>
      </w:r>
      <w:r w:rsidR="008F0153" w:rsidRPr="000E6F9E">
        <w:rPr>
          <w:rFonts w:ascii="FrankRuehl" w:hAnsi="FrankRuehl" w:cs="FrankRuehl"/>
          <w:rtl/>
        </w:rPr>
        <w:t xml:space="preserve"> </w:t>
      </w:r>
      <w:r w:rsidR="008F0153" w:rsidRPr="000E6F9E">
        <w:rPr>
          <w:rFonts w:ascii="FrankRuehl" w:hAnsi="FrankRuehl" w:cs="FrankRuehl"/>
          <w:sz w:val="27"/>
          <w:szCs w:val="28"/>
          <w:rtl/>
        </w:rPr>
        <w:t xml:space="preserve">(12.7.2018): </w:t>
      </w:r>
      <w:r w:rsidR="008F0153" w:rsidRPr="000E6F9E">
        <w:rPr>
          <w:rFonts w:ascii="FrankRuehl" w:eastAsia="Calibri" w:hAnsi="FrankRuehl" w:cs="FrankRuehl"/>
          <w:sz w:val="28"/>
          <w:szCs w:val="28"/>
          <w:rtl/>
        </w:rPr>
        <w:t>נדחתה בקשת רשות ערעור של המבקש על פסק דינו של בית המשפט המחוזי שדחה את ערעור המבקש על ההחלטה לא לבטל את הרשעתו. המבקש הורשע בעבירות גידול סמים מסוכנים והחזקתם לצריכה עצמית, בכך שגידל בדירתו 16 שתילי קנאביס במשקל 1.9 ק"ג, תוך שימוש בציוד, והחזיק סם מסוג קנאביס במשקל 127 גרם. המבקש נדון למאסר על תנאי ושל"צ.</w:t>
      </w:r>
    </w:p>
    <w:p w14:paraId="0A1B58E8" w14:textId="77777777" w:rsidR="008F0153" w:rsidRPr="000E6F9E" w:rsidRDefault="008F0153" w:rsidP="008F0153">
      <w:pPr>
        <w:spacing w:line="360" w:lineRule="auto"/>
        <w:jc w:val="both"/>
        <w:rPr>
          <w:rFonts w:ascii="FrankRuehl" w:hAnsi="FrankRuehl" w:cs="FrankRuehl"/>
          <w:sz w:val="28"/>
          <w:szCs w:val="28"/>
          <w:rtl/>
        </w:rPr>
      </w:pPr>
    </w:p>
    <w:p w14:paraId="562E6890" w14:textId="77777777" w:rsidR="008F0153" w:rsidRPr="000E6F9E" w:rsidRDefault="00AD7EB6" w:rsidP="008F0153">
      <w:pPr>
        <w:spacing w:line="360" w:lineRule="auto"/>
        <w:ind w:firstLine="720"/>
        <w:jc w:val="both"/>
        <w:rPr>
          <w:rFonts w:ascii="FrankRuehl" w:hAnsi="FrankRuehl" w:cs="FrankRuehl"/>
          <w:sz w:val="21"/>
          <w:szCs w:val="21"/>
          <w:rtl/>
        </w:rPr>
      </w:pPr>
      <w:hyperlink r:id="rId19" w:history="1">
        <w:r w:rsidRPr="00AD7EB6">
          <w:rPr>
            <w:rFonts w:ascii="FrankRuehl" w:hAnsi="FrankRuehl" w:cs="FrankRuehl"/>
            <w:color w:val="0000FF"/>
            <w:sz w:val="28"/>
            <w:szCs w:val="28"/>
            <w:u w:val="single"/>
            <w:rtl/>
          </w:rPr>
          <w:t>עפ"ג (מחוזי מרכז) 60818-06-18</w:t>
        </w:r>
      </w:hyperlink>
      <w:r w:rsidR="008F0153" w:rsidRPr="000E6F9E">
        <w:rPr>
          <w:rFonts w:ascii="FrankRuehl" w:hAnsi="FrankRuehl" w:cs="FrankRuehl"/>
          <w:sz w:val="28"/>
          <w:szCs w:val="28"/>
          <w:rtl/>
        </w:rPr>
        <w:t xml:space="preserve"> </w:t>
      </w:r>
      <w:r w:rsidR="008F0153" w:rsidRPr="000E6F9E">
        <w:rPr>
          <w:rFonts w:ascii="Miriam" w:hAnsi="Miriam" w:cs="Miriam"/>
          <w:rtl/>
        </w:rPr>
        <w:t>מדינת ישראל נ' חיים חסון</w:t>
      </w:r>
      <w:r w:rsidR="008F0153" w:rsidRPr="000E6F9E">
        <w:rPr>
          <w:rFonts w:ascii="FrankRuehl" w:hAnsi="FrankRuehl" w:cs="FrankRuehl"/>
          <w:rtl/>
        </w:rPr>
        <w:t xml:space="preserve"> </w:t>
      </w:r>
      <w:r w:rsidR="008F0153" w:rsidRPr="000E6F9E">
        <w:rPr>
          <w:rFonts w:ascii="FrankRuehl" w:hAnsi="FrankRuehl" w:cs="FrankRuehl"/>
          <w:sz w:val="28"/>
          <w:szCs w:val="28"/>
          <w:rtl/>
        </w:rPr>
        <w:t>(14.5.2019): התקבל באופן חלקי ערעור המדינה על קולת עונשו של המשיב (בהתאם נדחה ערעורו על ההחלטה שלא לבטל את ההרשעה). המשיב הורשע על פי הודאתו בעבירות גידול וייצור סמים מסוכנים מסוג קנאביס, 9 שתילים במשקל 2.74 ק"ג, שלצורך גידולם החזיק בתוך מחסן במעבדה אשר צוידה באוהלים, אדניות, מפזר חמצן, שנאי חשמל, מד טמפרטורה ולחץ, מאוורר ועוד. בית משפט השלום קבע מתחם ענישה בין 12-6 חודשי מאסר, מצא לחרוג מהמתחם משיקולי שיקום וגזר על המשיב מאסר על תנאי, של"צ, צו מבחן וקנס. בית המשפט המחוזי מצא שלא להתערב בסוגי העונש שהוטלו על המשיב, בין היתר לנוכח כמות השתילים שגידל, "כמות קטנה באופן יחסי", כמו גם בשל הליכי שיקום יוצאי דופן שעבר המשיב, ועם זאת מצא להחמיר בהיקף שעות השל"צ ובשיעור הקנס. ראוי להדגיש כי באותו מקרה לא נקבע שדובר בגידול לשימוש עצמי, ומאידך לא נמצאו אינדיקציות לגידול למטרות סחר (פס' 16).</w:t>
      </w:r>
    </w:p>
    <w:p w14:paraId="4D6E4390" w14:textId="77777777" w:rsidR="008F0153" w:rsidRPr="000E6F9E" w:rsidRDefault="008F0153" w:rsidP="008F0153">
      <w:pPr>
        <w:spacing w:line="360" w:lineRule="auto"/>
        <w:jc w:val="both"/>
        <w:rPr>
          <w:rFonts w:ascii="FrankRuehl" w:hAnsi="FrankRuehl" w:cs="FrankRuehl"/>
          <w:sz w:val="28"/>
          <w:szCs w:val="28"/>
          <w:rtl/>
        </w:rPr>
      </w:pPr>
    </w:p>
    <w:p w14:paraId="1A22D0B1" w14:textId="77777777" w:rsidR="008F0153" w:rsidRPr="000E6F9E" w:rsidRDefault="00AD7EB6" w:rsidP="008F0153">
      <w:pPr>
        <w:spacing w:line="360" w:lineRule="auto"/>
        <w:ind w:firstLine="720"/>
        <w:jc w:val="both"/>
        <w:rPr>
          <w:rFonts w:ascii="FrankRuehl" w:hAnsi="FrankRuehl" w:cs="FrankRuehl"/>
          <w:sz w:val="28"/>
          <w:szCs w:val="28"/>
          <w:rtl/>
        </w:rPr>
      </w:pPr>
      <w:hyperlink r:id="rId20" w:history="1">
        <w:r w:rsidRPr="00AD7EB6">
          <w:rPr>
            <w:rFonts w:ascii="FrankRuehl" w:hAnsi="FrankRuehl" w:cs="FrankRuehl"/>
            <w:color w:val="0000FF"/>
            <w:sz w:val="28"/>
            <w:szCs w:val="28"/>
            <w:u w:val="single"/>
            <w:rtl/>
          </w:rPr>
          <w:t>עפ"ג (מחוזי מרכז) 47293-04-17</w:t>
        </w:r>
      </w:hyperlink>
      <w:r w:rsidR="008F0153" w:rsidRPr="000E6F9E">
        <w:rPr>
          <w:rFonts w:ascii="FrankRuehl" w:hAnsi="FrankRuehl" w:cs="FrankRuehl"/>
          <w:sz w:val="28"/>
          <w:szCs w:val="28"/>
          <w:rtl/>
        </w:rPr>
        <w:t xml:space="preserve"> </w:t>
      </w:r>
      <w:r w:rsidR="008F0153" w:rsidRPr="000E6F9E">
        <w:rPr>
          <w:rFonts w:ascii="FrankRuehl" w:hAnsi="FrankRuehl" w:cs="Miriam"/>
          <w:b/>
          <w:sz w:val="28"/>
          <w:rtl/>
        </w:rPr>
        <w:t xml:space="preserve">מדינת ישראל נ' ססי </w:t>
      </w:r>
      <w:r w:rsidR="008F0153" w:rsidRPr="000E6F9E">
        <w:rPr>
          <w:rFonts w:ascii="FrankRuehl" w:hAnsi="FrankRuehl" w:cs="FrankRuehl"/>
          <w:sz w:val="28"/>
          <w:szCs w:val="28"/>
          <w:rtl/>
        </w:rPr>
        <w:t>(12.11.17): נדחה ערעור המדינה על קולת עונשו של המשיב, אשר נדון לחידוש מאסר מותנה, הארכת תוקף פסילת רישיון נהיגה, קנס וצו מבחן. מדובר במי שהורשע לפי הודייתו בגידול 650 גרם סם מסוכן מסוג קנביס והחזקת סם מסוג חשיש במשקל 0.51 גרם. בכל הנוגע למתחם העונש הראוי מצא בית המשפט המחוזי להבחין בין גידול סמים לשימוש עצמי, לבין גידולם למטרות סחר:</w:t>
      </w:r>
    </w:p>
    <w:p w14:paraId="44ACE6EC" w14:textId="77777777" w:rsidR="008F0153" w:rsidRPr="000E6F9E" w:rsidRDefault="008F0153" w:rsidP="008F0153">
      <w:pPr>
        <w:spacing w:line="360" w:lineRule="auto"/>
        <w:jc w:val="both"/>
        <w:rPr>
          <w:rFonts w:ascii="FrankRuehl" w:hAnsi="FrankRuehl" w:cs="FrankRuehl"/>
          <w:sz w:val="28"/>
          <w:szCs w:val="28"/>
          <w:rtl/>
        </w:rPr>
      </w:pPr>
    </w:p>
    <w:p w14:paraId="3823D6A8" w14:textId="77777777" w:rsidR="008F0153" w:rsidRPr="000E6F9E" w:rsidRDefault="008F0153" w:rsidP="008F0153">
      <w:pPr>
        <w:ind w:left="1644" w:right="1247"/>
        <w:jc w:val="both"/>
        <w:rPr>
          <w:rFonts w:ascii="FrankRuehl" w:hAnsi="FrankRuehl" w:cs="FrankRuehl"/>
          <w:sz w:val="28"/>
          <w:szCs w:val="28"/>
          <w:rtl/>
        </w:rPr>
      </w:pPr>
      <w:r w:rsidRPr="000E6F9E">
        <w:rPr>
          <w:rFonts w:ascii="FrankRuehl" w:hAnsi="FrankRuehl" w:cs="FrankRuehl"/>
          <w:sz w:val="28"/>
          <w:szCs w:val="28"/>
          <w:rtl/>
        </w:rPr>
        <w:t xml:space="preserve">"איננו מקבלים את טענת המערערת בכל הקשור למתחם הענישה בין מאסר על תנאי למספר חודשי מאסר בפועל באשר לגידול הקנבוס ע"י המשיב. </w:t>
      </w:r>
    </w:p>
    <w:p w14:paraId="51EECC96" w14:textId="77777777" w:rsidR="008F0153" w:rsidRPr="000E6F9E" w:rsidRDefault="008F0153" w:rsidP="008F0153">
      <w:pPr>
        <w:ind w:left="1644" w:right="1247"/>
        <w:jc w:val="both"/>
        <w:rPr>
          <w:rFonts w:ascii="FrankRuehl" w:hAnsi="FrankRuehl" w:cs="FrankRuehl"/>
          <w:sz w:val="28"/>
          <w:szCs w:val="28"/>
          <w:rtl/>
        </w:rPr>
      </w:pPr>
      <w:r w:rsidRPr="000E6F9E">
        <w:rPr>
          <w:rFonts w:ascii="FrankRuehl" w:hAnsi="FrankRuehl" w:cs="FrankRuehl"/>
          <w:sz w:val="28"/>
          <w:szCs w:val="28"/>
          <w:rtl/>
        </w:rPr>
        <w:t>אף אנו, כמו בימ"ש קמא, איננו מקלים ראש בגידול סמים במעבדה אך במקרה זה לא מדובר במעבדה מצוידת באמצעים לגידול סמים שנקנו בכסף רב שנמצאת בדירה שהוחזקה למטרה זו, כפי שלמרבה הצער מגיעה לפתחנו במקרים לא מעטים עד כדי היותה "מכת מדינה" שאותה יש לעקור מהשורש.</w:t>
      </w:r>
    </w:p>
    <w:p w14:paraId="512B835D" w14:textId="77777777" w:rsidR="008F0153" w:rsidRPr="000E6F9E" w:rsidRDefault="008F0153" w:rsidP="008F0153">
      <w:pPr>
        <w:ind w:left="1644" w:right="1247"/>
        <w:jc w:val="both"/>
        <w:rPr>
          <w:rFonts w:ascii="FrankRuehl" w:hAnsi="FrankRuehl" w:cs="FrankRuehl"/>
          <w:sz w:val="28"/>
          <w:szCs w:val="28"/>
          <w:rtl/>
        </w:rPr>
      </w:pPr>
      <w:r w:rsidRPr="000E6F9E">
        <w:rPr>
          <w:rFonts w:ascii="FrankRuehl" w:hAnsi="FrankRuehl" w:cs="FrankRuehl"/>
          <w:sz w:val="28"/>
          <w:szCs w:val="28"/>
          <w:rtl/>
        </w:rPr>
        <w:t>במקרה שבפנינו מדובר במשיב מכור לסמים, שגידל במבנה נטוש 850 גרם קנבוס לשימושו העצמי על מנת לא לחבור לגורמים שוליים כדי לקנות מהם סמים.</w:t>
      </w:r>
    </w:p>
    <w:p w14:paraId="0D5B5DB5" w14:textId="77777777" w:rsidR="008F0153" w:rsidRPr="000E6F9E" w:rsidRDefault="008F0153" w:rsidP="008F0153">
      <w:pPr>
        <w:ind w:left="1644" w:right="1247"/>
        <w:jc w:val="both"/>
        <w:rPr>
          <w:rFonts w:ascii="FrankRuehl" w:hAnsi="FrankRuehl" w:cs="FrankRuehl"/>
          <w:sz w:val="28"/>
          <w:szCs w:val="28"/>
          <w:rtl/>
        </w:rPr>
      </w:pPr>
      <w:r w:rsidRPr="000E6F9E">
        <w:rPr>
          <w:rFonts w:ascii="FrankRuehl" w:hAnsi="FrankRuehl" w:cs="FrankRuehl"/>
          <w:sz w:val="28"/>
          <w:szCs w:val="28"/>
          <w:rtl/>
        </w:rPr>
        <w:t xml:space="preserve">איננו מקלים ראש גם בהתנהגות זו של המשיב אך היא לא דומה לגידול סמים במעבדה שהרף התחתון של מתחם הענישה בגינו לא מביא בחשבון ריצוי מאסר בעבודות שירות ובוודאי לא מאסר על תנאי." </w:t>
      </w:r>
    </w:p>
    <w:p w14:paraId="052690D8" w14:textId="77777777" w:rsidR="008F0153" w:rsidRPr="000E6F9E" w:rsidRDefault="008F0153" w:rsidP="008F0153">
      <w:pPr>
        <w:spacing w:line="360" w:lineRule="auto"/>
        <w:jc w:val="both"/>
        <w:rPr>
          <w:rFonts w:ascii="FrankRuehl" w:eastAsia="Calibri" w:hAnsi="FrankRuehl" w:cs="FrankRuehl"/>
          <w:color w:val="0563C1"/>
          <w:sz w:val="28"/>
          <w:szCs w:val="28"/>
          <w:rtl/>
        </w:rPr>
      </w:pPr>
    </w:p>
    <w:p w14:paraId="338F68C4" w14:textId="77777777" w:rsidR="008F0153" w:rsidRPr="000E6F9E" w:rsidRDefault="00AD7EB6" w:rsidP="008F0153">
      <w:pPr>
        <w:spacing w:line="360" w:lineRule="auto"/>
        <w:ind w:firstLine="720"/>
        <w:jc w:val="both"/>
        <w:rPr>
          <w:rFonts w:ascii="FrankRuehl" w:hAnsi="FrankRuehl" w:cs="FrankRuehl"/>
          <w:sz w:val="28"/>
          <w:szCs w:val="28"/>
          <w:rtl/>
        </w:rPr>
      </w:pPr>
      <w:hyperlink r:id="rId21" w:history="1">
        <w:r w:rsidRPr="00AD7EB6">
          <w:rPr>
            <w:rFonts w:ascii="FrankRuehl" w:eastAsia="Calibri" w:hAnsi="FrankRuehl" w:cs="FrankRuehl"/>
            <w:color w:val="0000FF"/>
            <w:sz w:val="28"/>
            <w:szCs w:val="28"/>
            <w:u w:val="single"/>
            <w:rtl/>
          </w:rPr>
          <w:t>עפ"ג (מחוזי באר שבע) 14495-03-17</w:t>
        </w:r>
      </w:hyperlink>
      <w:r w:rsidR="008F0153" w:rsidRPr="000E6F9E">
        <w:rPr>
          <w:rFonts w:ascii="FrankRuehl" w:eastAsia="Calibri" w:hAnsi="FrankRuehl" w:cs="FrankRuehl"/>
          <w:sz w:val="28"/>
          <w:szCs w:val="28"/>
          <w:rtl/>
        </w:rPr>
        <w:t xml:space="preserve"> </w:t>
      </w:r>
      <w:r w:rsidR="008F0153" w:rsidRPr="000E6F9E">
        <w:rPr>
          <w:rFonts w:ascii="Miriam" w:hAnsi="Miriam" w:cs="Miriam"/>
          <w:rtl/>
        </w:rPr>
        <w:t>בוגנח נגד מדינת ישראל</w:t>
      </w:r>
      <w:r w:rsidR="008F0153" w:rsidRPr="000E6F9E">
        <w:rPr>
          <w:rFonts w:ascii="FrankRuehl" w:eastAsia="Calibri" w:hAnsi="FrankRuehl" w:cs="FrankRuehl"/>
          <w:sz w:val="28"/>
          <w:szCs w:val="28"/>
          <w:rtl/>
        </w:rPr>
        <w:t xml:space="preserve"> (טרם פורסם, 10.5.2017):</w:t>
      </w:r>
      <w:r w:rsidR="008F0153" w:rsidRPr="000E6F9E">
        <w:rPr>
          <w:rFonts w:ascii="FrankRuehl" w:hAnsi="FrankRuehl" w:cs="FrankRuehl"/>
          <w:sz w:val="28"/>
          <w:szCs w:val="28"/>
          <w:rtl/>
        </w:rPr>
        <w:t xml:space="preserve"> המערער הורשע על פי הודאתו בגידול שתיל קנאביס שמשקלו כ-321 גרם במרתף ביתו, בעזרת ציוד רלוונטי, ועונשו נגזר ל- 6 חודשי מאסר שירוצו בעבודות שירות, מאסר על תנאי, קנס, פסילת רישיון נהיגה וצו מבחן. בית המשפט המחוזי קיבל את הערעור ברוב דעות, ו"משיקולים שרובם לפנים משורת הדין" קיצר את תקופת המאסר ל- 4 חודשי מאסר שירוצו בדרך של עבודות שירות, וכן ביטל את פסילת רישיון הנהיגה והמירה בפסילה על תנאי.</w:t>
      </w:r>
    </w:p>
    <w:p w14:paraId="1FB2E6D2" w14:textId="77777777" w:rsidR="008F0153" w:rsidRPr="000E6F9E" w:rsidRDefault="008F0153" w:rsidP="008F0153">
      <w:pPr>
        <w:spacing w:line="360" w:lineRule="auto"/>
        <w:jc w:val="both"/>
        <w:rPr>
          <w:rFonts w:ascii="FrankRuehl" w:eastAsia="Calibri" w:hAnsi="FrankRuehl" w:cs="FrankRuehl"/>
          <w:sz w:val="28"/>
          <w:szCs w:val="28"/>
          <w:rtl/>
        </w:rPr>
      </w:pPr>
    </w:p>
    <w:p w14:paraId="2D4DC1EF" w14:textId="77777777" w:rsidR="008F0153" w:rsidRPr="000E6F9E" w:rsidRDefault="00AD7EB6" w:rsidP="008F0153">
      <w:pPr>
        <w:spacing w:line="360" w:lineRule="auto"/>
        <w:ind w:firstLine="720"/>
        <w:jc w:val="both"/>
        <w:rPr>
          <w:rFonts w:ascii="Calibri" w:eastAsia="Calibri" w:hAnsi="Calibri" w:cs="Arial"/>
          <w:sz w:val="22"/>
          <w:szCs w:val="22"/>
          <w:rtl/>
        </w:rPr>
      </w:pPr>
      <w:hyperlink r:id="rId22" w:history="1">
        <w:r w:rsidRPr="00AD7EB6">
          <w:rPr>
            <w:rFonts w:ascii="FrankRuehl" w:eastAsia="Calibri" w:hAnsi="FrankRuehl" w:cs="FrankRuehl"/>
            <w:color w:val="0000FF"/>
            <w:sz w:val="28"/>
            <w:szCs w:val="28"/>
            <w:u w:val="single"/>
            <w:rtl/>
          </w:rPr>
          <w:t>עפ"ג (מחוזי מרכז) 10700-11-16</w:t>
        </w:r>
      </w:hyperlink>
      <w:r w:rsidR="008F0153" w:rsidRPr="000E6F9E">
        <w:rPr>
          <w:rFonts w:ascii="FrankRuehl" w:eastAsia="Calibri" w:hAnsi="FrankRuehl" w:cs="FrankRuehl"/>
          <w:sz w:val="28"/>
          <w:szCs w:val="28"/>
          <w:rtl/>
        </w:rPr>
        <w:t xml:space="preserve"> </w:t>
      </w:r>
      <w:r w:rsidR="008F0153" w:rsidRPr="000E6F9E">
        <w:rPr>
          <w:rFonts w:ascii="Miriam" w:eastAsia="Calibri" w:hAnsi="Miriam" w:cs="Miriam"/>
          <w:rtl/>
        </w:rPr>
        <w:t>מדינת ישראל נ' טולידו</w:t>
      </w:r>
      <w:r w:rsidR="008F0153" w:rsidRPr="000E6F9E">
        <w:rPr>
          <w:rFonts w:ascii="FrankRuehl" w:eastAsia="Calibri" w:hAnsi="FrankRuehl" w:cs="FrankRuehl"/>
          <w:rtl/>
        </w:rPr>
        <w:t xml:space="preserve"> </w:t>
      </w:r>
      <w:r w:rsidR="008F0153" w:rsidRPr="000E6F9E">
        <w:rPr>
          <w:rFonts w:ascii="FrankRuehl" w:eastAsia="Calibri" w:hAnsi="FrankRuehl" w:cs="FrankRuehl"/>
          <w:sz w:val="28"/>
          <w:szCs w:val="28"/>
          <w:rtl/>
        </w:rPr>
        <w:t xml:space="preserve">(17.1.2017): המשיב הורשע על פי הודאתו בגידול של למעלה מ-90 שתילי קנאביס במשקל של כ-900 גרם, ובהחזקת מנת חשיש שלא לצריכתו העצמית. כן החזיק כלים להכנת הסם. בגזר דינו של המשיב נקבע מתחם העונש בין מספר חודשי מאסר לבין 14 חודשים. בית המשפט חרג לקולא מהמתחם משיקולי שיקום וגזר את עונשו של המשיב ל- 250 שעות של"צ, מאסר על תנאי, קנס וצו מבחן. בית המשפט המחוזי קיבל את ערעור המדינה על קולת העונש, בדגש על כך שמדובר במעבדה שהוקמה למטרות סחר בסמים והפקת רווחים, ומכאן "עונש של עבודות של"צ, גם בהיקף שהטיל בית המשפט קמא, איננו מבטא במידה הראויה את האינטרס הציבורי בשירוש הנגע ואת הצורך בהרתעה של אחרים המתכוונים לעשות רווחים קלים על חשבון ביטחונם ובריאותם של אלה המשתמשים בסמים". בית המשפט המחוזי החמיר בעונש והעמידו על 4 חודשי מאסר שירוצו בעבודות שירות. </w:t>
      </w:r>
    </w:p>
    <w:p w14:paraId="1B15B7C8" w14:textId="77777777" w:rsidR="008F0153" w:rsidRPr="000E6F9E" w:rsidRDefault="008F0153" w:rsidP="008F0153">
      <w:pPr>
        <w:spacing w:line="360" w:lineRule="auto"/>
        <w:jc w:val="both"/>
        <w:rPr>
          <w:rFonts w:ascii="FrankRuehl" w:eastAsia="Calibri" w:hAnsi="FrankRuehl" w:cs="FrankRuehl"/>
          <w:color w:val="0563C1"/>
          <w:sz w:val="28"/>
          <w:szCs w:val="28"/>
          <w:rtl/>
        </w:rPr>
      </w:pPr>
    </w:p>
    <w:p w14:paraId="2B3831D9" w14:textId="77777777" w:rsidR="008F0153" w:rsidRPr="000E6F9E" w:rsidRDefault="00AD7EB6" w:rsidP="008F0153">
      <w:pPr>
        <w:spacing w:line="360" w:lineRule="auto"/>
        <w:ind w:firstLine="720"/>
        <w:jc w:val="both"/>
        <w:rPr>
          <w:rFonts w:ascii="FrankRuehl" w:eastAsia="Calibri" w:hAnsi="FrankRuehl" w:cs="FrankRuehl"/>
          <w:sz w:val="28"/>
          <w:szCs w:val="28"/>
          <w:rtl/>
        </w:rPr>
      </w:pPr>
      <w:hyperlink r:id="rId23" w:history="1">
        <w:r w:rsidRPr="00AD7EB6">
          <w:rPr>
            <w:rFonts w:ascii="FrankRuehl" w:eastAsia="Calibri" w:hAnsi="FrankRuehl" w:cs="FrankRuehl"/>
            <w:color w:val="0000FF"/>
            <w:sz w:val="28"/>
            <w:szCs w:val="28"/>
            <w:u w:val="single"/>
            <w:rtl/>
          </w:rPr>
          <w:t>ע"פ (מחוזי ב"ש) 67356-10-13</w:t>
        </w:r>
      </w:hyperlink>
      <w:r w:rsidR="008F0153" w:rsidRPr="000E6F9E">
        <w:rPr>
          <w:rFonts w:ascii="FrankRuehl" w:eastAsia="Calibri" w:hAnsi="FrankRuehl" w:cs="FrankRuehl"/>
          <w:sz w:val="28"/>
          <w:szCs w:val="28"/>
          <w:rtl/>
        </w:rPr>
        <w:t xml:space="preserve"> </w:t>
      </w:r>
      <w:r w:rsidR="008F0153" w:rsidRPr="000E6F9E">
        <w:rPr>
          <w:rFonts w:ascii="Miriam" w:eastAsia="Calibri" w:hAnsi="Miriam" w:cs="Miriam"/>
          <w:rtl/>
        </w:rPr>
        <w:t xml:space="preserve">יבגני סמנצקו נ' מדינת ישראל </w:t>
      </w:r>
      <w:r w:rsidR="008F0153" w:rsidRPr="000E6F9E">
        <w:rPr>
          <w:rFonts w:ascii="FrankRuehl" w:eastAsia="Calibri" w:hAnsi="FrankRuehl" w:cs="FrankRuehl"/>
          <w:sz w:val="28"/>
          <w:szCs w:val="28"/>
          <w:rtl/>
        </w:rPr>
        <w:t>(8.1.2014): נדחה ערעור המערער על ההחלטה להימנע מביטול הרשעתו. המערער הורשע בגידול סמים מסוכנים והחזקת כלים – 3 שתילי קנאביס במשקל כולל של 1,700 גרם, שלצורך גידולם החזיק המערער ציוד רלוונטי. בגין מעשיו נדון המערער למאסר מותנה, קנס, של"צ, צו מבחן והתחייבות.</w:t>
      </w:r>
    </w:p>
    <w:p w14:paraId="25DD2288" w14:textId="77777777" w:rsidR="008F0153" w:rsidRPr="000E6F9E" w:rsidRDefault="008F0153" w:rsidP="008F0153">
      <w:pPr>
        <w:spacing w:line="360" w:lineRule="auto"/>
        <w:jc w:val="both"/>
        <w:rPr>
          <w:rFonts w:ascii="Calibri" w:eastAsia="Calibri" w:hAnsi="Calibri" w:cs="Arial"/>
          <w:sz w:val="22"/>
          <w:szCs w:val="22"/>
          <w:rtl/>
        </w:rPr>
      </w:pPr>
    </w:p>
    <w:p w14:paraId="2F8286EF" w14:textId="77777777" w:rsidR="008F0153" w:rsidRPr="000E6F9E" w:rsidRDefault="008F0153" w:rsidP="008F0153">
      <w:pPr>
        <w:spacing w:line="360" w:lineRule="auto"/>
        <w:jc w:val="both"/>
        <w:rPr>
          <w:rFonts w:ascii="Calibri" w:eastAsia="Calibri" w:hAnsi="Calibri" w:cs="Miriam"/>
          <w:rtl/>
        </w:rPr>
      </w:pPr>
      <w:r w:rsidRPr="000E6F9E">
        <w:rPr>
          <w:rFonts w:ascii="Calibri" w:eastAsia="Calibri" w:hAnsi="Calibri" w:cs="Miriam"/>
          <w:rtl/>
        </w:rPr>
        <w:t>קביעת המתחם הראוי</w:t>
      </w:r>
    </w:p>
    <w:p w14:paraId="3D7F5C43" w14:textId="77777777" w:rsidR="008F0153" w:rsidRPr="000E6F9E" w:rsidRDefault="008F0153" w:rsidP="008F0153">
      <w:pPr>
        <w:spacing w:line="360" w:lineRule="auto"/>
        <w:jc w:val="both"/>
        <w:rPr>
          <w:rFonts w:ascii="Calibri" w:eastAsia="Calibri" w:hAnsi="Calibri" w:cs="Miriam"/>
          <w:rtl/>
        </w:rPr>
      </w:pPr>
    </w:p>
    <w:p w14:paraId="5A033D39" w14:textId="77777777" w:rsidR="008F0153" w:rsidRPr="000E6F9E" w:rsidRDefault="008F0153" w:rsidP="008F0153">
      <w:pPr>
        <w:spacing w:line="360" w:lineRule="auto"/>
        <w:jc w:val="both"/>
        <w:rPr>
          <w:rFonts w:ascii="FrankRuehl" w:eastAsia="Calibri" w:hAnsi="FrankRuehl" w:cs="FrankRuehl"/>
          <w:sz w:val="28"/>
          <w:szCs w:val="28"/>
          <w:rtl/>
        </w:rPr>
      </w:pPr>
      <w:r w:rsidRPr="000E6F9E">
        <w:rPr>
          <w:rFonts w:ascii="FrankRuehl" w:eastAsia="Calibri" w:hAnsi="FrankRuehl" w:cs="FrankRuehl"/>
          <w:sz w:val="28"/>
          <w:szCs w:val="28"/>
          <w:rtl/>
        </w:rPr>
        <w:t>4.</w:t>
      </w:r>
      <w:r w:rsidRPr="000E6F9E">
        <w:rPr>
          <w:rFonts w:ascii="FrankRuehl" w:eastAsia="Calibri" w:hAnsi="FrankRuehl" w:cs="FrankRuehl"/>
          <w:sz w:val="28"/>
          <w:szCs w:val="28"/>
          <w:rtl/>
        </w:rPr>
        <w:tab/>
        <w:t xml:space="preserve">מתחם העונש ייקבע בהתאם לעקרון ההלימה תוך מתן משקל לערכים החברתיים שנפגעו מביצוע העבירות, למידת הפגיעה בהם ולמדיניות הענישה הנהוגה, והכל בנסיבות הקשורות בביצוע העבירות. כאמור, הערך החברתי העומד ביסודן של עבירות הסמים הוא השמירה על שלומו של הציבור ובריאותו, והגנה מפני הנזקים הישירים והעקיפים הנגרמים עקב השימוש בסמים. </w:t>
      </w:r>
    </w:p>
    <w:p w14:paraId="4950871A" w14:textId="77777777" w:rsidR="008F0153" w:rsidRPr="000E6F9E" w:rsidRDefault="008F0153" w:rsidP="008F0153">
      <w:pPr>
        <w:spacing w:line="360" w:lineRule="auto"/>
        <w:ind w:firstLine="720"/>
        <w:jc w:val="both"/>
        <w:rPr>
          <w:rFonts w:ascii="FrankRuehl" w:eastAsia="Calibri" w:hAnsi="FrankRuehl" w:cs="FrankRuehl"/>
          <w:sz w:val="28"/>
          <w:szCs w:val="28"/>
          <w:rtl/>
        </w:rPr>
      </w:pPr>
    </w:p>
    <w:p w14:paraId="315BD0A8" w14:textId="77777777" w:rsidR="008F0153" w:rsidRPr="000E6F9E" w:rsidRDefault="008F0153" w:rsidP="008F0153">
      <w:pPr>
        <w:spacing w:line="360" w:lineRule="auto"/>
        <w:ind w:firstLine="720"/>
        <w:jc w:val="both"/>
        <w:rPr>
          <w:rFonts w:ascii="FrankRuehl" w:eastAsia="Calibri" w:hAnsi="FrankRuehl" w:cs="FrankRuehl"/>
          <w:sz w:val="28"/>
          <w:szCs w:val="28"/>
          <w:rtl/>
        </w:rPr>
      </w:pPr>
      <w:r w:rsidRPr="000E6F9E">
        <w:rPr>
          <w:rFonts w:ascii="FrankRuehl" w:eastAsia="Calibri" w:hAnsi="FrankRuehl" w:cs="FrankRuehl"/>
          <w:sz w:val="28"/>
          <w:szCs w:val="28"/>
          <w:rtl/>
        </w:rPr>
        <w:t>אשר לחומרת המעשה, לא ניתן להתעלם, כמובן, מכך שמדובר בעבירה מתוכננת שנעשתה תוך השקעת משאבים שנועדו לאפשר את גידול השתילים. מנגד, בהכרעת הדין (סיפא לפסקה 9) נקבע: "העבירה המיוחסת לנאשם – החזקת 12 שתילים קטנים של סם מסוג מריחואנה, אותם גידל לטענתו לשימושו העצמי (הטענה מקובלת עלי). מבלי להקל ראש, מדובר ברף נמוך של עבירות גידול סמים". למסקנה זו הגעתי, בין השאר, על סמך דבריו של הנאשם בחקירתו, מהם עולה באופן מובהק כי מדובר במי שמכור לקנאביס מזה שנים רבות, עדויותיהם של הנאשם ובת זוגו, תפיסת כלי לעישון סמים על שולחן בסלון, היעדר אינדיקציות כלשהן למטרות סחר, והאופן בו גודלו הסמים, באוהל באחד מחדרי בבית (לא במבנה שנשכר במיוחד לשם כך ולא בחדר/חדרים שיועדו אך למטרה זו).</w:t>
      </w:r>
    </w:p>
    <w:p w14:paraId="2A607933" w14:textId="77777777" w:rsidR="008F0153" w:rsidRPr="000E6F9E" w:rsidRDefault="008F0153" w:rsidP="008F0153">
      <w:pPr>
        <w:spacing w:line="360" w:lineRule="auto"/>
        <w:jc w:val="both"/>
        <w:rPr>
          <w:rFonts w:ascii="FrankRuehl" w:eastAsia="Calibri" w:hAnsi="FrankRuehl" w:cs="FrankRuehl"/>
          <w:sz w:val="28"/>
          <w:szCs w:val="28"/>
          <w:rtl/>
        </w:rPr>
      </w:pPr>
    </w:p>
    <w:p w14:paraId="52166DE5" w14:textId="77777777" w:rsidR="008F0153" w:rsidRPr="000E6F9E" w:rsidRDefault="008F0153" w:rsidP="008F0153">
      <w:pPr>
        <w:spacing w:line="360" w:lineRule="auto"/>
        <w:ind w:firstLine="720"/>
        <w:jc w:val="both"/>
        <w:rPr>
          <w:rFonts w:ascii="FrankRuehl" w:eastAsia="Calibri" w:hAnsi="FrankRuehl" w:cs="FrankRuehl"/>
          <w:b/>
          <w:strike/>
          <w:rtl/>
        </w:rPr>
      </w:pPr>
      <w:r w:rsidRPr="000E6F9E">
        <w:rPr>
          <w:rFonts w:ascii="FrankRuehl" w:eastAsia="Calibri" w:hAnsi="FrankRuehl" w:cs="FrankRuehl"/>
          <w:sz w:val="28"/>
          <w:szCs w:val="28"/>
          <w:rtl/>
        </w:rPr>
        <w:t xml:space="preserve">לאחר שנתתי דעתי לשיקולים המנויים </w:t>
      </w:r>
      <w:hyperlink r:id="rId24" w:history="1">
        <w:r w:rsidR="00F45389" w:rsidRPr="00F45389">
          <w:rPr>
            <w:rStyle w:val="Hyperlink"/>
            <w:rFonts w:ascii="FrankRuehl" w:eastAsia="Calibri" w:hAnsi="FrankRuehl" w:cs="FrankRuehl"/>
            <w:sz w:val="28"/>
            <w:szCs w:val="28"/>
            <w:rtl/>
          </w:rPr>
          <w:t>בסעיף 40ג(א)</w:t>
        </w:r>
      </w:hyperlink>
      <w:r w:rsidRPr="000E6F9E">
        <w:rPr>
          <w:rFonts w:ascii="FrankRuehl" w:eastAsia="Calibri" w:hAnsi="FrankRuehl" w:cs="FrankRuehl"/>
          <w:sz w:val="28"/>
          <w:szCs w:val="28"/>
          <w:rtl/>
        </w:rPr>
        <w:t xml:space="preserve"> </w:t>
      </w:r>
      <w:hyperlink r:id="rId25" w:history="1">
        <w:r w:rsidR="00F45389" w:rsidRPr="00F45389">
          <w:rPr>
            <w:rStyle w:val="Hyperlink"/>
            <w:rFonts w:ascii="FrankRuehl" w:eastAsia="Calibri" w:hAnsi="FrankRuehl" w:cs="FrankRuehl"/>
            <w:sz w:val="28"/>
            <w:szCs w:val="28"/>
            <w:rtl/>
          </w:rPr>
          <w:t>וסעיף 40ט</w:t>
        </w:r>
      </w:hyperlink>
      <w:r w:rsidRPr="000E6F9E">
        <w:rPr>
          <w:rFonts w:ascii="FrankRuehl" w:eastAsia="Calibri" w:hAnsi="FrankRuehl" w:cs="FrankRuehl"/>
          <w:sz w:val="28"/>
          <w:szCs w:val="28"/>
          <w:rtl/>
        </w:rPr>
        <w:t xml:space="preserve"> ל</w:t>
      </w:r>
      <w:hyperlink r:id="rId26" w:history="1">
        <w:r w:rsidR="00AD7EB6" w:rsidRPr="00AD7EB6">
          <w:rPr>
            <w:rFonts w:ascii="FrankRuehl" w:eastAsia="Calibri" w:hAnsi="FrankRuehl" w:cs="FrankRuehl"/>
            <w:color w:val="0000FF"/>
            <w:sz w:val="28"/>
            <w:szCs w:val="28"/>
            <w:u w:val="single"/>
            <w:rtl/>
          </w:rPr>
          <w:t>חוק העונשין</w:t>
        </w:r>
      </w:hyperlink>
      <w:r w:rsidRPr="000E6F9E">
        <w:rPr>
          <w:rFonts w:ascii="FrankRuehl" w:eastAsia="Calibri" w:hAnsi="FrankRuehl" w:cs="FrankRuehl"/>
          <w:sz w:val="28"/>
          <w:szCs w:val="28"/>
          <w:rtl/>
        </w:rPr>
        <w:t xml:space="preserve">, לאור הממצאים עליהם עמדתי לעיל ולאחר שבחנתי את מדיניות הענישה הנוהגת, ותוך מתן משקל למטרת גידול הסמים כפי שנקבעה בהכרעת הדין, </w:t>
      </w:r>
      <w:r w:rsidRPr="000E6F9E">
        <w:rPr>
          <w:rFonts w:ascii="Miriam" w:eastAsia="Calibri" w:hAnsi="Miriam" w:cs="Miriam"/>
          <w:b/>
          <w:rtl/>
        </w:rPr>
        <w:t>מצאתי לקבוע מתחם ענישה בין מספר חודשי מאסר שניתן לרצותם בעבודות שירות לבין 12 חודשי מאסר בפועל</w:t>
      </w:r>
      <w:r w:rsidRPr="000E6F9E">
        <w:rPr>
          <w:rFonts w:ascii="FrankRuehl" w:eastAsia="Calibri" w:hAnsi="FrankRuehl" w:cs="FrankRuehl"/>
          <w:b/>
          <w:rtl/>
        </w:rPr>
        <w:t>.</w:t>
      </w:r>
    </w:p>
    <w:p w14:paraId="4182D843" w14:textId="77777777" w:rsidR="008F0153" w:rsidRPr="000E6F9E" w:rsidRDefault="008F0153" w:rsidP="008F0153">
      <w:pPr>
        <w:spacing w:line="360" w:lineRule="auto"/>
        <w:jc w:val="both"/>
        <w:rPr>
          <w:rFonts w:ascii="Calibri" w:eastAsia="Calibri" w:hAnsi="Calibri" w:cs="Miriam"/>
          <w:rtl/>
        </w:rPr>
      </w:pPr>
    </w:p>
    <w:p w14:paraId="53AF55A9" w14:textId="77777777" w:rsidR="008F0153" w:rsidRPr="000E6F9E" w:rsidRDefault="008F0153" w:rsidP="008F0153">
      <w:pPr>
        <w:spacing w:line="360" w:lineRule="auto"/>
        <w:jc w:val="both"/>
        <w:rPr>
          <w:rFonts w:ascii="Calibri" w:eastAsia="Calibri" w:hAnsi="Calibri" w:cs="Miriam"/>
          <w:rtl/>
        </w:rPr>
      </w:pPr>
      <w:r w:rsidRPr="000E6F9E">
        <w:rPr>
          <w:rFonts w:ascii="Calibri" w:eastAsia="Calibri" w:hAnsi="Calibri" w:cs="Miriam"/>
          <w:rtl/>
        </w:rPr>
        <w:t>גזירת העונש המתאים לנאשם</w:t>
      </w:r>
    </w:p>
    <w:p w14:paraId="08760DA3" w14:textId="77777777" w:rsidR="008F0153" w:rsidRPr="000E6F9E" w:rsidRDefault="008F0153" w:rsidP="008F0153">
      <w:pPr>
        <w:spacing w:line="360" w:lineRule="auto"/>
        <w:jc w:val="both"/>
        <w:rPr>
          <w:rFonts w:ascii="Calibri" w:eastAsia="Calibri" w:hAnsi="Calibri" w:cs="Miriam"/>
          <w:rtl/>
        </w:rPr>
      </w:pPr>
    </w:p>
    <w:p w14:paraId="33F5E681" w14:textId="77777777" w:rsidR="008F0153" w:rsidRPr="000E6F9E" w:rsidRDefault="008F0153" w:rsidP="008F0153">
      <w:pPr>
        <w:spacing w:line="360" w:lineRule="auto"/>
        <w:jc w:val="both"/>
        <w:rPr>
          <w:rFonts w:ascii="FrankRuehl" w:eastAsia="Calibri" w:hAnsi="FrankRuehl" w:cs="FrankRuehl"/>
          <w:sz w:val="28"/>
          <w:szCs w:val="28"/>
          <w:rtl/>
        </w:rPr>
      </w:pPr>
      <w:r w:rsidRPr="000E6F9E">
        <w:rPr>
          <w:rFonts w:ascii="Calibri" w:eastAsia="Calibri" w:hAnsi="Calibri" w:cs="FrankRuehl"/>
          <w:sz w:val="28"/>
          <w:szCs w:val="28"/>
          <w:rtl/>
        </w:rPr>
        <w:t>5.</w:t>
      </w:r>
      <w:r w:rsidRPr="000E6F9E">
        <w:rPr>
          <w:rFonts w:ascii="Calibri" w:eastAsia="Calibri" w:hAnsi="Calibri" w:cs="FrankRuehl"/>
          <w:sz w:val="28"/>
          <w:szCs w:val="28"/>
          <w:rtl/>
        </w:rPr>
        <w:tab/>
        <w:t xml:space="preserve">ייחודו של המקרה שבפניי נעוץ באופן גילוי העבירה בה הורשע הנאשם, קרי, הפגמים שנפלו בחיפוש שנערך בביתו. </w:t>
      </w:r>
      <w:r w:rsidRPr="000E6F9E">
        <w:rPr>
          <w:rFonts w:ascii="FrankRuehl" w:hAnsi="FrankRuehl" w:cs="FrankRuehl"/>
          <w:sz w:val="28"/>
          <w:szCs w:val="28"/>
          <w:rtl/>
        </w:rPr>
        <w:t>"המשטרה ערכה בבית שלושה חיפושים בהפרש זמנים קצר זה מזה ובהתאם לסמכותה כדין, ואולם אופן ביצוע החיפושים נמצא לוקה בסדרת פגמים: (-) כל החיפושים בוצעו במעמד מחזיקת המקום בלבד ללא נוכחות עדים שאינם שוטרים; (-) יעל לא הועמדה בשום שלב (על ידי איזה מהשוטרים) על זכותה לנוכחותם של שני עדים אובייקטיביים; (-) היא לא נתנה הסכמתה לבצע את החיפוש ללא נוכחות עדים ולבטח לא ביקשה זאת; (-) לא נערך פרוטוקול חיפוש" (פס' 8 להכרעת הדין).</w:t>
      </w:r>
      <w:r w:rsidRPr="000E6F9E">
        <w:rPr>
          <w:rFonts w:ascii="Calibri" w:eastAsia="Calibri" w:hAnsi="Calibri" w:cs="FrankRuehl"/>
          <w:sz w:val="28"/>
          <w:szCs w:val="28"/>
          <w:rtl/>
        </w:rPr>
        <w:t xml:space="preserve"> עדי התביעה לא ניפקו הסברים למחדליהם: "</w:t>
      </w:r>
      <w:r w:rsidRPr="000E6F9E">
        <w:rPr>
          <w:rFonts w:ascii="FrankRuehl" w:eastAsia="Calibri" w:hAnsi="FrankRuehl" w:cs="FrankRuehl"/>
          <w:sz w:val="28"/>
          <w:szCs w:val="28"/>
          <w:rtl/>
        </w:rPr>
        <w:t xml:space="preserve">מצופה היה שבמשפט יינתן הסבר באשר לתהליך החיפוש, למניעים והשיקולים אשר עמדו בבסיסו. ציפיית שווא. איש מהשוטרים לא נתן הסבר כלשהו, או אפילו תירוץ קלוש, לרצף התקלות שנתגלה בהליכי החיפוש (ברבים – שלושה חיפושים): לא מחמת דחיפות, לא קשיים לאתר עדים, לא עומס עבודה, ואפילו לא שיכחה. שום נימוק, אפס הסברים. ולא למותר להזכיר, דמיטרי כלל לא היה מודע לחובתו לערוך פרוטוקול חיפוש" (פס' 9 להכרעת הדין). </w:t>
      </w:r>
    </w:p>
    <w:p w14:paraId="7B98B6DB" w14:textId="77777777" w:rsidR="008F0153" w:rsidRPr="000E6F9E" w:rsidRDefault="008F0153" w:rsidP="008F0153">
      <w:pPr>
        <w:spacing w:line="360" w:lineRule="auto"/>
        <w:ind w:firstLine="720"/>
        <w:jc w:val="both"/>
        <w:rPr>
          <w:rFonts w:ascii="Calibri" w:eastAsia="Calibri" w:hAnsi="Calibri" w:cs="FrankRuehl"/>
          <w:sz w:val="28"/>
          <w:szCs w:val="28"/>
        </w:rPr>
      </w:pPr>
    </w:p>
    <w:p w14:paraId="2CABE127" w14:textId="77777777" w:rsidR="008F0153" w:rsidRPr="000E6F9E" w:rsidRDefault="008F0153" w:rsidP="008F0153">
      <w:pPr>
        <w:spacing w:line="360" w:lineRule="auto"/>
        <w:jc w:val="both"/>
        <w:rPr>
          <w:rFonts w:ascii="FrankRuehl" w:hAnsi="FrankRuehl" w:cs="FrankRuehl"/>
          <w:sz w:val="28"/>
          <w:szCs w:val="28"/>
          <w:rtl/>
        </w:rPr>
      </w:pPr>
      <w:r w:rsidRPr="000E6F9E">
        <w:rPr>
          <w:rFonts w:ascii="Calibri" w:eastAsia="Calibri" w:hAnsi="Calibri" w:cs="FrankRuehl"/>
          <w:sz w:val="28"/>
          <w:szCs w:val="28"/>
          <w:rtl/>
        </w:rPr>
        <w:t>6.</w:t>
      </w:r>
      <w:r w:rsidRPr="000E6F9E">
        <w:rPr>
          <w:rFonts w:ascii="Calibri" w:eastAsia="Calibri" w:hAnsi="Calibri" w:cs="FrankRuehl"/>
          <w:sz w:val="28"/>
          <w:szCs w:val="28"/>
          <w:rtl/>
        </w:rPr>
        <w:tab/>
        <w:t xml:space="preserve">כזכור, בהכרעת הדין קבעתי שחרף הפגמים, אין מקום לפסילת תוצרי החיפוש, כך שנפקותה של הסוגיה תבוא לידי ביטוי בגזר הדין. משמע, הגם שלא היה בכך כדי להביא לזיכויו, הצטברות הפגמים מצדיקה הקלה בעונשו של הנאשם, </w:t>
      </w:r>
      <w:r w:rsidRPr="000E6F9E">
        <w:rPr>
          <w:rFonts w:ascii="FrankRuehl" w:hAnsi="FrankRuehl" w:cs="FrankRuehl"/>
          <w:sz w:val="28"/>
          <w:szCs w:val="28"/>
          <w:rtl/>
        </w:rPr>
        <w:t xml:space="preserve">אם מתוקף </w:t>
      </w:r>
      <w:hyperlink r:id="rId27" w:history="1">
        <w:r w:rsidR="00F45389" w:rsidRPr="00F45389">
          <w:rPr>
            <w:rStyle w:val="Hyperlink"/>
            <w:rFonts w:ascii="FrankRuehl" w:hAnsi="FrankRuehl" w:cs="FrankRuehl"/>
            <w:sz w:val="28"/>
            <w:szCs w:val="28"/>
            <w:rtl/>
          </w:rPr>
          <w:t>סעיף 40יא(9)</w:t>
        </w:r>
      </w:hyperlink>
      <w:r w:rsidRPr="000E6F9E">
        <w:rPr>
          <w:rFonts w:ascii="FrankRuehl" w:hAnsi="FrankRuehl" w:cs="FrankRuehl"/>
          <w:sz w:val="28"/>
          <w:szCs w:val="28"/>
          <w:rtl/>
        </w:rPr>
        <w:t xml:space="preserve"> ל</w:t>
      </w:r>
      <w:hyperlink r:id="rId28" w:history="1">
        <w:r w:rsidR="00AD7EB6" w:rsidRPr="00AD7EB6">
          <w:rPr>
            <w:rFonts w:ascii="FrankRuehl" w:hAnsi="FrankRuehl" w:cs="FrankRuehl"/>
            <w:color w:val="0000FF"/>
            <w:sz w:val="28"/>
            <w:szCs w:val="28"/>
            <w:u w:val="single"/>
            <w:rtl/>
          </w:rPr>
          <w:t>חוק העונשין</w:t>
        </w:r>
      </w:hyperlink>
      <w:r w:rsidRPr="000E6F9E">
        <w:rPr>
          <w:rFonts w:ascii="FrankRuehl" w:hAnsi="FrankRuehl" w:cs="FrankRuehl"/>
          <w:sz w:val="28"/>
          <w:szCs w:val="28"/>
          <w:rtl/>
        </w:rPr>
        <w:t xml:space="preserve"> (התנהגות רשויות אכיפת החוק כאחד השיקולים לקביעת העונש בתוך המתחם), ואם על בסיס דוקטרינת ההגנה מן הצדק. ראו </w:t>
      </w:r>
      <w:hyperlink r:id="rId29" w:history="1">
        <w:r w:rsidR="00AD7EB6" w:rsidRPr="00AD7EB6">
          <w:rPr>
            <w:rFonts w:ascii="FrankRuehl" w:hAnsi="FrankRuehl" w:cs="FrankRuehl"/>
            <w:color w:val="0000FF"/>
            <w:sz w:val="28"/>
            <w:szCs w:val="28"/>
            <w:u w:val="single"/>
            <w:rtl/>
          </w:rPr>
          <w:t>ע"פ 482/20</w:t>
        </w:r>
      </w:hyperlink>
      <w:r w:rsidRPr="000E6F9E">
        <w:rPr>
          <w:rFonts w:ascii="FrankRuehl" w:hAnsi="FrankRuehl" w:cs="FrankRuehl"/>
          <w:sz w:val="28"/>
          <w:szCs w:val="28"/>
          <w:rtl/>
        </w:rPr>
        <w:t xml:space="preserve"> </w:t>
      </w:r>
      <w:r w:rsidRPr="000E6F9E">
        <w:rPr>
          <w:rFonts w:ascii="Miriam" w:hAnsi="Miriam" w:cs="Miriam"/>
          <w:rtl/>
        </w:rPr>
        <w:t>כסאב מטר נ' מדינת ישראל</w:t>
      </w:r>
      <w:r w:rsidRPr="000E6F9E">
        <w:rPr>
          <w:rFonts w:ascii="FrankRuehl" w:hAnsi="FrankRuehl" w:cs="FrankRuehl"/>
          <w:rtl/>
        </w:rPr>
        <w:t xml:space="preserve"> </w:t>
      </w:r>
      <w:r w:rsidRPr="000E6F9E">
        <w:rPr>
          <w:rFonts w:ascii="FrankRuehl" w:hAnsi="FrankRuehl" w:cs="FrankRuehl"/>
          <w:sz w:val="28"/>
          <w:szCs w:val="28"/>
          <w:rtl/>
        </w:rPr>
        <w:t xml:space="preserve">(4.6.2020, להלן: </w:t>
      </w:r>
      <w:r w:rsidRPr="000E6F9E">
        <w:rPr>
          <w:rFonts w:ascii="FrankRuehl" w:hAnsi="FrankRuehl" w:cs="Miriam"/>
          <w:b/>
          <w:sz w:val="28"/>
          <w:rtl/>
        </w:rPr>
        <w:t>ענין מטר</w:t>
      </w:r>
      <w:r w:rsidRPr="000E6F9E">
        <w:rPr>
          <w:rFonts w:ascii="FrankRuehl" w:hAnsi="FrankRuehl" w:cs="FrankRuehl"/>
          <w:sz w:val="28"/>
          <w:szCs w:val="28"/>
          <w:rtl/>
        </w:rPr>
        <w:t xml:space="preserve">), </w:t>
      </w:r>
      <w:hyperlink r:id="rId30" w:history="1">
        <w:r w:rsidR="00AD7EB6" w:rsidRPr="00AD7EB6">
          <w:rPr>
            <w:rFonts w:ascii="FrankRuehl" w:hAnsi="FrankRuehl" w:cs="FrankRuehl"/>
            <w:color w:val="0000FF"/>
            <w:sz w:val="28"/>
            <w:szCs w:val="28"/>
            <w:u w:val="single"/>
            <w:rtl/>
          </w:rPr>
          <w:t>ע"פ 1840/16</w:t>
        </w:r>
      </w:hyperlink>
      <w:r w:rsidRPr="000E6F9E">
        <w:rPr>
          <w:rFonts w:ascii="FrankRuehl" w:hAnsi="FrankRuehl" w:cs="FrankRuehl"/>
          <w:sz w:val="28"/>
          <w:szCs w:val="28"/>
          <w:rtl/>
        </w:rPr>
        <w:t xml:space="preserve"> </w:t>
      </w:r>
      <w:r w:rsidRPr="000E6F9E">
        <w:rPr>
          <w:rFonts w:ascii="FrankRuehl" w:hAnsi="FrankRuehl" w:cs="Miriam"/>
          <w:b/>
          <w:sz w:val="28"/>
          <w:rtl/>
        </w:rPr>
        <w:t>יהודה אדרי נ' מדינת ישראל</w:t>
      </w:r>
      <w:r w:rsidRPr="000E6F9E">
        <w:rPr>
          <w:rFonts w:ascii="FrankRuehl" w:hAnsi="FrankRuehl" w:cs="FrankRuehl"/>
          <w:sz w:val="28"/>
          <w:szCs w:val="28"/>
          <w:rtl/>
        </w:rPr>
        <w:t xml:space="preserve"> (1.2.2017)‏‏, פס' ח'-י',  </w:t>
      </w:r>
      <w:hyperlink r:id="rId31" w:history="1">
        <w:r w:rsidR="00AD7EB6" w:rsidRPr="00AD7EB6">
          <w:rPr>
            <w:rFonts w:ascii="FrankRuehl" w:hAnsi="FrankRuehl" w:cs="FrankRuehl"/>
            <w:color w:val="0000FF"/>
            <w:sz w:val="28"/>
            <w:szCs w:val="28"/>
            <w:u w:val="single"/>
            <w:rtl/>
          </w:rPr>
          <w:t>עפ"ת (מחוזי חיפה) 56446-02-20</w:t>
        </w:r>
      </w:hyperlink>
      <w:r w:rsidRPr="000E6F9E">
        <w:rPr>
          <w:rFonts w:ascii="FrankRuehl" w:hAnsi="FrankRuehl" w:cs="FrankRuehl"/>
          <w:sz w:val="28"/>
          <w:szCs w:val="28"/>
          <w:rtl/>
        </w:rPr>
        <w:t xml:space="preserve"> </w:t>
      </w:r>
      <w:r w:rsidRPr="000E6F9E">
        <w:rPr>
          <w:rFonts w:ascii="FrankRuehl" w:hAnsi="FrankRuehl" w:cs="Miriam"/>
          <w:b/>
          <w:sz w:val="28"/>
          <w:rtl/>
        </w:rPr>
        <w:t>גבור קיש נ' מדינת ישראל</w:t>
      </w:r>
      <w:r w:rsidRPr="000E6F9E">
        <w:rPr>
          <w:rFonts w:ascii="FrankRuehl" w:hAnsi="FrankRuehl" w:cs="FrankRuehl"/>
          <w:sz w:val="28"/>
          <w:szCs w:val="28"/>
          <w:rtl/>
        </w:rPr>
        <w:t xml:space="preserve"> (5.7.2020)‏‏, פס' 46. ענין מטר הוזכר גם בהכרעת הדין, אך מפאת חשיבותו, ראיתי לשוב ולהביא דברים בשם אומרם: </w:t>
      </w:r>
    </w:p>
    <w:p w14:paraId="58E956BB" w14:textId="77777777" w:rsidR="008F0153" w:rsidRPr="000E6F9E" w:rsidRDefault="008F0153" w:rsidP="008F0153">
      <w:pPr>
        <w:spacing w:line="360" w:lineRule="auto"/>
        <w:ind w:firstLine="720"/>
        <w:jc w:val="both"/>
        <w:rPr>
          <w:rFonts w:ascii="FrankRuehl" w:hAnsi="FrankRuehl" w:cs="FrankRuehl"/>
          <w:sz w:val="28"/>
          <w:szCs w:val="28"/>
          <w:rtl/>
        </w:rPr>
      </w:pPr>
    </w:p>
    <w:p w14:paraId="0AB11B4E" w14:textId="77777777" w:rsidR="008F0153" w:rsidRPr="000E6F9E" w:rsidRDefault="008F0153" w:rsidP="008F0153">
      <w:pPr>
        <w:ind w:left="1644" w:right="1247"/>
        <w:jc w:val="both"/>
        <w:rPr>
          <w:rFonts w:ascii="FrankRuehl" w:hAnsi="FrankRuehl" w:cs="FrankRuehl"/>
          <w:sz w:val="28"/>
          <w:szCs w:val="28"/>
          <w:rtl/>
        </w:rPr>
      </w:pPr>
      <w:r w:rsidRPr="000E6F9E">
        <w:rPr>
          <w:rFonts w:ascii="FrankRuehl" w:hAnsi="FrankRuehl" w:cs="FrankRuehl"/>
          <w:sz w:val="28"/>
          <w:szCs w:val="28"/>
          <w:rtl/>
        </w:rPr>
        <w:t xml:space="preserve">"עתה, להשלכות אי-חוקיות החיפוש על גזר הדין. בית המשפט המחוזי סלל לו דרך משלו להכרעה בדבר קבילות הראיות שהושגו בדרך פסולה. הוא איזן, חיקר ותיקן כראוי בעיניו. ואולם, לא נדרשה סלילת דרך חדשה בשאלה זו; כבר דשו בה רבים. הלכת </w:t>
      </w:r>
      <w:r w:rsidRPr="000E6F9E">
        <w:rPr>
          <w:rFonts w:ascii="FrankRuehl" w:hAnsi="FrankRuehl" w:cs="FrankRuehl"/>
          <w:b/>
          <w:sz w:val="28"/>
          <w:szCs w:val="28"/>
          <w:rtl/>
        </w:rPr>
        <w:t>יששכרוב</w:t>
      </w:r>
      <w:r w:rsidRPr="000E6F9E">
        <w:rPr>
          <w:rFonts w:ascii="FrankRuehl" w:hAnsi="FrankRuehl" w:cs="FrankRuehl"/>
          <w:sz w:val="28"/>
          <w:szCs w:val="28"/>
          <w:rtl/>
        </w:rPr>
        <w:t xml:space="preserve"> הציבה זה מכבר אמות מידה להכרעה בדבר קבילותן של ראיות כאלו, ובית המשפט המחוזי לא נדרש אלא ליישם את ההלכה, על מבחניה. מכל מקום, המערער בחר למקד את טענותיו בערעור כלפי גזר הדין; גם ב"כ המדינה טענה לפנינו כי אם אכן נפל פגם בחיפוש, אפשר כי היה מן הראוי ליתן לו ביטוי בגזר הדין...</w:t>
      </w:r>
      <w:r w:rsidRPr="000E6F9E">
        <w:rPr>
          <w:rFonts w:ascii="Century" w:hAnsi="Century" w:cs="FrankRuehl"/>
          <w:spacing w:val="10"/>
          <w:sz w:val="22"/>
          <w:szCs w:val="28"/>
          <w:rtl/>
        </w:rPr>
        <w:t xml:space="preserve"> </w:t>
      </w:r>
      <w:r w:rsidRPr="000E6F9E">
        <w:rPr>
          <w:rFonts w:ascii="FrankRuehl" w:hAnsi="FrankRuehl" w:cs="FrankRuehl"/>
          <w:sz w:val="28"/>
          <w:szCs w:val="28"/>
          <w:rtl/>
        </w:rPr>
        <w:t>נוכח האמור, ולאחר מתן הדעת על השיקולים שמכאן ומכאן, ומחמת הפגם שנפל בחיפוש המשטרתי, אציע לחברַי להפחית חצי שנה מעונש המאסר שהוטל על המערער" (פס' 14-12).</w:t>
      </w:r>
    </w:p>
    <w:p w14:paraId="47712ADF" w14:textId="77777777" w:rsidR="008F0153" w:rsidRPr="000E6F9E" w:rsidRDefault="008F0153" w:rsidP="008F0153">
      <w:pPr>
        <w:ind w:left="1644" w:right="1247"/>
        <w:jc w:val="both"/>
        <w:rPr>
          <w:rFonts w:ascii="FrankRuehl" w:hAnsi="FrankRuehl" w:cs="FrankRuehl"/>
          <w:sz w:val="28"/>
          <w:szCs w:val="28"/>
        </w:rPr>
      </w:pPr>
    </w:p>
    <w:p w14:paraId="5B8674F1" w14:textId="77777777" w:rsidR="008F0153" w:rsidRPr="000E6F9E" w:rsidRDefault="008F0153" w:rsidP="008F0153">
      <w:pPr>
        <w:ind w:left="1644" w:right="1247"/>
        <w:jc w:val="both"/>
        <w:rPr>
          <w:rFonts w:ascii="FrankRuehl" w:hAnsi="FrankRuehl" w:cs="FrankRuehl"/>
          <w:sz w:val="28"/>
          <w:szCs w:val="28"/>
          <w:rtl/>
        </w:rPr>
      </w:pPr>
      <w:r w:rsidRPr="000E6F9E">
        <w:rPr>
          <w:rFonts w:ascii="FrankRuehl" w:hAnsi="FrankRuehl" w:cs="FrankRuehl"/>
          <w:sz w:val="28"/>
          <w:szCs w:val="28"/>
          <w:rtl/>
        </w:rPr>
        <w:t xml:space="preserve">"חיפוש משטרתי צריך להיערך בפני שני עדים שאינם שוטרים אלא אם מתקיימים החריגים המנויים בו. דרישה זו אינה פורמאלית גרידא, אלא מכוונת להגשים תכליות מהותיות חשובות, שעניינן שמירה על פרטיות והבטחת האמינות והניטרליות בביצוע החיפוש. יש אפוא מקום לכך שהפרה של חובה זו, ולא כל שכן ללא סיבה נראית לעיל, תובא בחשבון בשלב גזר הדין, על בסיס העיקרון של הגנה מן הצדק, שלעתים משפיע רק בשלב העונש (ראו למשל: </w:t>
      </w:r>
      <w:hyperlink r:id="rId32" w:history="1">
        <w:r w:rsidR="00AD7EB6" w:rsidRPr="00AD7EB6">
          <w:rPr>
            <w:rFonts w:ascii="FrankRuehl" w:hAnsi="FrankRuehl" w:cs="FrankRuehl"/>
            <w:color w:val="0000FF"/>
            <w:sz w:val="28"/>
            <w:szCs w:val="28"/>
            <w:u w:val="single"/>
            <w:rtl/>
          </w:rPr>
          <w:t>ע"פ 7621/14</w:t>
        </w:r>
      </w:hyperlink>
      <w:r w:rsidRPr="000E6F9E">
        <w:rPr>
          <w:rFonts w:ascii="FrankRuehl" w:hAnsi="FrankRuehl" w:cs="FrankRuehl"/>
          <w:sz w:val="28"/>
          <w:szCs w:val="28"/>
          <w:rtl/>
        </w:rPr>
        <w:t xml:space="preserve"> </w:t>
      </w:r>
      <w:r w:rsidRPr="000E6F9E">
        <w:rPr>
          <w:rFonts w:ascii="FrankRuehl" w:hAnsi="FrankRuehl" w:cs="FrankRuehl"/>
          <w:b/>
          <w:sz w:val="28"/>
          <w:szCs w:val="28"/>
          <w:rtl/>
        </w:rPr>
        <w:t>גוטסדינר נ' מדינת ישראל</w:t>
      </w:r>
      <w:r w:rsidRPr="000E6F9E">
        <w:rPr>
          <w:rFonts w:ascii="FrankRuehl" w:hAnsi="FrankRuehl" w:cs="FrankRuehl"/>
          <w:sz w:val="28"/>
          <w:szCs w:val="28"/>
          <w:rtl/>
        </w:rPr>
        <w:t>, פסקאות 49 ו-50 לפסק דינו של השופט</w:t>
      </w:r>
      <w:r w:rsidRPr="000E6F9E">
        <w:rPr>
          <w:rFonts w:ascii="FrankRuehl" w:hAnsi="FrankRuehl" w:cs="FrankRuehl"/>
          <w:b/>
          <w:sz w:val="28"/>
          <w:szCs w:val="28"/>
          <w:rtl/>
        </w:rPr>
        <w:t xml:space="preserve"> נ' הנדל</w:t>
      </w:r>
      <w:r w:rsidRPr="000E6F9E">
        <w:rPr>
          <w:rFonts w:ascii="FrankRuehl" w:hAnsi="FrankRuehl" w:cs="FrankRuehl"/>
          <w:sz w:val="28"/>
          <w:szCs w:val="28"/>
          <w:rtl/>
        </w:rPr>
        <w:t xml:space="preserve">, פסקה 58 לפסק דינו של השופט </w:t>
      </w:r>
      <w:r w:rsidRPr="000E6F9E">
        <w:rPr>
          <w:rFonts w:ascii="FrankRuehl" w:hAnsi="FrankRuehl" w:cs="FrankRuehl"/>
          <w:b/>
          <w:sz w:val="28"/>
          <w:szCs w:val="28"/>
          <w:rtl/>
        </w:rPr>
        <w:t xml:space="preserve">י' עמית </w:t>
      </w:r>
      <w:r w:rsidRPr="000E6F9E">
        <w:rPr>
          <w:rFonts w:ascii="FrankRuehl" w:hAnsi="FrankRuehl" w:cs="FrankRuehl"/>
          <w:sz w:val="28"/>
          <w:szCs w:val="28"/>
          <w:rtl/>
        </w:rPr>
        <w:t xml:space="preserve">ופסקה 70 לפסק דיני (1.3.2017)); </w:t>
      </w:r>
      <w:hyperlink r:id="rId33" w:history="1">
        <w:r w:rsidR="00AD7EB6" w:rsidRPr="00AD7EB6">
          <w:rPr>
            <w:rFonts w:ascii="FrankRuehl" w:hAnsi="FrankRuehl" w:cs="FrankRuehl"/>
            <w:color w:val="0000FF"/>
            <w:sz w:val="28"/>
            <w:szCs w:val="28"/>
            <w:u w:val="single"/>
            <w:rtl/>
          </w:rPr>
          <w:t>רע"פ 3829/15</w:t>
        </w:r>
      </w:hyperlink>
      <w:r w:rsidRPr="000E6F9E">
        <w:rPr>
          <w:rFonts w:ascii="FrankRuehl" w:hAnsi="FrankRuehl" w:cs="FrankRuehl"/>
          <w:sz w:val="28"/>
          <w:szCs w:val="28"/>
          <w:rtl/>
        </w:rPr>
        <w:t xml:space="preserve"> </w:t>
      </w:r>
      <w:r w:rsidRPr="000E6F9E">
        <w:rPr>
          <w:rFonts w:ascii="FrankRuehl" w:hAnsi="FrankRuehl" w:cs="FrankRuehl"/>
          <w:b/>
          <w:sz w:val="28"/>
          <w:szCs w:val="28"/>
          <w:rtl/>
        </w:rPr>
        <w:t>קסאי נ' מדינת ישראל</w:t>
      </w:r>
      <w:r w:rsidRPr="000E6F9E">
        <w:rPr>
          <w:rFonts w:ascii="FrankRuehl" w:hAnsi="FrankRuehl" w:cs="FrankRuehl"/>
          <w:sz w:val="28"/>
          <w:szCs w:val="28"/>
          <w:rtl/>
        </w:rPr>
        <w:t>, פסקה 32 לפסק דיני (20.12.2018))" (שם, פסק דינה של כב' השופטת ד' ברק ארז).</w:t>
      </w:r>
    </w:p>
    <w:p w14:paraId="504129C6" w14:textId="77777777" w:rsidR="008F0153" w:rsidRPr="000E6F9E" w:rsidRDefault="008F0153" w:rsidP="008F0153">
      <w:pPr>
        <w:spacing w:line="360" w:lineRule="auto"/>
        <w:ind w:firstLine="720"/>
        <w:jc w:val="both"/>
        <w:rPr>
          <w:rFonts w:ascii="Calibri" w:eastAsia="Calibri" w:hAnsi="Calibri" w:cs="FrankRuehl"/>
          <w:sz w:val="28"/>
          <w:szCs w:val="28"/>
          <w:rtl/>
        </w:rPr>
      </w:pPr>
    </w:p>
    <w:p w14:paraId="6EEC842B" w14:textId="77777777" w:rsidR="008F0153" w:rsidRPr="000E6F9E" w:rsidRDefault="008F0153" w:rsidP="008F0153">
      <w:pPr>
        <w:spacing w:line="360" w:lineRule="auto"/>
        <w:jc w:val="both"/>
        <w:rPr>
          <w:rFonts w:ascii="Calibri" w:eastAsia="Calibri" w:hAnsi="Calibri" w:cs="FrankRuehl"/>
          <w:sz w:val="28"/>
          <w:szCs w:val="28"/>
          <w:rtl/>
        </w:rPr>
      </w:pPr>
      <w:r w:rsidRPr="000E6F9E">
        <w:rPr>
          <w:rFonts w:ascii="Calibri" w:eastAsia="Calibri" w:hAnsi="Calibri" w:cs="FrankRuehl"/>
          <w:sz w:val="28"/>
          <w:szCs w:val="28"/>
          <w:rtl/>
        </w:rPr>
        <w:t>7.</w:t>
      </w:r>
      <w:r w:rsidRPr="000E6F9E">
        <w:rPr>
          <w:rFonts w:ascii="Calibri" w:eastAsia="Calibri" w:hAnsi="Calibri" w:cs="FrankRuehl"/>
          <w:sz w:val="28"/>
          <w:szCs w:val="28"/>
          <w:rtl/>
        </w:rPr>
        <w:tab/>
        <w:t>אשר לעברו הפלילי של הנאשם, מדובר בהרשעות ישנות (האחרונה בהן משנת 2005), מעולם לא ריצה עונש מאסר (אף לא בעבודות שירות), מכאן, אין מדובר ברישום פלילי המצדיק הכבדה בעונש. הנאשם הודה מיד בתחילת חקירתו בביצוע העבירה שיוחסה לו, ובצד זאת הצהיר, שמא נאמר התריס: "</w:t>
      </w:r>
      <w:r w:rsidRPr="000E6F9E">
        <w:rPr>
          <w:rFonts w:ascii="FrankRuehl" w:eastAsia="Calibri" w:hAnsi="FrankRuehl" w:cs="FrankRuehl"/>
          <w:sz w:val="28"/>
          <w:szCs w:val="28"/>
          <w:rtl/>
        </w:rPr>
        <w:t>אני אמשיך לעשן אני לא אשקר עד יום מותי. בצוואה שלי אני יגיד שישימו לי חשיש או גראס בקבר כי אני מכור ואני אוהב את זה. זה מה שיכול להניע לי את החיים</w:t>
      </w:r>
      <w:r w:rsidRPr="000E6F9E">
        <w:rPr>
          <w:rFonts w:ascii="Calibri" w:eastAsia="Calibri" w:hAnsi="Calibri" w:cs="FrankRuehl"/>
          <w:sz w:val="28"/>
          <w:szCs w:val="28"/>
          <w:rtl/>
        </w:rPr>
        <w:t>". בחירתו של הנאשם לנהל את ההליך לא עומדת כמובן לחובתו, בפרט כשכתוצאה מכך עמד בית המשפט על נסיבות הגידול (לשימושו העצמי) כמו גם על הפגמים בהליך החיפוש. מנגד, אין מדובר במי שהשתתף בהליך טיפולי שיקומי. בטרם סיום: טענת ההגנה לאכיפה בררנית – אין בה דבר, ומוטב אלמלא הועלתה, משהופרכה מפיו של הנאשם עוד בחקירתו, עת קשר עצמו לסמים באופן בלעדי, והבהיר כי לבת זוגו אין מעורבות כלשהי בעבירה.</w:t>
      </w:r>
    </w:p>
    <w:p w14:paraId="02974D67" w14:textId="77777777" w:rsidR="008F0153" w:rsidRPr="000E6F9E" w:rsidRDefault="008F0153" w:rsidP="008F0153">
      <w:pPr>
        <w:spacing w:line="360" w:lineRule="auto"/>
        <w:jc w:val="both"/>
        <w:rPr>
          <w:rFonts w:ascii="Miriam" w:eastAsia="Calibri" w:hAnsi="Miriam" w:cs="Miriam"/>
        </w:rPr>
      </w:pPr>
    </w:p>
    <w:p w14:paraId="01810B90" w14:textId="77777777" w:rsidR="008F0153" w:rsidRPr="000E6F9E" w:rsidRDefault="008F0153" w:rsidP="008F0153">
      <w:pPr>
        <w:spacing w:line="360" w:lineRule="auto"/>
        <w:jc w:val="both"/>
        <w:rPr>
          <w:rFonts w:ascii="Miriam" w:eastAsia="Calibri" w:hAnsi="Miriam" w:cs="Miriam"/>
          <w:rtl/>
        </w:rPr>
      </w:pPr>
      <w:r w:rsidRPr="000E6F9E">
        <w:rPr>
          <w:rFonts w:ascii="Miriam" w:eastAsia="Calibri" w:hAnsi="Miriam" w:cs="Miriam"/>
          <w:rtl/>
        </w:rPr>
        <w:t>סוף דבר</w:t>
      </w:r>
    </w:p>
    <w:p w14:paraId="4EA54E0F" w14:textId="77777777" w:rsidR="008F0153" w:rsidRPr="000E6F9E" w:rsidRDefault="008F0153" w:rsidP="008F0153">
      <w:pPr>
        <w:spacing w:line="360" w:lineRule="auto"/>
        <w:jc w:val="both"/>
        <w:rPr>
          <w:rFonts w:ascii="Miriam" w:eastAsia="Calibri" w:hAnsi="Miriam" w:cs="Miriam"/>
          <w:rtl/>
        </w:rPr>
      </w:pPr>
    </w:p>
    <w:p w14:paraId="36B06F82" w14:textId="77777777" w:rsidR="008F0153" w:rsidRPr="000E6F9E" w:rsidRDefault="008F0153" w:rsidP="008F0153">
      <w:pPr>
        <w:spacing w:line="360" w:lineRule="auto"/>
        <w:jc w:val="both"/>
        <w:rPr>
          <w:rFonts w:ascii="Miriam" w:eastAsia="Calibri" w:hAnsi="Miriam" w:cs="Miriam"/>
          <w:rtl/>
        </w:rPr>
      </w:pPr>
      <w:r w:rsidRPr="000E6F9E">
        <w:rPr>
          <w:rFonts w:ascii="FrankRuehl" w:eastAsia="Calibri" w:hAnsi="FrankRuehl" w:cs="FrankRuehl"/>
          <w:sz w:val="28"/>
          <w:szCs w:val="28"/>
          <w:rtl/>
        </w:rPr>
        <w:t>8.</w:t>
      </w:r>
      <w:r w:rsidRPr="000E6F9E">
        <w:rPr>
          <w:rFonts w:ascii="Miriam" w:eastAsia="Calibri" w:hAnsi="Miriam" w:cs="Miriam"/>
          <w:rtl/>
        </w:rPr>
        <w:tab/>
        <w:t>החלטתי לגזור על הנאשם את העונשים הבאים:</w:t>
      </w:r>
    </w:p>
    <w:p w14:paraId="29B2A1B3" w14:textId="77777777" w:rsidR="008F0153" w:rsidRPr="000E6F9E" w:rsidRDefault="008F0153" w:rsidP="008F0153">
      <w:pPr>
        <w:spacing w:line="360" w:lineRule="auto"/>
        <w:jc w:val="both"/>
        <w:rPr>
          <w:rFonts w:ascii="Miriam" w:eastAsia="Calibri" w:hAnsi="Miriam" w:cs="Miriam"/>
          <w:rtl/>
        </w:rPr>
      </w:pPr>
    </w:p>
    <w:p w14:paraId="44F210D7" w14:textId="77777777" w:rsidR="008F0153" w:rsidRPr="000E6F9E" w:rsidRDefault="008F0153" w:rsidP="008F0153">
      <w:pPr>
        <w:numPr>
          <w:ilvl w:val="0"/>
          <w:numId w:val="1"/>
        </w:numPr>
        <w:spacing w:after="160" w:line="360" w:lineRule="auto"/>
        <w:contextualSpacing/>
        <w:jc w:val="both"/>
        <w:rPr>
          <w:rFonts w:ascii="FrankRuehl" w:eastAsia="Calibri" w:hAnsi="FrankRuehl" w:cs="FrankRuehl"/>
          <w:sz w:val="28"/>
          <w:szCs w:val="28"/>
          <w:rtl/>
        </w:rPr>
      </w:pPr>
      <w:r>
        <w:rPr>
          <w:rFonts w:ascii="FrankRuehl" w:eastAsia="Calibri" w:hAnsi="FrankRuehl" w:cs="FrankRuehl"/>
          <w:sz w:val="28"/>
          <w:szCs w:val="28"/>
          <w:rtl/>
        </w:rPr>
        <w:t>2 חודשי</w:t>
      </w:r>
      <w:r w:rsidRPr="000E6F9E">
        <w:rPr>
          <w:rFonts w:ascii="FrankRuehl" w:eastAsia="Calibri" w:hAnsi="FrankRuehl" w:cs="FrankRuehl"/>
          <w:sz w:val="28"/>
          <w:szCs w:val="28"/>
          <w:rtl/>
        </w:rPr>
        <w:t xml:space="preserve"> מאסר בפועל. הנאשם סירב לבצע עבודות שירות, ומשכך אין מנוס מריצוי העונש במאסר ממש, מאחורי סורג ובריח.</w:t>
      </w:r>
    </w:p>
    <w:p w14:paraId="157CE685" w14:textId="77777777" w:rsidR="008F0153" w:rsidRPr="000E6F9E" w:rsidRDefault="008F0153" w:rsidP="008F0153">
      <w:pPr>
        <w:numPr>
          <w:ilvl w:val="0"/>
          <w:numId w:val="1"/>
        </w:numPr>
        <w:spacing w:after="160" w:line="360" w:lineRule="auto"/>
        <w:contextualSpacing/>
        <w:jc w:val="both"/>
        <w:rPr>
          <w:rFonts w:ascii="FrankRuehl" w:eastAsia="Calibri" w:hAnsi="FrankRuehl" w:cs="FrankRuehl"/>
          <w:sz w:val="28"/>
          <w:szCs w:val="28"/>
          <w:rtl/>
        </w:rPr>
      </w:pPr>
      <w:r w:rsidRPr="000E6F9E">
        <w:rPr>
          <w:rFonts w:ascii="FrankRuehl" w:eastAsia="Calibri" w:hAnsi="FrankRuehl" w:cs="FrankRuehl"/>
          <w:sz w:val="28"/>
          <w:szCs w:val="28"/>
          <w:rtl/>
        </w:rPr>
        <w:t>6 חודשי מאסר אותם לא ירצה הנאשם אלא אם יעבור בתוך שלוש שנים עבירת סמים מסוג פשע.</w:t>
      </w:r>
    </w:p>
    <w:p w14:paraId="73A42AB2" w14:textId="77777777" w:rsidR="008F0153" w:rsidRPr="000E6F9E" w:rsidRDefault="008F0153" w:rsidP="008F0153">
      <w:pPr>
        <w:numPr>
          <w:ilvl w:val="0"/>
          <w:numId w:val="1"/>
        </w:numPr>
        <w:spacing w:after="160" w:line="360" w:lineRule="auto"/>
        <w:contextualSpacing/>
        <w:jc w:val="both"/>
        <w:rPr>
          <w:rFonts w:ascii="FrankRuehl" w:eastAsia="Calibri" w:hAnsi="FrankRuehl" w:cs="FrankRuehl"/>
          <w:sz w:val="28"/>
          <w:szCs w:val="28"/>
          <w:rtl/>
        </w:rPr>
      </w:pPr>
      <w:r w:rsidRPr="000E6F9E">
        <w:rPr>
          <w:rFonts w:ascii="FrankRuehl" w:eastAsia="Calibri" w:hAnsi="FrankRuehl" w:cs="FrankRuehl"/>
          <w:sz w:val="28"/>
          <w:szCs w:val="28"/>
          <w:rtl/>
        </w:rPr>
        <w:t>3 חודשי מאסר אותם לא ירצה הנאשם אלא אם יעבור בתוך שלוש שנים עבירת סמים מסוג עוון.</w:t>
      </w:r>
    </w:p>
    <w:p w14:paraId="7C06D935" w14:textId="77777777" w:rsidR="008F0153" w:rsidRPr="000E6F9E" w:rsidRDefault="008F0153" w:rsidP="008F0153">
      <w:pPr>
        <w:spacing w:line="360" w:lineRule="auto"/>
        <w:ind w:left="1440" w:hanging="720"/>
        <w:jc w:val="both"/>
        <w:rPr>
          <w:rFonts w:ascii="FrankRuehl" w:eastAsia="Calibri" w:hAnsi="FrankRuehl" w:cs="FrankRuehl"/>
          <w:sz w:val="28"/>
          <w:szCs w:val="28"/>
          <w:rtl/>
        </w:rPr>
      </w:pPr>
      <w:r w:rsidRPr="000E6F9E">
        <w:rPr>
          <w:rFonts w:ascii="FrankRuehl" w:eastAsia="Calibri" w:hAnsi="FrankRuehl" w:cs="FrankRuehl"/>
          <w:sz w:val="28"/>
          <w:szCs w:val="28"/>
          <w:rtl/>
        </w:rPr>
        <w:t>ד.</w:t>
      </w:r>
      <w:r w:rsidRPr="000E6F9E">
        <w:rPr>
          <w:rFonts w:ascii="FrankRuehl" w:eastAsia="Calibri" w:hAnsi="FrankRuehl" w:cs="FrankRuehl"/>
          <w:sz w:val="28"/>
          <w:szCs w:val="28"/>
          <w:rtl/>
        </w:rPr>
        <w:tab/>
        <w:t xml:space="preserve">קנס בסך 2,000 ₪ או חודש מאסר תמורתו. הקנס ישולם ב- 4 תשלומים חודשיים שווים ורצופים, החל מיום 1.12.20. </w:t>
      </w:r>
    </w:p>
    <w:p w14:paraId="2DC7D1D9" w14:textId="77777777" w:rsidR="008F0153" w:rsidRPr="000E6F9E" w:rsidRDefault="008F0153" w:rsidP="008F0153">
      <w:pPr>
        <w:spacing w:line="360" w:lineRule="auto"/>
        <w:ind w:left="1440" w:hanging="720"/>
        <w:jc w:val="both"/>
        <w:rPr>
          <w:rFonts w:ascii="FrankRuehl" w:eastAsia="Calibri" w:hAnsi="FrankRuehl" w:cs="FrankRuehl"/>
          <w:sz w:val="28"/>
          <w:szCs w:val="28"/>
          <w:rtl/>
        </w:rPr>
      </w:pPr>
      <w:r w:rsidRPr="000E6F9E">
        <w:rPr>
          <w:rFonts w:ascii="FrankRuehl" w:eastAsia="Calibri" w:hAnsi="FrankRuehl" w:cs="FrankRuehl"/>
          <w:sz w:val="28"/>
          <w:szCs w:val="28"/>
          <w:rtl/>
        </w:rPr>
        <w:tab/>
        <w:t xml:space="preserve">לא ישולם איזה מהתשלומים במועדו, תעמוד יתרת הקנס לפירעון מידי. </w:t>
      </w:r>
    </w:p>
    <w:p w14:paraId="65CA3497" w14:textId="77777777" w:rsidR="008F0153" w:rsidRPr="000E6F9E" w:rsidRDefault="008F0153" w:rsidP="008F0153">
      <w:pPr>
        <w:spacing w:after="160" w:line="360" w:lineRule="auto"/>
        <w:ind w:left="1440" w:hanging="720"/>
        <w:contextualSpacing/>
        <w:jc w:val="both"/>
        <w:rPr>
          <w:rFonts w:ascii="FrankRuehl" w:eastAsia="Calibri" w:hAnsi="FrankRuehl" w:cs="FrankRuehl"/>
          <w:sz w:val="28"/>
          <w:szCs w:val="28"/>
          <w:rtl/>
        </w:rPr>
      </w:pPr>
      <w:r>
        <w:rPr>
          <w:rFonts w:ascii="FrankRuehl" w:eastAsia="Calibri" w:hAnsi="FrankRuehl" w:cs="FrankRuehl" w:hint="cs"/>
          <w:sz w:val="28"/>
          <w:szCs w:val="28"/>
          <w:rtl/>
        </w:rPr>
        <w:t>ה.</w:t>
      </w:r>
      <w:r>
        <w:rPr>
          <w:rFonts w:ascii="FrankRuehl" w:eastAsia="Calibri" w:hAnsi="FrankRuehl" w:cs="FrankRuehl" w:hint="cs"/>
          <w:sz w:val="28"/>
          <w:szCs w:val="28"/>
          <w:rtl/>
        </w:rPr>
        <w:tab/>
      </w:r>
      <w:r w:rsidRPr="000E6F9E">
        <w:rPr>
          <w:rFonts w:ascii="FrankRuehl" w:eastAsia="Calibri" w:hAnsi="FrankRuehl" w:cs="FrankRuehl"/>
          <w:sz w:val="28"/>
          <w:szCs w:val="28"/>
          <w:rtl/>
        </w:rPr>
        <w:t>הנאשם ייתן התחייבות בסך 3,000 ₪ להימנע בתוך שלוש שנים מביצוע עבירה כלשהי על פקודת הסמים. הנאשם יצהיר על התחייבותו לפניי עוד היום, שאם לא כן, ירצה תקופת מאסר בת 5 ימים.</w:t>
      </w:r>
    </w:p>
    <w:p w14:paraId="19507EFE" w14:textId="77777777" w:rsidR="008F0153" w:rsidRPr="000E6F9E" w:rsidRDefault="008F0153" w:rsidP="008F0153">
      <w:pPr>
        <w:spacing w:line="360" w:lineRule="auto"/>
        <w:ind w:left="1440" w:hanging="720"/>
        <w:jc w:val="both"/>
        <w:rPr>
          <w:rFonts w:ascii="FrankRuehl" w:eastAsia="Calibri" w:hAnsi="FrankRuehl" w:cs="FrankRuehl"/>
          <w:sz w:val="28"/>
          <w:szCs w:val="28"/>
          <w:rtl/>
        </w:rPr>
      </w:pPr>
      <w:r w:rsidRPr="000E6F9E">
        <w:rPr>
          <w:rFonts w:ascii="FrankRuehl" w:eastAsia="Calibri" w:hAnsi="FrankRuehl" w:cs="FrankRuehl"/>
          <w:sz w:val="28"/>
          <w:szCs w:val="28"/>
          <w:rtl/>
        </w:rPr>
        <w:t>ו.</w:t>
      </w:r>
      <w:r w:rsidRPr="000E6F9E">
        <w:rPr>
          <w:rFonts w:ascii="FrankRuehl" w:eastAsia="Calibri" w:hAnsi="FrankRuehl" w:cs="FrankRuehl"/>
          <w:sz w:val="28"/>
          <w:szCs w:val="28"/>
          <w:rtl/>
        </w:rPr>
        <w:tab/>
        <w:t>הנאשם ייפסל מלקבל ומלהחזיק רישיון נהיגה לתקופה של 3 חודשים, ואולם הנאשם לא יישא בעונש זה אלא אם יעבור בתוך 3 שנים עבירה על פקודת הסמים.</w:t>
      </w:r>
    </w:p>
    <w:p w14:paraId="40248C99" w14:textId="77777777" w:rsidR="008F0153" w:rsidRDefault="008F0153" w:rsidP="008F0153">
      <w:pPr>
        <w:spacing w:after="160" w:line="360" w:lineRule="auto"/>
        <w:jc w:val="both"/>
        <w:rPr>
          <w:rFonts w:ascii="FrankRuehl" w:eastAsia="Calibri" w:hAnsi="FrankRuehl" w:cs="Miriam"/>
          <w:b/>
          <w:sz w:val="28"/>
          <w:u w:val="single"/>
          <w:rtl/>
        </w:rPr>
      </w:pPr>
    </w:p>
    <w:p w14:paraId="55329782" w14:textId="77777777" w:rsidR="008F0153" w:rsidRPr="000E6F9E" w:rsidRDefault="008F0153" w:rsidP="008F0153">
      <w:pPr>
        <w:spacing w:after="160" w:line="360" w:lineRule="auto"/>
        <w:jc w:val="both"/>
        <w:rPr>
          <w:rFonts w:ascii="FrankRuehl" w:eastAsia="Calibri" w:hAnsi="FrankRuehl" w:cs="Miriam"/>
          <w:b/>
          <w:sz w:val="28"/>
          <w:u w:val="single"/>
          <w:rtl/>
        </w:rPr>
      </w:pPr>
      <w:r w:rsidRPr="000E6F9E">
        <w:rPr>
          <w:rFonts w:ascii="FrankRuehl" w:eastAsia="Calibri" w:hAnsi="FrankRuehl" w:cs="Miriam"/>
          <w:b/>
          <w:sz w:val="28"/>
          <w:u w:val="single"/>
          <w:rtl/>
        </w:rPr>
        <w:t>זכות ערעור לבית המשפט המחוזי תוך 45 ימים מהיום</w:t>
      </w:r>
      <w:r w:rsidRPr="000E6F9E">
        <w:rPr>
          <w:rFonts w:ascii="FrankRuehl" w:eastAsia="Calibri" w:hAnsi="FrankRuehl" w:cs="Miriam"/>
          <w:b/>
          <w:sz w:val="28"/>
          <w:rtl/>
        </w:rPr>
        <w:t>.</w:t>
      </w:r>
    </w:p>
    <w:p w14:paraId="10EB2C79" w14:textId="77777777" w:rsidR="008F0153" w:rsidRPr="00B05847" w:rsidRDefault="008F0153" w:rsidP="008F0153">
      <w:pPr>
        <w:rPr>
          <w:rtl/>
        </w:rPr>
      </w:pPr>
    </w:p>
    <w:p w14:paraId="2915D40F" w14:textId="77777777" w:rsidR="008F0153" w:rsidRPr="00AD7EB6" w:rsidRDefault="00AD7EB6" w:rsidP="008F0153">
      <w:pPr>
        <w:rPr>
          <w:color w:val="FFFFFF"/>
          <w:sz w:val="2"/>
          <w:szCs w:val="2"/>
          <w:rtl/>
        </w:rPr>
      </w:pPr>
      <w:r w:rsidRPr="00AD7EB6">
        <w:rPr>
          <w:color w:val="FFFFFF"/>
          <w:sz w:val="2"/>
          <w:szCs w:val="2"/>
          <w:rtl/>
        </w:rPr>
        <w:t>5129371</w:t>
      </w:r>
    </w:p>
    <w:p w14:paraId="4574FC78" w14:textId="77777777" w:rsidR="008F0153" w:rsidRDefault="00AD7EB6" w:rsidP="008F0153">
      <w:pPr>
        <w:rPr>
          <w:rFonts w:cs="FrankRuehl"/>
          <w:sz w:val="28"/>
          <w:szCs w:val="28"/>
          <w:rtl/>
        </w:rPr>
      </w:pPr>
      <w:bookmarkStart w:id="8" w:name="Nitan"/>
      <w:r w:rsidRPr="00AD7EB6">
        <w:rPr>
          <w:rFonts w:ascii="Arial" w:hAnsi="Arial"/>
          <w:color w:val="FFFFFF"/>
          <w:sz w:val="2"/>
          <w:szCs w:val="2"/>
          <w:rtl/>
        </w:rPr>
        <w:t>54678313</w:t>
      </w:r>
      <w:r>
        <w:rPr>
          <w:rFonts w:ascii="Arial" w:hAnsi="Arial"/>
          <w:rtl/>
        </w:rPr>
        <w:t xml:space="preserve">ניתן היום,  כ"ג חשוון תשפ"א, 10 נובמבר 2020, במעמד הצדדים. </w:t>
      </w:r>
      <w:bookmarkEnd w:id="8"/>
    </w:p>
    <w:p w14:paraId="34066A33" w14:textId="77777777" w:rsidR="008F0153" w:rsidRDefault="008F0153" w:rsidP="00AD7EB6">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52501DD" w14:textId="77777777" w:rsidR="008F0153" w:rsidRDefault="008F0153" w:rsidP="008F0153">
      <w:pPr>
        <w:jc w:val="center"/>
        <w:rPr>
          <w:rFonts w:ascii="Arial" w:hAnsi="Arial" w:cs="FrankRuehl"/>
          <w:sz w:val="28"/>
          <w:szCs w:val="28"/>
          <w:rtl/>
        </w:rPr>
      </w:pPr>
    </w:p>
    <w:p w14:paraId="27C5653C" w14:textId="77777777" w:rsidR="00AD7EB6" w:rsidRDefault="00AD7EB6" w:rsidP="00AD7EB6">
      <w:pPr>
        <w:rPr>
          <w:rtl/>
        </w:rPr>
      </w:pPr>
    </w:p>
    <w:p w14:paraId="5AC982A4" w14:textId="77777777" w:rsidR="00AD7EB6" w:rsidRDefault="00AD7EB6" w:rsidP="00AD7EB6">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7FA5B13B" w14:textId="77777777" w:rsidR="00F45389" w:rsidRPr="00F45389" w:rsidRDefault="00F45389" w:rsidP="00F45389">
      <w:pPr>
        <w:keepNext/>
        <w:rPr>
          <w:rFonts w:ascii="David" w:hAnsi="David"/>
          <w:color w:val="000000"/>
          <w:sz w:val="22"/>
          <w:szCs w:val="22"/>
          <w:rtl/>
        </w:rPr>
      </w:pPr>
    </w:p>
    <w:p w14:paraId="128D149B" w14:textId="77777777" w:rsidR="00F45389" w:rsidRPr="00F45389" w:rsidRDefault="00F45389" w:rsidP="00F45389">
      <w:pPr>
        <w:keepNext/>
        <w:rPr>
          <w:rFonts w:ascii="David" w:hAnsi="David"/>
          <w:color w:val="000000"/>
          <w:sz w:val="22"/>
          <w:szCs w:val="22"/>
          <w:rtl/>
        </w:rPr>
      </w:pPr>
      <w:r w:rsidRPr="00F45389">
        <w:rPr>
          <w:rFonts w:ascii="David" w:hAnsi="David"/>
          <w:color w:val="000000"/>
          <w:sz w:val="22"/>
          <w:szCs w:val="22"/>
          <w:rtl/>
        </w:rPr>
        <w:t>גיא אבנון 54678313-/</w:t>
      </w:r>
    </w:p>
    <w:p w14:paraId="495C2EA3" w14:textId="77777777" w:rsidR="00AD7EB6" w:rsidRPr="00AD7EB6" w:rsidRDefault="00F45389" w:rsidP="00F45389">
      <w:pPr>
        <w:rPr>
          <w:rFonts w:hint="cs"/>
          <w:color w:val="0000FF"/>
          <w:u w:val="single"/>
        </w:rPr>
      </w:pPr>
      <w:r w:rsidRPr="00F45389">
        <w:rPr>
          <w:color w:val="000000"/>
          <w:u w:val="single"/>
          <w:rtl/>
        </w:rPr>
        <w:t>נוסח מסמך זה כפוף לשינויי ניסוח ועריכה</w:t>
      </w:r>
      <w:r w:rsidR="006A749D">
        <w:rPr>
          <w:rFonts w:hint="cs"/>
          <w:color w:val="0000FF"/>
          <w:u w:val="single"/>
          <w:rtl/>
        </w:rPr>
        <w:t xml:space="preserve"> </w:t>
      </w:r>
    </w:p>
    <w:sectPr w:rsidR="00AD7EB6" w:rsidRPr="00AD7EB6" w:rsidSect="00F45389">
      <w:headerReference w:type="even" r:id="rId35"/>
      <w:headerReference w:type="default" r:id="rId36"/>
      <w:footerReference w:type="even" r:id="rId37"/>
      <w:footerReference w:type="default" r:id="rId38"/>
      <w:pgSz w:w="11907" w:h="16840" w:code="9"/>
      <w:pgMar w:top="1701" w:right="1797" w:bottom="1134" w:left="1797"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DF68A2" w14:textId="77777777" w:rsidR="00FF5584" w:rsidRDefault="00FF5584" w:rsidP="001F731D">
      <w:r>
        <w:separator/>
      </w:r>
    </w:p>
  </w:endnote>
  <w:endnote w:type="continuationSeparator" w:id="0">
    <w:p w14:paraId="2D3EE662" w14:textId="77777777" w:rsidR="00FF5584" w:rsidRDefault="00FF5584" w:rsidP="001F7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344C4" w14:textId="77777777" w:rsidR="00F45389" w:rsidRDefault="00F45389" w:rsidP="00F4538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291D9C9" w14:textId="77777777" w:rsidR="00A65D9C" w:rsidRPr="00F45389" w:rsidRDefault="00F45389" w:rsidP="00F45389">
    <w:pPr>
      <w:pStyle w:val="a5"/>
      <w:pBdr>
        <w:top w:val="single" w:sz="4" w:space="1" w:color="auto"/>
        <w:between w:val="single" w:sz="4" w:space="0" w:color="auto"/>
      </w:pBdr>
      <w:spacing w:after="60"/>
      <w:jc w:val="center"/>
      <w:rPr>
        <w:rFonts w:ascii="FrankRuehl" w:hAnsi="FrankRuehl" w:cs="FrankRuehl"/>
        <w:color w:val="000000"/>
      </w:rPr>
    </w:pPr>
    <w:r w:rsidRPr="00F4538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ED7B9C" w14:textId="77777777" w:rsidR="00F45389" w:rsidRDefault="00F45389" w:rsidP="00F4538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C18BF">
      <w:rPr>
        <w:rFonts w:ascii="FrankRuehl" w:hAnsi="FrankRuehl" w:cs="FrankRuehl"/>
        <w:noProof/>
        <w:rtl/>
      </w:rPr>
      <w:t>1</w:t>
    </w:r>
    <w:r>
      <w:rPr>
        <w:rFonts w:ascii="FrankRuehl" w:hAnsi="FrankRuehl" w:cs="FrankRuehl"/>
        <w:rtl/>
      </w:rPr>
      <w:fldChar w:fldCharType="end"/>
    </w:r>
  </w:p>
  <w:p w14:paraId="08ABF0B5" w14:textId="77777777" w:rsidR="00A65D9C" w:rsidRPr="00F45389" w:rsidRDefault="00F45389" w:rsidP="00F45389">
    <w:pPr>
      <w:pStyle w:val="a5"/>
      <w:pBdr>
        <w:top w:val="single" w:sz="4" w:space="1" w:color="auto"/>
        <w:between w:val="single" w:sz="4" w:space="0" w:color="auto"/>
      </w:pBdr>
      <w:spacing w:after="60"/>
      <w:jc w:val="center"/>
      <w:rPr>
        <w:rFonts w:ascii="FrankRuehl" w:hAnsi="FrankRuehl" w:cs="FrankRuehl"/>
        <w:color w:val="000000"/>
      </w:rPr>
    </w:pPr>
    <w:r w:rsidRPr="00F45389">
      <w:rPr>
        <w:rFonts w:ascii="FrankRuehl" w:hAnsi="FrankRuehl" w:cs="FrankRuehl"/>
        <w:color w:val="000000"/>
      </w:rPr>
      <w:pict w14:anchorId="278E36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62A947" w14:textId="77777777" w:rsidR="00FF5584" w:rsidRDefault="00FF5584" w:rsidP="001F731D">
      <w:r>
        <w:separator/>
      </w:r>
    </w:p>
  </w:footnote>
  <w:footnote w:type="continuationSeparator" w:id="0">
    <w:p w14:paraId="7BE05D3D" w14:textId="77777777" w:rsidR="00FF5584" w:rsidRDefault="00FF5584" w:rsidP="001F73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0702D7" w14:textId="77777777" w:rsidR="00AD7EB6" w:rsidRPr="00F45389" w:rsidRDefault="00F45389" w:rsidP="00F45389">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(ראשל"צ) 58141-04-19</w:t>
    </w:r>
    <w:r>
      <w:rPr>
        <w:rFonts w:ascii="David" w:hAnsi="David"/>
        <w:color w:val="000000"/>
        <w:sz w:val="22"/>
        <w:szCs w:val="22"/>
        <w:rtl/>
      </w:rPr>
      <w:tab/>
      <w:t xml:space="preserve"> מדינת ישראל נ' עמוס סבן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B8BDA8" w14:textId="77777777" w:rsidR="00AD7EB6" w:rsidRPr="00F45389" w:rsidRDefault="00F45389" w:rsidP="00F4538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58141-04-19</w:t>
    </w:r>
    <w:r>
      <w:rPr>
        <w:rFonts w:ascii="David" w:hAnsi="David"/>
        <w:color w:val="000000"/>
        <w:sz w:val="22"/>
        <w:szCs w:val="22"/>
        <w:rtl/>
      </w:rPr>
      <w:tab/>
      <w:t xml:space="preserve"> מדינת ישראל נ' עמוס סבן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6D56B9"/>
    <w:multiLevelType w:val="hybridMultilevel"/>
    <w:tmpl w:val="853E2A72"/>
    <w:lvl w:ilvl="0" w:tplc="13EEE89E">
      <w:start w:val="1"/>
      <w:numFmt w:val="hebrew1"/>
      <w:lvlText w:val="%1."/>
      <w:lvlJc w:val="left"/>
      <w:pPr>
        <w:ind w:left="1545" w:hanging="825"/>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3955436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F0153"/>
    <w:rsid w:val="001F731D"/>
    <w:rsid w:val="003A33AF"/>
    <w:rsid w:val="00526C0F"/>
    <w:rsid w:val="005C1219"/>
    <w:rsid w:val="00666421"/>
    <w:rsid w:val="006A749D"/>
    <w:rsid w:val="006B0498"/>
    <w:rsid w:val="007F46AD"/>
    <w:rsid w:val="00806E63"/>
    <w:rsid w:val="008F0153"/>
    <w:rsid w:val="008F1B3E"/>
    <w:rsid w:val="00A65D9C"/>
    <w:rsid w:val="00AD7EB6"/>
    <w:rsid w:val="00BC18BF"/>
    <w:rsid w:val="00DB68A3"/>
    <w:rsid w:val="00F45389"/>
    <w:rsid w:val="00FF55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4626E4D"/>
  <w15:chartTrackingRefBased/>
  <w15:docId w15:val="{F1F2B7A3-CBAB-4A37-8B58-B30ECE953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F015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F0153"/>
    <w:pPr>
      <w:tabs>
        <w:tab w:val="center" w:pos="4153"/>
        <w:tab w:val="right" w:pos="8306"/>
      </w:tabs>
    </w:pPr>
  </w:style>
  <w:style w:type="character" w:customStyle="1" w:styleId="a4">
    <w:name w:val="כותרת עליונה תו"/>
    <w:link w:val="a3"/>
    <w:rsid w:val="008F0153"/>
    <w:rPr>
      <w:rFonts w:ascii="Times New Roman" w:eastAsia="Times New Roman" w:hAnsi="Times New Roman" w:cs="David"/>
      <w:sz w:val="24"/>
      <w:szCs w:val="24"/>
    </w:rPr>
  </w:style>
  <w:style w:type="paragraph" w:styleId="a5">
    <w:name w:val="footer"/>
    <w:basedOn w:val="a"/>
    <w:link w:val="a6"/>
    <w:rsid w:val="008F0153"/>
    <w:pPr>
      <w:tabs>
        <w:tab w:val="center" w:pos="4153"/>
        <w:tab w:val="right" w:pos="8306"/>
      </w:tabs>
    </w:pPr>
  </w:style>
  <w:style w:type="character" w:customStyle="1" w:styleId="a6">
    <w:name w:val="כותרת תחתונה תו"/>
    <w:link w:val="a5"/>
    <w:rsid w:val="008F0153"/>
    <w:rPr>
      <w:rFonts w:ascii="Times New Roman" w:eastAsia="Times New Roman" w:hAnsi="Times New Roman" w:cs="David"/>
      <w:sz w:val="24"/>
      <w:szCs w:val="24"/>
    </w:rPr>
  </w:style>
  <w:style w:type="table" w:styleId="a7">
    <w:name w:val="Table Grid"/>
    <w:basedOn w:val="a1"/>
    <w:rsid w:val="008F015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F0153"/>
  </w:style>
  <w:style w:type="character" w:styleId="Hyperlink">
    <w:name w:val="Hyperlink"/>
    <w:rsid w:val="00AD7E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9" TargetMode="External"/><Relationship Id="rId18" Type="http://schemas.openxmlformats.org/officeDocument/2006/relationships/hyperlink" Target="http://www.nevo.co.il/case/24492956" TargetMode="External"/><Relationship Id="rId26" Type="http://schemas.openxmlformats.org/officeDocument/2006/relationships/hyperlink" Target="http://www.nevo.co.il/law/70301" TargetMode="External"/><Relationship Id="rId39" Type="http://schemas.openxmlformats.org/officeDocument/2006/relationships/fontTable" Target="fontTable.xml"/><Relationship Id="rId21" Type="http://schemas.openxmlformats.org/officeDocument/2006/relationships/hyperlink" Target="http://www.nevo.co.il/case/22299115"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40i" TargetMode="External"/><Relationship Id="rId17" Type="http://schemas.openxmlformats.org/officeDocument/2006/relationships/hyperlink" Target="http://www.nevo.co.il/case/25191250" TargetMode="External"/><Relationship Id="rId25" Type="http://schemas.openxmlformats.org/officeDocument/2006/relationships/hyperlink" Target="http://www.nevo.co.il/law/70301/40i" TargetMode="External"/><Relationship Id="rId33" Type="http://schemas.openxmlformats.org/officeDocument/2006/relationships/hyperlink" Target="http://www.nevo.co.il/case/20329656"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4216/15" TargetMode="External"/><Relationship Id="rId20" Type="http://schemas.openxmlformats.org/officeDocument/2006/relationships/hyperlink" Target="http://www.nevo.co.il/case/22555735" TargetMode="External"/><Relationship Id="rId29" Type="http://schemas.openxmlformats.org/officeDocument/2006/relationships/hyperlink" Target="http://www.nevo.co.il/case/2637556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c.a" TargetMode="External"/><Relationship Id="rId24" Type="http://schemas.openxmlformats.org/officeDocument/2006/relationships/hyperlink" Target="http://www.nevo.co.il/law/70301/40c.a" TargetMode="External"/><Relationship Id="rId32" Type="http://schemas.openxmlformats.org/officeDocument/2006/relationships/hyperlink" Target="http://www.nevo.co.il/case/18653868"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10472985" TargetMode="External"/><Relationship Id="rId28" Type="http://schemas.openxmlformats.org/officeDocument/2006/relationships/hyperlink" Target="http://www.nevo.co.il/law/70301" TargetMode="External"/><Relationship Id="rId36"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hyperlink" Target="http://www.nevo.co.il/case/24335788" TargetMode="External"/><Relationship Id="rId31" Type="http://schemas.openxmlformats.org/officeDocument/2006/relationships/hyperlink" Target="http://www.nevo.co.il/case/26484844" TargetMode="External"/><Relationship Id="rId4" Type="http://schemas.openxmlformats.org/officeDocument/2006/relationships/webSettings" Target="webSettings.xml"/><Relationship Id="rId9" Type="http://schemas.openxmlformats.org/officeDocument/2006/relationships/hyperlink" Target="http://www.nevo.co.il/law/4216/15" TargetMode="External"/><Relationship Id="rId14" Type="http://schemas.openxmlformats.org/officeDocument/2006/relationships/hyperlink" Target="http://www.nevo.co.il/law/4216/6" TargetMode="External"/><Relationship Id="rId22" Type="http://schemas.openxmlformats.org/officeDocument/2006/relationships/hyperlink" Target="http://www.nevo.co.il/case/21561698" TargetMode="External"/><Relationship Id="rId27" Type="http://schemas.openxmlformats.org/officeDocument/2006/relationships/hyperlink" Target="http://www.nevo.co.il/law/70301/40ja.9" TargetMode="External"/><Relationship Id="rId30" Type="http://schemas.openxmlformats.org/officeDocument/2006/relationships/hyperlink" Target="http://www.nevo.co.il/case/21021181" TargetMode="External"/><Relationship Id="rId35" Type="http://schemas.openxmlformats.org/officeDocument/2006/relationships/header" Target="header1.xml"/><Relationship Id="rId8" Type="http://schemas.openxmlformats.org/officeDocument/2006/relationships/hyperlink" Target="http://www.nevo.co.il/law/4216/6"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2671</Words>
  <Characters>13358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15998</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3997808</vt:i4>
      </vt:variant>
      <vt:variant>
        <vt:i4>78</vt:i4>
      </vt:variant>
      <vt:variant>
        <vt:i4>0</vt:i4>
      </vt:variant>
      <vt:variant>
        <vt:i4>5</vt:i4>
      </vt:variant>
      <vt:variant>
        <vt:lpwstr>http://www.nevo.co.il/case/20329656</vt:lpwstr>
      </vt:variant>
      <vt:variant>
        <vt:lpwstr/>
      </vt:variant>
      <vt:variant>
        <vt:i4>3276913</vt:i4>
      </vt:variant>
      <vt:variant>
        <vt:i4>75</vt:i4>
      </vt:variant>
      <vt:variant>
        <vt:i4>0</vt:i4>
      </vt:variant>
      <vt:variant>
        <vt:i4>5</vt:i4>
      </vt:variant>
      <vt:variant>
        <vt:lpwstr>http://www.nevo.co.il/case/18653868</vt:lpwstr>
      </vt:variant>
      <vt:variant>
        <vt:lpwstr/>
      </vt:variant>
      <vt:variant>
        <vt:i4>3539058</vt:i4>
      </vt:variant>
      <vt:variant>
        <vt:i4>72</vt:i4>
      </vt:variant>
      <vt:variant>
        <vt:i4>0</vt:i4>
      </vt:variant>
      <vt:variant>
        <vt:i4>5</vt:i4>
      </vt:variant>
      <vt:variant>
        <vt:lpwstr>http://www.nevo.co.il/case/26484844</vt:lpwstr>
      </vt:variant>
      <vt:variant>
        <vt:lpwstr/>
      </vt:variant>
      <vt:variant>
        <vt:i4>3866742</vt:i4>
      </vt:variant>
      <vt:variant>
        <vt:i4>69</vt:i4>
      </vt:variant>
      <vt:variant>
        <vt:i4>0</vt:i4>
      </vt:variant>
      <vt:variant>
        <vt:i4>5</vt:i4>
      </vt:variant>
      <vt:variant>
        <vt:lpwstr>http://www.nevo.co.il/case/21021181</vt:lpwstr>
      </vt:variant>
      <vt:variant>
        <vt:lpwstr/>
      </vt:variant>
      <vt:variant>
        <vt:i4>3276912</vt:i4>
      </vt:variant>
      <vt:variant>
        <vt:i4>66</vt:i4>
      </vt:variant>
      <vt:variant>
        <vt:i4>0</vt:i4>
      </vt:variant>
      <vt:variant>
        <vt:i4>5</vt:i4>
      </vt:variant>
      <vt:variant>
        <vt:lpwstr>http://www.nevo.co.il/case/26375569</vt:lpwstr>
      </vt:variant>
      <vt:variant>
        <vt:lpwstr/>
      </vt:variant>
      <vt:variant>
        <vt:i4>7995492</vt:i4>
      </vt:variant>
      <vt:variant>
        <vt:i4>63</vt:i4>
      </vt:variant>
      <vt:variant>
        <vt:i4>0</vt:i4>
      </vt:variant>
      <vt:variant>
        <vt:i4>5</vt:i4>
      </vt:variant>
      <vt:variant>
        <vt:lpwstr>http://www.nevo.co.il/law/70301</vt:lpwstr>
      </vt:variant>
      <vt:variant>
        <vt:lpwstr/>
      </vt:variant>
      <vt:variant>
        <vt:i4>3997733</vt:i4>
      </vt:variant>
      <vt:variant>
        <vt:i4>60</vt:i4>
      </vt:variant>
      <vt:variant>
        <vt:i4>0</vt:i4>
      </vt:variant>
      <vt:variant>
        <vt:i4>5</vt:i4>
      </vt:variant>
      <vt:variant>
        <vt:lpwstr>http://www.nevo.co.il/law/70301/40ja.9</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http://www.nevo.co.il/law/70301/40i</vt:lpwstr>
      </vt:variant>
      <vt:variant>
        <vt:lpwstr/>
      </vt:variant>
      <vt:variant>
        <vt:i4>4915202</vt:i4>
      </vt:variant>
      <vt:variant>
        <vt:i4>51</vt:i4>
      </vt:variant>
      <vt:variant>
        <vt:i4>0</vt:i4>
      </vt:variant>
      <vt:variant>
        <vt:i4>5</vt:i4>
      </vt:variant>
      <vt:variant>
        <vt:lpwstr>http://www.nevo.co.il/law/70301/40c.a</vt:lpwstr>
      </vt:variant>
      <vt:variant>
        <vt:lpwstr/>
      </vt:variant>
      <vt:variant>
        <vt:i4>4128890</vt:i4>
      </vt:variant>
      <vt:variant>
        <vt:i4>48</vt:i4>
      </vt:variant>
      <vt:variant>
        <vt:i4>0</vt:i4>
      </vt:variant>
      <vt:variant>
        <vt:i4>5</vt:i4>
      </vt:variant>
      <vt:variant>
        <vt:lpwstr>http://www.nevo.co.il/case/10472985</vt:lpwstr>
      </vt:variant>
      <vt:variant>
        <vt:lpwstr/>
      </vt:variant>
      <vt:variant>
        <vt:i4>4128885</vt:i4>
      </vt:variant>
      <vt:variant>
        <vt:i4>45</vt:i4>
      </vt:variant>
      <vt:variant>
        <vt:i4>0</vt:i4>
      </vt:variant>
      <vt:variant>
        <vt:i4>5</vt:i4>
      </vt:variant>
      <vt:variant>
        <vt:lpwstr>http://www.nevo.co.il/case/21561698</vt:lpwstr>
      </vt:variant>
      <vt:variant>
        <vt:lpwstr/>
      </vt:variant>
      <vt:variant>
        <vt:i4>3670142</vt:i4>
      </vt:variant>
      <vt:variant>
        <vt:i4>42</vt:i4>
      </vt:variant>
      <vt:variant>
        <vt:i4>0</vt:i4>
      </vt:variant>
      <vt:variant>
        <vt:i4>5</vt:i4>
      </vt:variant>
      <vt:variant>
        <vt:lpwstr>http://www.nevo.co.il/case/22299115</vt:lpwstr>
      </vt:variant>
      <vt:variant>
        <vt:lpwstr/>
      </vt:variant>
      <vt:variant>
        <vt:i4>3211380</vt:i4>
      </vt:variant>
      <vt:variant>
        <vt:i4>39</vt:i4>
      </vt:variant>
      <vt:variant>
        <vt:i4>0</vt:i4>
      </vt:variant>
      <vt:variant>
        <vt:i4>5</vt:i4>
      </vt:variant>
      <vt:variant>
        <vt:lpwstr>http://www.nevo.co.il/case/22555735</vt:lpwstr>
      </vt:variant>
      <vt:variant>
        <vt:lpwstr/>
      </vt:variant>
      <vt:variant>
        <vt:i4>3932276</vt:i4>
      </vt:variant>
      <vt:variant>
        <vt:i4>36</vt:i4>
      </vt:variant>
      <vt:variant>
        <vt:i4>0</vt:i4>
      </vt:variant>
      <vt:variant>
        <vt:i4>5</vt:i4>
      </vt:variant>
      <vt:variant>
        <vt:lpwstr>http://www.nevo.co.il/case/24335788</vt:lpwstr>
      </vt:variant>
      <vt:variant>
        <vt:lpwstr/>
      </vt:variant>
      <vt:variant>
        <vt:i4>3211376</vt:i4>
      </vt:variant>
      <vt:variant>
        <vt:i4>33</vt:i4>
      </vt:variant>
      <vt:variant>
        <vt:i4>0</vt:i4>
      </vt:variant>
      <vt:variant>
        <vt:i4>5</vt:i4>
      </vt:variant>
      <vt:variant>
        <vt:lpwstr>http://www.nevo.co.il/case/24492956</vt:lpwstr>
      </vt:variant>
      <vt:variant>
        <vt:lpwstr/>
      </vt:variant>
      <vt:variant>
        <vt:i4>3604602</vt:i4>
      </vt:variant>
      <vt:variant>
        <vt:i4>30</vt:i4>
      </vt:variant>
      <vt:variant>
        <vt:i4>0</vt:i4>
      </vt:variant>
      <vt:variant>
        <vt:i4>5</vt:i4>
      </vt:variant>
      <vt:variant>
        <vt:lpwstr>http://www.nevo.co.il/case/25191250</vt:lpwstr>
      </vt:variant>
      <vt:variant>
        <vt:lpwstr/>
      </vt:variant>
      <vt:variant>
        <vt:i4>5177418</vt:i4>
      </vt:variant>
      <vt:variant>
        <vt:i4>27</vt:i4>
      </vt:variant>
      <vt:variant>
        <vt:i4>0</vt:i4>
      </vt:variant>
      <vt:variant>
        <vt:i4>5</vt:i4>
      </vt:variant>
      <vt:variant>
        <vt:lpwstr>http://www.nevo.co.il/law/4216/15</vt:lpwstr>
      </vt:variant>
      <vt:variant>
        <vt:lpwstr/>
      </vt:variant>
      <vt:variant>
        <vt:i4>8257637</vt:i4>
      </vt:variant>
      <vt:variant>
        <vt:i4>24</vt:i4>
      </vt:variant>
      <vt:variant>
        <vt:i4>0</vt:i4>
      </vt:variant>
      <vt:variant>
        <vt:i4>5</vt:i4>
      </vt:variant>
      <vt:variant>
        <vt:lpwstr>http://www.nevo.co.il/law/4216</vt:lpwstr>
      </vt:variant>
      <vt:variant>
        <vt:lpwstr/>
      </vt:variant>
      <vt:variant>
        <vt:i4>4718666</vt:i4>
      </vt:variant>
      <vt:variant>
        <vt:i4>21</vt:i4>
      </vt:variant>
      <vt:variant>
        <vt:i4>0</vt:i4>
      </vt:variant>
      <vt:variant>
        <vt:i4>5</vt:i4>
      </vt:variant>
      <vt:variant>
        <vt:lpwstr>http://www.nevo.co.il/law/4216/6</vt:lpwstr>
      </vt:variant>
      <vt:variant>
        <vt:lpwstr/>
      </vt:variant>
      <vt:variant>
        <vt:i4>3997733</vt:i4>
      </vt:variant>
      <vt:variant>
        <vt:i4>18</vt:i4>
      </vt:variant>
      <vt:variant>
        <vt:i4>0</vt:i4>
      </vt:variant>
      <vt:variant>
        <vt:i4>5</vt:i4>
      </vt:variant>
      <vt:variant>
        <vt:lpwstr>http://www.nevo.co.il/law/70301/40ja.9</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http://www.nevo.co.il/law/4216/15</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2025-04-23T00:09:00Z</dcterms:created>
  <dcterms:modified xsi:type="dcterms:W3CDTF">2025-04-23T00:09:00Z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58141</vt:lpwstr>
  </property>
  <property fmtid="{D5CDD505-2E9C-101B-9397-08002B2CF9AE}" pid="6" name="NEWPARTB">
    <vt:lpwstr>04</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עמוס סבן</vt:lpwstr>
  </property>
  <property fmtid="{D5CDD505-2E9C-101B-9397-08002B2CF9AE}" pid="10" name="LAWYER">
    <vt:lpwstr>עידן סטולוב;דגנית משעלי</vt:lpwstr>
  </property>
  <property fmtid="{D5CDD505-2E9C-101B-9397-08002B2CF9AE}" pid="11" name="JUDGE">
    <vt:lpwstr>גיא אבנון</vt:lpwstr>
  </property>
  <property fmtid="{D5CDD505-2E9C-101B-9397-08002B2CF9AE}" pid="12" name="CITY">
    <vt:lpwstr>ראשל"צ</vt:lpwstr>
  </property>
  <property fmtid="{D5CDD505-2E9C-101B-9397-08002B2CF9AE}" pid="13" name="DATE">
    <vt:lpwstr>20201110</vt:lpwstr>
  </property>
  <property fmtid="{D5CDD505-2E9C-101B-9397-08002B2CF9AE}" pid="14" name="TYPE_N_DATE">
    <vt:lpwstr>38020201110</vt:lpwstr>
  </property>
  <property fmtid="{D5CDD505-2E9C-101B-9397-08002B2CF9AE}" pid="15" name="WORDNUMPAGES">
    <vt:lpwstr>8</vt:lpwstr>
  </property>
  <property fmtid="{D5CDD505-2E9C-101B-9397-08002B2CF9AE}" pid="16" name="TYPE_ABS_DATE">
    <vt:lpwstr>380020201110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25191250;24492956;24335788;22555735;22299115;21561698;10472985;26375569;21021181;26484844;18653868;20329656</vt:lpwstr>
  </property>
  <property fmtid="{D5CDD505-2E9C-101B-9397-08002B2CF9AE}" pid="36" name="LAWLISTTMP1">
    <vt:lpwstr>4216/006;015</vt:lpwstr>
  </property>
  <property fmtid="{D5CDD505-2E9C-101B-9397-08002B2CF9AE}" pid="37" name="LAWLISTTMP2">
    <vt:lpwstr>70301/040c.a;040i;40ja.9</vt:lpwstr>
  </property>
</Properties>
</file>