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9095E" w:rsidRPr="000644AB" w14:paraId="43F7609D" w14:textId="77777777" w:rsidTr="00E350ED">
        <w:trPr>
          <w:trHeight w:hRule="exact" w:val="418"/>
          <w:jc w:val="center"/>
        </w:trPr>
        <w:tc>
          <w:tcPr>
            <w:tcW w:w="8721" w:type="dxa"/>
            <w:gridSpan w:val="2"/>
          </w:tcPr>
          <w:p w14:paraId="11D56E5B" w14:textId="77777777" w:rsidR="0089095E" w:rsidRPr="000644AB" w:rsidRDefault="0089095E" w:rsidP="008666C8">
            <w:pPr>
              <w:pStyle w:val="a3"/>
              <w:jc w:val="center"/>
              <w:rPr>
                <w:rFonts w:ascii="Tahoma" w:hAnsi="Tahoma" w:cs="Tahoma"/>
                <w:color w:val="000080"/>
                <w:rtl/>
              </w:rPr>
            </w:pPr>
            <w:bookmarkStart w:id="0" w:name="LastJudge"/>
            <w:r w:rsidRPr="000644AB">
              <w:rPr>
                <w:rFonts w:ascii="Tahoma" w:hAnsi="Tahoma" w:cs="Tahoma"/>
                <w:b/>
                <w:bCs/>
                <w:color w:val="000080"/>
                <w:rtl/>
              </w:rPr>
              <w:t>בית משפט השלום בירושלים</w:t>
            </w:r>
          </w:p>
        </w:tc>
      </w:tr>
      <w:tr w:rsidR="0089095E" w:rsidRPr="000644AB" w14:paraId="529BB89E" w14:textId="77777777" w:rsidTr="00E350ED">
        <w:trPr>
          <w:trHeight w:val="337"/>
          <w:jc w:val="center"/>
        </w:trPr>
        <w:tc>
          <w:tcPr>
            <w:tcW w:w="5055" w:type="dxa"/>
          </w:tcPr>
          <w:p w14:paraId="044252C9" w14:textId="77777777" w:rsidR="0089095E" w:rsidRPr="000644AB" w:rsidRDefault="0089095E" w:rsidP="008666C8">
            <w:pPr>
              <w:rPr>
                <w:rFonts w:ascii="David" w:hAnsi="David"/>
                <w:b/>
                <w:bCs/>
                <w:sz w:val="26"/>
                <w:szCs w:val="26"/>
                <w:rtl/>
              </w:rPr>
            </w:pPr>
            <w:r w:rsidRPr="000644AB">
              <w:rPr>
                <w:rFonts w:ascii="David" w:hAnsi="David"/>
                <w:b/>
                <w:bCs/>
                <w:sz w:val="26"/>
                <w:szCs w:val="26"/>
                <w:rtl/>
              </w:rPr>
              <w:br/>
              <w:t>ת"פ 18320-05-19 מדינת ישראל נ' אביקזר</w:t>
            </w:r>
            <w:r w:rsidRPr="000644AB">
              <w:rPr>
                <w:rFonts w:ascii="David" w:hAnsi="David"/>
                <w:b/>
                <w:bCs/>
                <w:sz w:val="26"/>
                <w:szCs w:val="26"/>
                <w:rtl/>
              </w:rPr>
              <w:br/>
            </w:r>
          </w:p>
        </w:tc>
        <w:tc>
          <w:tcPr>
            <w:tcW w:w="3666" w:type="dxa"/>
          </w:tcPr>
          <w:p w14:paraId="7F6EA422" w14:textId="77777777" w:rsidR="0089095E" w:rsidRPr="000644AB" w:rsidRDefault="0089095E" w:rsidP="008666C8">
            <w:pPr>
              <w:pStyle w:val="a3"/>
              <w:jc w:val="right"/>
              <w:rPr>
                <w:rFonts w:cs="FrankRuehl"/>
                <w:sz w:val="28"/>
                <w:szCs w:val="28"/>
                <w:rtl/>
              </w:rPr>
            </w:pPr>
          </w:p>
        </w:tc>
      </w:tr>
    </w:tbl>
    <w:p w14:paraId="3B066070" w14:textId="77777777" w:rsidR="0089095E" w:rsidRPr="000644AB" w:rsidRDefault="0089095E" w:rsidP="00F85A49">
      <w:pPr>
        <w:spacing w:before="120" w:after="120" w:line="240" w:lineRule="exact"/>
        <w:jc w:val="center"/>
        <w:rPr>
          <w:rFonts w:ascii="David" w:hAnsi="David"/>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9095E" w:rsidRPr="000644AB" w14:paraId="07C0C31D" w14:textId="77777777" w:rsidTr="0089095E">
        <w:trPr>
          <w:trHeight w:val="295"/>
          <w:jc w:val="center"/>
        </w:trPr>
        <w:tc>
          <w:tcPr>
            <w:tcW w:w="923" w:type="dxa"/>
            <w:tcBorders>
              <w:top w:val="nil"/>
              <w:left w:val="nil"/>
              <w:bottom w:val="nil"/>
              <w:right w:val="nil"/>
            </w:tcBorders>
            <w:shd w:val="clear" w:color="auto" w:fill="auto"/>
          </w:tcPr>
          <w:p w14:paraId="7EAE76C2" w14:textId="77777777" w:rsidR="0089095E" w:rsidRPr="00F85A49" w:rsidRDefault="0089095E" w:rsidP="00F85A49">
            <w:pPr>
              <w:spacing w:before="120" w:after="120" w:line="240" w:lineRule="exact"/>
              <w:rPr>
                <w:rFonts w:ascii="David" w:hAnsi="David"/>
                <w:b/>
                <w:bCs/>
                <w:sz w:val="26"/>
                <w:szCs w:val="26"/>
              </w:rPr>
            </w:pPr>
            <w:r w:rsidRPr="00F85A49">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60EFB06" w14:textId="77777777" w:rsidR="0089095E" w:rsidRPr="00F85A49" w:rsidRDefault="0089095E" w:rsidP="00F85A49">
            <w:pPr>
              <w:spacing w:before="120" w:after="120" w:line="240" w:lineRule="exact"/>
              <w:rPr>
                <w:rFonts w:ascii="David" w:hAnsi="David" w:hint="cs"/>
                <w:b/>
                <w:bCs/>
                <w:sz w:val="26"/>
                <w:szCs w:val="26"/>
              </w:rPr>
            </w:pPr>
            <w:r w:rsidRPr="00F85A49">
              <w:rPr>
                <w:rFonts w:ascii="David" w:hAnsi="David"/>
                <w:b/>
                <w:bCs/>
                <w:sz w:val="26"/>
                <w:szCs w:val="26"/>
                <w:rtl/>
              </w:rPr>
              <w:t>כבוד השופט  ארנון איתן</w:t>
            </w:r>
          </w:p>
        </w:tc>
      </w:tr>
      <w:tr w:rsidR="0089095E" w:rsidRPr="000644AB" w14:paraId="43F5768C" w14:textId="77777777" w:rsidTr="0089095E">
        <w:trPr>
          <w:trHeight w:val="355"/>
          <w:jc w:val="center"/>
        </w:trPr>
        <w:tc>
          <w:tcPr>
            <w:tcW w:w="923" w:type="dxa"/>
            <w:tcBorders>
              <w:top w:val="nil"/>
              <w:left w:val="nil"/>
              <w:bottom w:val="nil"/>
              <w:right w:val="nil"/>
            </w:tcBorders>
            <w:shd w:val="clear" w:color="auto" w:fill="auto"/>
          </w:tcPr>
          <w:p w14:paraId="0909F047" w14:textId="77777777" w:rsidR="0089095E" w:rsidRPr="00F85A49" w:rsidRDefault="0089095E" w:rsidP="00F85A49">
            <w:pPr>
              <w:spacing w:before="120" w:after="120" w:line="240" w:lineRule="exact"/>
              <w:rPr>
                <w:rFonts w:ascii="David" w:hAnsi="David"/>
                <w:b/>
                <w:bCs/>
                <w:sz w:val="26"/>
                <w:szCs w:val="26"/>
              </w:rPr>
            </w:pPr>
            <w:bookmarkStart w:id="1" w:name="FirstAppellant"/>
            <w:r w:rsidRPr="00F85A49">
              <w:rPr>
                <w:rFonts w:ascii="David" w:hAnsi="David"/>
                <w:b/>
                <w:bCs/>
                <w:sz w:val="26"/>
                <w:szCs w:val="26"/>
                <w:rtl/>
              </w:rPr>
              <w:t>בעניין:</w:t>
            </w:r>
          </w:p>
        </w:tc>
        <w:tc>
          <w:tcPr>
            <w:tcW w:w="4126" w:type="dxa"/>
            <w:tcBorders>
              <w:top w:val="nil"/>
              <w:left w:val="nil"/>
              <w:bottom w:val="nil"/>
              <w:right w:val="nil"/>
            </w:tcBorders>
            <w:shd w:val="clear" w:color="auto" w:fill="auto"/>
          </w:tcPr>
          <w:p w14:paraId="5D5384DF" w14:textId="77777777" w:rsidR="0089095E" w:rsidRPr="00F85A49" w:rsidRDefault="0089095E" w:rsidP="00F85A49">
            <w:pPr>
              <w:spacing w:before="120" w:after="120" w:line="240" w:lineRule="exact"/>
              <w:rPr>
                <w:rFonts w:ascii="David" w:hAnsi="David"/>
                <w:b/>
                <w:bCs/>
                <w:sz w:val="26"/>
                <w:szCs w:val="26"/>
              </w:rPr>
            </w:pPr>
            <w:r w:rsidRPr="00F85A49">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81D37E0" w14:textId="77777777" w:rsidR="0089095E" w:rsidRPr="00F85A49" w:rsidRDefault="0089095E" w:rsidP="00F85A49">
            <w:pPr>
              <w:spacing w:before="120" w:after="120" w:line="240" w:lineRule="exact"/>
              <w:rPr>
                <w:rFonts w:ascii="David" w:hAnsi="David"/>
                <w:b/>
                <w:bCs/>
                <w:sz w:val="26"/>
                <w:szCs w:val="26"/>
              </w:rPr>
            </w:pPr>
          </w:p>
        </w:tc>
      </w:tr>
      <w:bookmarkEnd w:id="1"/>
      <w:tr w:rsidR="0089095E" w:rsidRPr="000644AB" w14:paraId="0724490C" w14:textId="77777777" w:rsidTr="0089095E">
        <w:trPr>
          <w:trHeight w:val="355"/>
          <w:jc w:val="center"/>
        </w:trPr>
        <w:tc>
          <w:tcPr>
            <w:tcW w:w="923" w:type="dxa"/>
            <w:tcBorders>
              <w:top w:val="nil"/>
              <w:left w:val="nil"/>
              <w:bottom w:val="nil"/>
              <w:right w:val="nil"/>
            </w:tcBorders>
            <w:shd w:val="clear" w:color="auto" w:fill="auto"/>
          </w:tcPr>
          <w:p w14:paraId="3AD1C176" w14:textId="77777777" w:rsidR="0089095E" w:rsidRPr="00F85A49" w:rsidRDefault="0089095E" w:rsidP="00F85A49">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1BF79539" w14:textId="77777777" w:rsidR="0089095E" w:rsidRPr="00F85A49" w:rsidRDefault="0089095E" w:rsidP="00F85A49">
            <w:pPr>
              <w:spacing w:before="120" w:after="120" w:line="240" w:lineRule="exact"/>
              <w:rPr>
                <w:rFonts w:ascii="David" w:hAnsi="David"/>
                <w:b/>
                <w:bCs/>
                <w:sz w:val="26"/>
                <w:szCs w:val="26"/>
                <w:rtl/>
              </w:rPr>
            </w:pPr>
          </w:p>
        </w:tc>
        <w:tc>
          <w:tcPr>
            <w:tcW w:w="3771" w:type="dxa"/>
            <w:tcBorders>
              <w:top w:val="nil"/>
              <w:left w:val="nil"/>
              <w:bottom w:val="nil"/>
              <w:right w:val="nil"/>
            </w:tcBorders>
            <w:shd w:val="clear" w:color="auto" w:fill="auto"/>
          </w:tcPr>
          <w:p w14:paraId="04247EE2" w14:textId="77777777" w:rsidR="0089095E" w:rsidRPr="00F85A49" w:rsidRDefault="0089095E" w:rsidP="00F85A49">
            <w:pPr>
              <w:spacing w:before="120" w:after="120" w:line="240" w:lineRule="exact"/>
              <w:jc w:val="right"/>
              <w:rPr>
                <w:rFonts w:ascii="David" w:hAnsi="David"/>
                <w:b/>
                <w:bCs/>
                <w:sz w:val="26"/>
                <w:szCs w:val="26"/>
                <w:rtl/>
              </w:rPr>
            </w:pPr>
            <w:r w:rsidRPr="00F85A49">
              <w:rPr>
                <w:rFonts w:ascii="David" w:hAnsi="David"/>
                <w:b/>
                <w:bCs/>
                <w:sz w:val="26"/>
                <w:szCs w:val="26"/>
                <w:rtl/>
              </w:rPr>
              <w:t>המאשימה</w:t>
            </w:r>
          </w:p>
        </w:tc>
      </w:tr>
      <w:tr w:rsidR="00F85A49" w:rsidRPr="000644AB" w14:paraId="70155549" w14:textId="77777777" w:rsidTr="00840356">
        <w:trPr>
          <w:trHeight w:val="355"/>
          <w:jc w:val="center"/>
        </w:trPr>
        <w:tc>
          <w:tcPr>
            <w:tcW w:w="8820" w:type="dxa"/>
            <w:gridSpan w:val="3"/>
            <w:tcBorders>
              <w:top w:val="nil"/>
              <w:left w:val="nil"/>
              <w:bottom w:val="nil"/>
              <w:right w:val="nil"/>
            </w:tcBorders>
            <w:shd w:val="clear" w:color="auto" w:fill="auto"/>
          </w:tcPr>
          <w:p w14:paraId="1612F388" w14:textId="77777777" w:rsidR="00F85A49" w:rsidRPr="00F85A49" w:rsidRDefault="00F85A49" w:rsidP="00F85A49">
            <w:pPr>
              <w:tabs>
                <w:tab w:val="left" w:pos="2848"/>
                <w:tab w:val="center" w:pos="3840"/>
              </w:tabs>
              <w:spacing w:before="240" w:after="240" w:line="240" w:lineRule="exact"/>
              <w:jc w:val="center"/>
              <w:rPr>
                <w:rFonts w:ascii="David" w:hAnsi="David" w:hint="cs"/>
                <w:b/>
                <w:bCs/>
                <w:sz w:val="26"/>
                <w:szCs w:val="26"/>
              </w:rPr>
            </w:pPr>
            <w:r w:rsidRPr="00F85A49">
              <w:rPr>
                <w:rFonts w:ascii="David" w:hAnsi="David"/>
                <w:b/>
                <w:bCs/>
                <w:sz w:val="26"/>
                <w:szCs w:val="26"/>
                <w:rtl/>
              </w:rPr>
              <w:t>נגד</w:t>
            </w:r>
          </w:p>
        </w:tc>
      </w:tr>
      <w:tr w:rsidR="0089095E" w:rsidRPr="000644AB" w14:paraId="6C41EB62" w14:textId="77777777" w:rsidTr="0089095E">
        <w:trPr>
          <w:trHeight w:val="355"/>
          <w:jc w:val="center"/>
        </w:trPr>
        <w:tc>
          <w:tcPr>
            <w:tcW w:w="923" w:type="dxa"/>
            <w:tcBorders>
              <w:top w:val="nil"/>
              <w:left w:val="nil"/>
              <w:bottom w:val="nil"/>
              <w:right w:val="nil"/>
            </w:tcBorders>
            <w:shd w:val="clear" w:color="auto" w:fill="auto"/>
          </w:tcPr>
          <w:p w14:paraId="7D75CA27" w14:textId="77777777" w:rsidR="0089095E" w:rsidRPr="00F85A49" w:rsidRDefault="0089095E" w:rsidP="00F85A49">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2AD92518" w14:textId="77777777" w:rsidR="0089095E" w:rsidRPr="00F85A49" w:rsidRDefault="0089095E" w:rsidP="00F85A49">
            <w:pPr>
              <w:spacing w:before="120" w:after="120" w:line="240" w:lineRule="exact"/>
              <w:rPr>
                <w:rFonts w:ascii="David" w:hAnsi="David"/>
                <w:b/>
                <w:bCs/>
                <w:sz w:val="26"/>
                <w:szCs w:val="26"/>
                <w:rtl/>
              </w:rPr>
            </w:pPr>
            <w:r w:rsidRPr="00F85A49">
              <w:rPr>
                <w:rFonts w:ascii="David" w:hAnsi="David"/>
                <w:b/>
                <w:bCs/>
                <w:sz w:val="26"/>
                <w:szCs w:val="26"/>
                <w:rtl/>
              </w:rPr>
              <w:t xml:space="preserve">חנניה חננאל אביקזר </w:t>
            </w:r>
          </w:p>
        </w:tc>
        <w:tc>
          <w:tcPr>
            <w:tcW w:w="3771" w:type="dxa"/>
            <w:tcBorders>
              <w:top w:val="nil"/>
              <w:left w:val="nil"/>
              <w:bottom w:val="nil"/>
              <w:right w:val="nil"/>
            </w:tcBorders>
            <w:shd w:val="clear" w:color="auto" w:fill="auto"/>
          </w:tcPr>
          <w:p w14:paraId="6770C4FC" w14:textId="77777777" w:rsidR="0089095E" w:rsidRPr="00F85A49" w:rsidRDefault="0089095E" w:rsidP="00F85A49">
            <w:pPr>
              <w:spacing w:before="120" w:after="120" w:line="240" w:lineRule="exact"/>
              <w:rPr>
                <w:rFonts w:ascii="David" w:hAnsi="David"/>
                <w:b/>
                <w:bCs/>
                <w:sz w:val="26"/>
                <w:szCs w:val="26"/>
              </w:rPr>
            </w:pPr>
          </w:p>
        </w:tc>
      </w:tr>
      <w:tr w:rsidR="0089095E" w:rsidRPr="000644AB" w14:paraId="0D796C75" w14:textId="77777777" w:rsidTr="0089095E">
        <w:trPr>
          <w:trHeight w:val="355"/>
          <w:jc w:val="center"/>
        </w:trPr>
        <w:tc>
          <w:tcPr>
            <w:tcW w:w="923" w:type="dxa"/>
            <w:tcBorders>
              <w:top w:val="nil"/>
              <w:left w:val="nil"/>
              <w:bottom w:val="nil"/>
              <w:right w:val="nil"/>
            </w:tcBorders>
            <w:shd w:val="clear" w:color="auto" w:fill="auto"/>
          </w:tcPr>
          <w:p w14:paraId="37F007C3" w14:textId="77777777" w:rsidR="0089095E" w:rsidRPr="00F85A49" w:rsidRDefault="0089095E" w:rsidP="00F85A49">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0E6692BE" w14:textId="77777777" w:rsidR="0089095E" w:rsidRPr="00F85A49" w:rsidRDefault="0089095E" w:rsidP="00F85A49">
            <w:pPr>
              <w:spacing w:before="120" w:after="120" w:line="240" w:lineRule="exact"/>
              <w:rPr>
                <w:rFonts w:ascii="David" w:hAnsi="David"/>
                <w:b/>
                <w:bCs/>
                <w:sz w:val="26"/>
                <w:szCs w:val="26"/>
                <w:rtl/>
              </w:rPr>
            </w:pPr>
          </w:p>
        </w:tc>
        <w:tc>
          <w:tcPr>
            <w:tcW w:w="3771" w:type="dxa"/>
            <w:tcBorders>
              <w:top w:val="nil"/>
              <w:left w:val="nil"/>
              <w:bottom w:val="nil"/>
              <w:right w:val="nil"/>
            </w:tcBorders>
            <w:shd w:val="clear" w:color="auto" w:fill="auto"/>
          </w:tcPr>
          <w:p w14:paraId="101840C5" w14:textId="77777777" w:rsidR="0089095E" w:rsidRPr="00F85A49" w:rsidRDefault="0089095E" w:rsidP="00F85A49">
            <w:pPr>
              <w:spacing w:before="120" w:after="120" w:line="240" w:lineRule="exact"/>
              <w:jc w:val="right"/>
              <w:rPr>
                <w:rFonts w:ascii="David" w:hAnsi="David"/>
                <w:b/>
                <w:bCs/>
                <w:sz w:val="26"/>
                <w:szCs w:val="26"/>
              </w:rPr>
            </w:pPr>
            <w:r w:rsidRPr="00F85A49">
              <w:rPr>
                <w:rFonts w:ascii="David" w:hAnsi="David"/>
                <w:b/>
                <w:bCs/>
                <w:sz w:val="26"/>
                <w:szCs w:val="26"/>
                <w:rtl/>
              </w:rPr>
              <w:t>הנאשם</w:t>
            </w:r>
          </w:p>
        </w:tc>
      </w:tr>
    </w:tbl>
    <w:p w14:paraId="06428266" w14:textId="77777777" w:rsidR="00DC56AA" w:rsidRDefault="00DC56AA" w:rsidP="00DC56AA">
      <w:pPr>
        <w:spacing w:before="120" w:after="120" w:line="240" w:lineRule="exact"/>
        <w:ind w:left="283" w:hanging="283"/>
        <w:jc w:val="both"/>
        <w:rPr>
          <w:rFonts w:ascii="FrankRuehl" w:hAnsi="FrankRuehl" w:cs="FrankRuehl"/>
          <w:rtl/>
        </w:rPr>
      </w:pPr>
      <w:bookmarkStart w:id="2" w:name="PsakDin"/>
      <w:bookmarkStart w:id="3" w:name="LawTable"/>
      <w:bookmarkEnd w:id="0"/>
      <w:bookmarkEnd w:id="3"/>
    </w:p>
    <w:p w14:paraId="409137E1" w14:textId="77777777" w:rsidR="00DC56AA" w:rsidRPr="00DC56AA" w:rsidRDefault="00DC56AA" w:rsidP="00DC56AA">
      <w:pPr>
        <w:spacing w:before="120" w:after="120" w:line="240" w:lineRule="exact"/>
        <w:ind w:left="283" w:hanging="283"/>
        <w:jc w:val="both"/>
        <w:rPr>
          <w:rFonts w:ascii="FrankRuehl" w:hAnsi="FrankRuehl" w:cs="FrankRuehl"/>
          <w:rtl/>
        </w:rPr>
      </w:pPr>
    </w:p>
    <w:p w14:paraId="1E198EC1" w14:textId="77777777" w:rsidR="00DC56AA" w:rsidRPr="00DC56AA" w:rsidRDefault="00DC56AA" w:rsidP="00DC56AA">
      <w:pPr>
        <w:spacing w:before="120" w:after="120" w:line="240" w:lineRule="exact"/>
        <w:ind w:left="283" w:hanging="283"/>
        <w:jc w:val="both"/>
        <w:rPr>
          <w:rFonts w:ascii="FrankRuehl" w:hAnsi="FrankRuehl" w:cs="FrankRuehl"/>
          <w:rtl/>
        </w:rPr>
      </w:pPr>
    </w:p>
    <w:p w14:paraId="558637B0" w14:textId="77777777" w:rsidR="00DC56AA" w:rsidRPr="00DC56AA" w:rsidRDefault="00DC56AA" w:rsidP="00DC56AA">
      <w:pPr>
        <w:spacing w:before="120" w:after="120" w:line="240" w:lineRule="exact"/>
        <w:ind w:left="283" w:hanging="283"/>
        <w:jc w:val="both"/>
        <w:rPr>
          <w:rFonts w:ascii="FrankRuehl" w:hAnsi="FrankRuehl" w:cs="FrankRuehl"/>
          <w:rtl/>
        </w:rPr>
      </w:pPr>
      <w:r w:rsidRPr="00DC56AA">
        <w:rPr>
          <w:rFonts w:ascii="FrankRuehl" w:hAnsi="FrankRuehl" w:cs="FrankRuehl"/>
          <w:rtl/>
        </w:rPr>
        <w:t xml:space="preserve">חקיקה שאוזכרה: </w:t>
      </w:r>
    </w:p>
    <w:p w14:paraId="19132FE9" w14:textId="77777777" w:rsidR="00DC56AA" w:rsidRPr="00DC56AA" w:rsidRDefault="00DC56AA" w:rsidP="00DC56AA">
      <w:pPr>
        <w:spacing w:before="120" w:after="120" w:line="240" w:lineRule="exact"/>
        <w:ind w:left="283" w:hanging="283"/>
        <w:jc w:val="both"/>
        <w:rPr>
          <w:rFonts w:ascii="FrankRuehl" w:hAnsi="FrankRuehl" w:cs="FrankRuehl"/>
          <w:color w:val="0000FF"/>
          <w:rtl/>
        </w:rPr>
      </w:pPr>
      <w:hyperlink r:id="rId7" w:history="1">
        <w:r w:rsidRPr="00DC56AA">
          <w:rPr>
            <w:rStyle w:val="Hyperlink"/>
            <w:rFonts w:ascii="FrankRuehl" w:hAnsi="FrankRuehl" w:cs="FrankRuehl"/>
            <w:u w:val="none"/>
            <w:rtl/>
          </w:rPr>
          <w:t>פקודת הסמים המסוכנים [נוסח חדש], תשל"ג-1973</w:t>
        </w:r>
      </w:hyperlink>
      <w:r w:rsidRPr="00DC56AA">
        <w:rPr>
          <w:rFonts w:ascii="FrankRuehl" w:hAnsi="FrankRuehl" w:cs="FrankRuehl"/>
          <w:color w:val="0000FF"/>
          <w:rtl/>
        </w:rPr>
        <w:t xml:space="preserve">: סע'  </w:t>
      </w:r>
      <w:hyperlink r:id="rId8" w:history="1">
        <w:r w:rsidRPr="00DC56AA">
          <w:rPr>
            <w:rStyle w:val="Hyperlink"/>
            <w:rFonts w:ascii="FrankRuehl" w:hAnsi="FrankRuehl" w:cs="FrankRuehl"/>
            <w:u w:val="none"/>
          </w:rPr>
          <w:t>13</w:t>
        </w:r>
      </w:hyperlink>
      <w:r w:rsidRPr="00DC56AA">
        <w:rPr>
          <w:rFonts w:ascii="FrankRuehl" w:hAnsi="FrankRuehl" w:cs="FrankRuehl"/>
          <w:color w:val="0000FF"/>
          <w:rtl/>
        </w:rPr>
        <w:t xml:space="preserve">, </w:t>
      </w:r>
      <w:hyperlink r:id="rId9" w:history="1">
        <w:r w:rsidRPr="00DC56AA">
          <w:rPr>
            <w:rStyle w:val="Hyperlink"/>
            <w:rFonts w:ascii="FrankRuehl" w:hAnsi="FrankRuehl" w:cs="FrankRuehl"/>
            <w:u w:val="none"/>
          </w:rPr>
          <w:t>19.</w:t>
        </w:r>
        <w:r w:rsidRPr="00DC56AA">
          <w:rPr>
            <w:rStyle w:val="Hyperlink"/>
            <w:rFonts w:ascii="FrankRuehl" w:hAnsi="FrankRuehl" w:cs="FrankRuehl"/>
            <w:u w:val="none"/>
            <w:rtl/>
          </w:rPr>
          <w:t>א</w:t>
        </w:r>
      </w:hyperlink>
      <w:r w:rsidRPr="00DC56AA">
        <w:rPr>
          <w:rFonts w:ascii="FrankRuehl" w:hAnsi="FrankRuehl" w:cs="FrankRuehl"/>
          <w:color w:val="0000FF"/>
          <w:rtl/>
        </w:rPr>
        <w:t xml:space="preserve">, </w:t>
      </w:r>
      <w:hyperlink r:id="rId10" w:history="1">
        <w:r w:rsidRPr="00DC56AA">
          <w:rPr>
            <w:rStyle w:val="Hyperlink"/>
            <w:rFonts w:ascii="FrankRuehl" w:hAnsi="FrankRuehl" w:cs="FrankRuehl"/>
            <w:u w:val="none"/>
          </w:rPr>
          <w:t>19</w:t>
        </w:r>
        <w:r w:rsidRPr="00DC56AA">
          <w:rPr>
            <w:rStyle w:val="Hyperlink"/>
            <w:rFonts w:ascii="FrankRuehl" w:hAnsi="FrankRuehl" w:cs="FrankRuehl"/>
            <w:u w:val="none"/>
            <w:rtl/>
          </w:rPr>
          <w:t>א</w:t>
        </w:r>
      </w:hyperlink>
    </w:p>
    <w:p w14:paraId="1021B060" w14:textId="77777777" w:rsidR="00DC56AA" w:rsidRPr="00DC56AA" w:rsidRDefault="00DC56AA" w:rsidP="00DC56AA">
      <w:pPr>
        <w:spacing w:before="120" w:after="120" w:line="240" w:lineRule="exact"/>
        <w:ind w:left="283" w:hanging="283"/>
        <w:jc w:val="both"/>
        <w:rPr>
          <w:rFonts w:ascii="FrankRuehl" w:hAnsi="FrankRuehl" w:cs="FrankRuehl"/>
          <w:color w:val="0000FF"/>
          <w:rtl/>
        </w:rPr>
      </w:pPr>
      <w:hyperlink r:id="rId11" w:history="1">
        <w:r w:rsidRPr="00DC56AA">
          <w:rPr>
            <w:rStyle w:val="Hyperlink"/>
            <w:rFonts w:ascii="FrankRuehl" w:hAnsi="FrankRuehl" w:cs="FrankRuehl"/>
            <w:u w:val="none"/>
            <w:rtl/>
          </w:rPr>
          <w:t>חוק העונשין, תשל"ז-1977</w:t>
        </w:r>
      </w:hyperlink>
      <w:r w:rsidRPr="00DC56AA">
        <w:rPr>
          <w:rFonts w:ascii="FrankRuehl" w:hAnsi="FrankRuehl" w:cs="FrankRuehl"/>
          <w:color w:val="0000FF"/>
          <w:rtl/>
        </w:rPr>
        <w:t xml:space="preserve">: סע'  </w:t>
      </w:r>
      <w:hyperlink r:id="rId12" w:history="1">
        <w:r w:rsidRPr="00DC56AA">
          <w:rPr>
            <w:rStyle w:val="Hyperlink"/>
            <w:rFonts w:ascii="FrankRuehl" w:hAnsi="FrankRuehl" w:cs="FrankRuehl"/>
            <w:u w:val="none"/>
          </w:rPr>
          <w:t xml:space="preserve">40 </w:t>
        </w:r>
        <w:r w:rsidRPr="00DC56AA">
          <w:rPr>
            <w:rStyle w:val="Hyperlink"/>
            <w:rFonts w:ascii="FrankRuehl" w:hAnsi="FrankRuehl" w:cs="FrankRuehl"/>
            <w:u w:val="none"/>
            <w:rtl/>
          </w:rPr>
          <w:t>ב</w:t>
        </w:r>
        <w:r w:rsidRPr="00DC56AA">
          <w:rPr>
            <w:rStyle w:val="Hyperlink"/>
            <w:rFonts w:ascii="FrankRuehl" w:hAnsi="FrankRuehl" w:cs="FrankRuehl"/>
            <w:u w:val="none"/>
          </w:rPr>
          <w:t>'</w:t>
        </w:r>
      </w:hyperlink>
      <w:r w:rsidRPr="00DC56AA">
        <w:rPr>
          <w:rFonts w:ascii="FrankRuehl" w:hAnsi="FrankRuehl" w:cs="FrankRuehl"/>
          <w:color w:val="0000FF"/>
          <w:rtl/>
        </w:rPr>
        <w:t xml:space="preserve">, </w:t>
      </w:r>
      <w:hyperlink r:id="rId13" w:history="1">
        <w:r w:rsidRPr="00DC56AA">
          <w:rPr>
            <w:rStyle w:val="Hyperlink"/>
            <w:rFonts w:ascii="FrankRuehl" w:hAnsi="FrankRuehl" w:cs="FrankRuehl"/>
            <w:u w:val="none"/>
          </w:rPr>
          <w:t>40</w:t>
        </w:r>
        <w:r w:rsidRPr="00DC56AA">
          <w:rPr>
            <w:rStyle w:val="Hyperlink"/>
            <w:rFonts w:ascii="FrankRuehl" w:hAnsi="FrankRuehl" w:cs="FrankRuehl"/>
            <w:u w:val="none"/>
            <w:rtl/>
          </w:rPr>
          <w:t>ט</w:t>
        </w:r>
      </w:hyperlink>
      <w:r w:rsidRPr="00DC56AA">
        <w:rPr>
          <w:rFonts w:ascii="FrankRuehl" w:hAnsi="FrankRuehl" w:cs="FrankRuehl"/>
          <w:color w:val="0000FF"/>
          <w:rtl/>
        </w:rPr>
        <w:t xml:space="preserve">, </w:t>
      </w:r>
      <w:hyperlink r:id="rId14" w:history="1">
        <w:r w:rsidRPr="00DC56AA">
          <w:rPr>
            <w:rStyle w:val="Hyperlink"/>
            <w:rFonts w:ascii="FrankRuehl" w:hAnsi="FrankRuehl" w:cs="FrankRuehl"/>
            <w:u w:val="none"/>
          </w:rPr>
          <w:t>71</w:t>
        </w:r>
        <w:r w:rsidRPr="00DC56AA">
          <w:rPr>
            <w:rStyle w:val="Hyperlink"/>
            <w:rFonts w:ascii="FrankRuehl" w:hAnsi="FrankRuehl" w:cs="FrankRuehl"/>
            <w:u w:val="none"/>
            <w:rtl/>
          </w:rPr>
          <w:t>א</w:t>
        </w:r>
      </w:hyperlink>
      <w:r w:rsidRPr="00DC56AA">
        <w:rPr>
          <w:rFonts w:ascii="FrankRuehl" w:hAnsi="FrankRuehl" w:cs="FrankRuehl"/>
          <w:color w:val="0000FF"/>
          <w:rtl/>
        </w:rPr>
        <w:t xml:space="preserve">, </w:t>
      </w:r>
      <w:hyperlink r:id="rId15" w:history="1">
        <w:r w:rsidRPr="00DC56AA">
          <w:rPr>
            <w:rStyle w:val="Hyperlink"/>
            <w:rFonts w:ascii="FrankRuehl" w:hAnsi="FrankRuehl" w:cs="FrankRuehl"/>
            <w:u w:val="none"/>
          </w:rPr>
          <w:t>40</w:t>
        </w:r>
        <w:r w:rsidRPr="00DC56AA">
          <w:rPr>
            <w:rStyle w:val="Hyperlink"/>
            <w:rFonts w:ascii="FrankRuehl" w:hAnsi="FrankRuehl" w:cs="FrankRuehl"/>
            <w:u w:val="none"/>
            <w:rtl/>
          </w:rPr>
          <w:t>יג</w:t>
        </w:r>
      </w:hyperlink>
      <w:r w:rsidRPr="00DC56AA">
        <w:rPr>
          <w:rFonts w:ascii="FrankRuehl" w:hAnsi="FrankRuehl" w:cs="FrankRuehl"/>
          <w:color w:val="0000FF"/>
          <w:rtl/>
        </w:rPr>
        <w:t xml:space="preserve">, </w:t>
      </w:r>
      <w:hyperlink r:id="rId16" w:history="1">
        <w:r w:rsidRPr="00DC56AA">
          <w:rPr>
            <w:rStyle w:val="Hyperlink"/>
            <w:rFonts w:ascii="FrankRuehl" w:hAnsi="FrankRuehl" w:cs="FrankRuehl"/>
            <w:u w:val="none"/>
          </w:rPr>
          <w:t>449</w:t>
        </w:r>
      </w:hyperlink>
      <w:r w:rsidRPr="00DC56AA">
        <w:rPr>
          <w:rFonts w:ascii="FrankRuehl" w:hAnsi="FrankRuehl" w:cs="FrankRuehl"/>
          <w:color w:val="0000FF"/>
          <w:rtl/>
        </w:rPr>
        <w:t xml:space="preserve">, </w:t>
      </w:r>
      <w:hyperlink r:id="rId17" w:history="1">
        <w:r w:rsidRPr="00DC56AA">
          <w:rPr>
            <w:rStyle w:val="Hyperlink"/>
            <w:rFonts w:ascii="FrankRuehl" w:hAnsi="FrankRuehl" w:cs="FrankRuehl"/>
            <w:u w:val="none"/>
          </w:rPr>
          <w:t>499</w:t>
        </w:r>
      </w:hyperlink>
    </w:p>
    <w:p w14:paraId="77780539" w14:textId="77777777" w:rsidR="00DC56AA" w:rsidRPr="00DC56AA" w:rsidRDefault="00DC56AA" w:rsidP="00DC56AA">
      <w:pPr>
        <w:spacing w:before="120" w:after="120" w:line="240" w:lineRule="exact"/>
        <w:ind w:left="283" w:hanging="283"/>
        <w:jc w:val="both"/>
        <w:rPr>
          <w:rFonts w:ascii="FrankRuehl" w:hAnsi="FrankRuehl" w:cs="FrankRuehl"/>
          <w:color w:val="0000FF"/>
          <w:rtl/>
        </w:rPr>
      </w:pPr>
      <w:hyperlink r:id="rId18" w:history="1">
        <w:r w:rsidRPr="00DC56AA">
          <w:rPr>
            <w:rStyle w:val="Hyperlink"/>
            <w:rFonts w:ascii="FrankRuehl" w:hAnsi="FrankRuehl" w:cs="FrankRuehl"/>
            <w:u w:val="none"/>
            <w:rtl/>
          </w:rPr>
          <w:t>חוק סדר הדין הפלילי [נוסח משולב], תשמ"ב-1982</w:t>
        </w:r>
      </w:hyperlink>
      <w:r w:rsidRPr="00DC56AA">
        <w:rPr>
          <w:rFonts w:ascii="FrankRuehl" w:hAnsi="FrankRuehl" w:cs="FrankRuehl"/>
          <w:color w:val="0000FF"/>
          <w:rtl/>
        </w:rPr>
        <w:t xml:space="preserve">: סע'  </w:t>
      </w:r>
      <w:hyperlink r:id="rId19" w:history="1">
        <w:r w:rsidRPr="00DC56AA">
          <w:rPr>
            <w:rStyle w:val="Hyperlink"/>
            <w:rFonts w:ascii="FrankRuehl" w:hAnsi="FrankRuehl" w:cs="FrankRuehl"/>
            <w:u w:val="none"/>
          </w:rPr>
          <w:t>71</w:t>
        </w:r>
        <w:r w:rsidRPr="00DC56AA">
          <w:rPr>
            <w:rStyle w:val="Hyperlink"/>
            <w:rFonts w:ascii="FrankRuehl" w:hAnsi="FrankRuehl" w:cs="FrankRuehl"/>
            <w:u w:val="none"/>
            <w:rtl/>
          </w:rPr>
          <w:t>א</w:t>
        </w:r>
      </w:hyperlink>
      <w:r w:rsidRPr="00DC56AA">
        <w:rPr>
          <w:rFonts w:ascii="FrankRuehl" w:hAnsi="FrankRuehl" w:cs="FrankRuehl"/>
          <w:color w:val="0000FF"/>
          <w:rtl/>
        </w:rPr>
        <w:t xml:space="preserve">, </w:t>
      </w:r>
      <w:hyperlink r:id="rId20" w:history="1">
        <w:r w:rsidRPr="00DC56AA">
          <w:rPr>
            <w:rStyle w:val="Hyperlink"/>
            <w:rFonts w:ascii="FrankRuehl" w:hAnsi="FrankRuehl" w:cs="FrankRuehl"/>
            <w:u w:val="none"/>
          </w:rPr>
          <w:t>192</w:t>
        </w:r>
        <w:r w:rsidRPr="00DC56AA">
          <w:rPr>
            <w:rStyle w:val="Hyperlink"/>
            <w:rFonts w:ascii="FrankRuehl" w:hAnsi="FrankRuehl" w:cs="FrankRuehl"/>
            <w:u w:val="none"/>
            <w:rtl/>
          </w:rPr>
          <w:t>א</w:t>
        </w:r>
      </w:hyperlink>
    </w:p>
    <w:p w14:paraId="526D5E4E" w14:textId="77777777" w:rsidR="00DC56AA" w:rsidRPr="00DC56AA" w:rsidRDefault="00DC56AA" w:rsidP="00DC56AA">
      <w:pPr>
        <w:spacing w:before="120" w:after="120" w:line="240" w:lineRule="exact"/>
        <w:ind w:left="283" w:hanging="283"/>
        <w:jc w:val="both"/>
        <w:rPr>
          <w:rFonts w:ascii="FrankRuehl" w:hAnsi="FrankRuehl" w:cs="FrankRuehl"/>
          <w:color w:val="0000FF"/>
          <w:rtl/>
        </w:rPr>
      </w:pPr>
      <w:hyperlink r:id="rId21" w:history="1">
        <w:r w:rsidRPr="00DC56AA">
          <w:rPr>
            <w:rStyle w:val="Hyperlink"/>
            <w:rFonts w:ascii="FrankRuehl" w:hAnsi="FrankRuehl" w:cs="FrankRuehl"/>
            <w:u w:val="none"/>
            <w:rtl/>
          </w:rPr>
          <w:t>פקודת המבחן [נוסח חדש], תשכ"ט-1969</w:t>
        </w:r>
      </w:hyperlink>
      <w:r w:rsidRPr="00DC56AA">
        <w:rPr>
          <w:rFonts w:ascii="FrankRuehl" w:hAnsi="FrankRuehl" w:cs="FrankRuehl"/>
          <w:color w:val="0000FF"/>
          <w:rtl/>
        </w:rPr>
        <w:t xml:space="preserve">: סע'  </w:t>
      </w:r>
      <w:hyperlink r:id="rId22" w:history="1">
        <w:r w:rsidRPr="00DC56AA">
          <w:rPr>
            <w:rStyle w:val="Hyperlink"/>
            <w:rFonts w:ascii="FrankRuehl" w:hAnsi="FrankRuehl" w:cs="FrankRuehl"/>
            <w:u w:val="none"/>
          </w:rPr>
          <w:t>1</w:t>
        </w:r>
      </w:hyperlink>
    </w:p>
    <w:p w14:paraId="48C7C741" w14:textId="77777777" w:rsidR="00DC56AA" w:rsidRPr="00DC56AA" w:rsidRDefault="00DC56AA" w:rsidP="00DC56AA">
      <w:pPr>
        <w:spacing w:before="120" w:after="120" w:line="240" w:lineRule="exact"/>
        <w:ind w:left="283" w:hanging="283"/>
        <w:jc w:val="both"/>
        <w:rPr>
          <w:rFonts w:ascii="FrankRuehl" w:hAnsi="FrankRuehl" w:cs="FrankRuehl"/>
          <w:rtl/>
        </w:rPr>
      </w:pPr>
      <w:bookmarkStart w:id="4" w:name="LawTable_End"/>
      <w:bookmarkEnd w:id="4"/>
    </w:p>
    <w:p w14:paraId="3333D830" w14:textId="77777777" w:rsidR="00DC56AA" w:rsidRPr="00DC56AA" w:rsidRDefault="00DC56AA" w:rsidP="00DC56AA">
      <w:pPr>
        <w:spacing w:before="120" w:after="120" w:line="240" w:lineRule="exact"/>
        <w:ind w:left="283" w:hanging="283"/>
        <w:jc w:val="both"/>
        <w:rPr>
          <w:rFonts w:ascii="FrankRuehl" w:hAnsi="FrankRuehl" w:cs="FrankRuehl"/>
          <w:rtl/>
        </w:rPr>
      </w:pPr>
      <w:bookmarkStart w:id="5" w:name="Links_Start"/>
      <w:bookmarkEnd w:id="5"/>
      <w:r w:rsidRPr="00DC56AA">
        <w:rPr>
          <w:rFonts w:ascii="FrankRuehl" w:hAnsi="FrankRuehl" w:cs="FrankRuehl"/>
          <w:rtl/>
        </w:rPr>
        <w:t>ספרות:</w:t>
      </w:r>
    </w:p>
    <w:p w14:paraId="66F97F87" w14:textId="77777777" w:rsidR="00DC56AA" w:rsidRPr="00DC56AA" w:rsidRDefault="00DC56AA" w:rsidP="00DC56AA">
      <w:pPr>
        <w:spacing w:before="120" w:after="120" w:line="240" w:lineRule="exact"/>
        <w:ind w:left="283" w:hanging="283"/>
        <w:jc w:val="both"/>
        <w:rPr>
          <w:rFonts w:ascii="FrankRuehl" w:hAnsi="FrankRuehl" w:cs="FrankRuehl"/>
          <w:color w:val="000000"/>
        </w:rPr>
      </w:pPr>
      <w:r w:rsidRPr="00DC56AA">
        <w:rPr>
          <w:rFonts w:ascii="FrankRuehl" w:hAnsi="FrankRuehl" w:cs="FrankRuehl"/>
          <w:color w:val="000000"/>
          <w:rtl/>
        </w:rPr>
        <w:t xml:space="preserve">יעקב קדמי  </w:t>
      </w:r>
      <w:r w:rsidRPr="00DC56AA">
        <w:rPr>
          <w:rFonts w:ascii="FrankRuehl" w:hAnsi="FrankRuehl" w:cs="FrankRuehl"/>
          <w:color w:val="000000"/>
        </w:rPr>
        <w:t xml:space="preserve"> </w:t>
      </w:r>
      <w:r w:rsidRPr="00DC56AA">
        <w:rPr>
          <w:rFonts w:ascii="FrankRuehl" w:hAnsi="FrankRuehl" w:cs="FrankRuehl"/>
          <w:b/>
          <w:bCs/>
          <w:color w:val="000000"/>
          <w:rtl/>
        </w:rPr>
        <w:t xml:space="preserve">על סדר הדין בפלילים </w:t>
      </w:r>
    </w:p>
    <w:p w14:paraId="0C9E52EF" w14:textId="77777777" w:rsidR="00DC56AA" w:rsidRPr="00DC56AA" w:rsidRDefault="00DC56AA" w:rsidP="00F85A49">
      <w:pPr>
        <w:spacing w:before="120" w:after="120" w:line="240" w:lineRule="exact"/>
        <w:ind w:left="283" w:hanging="283"/>
        <w:jc w:val="both"/>
        <w:rPr>
          <w:rFonts w:ascii="FrankRuehl" w:hAnsi="FrankRuehl" w:cs="FrankRuehl"/>
          <w:color w:val="000000"/>
          <w:rtl/>
        </w:rPr>
      </w:pPr>
      <w:bookmarkStart w:id="6" w:name="Links_End"/>
      <w:bookmarkEnd w:id="6"/>
    </w:p>
    <w:p w14:paraId="30E05C17" w14:textId="77777777" w:rsidR="00F85A49" w:rsidRPr="00DC56AA" w:rsidRDefault="00F85A49" w:rsidP="00F85A49">
      <w:pPr>
        <w:spacing w:before="120" w:after="120" w:line="240" w:lineRule="exact"/>
        <w:ind w:left="283" w:hanging="283"/>
        <w:jc w:val="both"/>
        <w:rPr>
          <w:rFonts w:ascii="FrankRuehl" w:hAnsi="FrankRuehl" w:cs="FrankRuehl" w:hint="cs"/>
          <w:rtl/>
        </w:rPr>
      </w:pPr>
    </w:p>
    <w:p w14:paraId="2A3999DA" w14:textId="77777777" w:rsidR="00C33366" w:rsidRPr="00F85A49" w:rsidRDefault="00C33366" w:rsidP="00C33366">
      <w:pPr>
        <w:spacing w:after="120" w:line="240" w:lineRule="exact"/>
        <w:ind w:left="283" w:hanging="283"/>
        <w:jc w:val="both"/>
        <w:rPr>
          <w:rFonts w:ascii="FrankRuehl" w:hAnsi="FrankRuehl" w:cs="FrankRuehl"/>
          <w:rtl/>
        </w:rPr>
      </w:pPr>
      <w:r w:rsidRPr="00F85A49">
        <w:rPr>
          <w:rFonts w:ascii="FrankRuehl" w:hAnsi="FrankRuehl" w:cs="FrankRuehl"/>
          <w:rtl/>
        </w:rPr>
        <w:t>ספרות:</w:t>
      </w:r>
    </w:p>
    <w:p w14:paraId="7ECFFC36" w14:textId="77777777" w:rsidR="00C33366" w:rsidRPr="00F85A49" w:rsidRDefault="00C33366" w:rsidP="00C33366">
      <w:pPr>
        <w:spacing w:after="120" w:line="240" w:lineRule="exact"/>
        <w:ind w:left="283" w:hanging="283"/>
        <w:jc w:val="both"/>
        <w:rPr>
          <w:rFonts w:ascii="FrankRuehl" w:hAnsi="FrankRuehl" w:cs="FrankRuehl"/>
        </w:rPr>
      </w:pPr>
      <w:r w:rsidRPr="00F85A49">
        <w:rPr>
          <w:rFonts w:ascii="FrankRuehl" w:hAnsi="FrankRuehl" w:cs="FrankRuehl"/>
          <w:rtl/>
        </w:rPr>
        <w:t xml:space="preserve">יעקב </w:t>
      </w:r>
      <w:hyperlink r:id="rId23" w:history="1">
        <w:r w:rsidR="00DC56AA" w:rsidRPr="00DC56AA">
          <w:rPr>
            <w:rStyle w:val="Hyperlink"/>
            <w:rFonts w:ascii="FrankRuehl" w:hAnsi="FrankRuehl" w:cs="FrankRuehl"/>
            <w:b/>
            <w:bCs/>
            <w:color w:val="000000"/>
            <w:u w:val="none"/>
            <w:rtl/>
          </w:rPr>
          <w:t>קדמי   על סדר הדין הפלילים</w:t>
        </w:r>
      </w:hyperlink>
      <w:r w:rsidRPr="00F85A49">
        <w:rPr>
          <w:rFonts w:ascii="FrankRuehl" w:hAnsi="FrankRuehl" w:cs="FrankRuehl"/>
          <w:b/>
          <w:bCs/>
          <w:rtl/>
        </w:rPr>
        <w:t xml:space="preserve"> </w:t>
      </w:r>
    </w:p>
    <w:p w14:paraId="0C0B906B" w14:textId="77777777" w:rsidR="00C33366" w:rsidRPr="00C33366" w:rsidRDefault="00C33366" w:rsidP="00F85A49">
      <w:pPr>
        <w:spacing w:before="120" w:after="120" w:line="240" w:lineRule="exact"/>
        <w:ind w:left="283" w:hanging="283"/>
        <w:jc w:val="both"/>
        <w:rPr>
          <w:rFonts w:ascii="FrankRuehl" w:hAnsi="FrankRuehl" w:cs="FrankRuehl" w:hint="cs"/>
          <w:b/>
          <w:bCs/>
          <w:rtl/>
        </w:rPr>
      </w:pPr>
    </w:p>
    <w:p w14:paraId="32B00275" w14:textId="77777777" w:rsidR="00F85A49" w:rsidRPr="00F85A49" w:rsidRDefault="00F85A49" w:rsidP="00F85A49">
      <w:pPr>
        <w:spacing w:before="120" w:after="120" w:line="240" w:lineRule="exact"/>
        <w:ind w:left="283" w:hanging="283"/>
        <w:jc w:val="both"/>
        <w:rPr>
          <w:rFonts w:ascii="FrankRuehl" w:hAnsi="FrankRuehl" w:cs="FrankRuehl"/>
          <w:rtl/>
        </w:rPr>
      </w:pPr>
      <w:r w:rsidRPr="00F85A49">
        <w:rPr>
          <w:rFonts w:ascii="FrankRuehl" w:hAnsi="FrankRuehl" w:cs="FrankRuehl"/>
          <w:rtl/>
        </w:rPr>
        <w:t xml:space="preserve">חקיקה שאוזכרה: </w:t>
      </w:r>
    </w:p>
    <w:p w14:paraId="255B1514" w14:textId="77777777" w:rsidR="00F85A49" w:rsidRPr="00F85A49" w:rsidRDefault="00F85A49" w:rsidP="00F85A49">
      <w:pPr>
        <w:spacing w:before="120" w:after="120" w:line="240" w:lineRule="exact"/>
        <w:ind w:left="283" w:hanging="283"/>
        <w:jc w:val="both"/>
        <w:rPr>
          <w:rFonts w:ascii="FrankRuehl" w:hAnsi="FrankRuehl" w:cs="FrankRuehl"/>
          <w:color w:val="0000FF"/>
          <w:rtl/>
        </w:rPr>
      </w:pPr>
      <w:hyperlink r:id="rId24" w:history="1">
        <w:r w:rsidRPr="00F85A49">
          <w:rPr>
            <w:rStyle w:val="Hyperlink"/>
            <w:rFonts w:ascii="FrankRuehl" w:hAnsi="FrankRuehl" w:cs="FrankRuehl"/>
            <w:u w:val="none"/>
            <w:rtl/>
          </w:rPr>
          <w:t>פקודת הסמים המסוכנים [נוסח חדש], תשל"ג-1973</w:t>
        </w:r>
      </w:hyperlink>
      <w:r w:rsidRPr="00F85A49">
        <w:rPr>
          <w:rFonts w:ascii="FrankRuehl" w:hAnsi="FrankRuehl" w:cs="FrankRuehl"/>
          <w:color w:val="0000FF"/>
          <w:rtl/>
        </w:rPr>
        <w:t xml:space="preserve">: סע'  </w:t>
      </w:r>
      <w:hyperlink r:id="rId25" w:history="1">
        <w:r w:rsidRPr="00F85A49">
          <w:rPr>
            <w:rStyle w:val="Hyperlink"/>
            <w:rFonts w:ascii="FrankRuehl" w:hAnsi="FrankRuehl" w:cs="FrankRuehl"/>
            <w:u w:val="none"/>
          </w:rPr>
          <w:t>13</w:t>
        </w:r>
      </w:hyperlink>
      <w:r w:rsidRPr="00F85A49">
        <w:rPr>
          <w:rFonts w:ascii="FrankRuehl" w:hAnsi="FrankRuehl" w:cs="FrankRuehl"/>
          <w:color w:val="0000FF"/>
          <w:rtl/>
        </w:rPr>
        <w:t xml:space="preserve">, </w:t>
      </w:r>
      <w:hyperlink r:id="rId26" w:history="1">
        <w:r w:rsidRPr="00F85A49">
          <w:rPr>
            <w:rStyle w:val="Hyperlink"/>
            <w:rFonts w:ascii="FrankRuehl" w:hAnsi="FrankRuehl" w:cs="FrankRuehl"/>
            <w:u w:val="none"/>
          </w:rPr>
          <w:t>19.</w:t>
        </w:r>
        <w:r w:rsidRPr="00F85A49">
          <w:rPr>
            <w:rStyle w:val="Hyperlink"/>
            <w:rFonts w:ascii="FrankRuehl" w:hAnsi="FrankRuehl" w:cs="FrankRuehl"/>
            <w:u w:val="none"/>
            <w:rtl/>
          </w:rPr>
          <w:t>א</w:t>
        </w:r>
      </w:hyperlink>
      <w:r w:rsidRPr="00F85A49">
        <w:rPr>
          <w:rFonts w:ascii="FrankRuehl" w:hAnsi="FrankRuehl" w:cs="FrankRuehl"/>
          <w:color w:val="0000FF"/>
          <w:rtl/>
        </w:rPr>
        <w:t xml:space="preserve">, </w:t>
      </w:r>
      <w:hyperlink r:id="rId27" w:history="1">
        <w:r w:rsidRPr="00F85A49">
          <w:rPr>
            <w:rStyle w:val="Hyperlink"/>
            <w:rFonts w:ascii="FrankRuehl" w:hAnsi="FrankRuehl" w:cs="FrankRuehl"/>
            <w:u w:val="none"/>
          </w:rPr>
          <w:t>19</w:t>
        </w:r>
        <w:r w:rsidRPr="00F85A49">
          <w:rPr>
            <w:rStyle w:val="Hyperlink"/>
            <w:rFonts w:ascii="FrankRuehl" w:hAnsi="FrankRuehl" w:cs="FrankRuehl"/>
            <w:u w:val="none"/>
            <w:rtl/>
          </w:rPr>
          <w:t>א</w:t>
        </w:r>
      </w:hyperlink>
    </w:p>
    <w:p w14:paraId="32445A30" w14:textId="77777777" w:rsidR="00F85A49" w:rsidRPr="00F85A49" w:rsidRDefault="00F85A49" w:rsidP="00F85A49">
      <w:pPr>
        <w:spacing w:before="120" w:after="120" w:line="240" w:lineRule="exact"/>
        <w:ind w:left="283" w:hanging="283"/>
        <w:jc w:val="both"/>
        <w:rPr>
          <w:rFonts w:ascii="FrankRuehl" w:hAnsi="FrankRuehl" w:cs="FrankRuehl"/>
          <w:color w:val="0000FF"/>
          <w:rtl/>
        </w:rPr>
      </w:pPr>
      <w:hyperlink r:id="rId28" w:history="1">
        <w:r w:rsidRPr="00F85A49">
          <w:rPr>
            <w:rStyle w:val="Hyperlink"/>
            <w:rFonts w:ascii="FrankRuehl" w:hAnsi="FrankRuehl" w:cs="FrankRuehl"/>
            <w:u w:val="none"/>
            <w:rtl/>
          </w:rPr>
          <w:t>חוק העונשין, תשל"ז-1977</w:t>
        </w:r>
      </w:hyperlink>
      <w:r w:rsidRPr="00F85A49">
        <w:rPr>
          <w:rFonts w:ascii="FrankRuehl" w:hAnsi="FrankRuehl" w:cs="FrankRuehl"/>
          <w:color w:val="0000FF"/>
          <w:rtl/>
        </w:rPr>
        <w:t xml:space="preserve">: סע'  </w:t>
      </w:r>
      <w:hyperlink r:id="rId29" w:history="1">
        <w:r w:rsidRPr="00F85A49">
          <w:rPr>
            <w:rStyle w:val="Hyperlink"/>
            <w:rFonts w:ascii="FrankRuehl" w:hAnsi="FrankRuehl" w:cs="FrankRuehl"/>
            <w:u w:val="none"/>
          </w:rPr>
          <w:t xml:space="preserve">40 </w:t>
        </w:r>
        <w:r w:rsidRPr="00F85A49">
          <w:rPr>
            <w:rStyle w:val="Hyperlink"/>
            <w:rFonts w:ascii="FrankRuehl" w:hAnsi="FrankRuehl" w:cs="FrankRuehl"/>
            <w:u w:val="none"/>
            <w:rtl/>
          </w:rPr>
          <w:t>ב</w:t>
        </w:r>
        <w:r w:rsidRPr="00F85A49">
          <w:rPr>
            <w:rStyle w:val="Hyperlink"/>
            <w:rFonts w:ascii="FrankRuehl" w:hAnsi="FrankRuehl" w:cs="FrankRuehl"/>
            <w:u w:val="none"/>
          </w:rPr>
          <w:t>'</w:t>
        </w:r>
      </w:hyperlink>
      <w:r w:rsidRPr="00F85A49">
        <w:rPr>
          <w:rFonts w:ascii="FrankRuehl" w:hAnsi="FrankRuehl" w:cs="FrankRuehl"/>
          <w:color w:val="0000FF"/>
          <w:rtl/>
        </w:rPr>
        <w:t xml:space="preserve">, </w:t>
      </w:r>
      <w:hyperlink r:id="rId30" w:history="1">
        <w:r w:rsidRPr="00F85A49">
          <w:rPr>
            <w:rStyle w:val="Hyperlink"/>
            <w:rFonts w:ascii="FrankRuehl" w:hAnsi="FrankRuehl" w:cs="FrankRuehl"/>
            <w:u w:val="none"/>
          </w:rPr>
          <w:t>40</w:t>
        </w:r>
        <w:r w:rsidRPr="00F85A49">
          <w:rPr>
            <w:rStyle w:val="Hyperlink"/>
            <w:rFonts w:ascii="FrankRuehl" w:hAnsi="FrankRuehl" w:cs="FrankRuehl"/>
            <w:u w:val="none"/>
            <w:rtl/>
          </w:rPr>
          <w:t>ט</w:t>
        </w:r>
      </w:hyperlink>
      <w:r w:rsidRPr="00F85A49">
        <w:rPr>
          <w:rFonts w:ascii="FrankRuehl" w:hAnsi="FrankRuehl" w:cs="FrankRuehl"/>
          <w:color w:val="0000FF"/>
          <w:rtl/>
        </w:rPr>
        <w:t xml:space="preserve">, </w:t>
      </w:r>
      <w:hyperlink r:id="rId31" w:history="1">
        <w:r w:rsidRPr="00F85A49">
          <w:rPr>
            <w:rStyle w:val="Hyperlink"/>
            <w:rFonts w:ascii="FrankRuehl" w:hAnsi="FrankRuehl" w:cs="FrankRuehl"/>
            <w:u w:val="none"/>
          </w:rPr>
          <w:t>71</w:t>
        </w:r>
        <w:r w:rsidRPr="00F85A49">
          <w:rPr>
            <w:rStyle w:val="Hyperlink"/>
            <w:rFonts w:ascii="FrankRuehl" w:hAnsi="FrankRuehl" w:cs="FrankRuehl"/>
            <w:u w:val="none"/>
            <w:rtl/>
          </w:rPr>
          <w:t>א</w:t>
        </w:r>
      </w:hyperlink>
      <w:r w:rsidRPr="00F85A49">
        <w:rPr>
          <w:rFonts w:ascii="FrankRuehl" w:hAnsi="FrankRuehl" w:cs="FrankRuehl"/>
          <w:color w:val="0000FF"/>
          <w:rtl/>
        </w:rPr>
        <w:t xml:space="preserve">(ב), </w:t>
      </w:r>
      <w:hyperlink r:id="rId32" w:history="1">
        <w:r w:rsidRPr="00F85A49">
          <w:rPr>
            <w:rStyle w:val="Hyperlink"/>
            <w:rFonts w:ascii="FrankRuehl" w:hAnsi="FrankRuehl" w:cs="FrankRuehl"/>
            <w:u w:val="none"/>
          </w:rPr>
          <w:t>40</w:t>
        </w:r>
        <w:r w:rsidRPr="00F85A49">
          <w:rPr>
            <w:rStyle w:val="Hyperlink"/>
            <w:rFonts w:ascii="FrankRuehl" w:hAnsi="FrankRuehl" w:cs="FrankRuehl"/>
            <w:u w:val="none"/>
            <w:rtl/>
          </w:rPr>
          <w:t>יג</w:t>
        </w:r>
      </w:hyperlink>
      <w:r w:rsidRPr="00F85A49">
        <w:rPr>
          <w:rFonts w:ascii="FrankRuehl" w:hAnsi="FrankRuehl" w:cs="FrankRuehl"/>
          <w:color w:val="0000FF"/>
          <w:rtl/>
        </w:rPr>
        <w:t xml:space="preserve">, </w:t>
      </w:r>
      <w:hyperlink r:id="rId33" w:history="1">
        <w:r w:rsidRPr="00F85A49">
          <w:rPr>
            <w:rStyle w:val="Hyperlink"/>
            <w:rFonts w:ascii="FrankRuehl" w:hAnsi="FrankRuehl" w:cs="FrankRuehl"/>
            <w:u w:val="none"/>
          </w:rPr>
          <w:t>449</w:t>
        </w:r>
      </w:hyperlink>
      <w:r w:rsidRPr="00F85A49">
        <w:rPr>
          <w:rFonts w:ascii="FrankRuehl" w:hAnsi="FrankRuehl" w:cs="FrankRuehl"/>
          <w:color w:val="0000FF"/>
          <w:rtl/>
        </w:rPr>
        <w:t xml:space="preserve">, </w:t>
      </w:r>
      <w:hyperlink r:id="rId34" w:history="1">
        <w:r w:rsidRPr="00F85A49">
          <w:rPr>
            <w:rStyle w:val="Hyperlink"/>
            <w:rFonts w:ascii="FrankRuehl" w:hAnsi="FrankRuehl" w:cs="FrankRuehl"/>
            <w:u w:val="none"/>
          </w:rPr>
          <w:t>499</w:t>
        </w:r>
      </w:hyperlink>
      <w:r w:rsidRPr="00F85A49">
        <w:rPr>
          <w:rFonts w:ascii="FrankRuehl" w:hAnsi="FrankRuehl" w:cs="FrankRuehl"/>
          <w:color w:val="0000FF"/>
          <w:rtl/>
        </w:rPr>
        <w:t>(א)(1)</w:t>
      </w:r>
    </w:p>
    <w:p w14:paraId="0344A694" w14:textId="77777777" w:rsidR="00F85A49" w:rsidRPr="00F85A49" w:rsidRDefault="00F85A49" w:rsidP="00F85A49">
      <w:pPr>
        <w:spacing w:before="120" w:after="120" w:line="240" w:lineRule="exact"/>
        <w:ind w:left="283" w:hanging="283"/>
        <w:jc w:val="both"/>
        <w:rPr>
          <w:rFonts w:ascii="FrankRuehl" w:hAnsi="FrankRuehl" w:cs="FrankRuehl"/>
          <w:color w:val="0000FF"/>
          <w:rtl/>
        </w:rPr>
      </w:pPr>
      <w:hyperlink r:id="rId35" w:history="1">
        <w:r w:rsidRPr="00F85A49">
          <w:rPr>
            <w:rStyle w:val="Hyperlink"/>
            <w:rFonts w:ascii="FrankRuehl" w:hAnsi="FrankRuehl" w:cs="FrankRuehl"/>
            <w:u w:val="none"/>
            <w:rtl/>
          </w:rPr>
          <w:t>חוק סדר הדין הפלילי [נוסח משולב], תשמ"ב-1982</w:t>
        </w:r>
      </w:hyperlink>
      <w:r w:rsidRPr="00F85A49">
        <w:rPr>
          <w:rFonts w:ascii="FrankRuehl" w:hAnsi="FrankRuehl" w:cs="FrankRuehl"/>
          <w:color w:val="0000FF"/>
          <w:rtl/>
        </w:rPr>
        <w:t xml:space="preserve">: סע'  </w:t>
      </w:r>
      <w:hyperlink r:id="rId36" w:history="1">
        <w:r w:rsidRPr="00F85A49">
          <w:rPr>
            <w:rStyle w:val="Hyperlink"/>
            <w:rFonts w:ascii="FrankRuehl" w:hAnsi="FrankRuehl" w:cs="FrankRuehl"/>
            <w:u w:val="none"/>
          </w:rPr>
          <w:t>71</w:t>
        </w:r>
        <w:r w:rsidRPr="00F85A49">
          <w:rPr>
            <w:rStyle w:val="Hyperlink"/>
            <w:rFonts w:ascii="FrankRuehl" w:hAnsi="FrankRuehl" w:cs="FrankRuehl"/>
            <w:u w:val="none"/>
            <w:rtl/>
          </w:rPr>
          <w:t>א</w:t>
        </w:r>
      </w:hyperlink>
      <w:r w:rsidRPr="00F85A49">
        <w:rPr>
          <w:rFonts w:ascii="FrankRuehl" w:hAnsi="FrankRuehl" w:cs="FrankRuehl"/>
          <w:color w:val="0000FF"/>
          <w:rtl/>
        </w:rPr>
        <w:t xml:space="preserve">, </w:t>
      </w:r>
      <w:hyperlink r:id="rId37" w:history="1">
        <w:r w:rsidRPr="00F85A49">
          <w:rPr>
            <w:rStyle w:val="Hyperlink"/>
            <w:rFonts w:ascii="FrankRuehl" w:hAnsi="FrankRuehl" w:cs="FrankRuehl"/>
            <w:u w:val="none"/>
          </w:rPr>
          <w:t>192</w:t>
        </w:r>
        <w:r w:rsidRPr="00F85A49">
          <w:rPr>
            <w:rStyle w:val="Hyperlink"/>
            <w:rFonts w:ascii="FrankRuehl" w:hAnsi="FrankRuehl" w:cs="FrankRuehl"/>
            <w:u w:val="none"/>
            <w:rtl/>
          </w:rPr>
          <w:t>א</w:t>
        </w:r>
      </w:hyperlink>
    </w:p>
    <w:p w14:paraId="7BB725A6" w14:textId="77777777" w:rsidR="00F85A49" w:rsidRPr="00F85A49" w:rsidRDefault="00F85A49" w:rsidP="00F85A49">
      <w:pPr>
        <w:spacing w:before="120" w:after="120" w:line="240" w:lineRule="exact"/>
        <w:ind w:left="283" w:hanging="283"/>
        <w:jc w:val="both"/>
        <w:rPr>
          <w:rFonts w:ascii="FrankRuehl" w:hAnsi="FrankRuehl" w:cs="FrankRuehl"/>
          <w:color w:val="0000FF"/>
          <w:rtl/>
        </w:rPr>
      </w:pPr>
      <w:hyperlink r:id="rId38" w:history="1">
        <w:r w:rsidRPr="00F85A49">
          <w:rPr>
            <w:rStyle w:val="Hyperlink"/>
            <w:rFonts w:ascii="FrankRuehl" w:hAnsi="FrankRuehl" w:cs="FrankRuehl"/>
            <w:u w:val="none"/>
            <w:rtl/>
          </w:rPr>
          <w:t>פקודת המבחן [נוסח חדש], תשכ"ט-1969</w:t>
        </w:r>
      </w:hyperlink>
      <w:r w:rsidRPr="00F85A49">
        <w:rPr>
          <w:rFonts w:ascii="FrankRuehl" w:hAnsi="FrankRuehl" w:cs="FrankRuehl"/>
          <w:color w:val="0000FF"/>
          <w:rtl/>
        </w:rPr>
        <w:t xml:space="preserve">: סע'  </w:t>
      </w:r>
      <w:hyperlink r:id="rId39" w:history="1">
        <w:r w:rsidRPr="00F85A49">
          <w:rPr>
            <w:rStyle w:val="Hyperlink"/>
            <w:rFonts w:ascii="FrankRuehl" w:hAnsi="FrankRuehl" w:cs="FrankRuehl"/>
            <w:u w:val="none"/>
          </w:rPr>
          <w:t>1</w:t>
        </w:r>
      </w:hyperlink>
      <w:r w:rsidRPr="00F85A49">
        <w:rPr>
          <w:rFonts w:ascii="FrankRuehl" w:hAnsi="FrankRuehl" w:cs="FrankRuehl"/>
          <w:color w:val="0000FF"/>
          <w:rtl/>
        </w:rPr>
        <w:t>(2)</w:t>
      </w:r>
    </w:p>
    <w:p w14:paraId="3C2C3FC0" w14:textId="77777777" w:rsidR="00F85A49" w:rsidRPr="00F85A49" w:rsidRDefault="00F85A49" w:rsidP="00F85A49">
      <w:pPr>
        <w:spacing w:after="300" w:line="360" w:lineRule="auto"/>
        <w:ind w:left="360"/>
        <w:jc w:val="center"/>
        <w:rPr>
          <w:rFonts w:ascii="David" w:hAnsi="David"/>
          <w:sz w:val="28"/>
          <w:szCs w:val="28"/>
          <w:rtl/>
        </w:rPr>
      </w:pPr>
    </w:p>
    <w:p w14:paraId="08968FA1" w14:textId="77777777" w:rsidR="00C33366" w:rsidRPr="00C33366" w:rsidRDefault="00C33366" w:rsidP="00C33366">
      <w:pPr>
        <w:pBdr>
          <w:top w:val="single" w:sz="4" w:space="1" w:color="auto"/>
          <w:bottom w:val="single" w:sz="4" w:space="1" w:color="auto"/>
        </w:pBdr>
        <w:spacing w:after="120" w:line="320" w:lineRule="exact"/>
        <w:jc w:val="both"/>
        <w:rPr>
          <w:rFonts w:cs="FrankRuehl" w:hint="cs"/>
          <w:szCs w:val="26"/>
          <w:rtl/>
        </w:rPr>
      </w:pPr>
      <w:bookmarkStart w:id="7" w:name="ABSTRACT_START"/>
      <w:bookmarkEnd w:id="7"/>
      <w:r w:rsidRPr="00C33366">
        <w:rPr>
          <w:rFonts w:cs="FrankRuehl" w:hint="cs"/>
          <w:szCs w:val="26"/>
          <w:rtl/>
        </w:rPr>
        <w:t>מיני-רציו:</w:t>
      </w:r>
    </w:p>
    <w:p w14:paraId="1310D607" w14:textId="77777777" w:rsidR="00C33366" w:rsidRPr="00C33366" w:rsidRDefault="00C33366" w:rsidP="00C33366">
      <w:pPr>
        <w:pBdr>
          <w:top w:val="single" w:sz="4" w:space="1" w:color="auto"/>
          <w:bottom w:val="single" w:sz="4" w:space="1" w:color="auto"/>
        </w:pBdr>
        <w:spacing w:after="120" w:line="320" w:lineRule="exact"/>
        <w:jc w:val="both"/>
        <w:rPr>
          <w:rFonts w:cs="FrankRuehl" w:hint="cs"/>
          <w:szCs w:val="26"/>
          <w:rtl/>
        </w:rPr>
      </w:pPr>
      <w:r w:rsidRPr="00C33366">
        <w:rPr>
          <w:rFonts w:cs="FrankRuehl" w:hint="cs"/>
          <w:szCs w:val="26"/>
          <w:rtl/>
        </w:rPr>
        <w:lastRenderedPageBreak/>
        <w:t xml:space="preserve">* יש לאמץ את עמדת שירות המבחן לסטות ממתחם העונש ההולם ולהימנע מהטלת רכיבי ענישה הכוללים </w:t>
      </w:r>
      <w:r w:rsidRPr="00C33366">
        <w:rPr>
          <w:rFonts w:cs="FrankRuehl"/>
          <w:szCs w:val="26"/>
          <w:rtl/>
        </w:rPr>
        <w:t>מאסר, אף לא בדרך של עבודת שירות.</w:t>
      </w:r>
      <w:r w:rsidRPr="00C33366">
        <w:rPr>
          <w:rFonts w:cs="FrankRuehl" w:hint="cs"/>
          <w:szCs w:val="26"/>
          <w:rtl/>
        </w:rPr>
        <w:t xml:space="preserve"> יחד עם זאת, ובנסיבות התיק דנן, יש לקבוע מסגרת שעות של"צ רחבה מזו עליה המליץ שירות המבחן.</w:t>
      </w:r>
    </w:p>
    <w:p w14:paraId="07EF8969" w14:textId="77777777" w:rsidR="00C33366" w:rsidRPr="00C33366" w:rsidRDefault="00C33366" w:rsidP="00C33366">
      <w:pPr>
        <w:pBdr>
          <w:top w:val="single" w:sz="4" w:space="1" w:color="auto"/>
          <w:bottom w:val="single" w:sz="4" w:space="1" w:color="auto"/>
        </w:pBdr>
        <w:spacing w:after="120" w:line="320" w:lineRule="exact"/>
        <w:jc w:val="both"/>
        <w:rPr>
          <w:rFonts w:cs="FrankRuehl" w:hint="cs"/>
          <w:szCs w:val="26"/>
          <w:rtl/>
        </w:rPr>
      </w:pPr>
      <w:r w:rsidRPr="00C33366">
        <w:rPr>
          <w:rFonts w:cs="FrankRuehl" w:hint="cs"/>
          <w:szCs w:val="26"/>
          <w:rtl/>
        </w:rPr>
        <w:t xml:space="preserve">* </w:t>
      </w:r>
      <w:r w:rsidRPr="00C33366">
        <w:rPr>
          <w:rFonts w:cs="FrankRuehl"/>
          <w:szCs w:val="26"/>
          <w:rtl/>
        </w:rPr>
        <w:t>עונשין – ענישה – מדיניות ענישה: עבירות סמים</w:t>
      </w:r>
    </w:p>
    <w:p w14:paraId="0B7743D6" w14:textId="77777777" w:rsidR="00C33366" w:rsidRPr="00C33366" w:rsidRDefault="00C33366" w:rsidP="00C33366">
      <w:pPr>
        <w:pBdr>
          <w:top w:val="single" w:sz="4" w:space="1" w:color="auto"/>
          <w:bottom w:val="single" w:sz="4" w:space="1" w:color="auto"/>
        </w:pBdr>
        <w:spacing w:after="120" w:line="320" w:lineRule="exact"/>
        <w:jc w:val="both"/>
        <w:rPr>
          <w:rFonts w:cs="FrankRuehl" w:hint="cs"/>
          <w:szCs w:val="26"/>
          <w:rtl/>
        </w:rPr>
      </w:pPr>
      <w:r w:rsidRPr="00C33366">
        <w:rPr>
          <w:rFonts w:cs="FrankRuehl" w:hint="cs"/>
          <w:szCs w:val="26"/>
          <w:rtl/>
        </w:rPr>
        <w:t xml:space="preserve">* </w:t>
      </w:r>
      <w:r w:rsidRPr="00C33366">
        <w:rPr>
          <w:rFonts w:cs="FrankRuehl"/>
          <w:szCs w:val="26"/>
          <w:rtl/>
        </w:rPr>
        <w:t>עונשין – ענישה – דרכי ענישה: שירות לתועלת הציבור</w:t>
      </w:r>
    </w:p>
    <w:p w14:paraId="79720F2D" w14:textId="77777777" w:rsidR="00C33366" w:rsidRPr="00C33366" w:rsidRDefault="00C33366" w:rsidP="00C33366">
      <w:pPr>
        <w:pBdr>
          <w:top w:val="single" w:sz="4" w:space="1" w:color="auto"/>
          <w:bottom w:val="single" w:sz="4" w:space="1" w:color="auto"/>
        </w:pBdr>
        <w:spacing w:after="120" w:line="320" w:lineRule="exact"/>
        <w:jc w:val="both"/>
        <w:rPr>
          <w:rFonts w:cs="FrankRuehl"/>
          <w:szCs w:val="26"/>
          <w:rtl/>
        </w:rPr>
      </w:pPr>
      <w:r>
        <w:rPr>
          <w:rFonts w:cs="FrankRuehl"/>
          <w:szCs w:val="26"/>
        </w:rPr>
        <w:t>.</w:t>
      </w:r>
    </w:p>
    <w:p w14:paraId="27BD3885" w14:textId="77777777" w:rsidR="00C33366" w:rsidRPr="00C33366" w:rsidRDefault="00C33366" w:rsidP="00C33366">
      <w:pPr>
        <w:pBdr>
          <w:top w:val="single" w:sz="4" w:space="1" w:color="auto"/>
          <w:bottom w:val="single" w:sz="4" w:space="1" w:color="auto"/>
        </w:pBdr>
        <w:spacing w:after="120" w:line="320" w:lineRule="exact"/>
        <w:jc w:val="both"/>
        <w:rPr>
          <w:rFonts w:cs="FrankRuehl" w:hint="cs"/>
          <w:szCs w:val="26"/>
          <w:rtl/>
        </w:rPr>
      </w:pPr>
      <w:r w:rsidRPr="00C33366">
        <w:rPr>
          <w:rFonts w:cs="FrankRuehl" w:hint="cs"/>
          <w:szCs w:val="26"/>
          <w:rtl/>
        </w:rPr>
        <w:t xml:space="preserve">הנאשם הורשע, על פי הודאתו ובמסגרת הסדר טיעון, בעבירות של סחר בסם מסוכן (2 עבירות) </w:t>
      </w:r>
      <w:r w:rsidRPr="00C33366">
        <w:rPr>
          <w:rFonts w:cs="FrankRuehl"/>
          <w:szCs w:val="26"/>
          <w:rtl/>
        </w:rPr>
        <w:t xml:space="preserve">עפ"י סעיף </w:t>
      </w:r>
      <w:hyperlink r:id="rId40" w:history="1">
        <w:r w:rsidRPr="00C33366">
          <w:rPr>
            <w:rStyle w:val="Hyperlink"/>
            <w:rFonts w:cs="FrankRuehl"/>
            <w:color w:val="auto"/>
            <w:szCs w:val="26"/>
            <w:u w:val="none"/>
            <w:rtl/>
          </w:rPr>
          <w:t>13 + 19א</w:t>
        </w:r>
      </w:hyperlink>
      <w:r w:rsidRPr="00C33366">
        <w:rPr>
          <w:rFonts w:cs="FrankRuehl"/>
          <w:szCs w:val="26"/>
          <w:rtl/>
        </w:rPr>
        <w:t xml:space="preserve"> ל</w:t>
      </w:r>
      <w:hyperlink r:id="rId41" w:history="1">
        <w:r w:rsidRPr="00C33366">
          <w:rPr>
            <w:rFonts w:cs="FrankRuehl"/>
            <w:szCs w:val="26"/>
            <w:rtl/>
          </w:rPr>
          <w:t>פקודת הסמים המסוכנים</w:t>
        </w:r>
      </w:hyperlink>
      <w:r w:rsidRPr="00C33366">
        <w:rPr>
          <w:rFonts w:cs="FrankRuehl"/>
          <w:szCs w:val="26"/>
          <w:rtl/>
        </w:rPr>
        <w:t xml:space="preserve"> וקשירת קשר ל</w:t>
      </w:r>
      <w:r w:rsidRPr="00C33366">
        <w:rPr>
          <w:rFonts w:cs="FrankRuehl" w:hint="cs"/>
          <w:szCs w:val="26"/>
          <w:rtl/>
        </w:rPr>
        <w:t>ביצוע</w:t>
      </w:r>
      <w:r w:rsidRPr="00C33366">
        <w:rPr>
          <w:rFonts w:cs="FrankRuehl"/>
          <w:szCs w:val="26"/>
          <w:rtl/>
        </w:rPr>
        <w:t xml:space="preserve"> פשע </w:t>
      </w:r>
      <w:r w:rsidRPr="00C33366">
        <w:rPr>
          <w:rFonts w:cs="FrankRuehl" w:hint="cs"/>
          <w:szCs w:val="26"/>
          <w:rtl/>
        </w:rPr>
        <w:t>(2 עבירות)</w:t>
      </w:r>
      <w:r w:rsidRPr="00C33366">
        <w:rPr>
          <w:rFonts w:cs="FrankRuehl"/>
          <w:szCs w:val="26"/>
          <w:rtl/>
        </w:rPr>
        <w:t xml:space="preserve"> עפ"י </w:t>
      </w:r>
      <w:hyperlink r:id="rId42" w:history="1">
        <w:r w:rsidRPr="00C33366">
          <w:rPr>
            <w:rStyle w:val="Hyperlink"/>
            <w:rFonts w:cs="FrankRuehl"/>
            <w:color w:val="auto"/>
            <w:szCs w:val="26"/>
            <w:u w:val="none"/>
            <w:rtl/>
          </w:rPr>
          <w:t>סעיף 499(א)(1)</w:t>
        </w:r>
      </w:hyperlink>
      <w:r w:rsidRPr="00C33366">
        <w:rPr>
          <w:rFonts w:cs="FrankRuehl"/>
          <w:szCs w:val="26"/>
          <w:rtl/>
        </w:rPr>
        <w:t xml:space="preserve"> ל</w:t>
      </w:r>
      <w:hyperlink r:id="rId43" w:history="1">
        <w:r w:rsidRPr="00C33366">
          <w:rPr>
            <w:rFonts w:cs="FrankRuehl"/>
            <w:szCs w:val="26"/>
            <w:rtl/>
          </w:rPr>
          <w:t>חוק העונשין</w:t>
        </w:r>
      </w:hyperlink>
      <w:r w:rsidRPr="00C33366">
        <w:rPr>
          <w:rFonts w:cs="FrankRuehl"/>
          <w:szCs w:val="26"/>
          <w:rtl/>
        </w:rPr>
        <w:t>.</w:t>
      </w:r>
    </w:p>
    <w:p w14:paraId="212E13DF" w14:textId="77777777" w:rsidR="00C33366" w:rsidRPr="00C33366" w:rsidRDefault="00C33366" w:rsidP="00C33366">
      <w:pPr>
        <w:pBdr>
          <w:top w:val="single" w:sz="4" w:space="1" w:color="auto"/>
          <w:bottom w:val="single" w:sz="4" w:space="1" w:color="auto"/>
        </w:pBdr>
        <w:spacing w:after="120" w:line="320" w:lineRule="exact"/>
        <w:jc w:val="both"/>
        <w:rPr>
          <w:rFonts w:cs="FrankRuehl"/>
          <w:szCs w:val="26"/>
          <w:rtl/>
        </w:rPr>
      </w:pPr>
      <w:r>
        <w:rPr>
          <w:rFonts w:cs="FrankRuehl"/>
          <w:szCs w:val="26"/>
        </w:rPr>
        <w:t>.</w:t>
      </w:r>
    </w:p>
    <w:p w14:paraId="7FBD0569" w14:textId="77777777" w:rsidR="00C33366" w:rsidRPr="00C33366" w:rsidRDefault="00C33366" w:rsidP="00C33366">
      <w:pPr>
        <w:pBdr>
          <w:top w:val="single" w:sz="4" w:space="1" w:color="auto"/>
          <w:bottom w:val="single" w:sz="4" w:space="1" w:color="auto"/>
        </w:pBdr>
        <w:spacing w:after="120" w:line="320" w:lineRule="exact"/>
        <w:jc w:val="both"/>
        <w:rPr>
          <w:rFonts w:cs="FrankRuehl" w:hint="cs"/>
          <w:szCs w:val="26"/>
          <w:rtl/>
        </w:rPr>
      </w:pPr>
      <w:r w:rsidRPr="00C33366">
        <w:rPr>
          <w:rFonts w:cs="FrankRuehl" w:hint="cs"/>
          <w:szCs w:val="26"/>
          <w:rtl/>
        </w:rPr>
        <w:t>בית המשפט גזר את דינו של הנאשם, ופסק כלהלן:</w:t>
      </w:r>
    </w:p>
    <w:p w14:paraId="11857E37" w14:textId="77777777" w:rsidR="00C33366" w:rsidRPr="00C33366" w:rsidRDefault="00C33366" w:rsidP="00C33366">
      <w:pPr>
        <w:pBdr>
          <w:top w:val="single" w:sz="4" w:space="1" w:color="auto"/>
          <w:bottom w:val="single" w:sz="4" w:space="1" w:color="auto"/>
        </w:pBdr>
        <w:spacing w:after="120" w:line="320" w:lineRule="exact"/>
        <w:jc w:val="both"/>
        <w:rPr>
          <w:rFonts w:cs="FrankRuehl" w:hint="cs"/>
          <w:szCs w:val="26"/>
          <w:rtl/>
        </w:rPr>
      </w:pPr>
      <w:r w:rsidRPr="00C33366">
        <w:rPr>
          <w:rFonts w:cs="FrankRuehl"/>
          <w:szCs w:val="26"/>
          <w:rtl/>
        </w:rPr>
        <w:t>נסיבותיו האישיות של הנאשם</w:t>
      </w:r>
      <w:r w:rsidRPr="00C33366">
        <w:rPr>
          <w:rFonts w:cs="FrankRuehl" w:hint="cs"/>
          <w:szCs w:val="26"/>
          <w:rtl/>
        </w:rPr>
        <w:t xml:space="preserve"> הינן חריגות, וזאת כמי </w:t>
      </w:r>
      <w:r w:rsidRPr="00C33366">
        <w:rPr>
          <w:rFonts w:cs="FrankRuehl"/>
          <w:szCs w:val="26"/>
          <w:rtl/>
        </w:rPr>
        <w:t>שנטל חלק משמעותי ב</w:t>
      </w:r>
      <w:r w:rsidRPr="00C33366">
        <w:rPr>
          <w:rFonts w:cs="FrankRuehl" w:hint="cs"/>
          <w:szCs w:val="26"/>
          <w:rtl/>
        </w:rPr>
        <w:t>מסגרת שירותו הצבאי ב</w:t>
      </w:r>
      <w:r w:rsidRPr="00C33366">
        <w:rPr>
          <w:rFonts w:cs="FrankRuehl"/>
          <w:szCs w:val="26"/>
          <w:rtl/>
        </w:rPr>
        <w:t xml:space="preserve">מבצע צבאי </w:t>
      </w:r>
      <w:r w:rsidRPr="00C33366">
        <w:rPr>
          <w:rFonts w:cs="FrankRuehl" w:hint="cs"/>
          <w:szCs w:val="26"/>
          <w:rtl/>
        </w:rPr>
        <w:t xml:space="preserve">מורכב </w:t>
      </w:r>
      <w:r w:rsidRPr="00C33366">
        <w:rPr>
          <w:rFonts w:cs="FrankRuehl"/>
          <w:szCs w:val="26"/>
          <w:rtl/>
        </w:rPr>
        <w:t>אשר בגינו הוסת מסלול חייו</w:t>
      </w:r>
      <w:r w:rsidRPr="00C33366">
        <w:rPr>
          <w:rFonts w:cs="FrankRuehl" w:hint="cs"/>
          <w:szCs w:val="26"/>
          <w:rtl/>
        </w:rPr>
        <w:t xml:space="preserve">, והוא </w:t>
      </w:r>
      <w:r w:rsidRPr="00C33366">
        <w:rPr>
          <w:rFonts w:cs="FrankRuehl"/>
          <w:szCs w:val="26"/>
          <w:rtl/>
        </w:rPr>
        <w:t xml:space="preserve">סובל </w:t>
      </w:r>
      <w:r w:rsidRPr="00C33366">
        <w:rPr>
          <w:rFonts w:cs="FrankRuehl" w:hint="cs"/>
          <w:szCs w:val="26"/>
          <w:rtl/>
        </w:rPr>
        <w:t>מ</w:t>
      </w:r>
      <w:r w:rsidRPr="00C33366">
        <w:rPr>
          <w:rFonts w:cs="FrankRuehl"/>
          <w:szCs w:val="26"/>
          <w:rtl/>
        </w:rPr>
        <w:t>תסמונת פוסט טראומתית קשה אשר פגעה בכל אורחות חייו</w:t>
      </w:r>
      <w:r w:rsidRPr="00C33366">
        <w:rPr>
          <w:rFonts w:cs="FrankRuehl" w:hint="cs"/>
          <w:szCs w:val="26"/>
          <w:rtl/>
        </w:rPr>
        <w:t>. יש בכך כדי להוות טעם המצדיק סטייה ממתחם העונש ההולם, אולם אין בו, או בטעמים הנוספים עליהם עומד שירות המבחן בתסקירו, כדי להוות טעם מספיק לסיום ההליך באי הרשעה.</w:t>
      </w:r>
    </w:p>
    <w:p w14:paraId="4947BB34" w14:textId="77777777" w:rsidR="00C33366" w:rsidRPr="00C33366" w:rsidRDefault="00C33366" w:rsidP="00C33366">
      <w:pPr>
        <w:pBdr>
          <w:top w:val="single" w:sz="4" w:space="1" w:color="auto"/>
          <w:bottom w:val="single" w:sz="4" w:space="1" w:color="auto"/>
        </w:pBdr>
        <w:spacing w:after="120" w:line="320" w:lineRule="exact"/>
        <w:jc w:val="both"/>
        <w:rPr>
          <w:rFonts w:cs="FrankRuehl"/>
          <w:szCs w:val="26"/>
        </w:rPr>
      </w:pPr>
      <w:r w:rsidRPr="00C33366">
        <w:rPr>
          <w:rFonts w:cs="FrankRuehl" w:hint="cs"/>
          <w:szCs w:val="26"/>
          <w:rtl/>
        </w:rPr>
        <w:t>בהתאם ל</w:t>
      </w:r>
      <w:r w:rsidRPr="00C33366">
        <w:rPr>
          <w:rFonts w:cs="FrankRuehl"/>
          <w:szCs w:val="26"/>
          <w:rtl/>
        </w:rPr>
        <w:t>מבחנים שהו</w:t>
      </w:r>
      <w:r w:rsidRPr="00C33366">
        <w:rPr>
          <w:rFonts w:cs="FrankRuehl" w:hint="cs"/>
          <w:szCs w:val="26"/>
          <w:rtl/>
        </w:rPr>
        <w:t>תוו</w:t>
      </w:r>
      <w:r w:rsidRPr="00C33366">
        <w:rPr>
          <w:rFonts w:cs="FrankRuehl"/>
          <w:szCs w:val="26"/>
          <w:rtl/>
        </w:rPr>
        <w:t xml:space="preserve"> בפסיקה, על מנת </w:t>
      </w:r>
      <w:r w:rsidRPr="00C33366">
        <w:rPr>
          <w:rFonts w:cs="FrankRuehl" w:hint="cs"/>
          <w:szCs w:val="26"/>
          <w:rtl/>
        </w:rPr>
        <w:t xml:space="preserve">שייעשה </w:t>
      </w:r>
      <w:r w:rsidRPr="00C33366">
        <w:rPr>
          <w:rFonts w:cs="FrankRuehl"/>
          <w:szCs w:val="26"/>
          <w:rtl/>
        </w:rPr>
        <w:t xml:space="preserve">שימוש בכלי של ביטול ההרשעה יש להוכיח פגיעה משמעותית בשיקומו של הנאשם ועל העבירות שנעברו להיות מסוג </w:t>
      </w:r>
      <w:r w:rsidRPr="00C33366">
        <w:rPr>
          <w:rFonts w:cs="FrankRuehl" w:hint="cs"/>
          <w:szCs w:val="26"/>
          <w:rtl/>
        </w:rPr>
        <w:t>ה</w:t>
      </w:r>
      <w:r w:rsidRPr="00C33366">
        <w:rPr>
          <w:rFonts w:cs="FrankRuehl"/>
          <w:szCs w:val="26"/>
          <w:rtl/>
        </w:rPr>
        <w:t xml:space="preserve">עבירות שבעניינן ניתן "לוותר" על הרשעתו של הנאשם. לא כך במקרה </w:t>
      </w:r>
      <w:r w:rsidRPr="00C33366">
        <w:rPr>
          <w:rFonts w:cs="FrankRuehl" w:hint="cs"/>
          <w:szCs w:val="26"/>
          <w:rtl/>
        </w:rPr>
        <w:t>דנן</w:t>
      </w:r>
      <w:r w:rsidRPr="00C33366">
        <w:rPr>
          <w:rFonts w:cs="FrankRuehl"/>
          <w:szCs w:val="26"/>
          <w:rtl/>
        </w:rPr>
        <w:t xml:space="preserve">, כאשר המדובר בעבירות </w:t>
      </w:r>
      <w:r w:rsidRPr="00C33366">
        <w:rPr>
          <w:rFonts w:cs="FrankRuehl" w:hint="cs"/>
          <w:szCs w:val="26"/>
          <w:rtl/>
        </w:rPr>
        <w:t xml:space="preserve">במדרג הגבוה של עבירות הסם, ובנסיבות בהן </w:t>
      </w:r>
      <w:r w:rsidRPr="00C33366">
        <w:rPr>
          <w:rFonts w:cs="FrankRuehl"/>
          <w:szCs w:val="26"/>
          <w:rtl/>
        </w:rPr>
        <w:t xml:space="preserve">לא הוכח </w:t>
      </w:r>
      <w:r w:rsidRPr="00C33366">
        <w:rPr>
          <w:rFonts w:cs="FrankRuehl" w:hint="cs"/>
          <w:szCs w:val="26"/>
          <w:rtl/>
        </w:rPr>
        <w:t xml:space="preserve">כי </w:t>
      </w:r>
      <w:r w:rsidRPr="00C33366">
        <w:rPr>
          <w:rFonts w:cs="FrankRuehl"/>
          <w:szCs w:val="26"/>
          <w:rtl/>
        </w:rPr>
        <w:t xml:space="preserve">יש בהרשעת הנאשם כדי להוביל לפגיעה חמורה </w:t>
      </w:r>
      <w:r w:rsidRPr="00C33366">
        <w:rPr>
          <w:rFonts w:cs="FrankRuehl" w:hint="cs"/>
          <w:szCs w:val="26"/>
          <w:rtl/>
        </w:rPr>
        <w:t xml:space="preserve">וממשית </w:t>
      </w:r>
      <w:r w:rsidRPr="00C33366">
        <w:rPr>
          <w:rFonts w:cs="FrankRuehl"/>
          <w:szCs w:val="26"/>
          <w:rtl/>
        </w:rPr>
        <w:t>בשיקומו</w:t>
      </w:r>
      <w:r w:rsidRPr="00C33366">
        <w:rPr>
          <w:rFonts w:cs="FrankRuehl" w:hint="cs"/>
          <w:szCs w:val="26"/>
          <w:rtl/>
        </w:rPr>
        <w:t>, לבד מטענה כללית אודות פגיעה מקצועית או כזו הנוגעת בדימויו העצמי של הנאשם</w:t>
      </w:r>
      <w:r w:rsidRPr="00C33366">
        <w:rPr>
          <w:rFonts w:cs="FrankRuehl"/>
          <w:szCs w:val="26"/>
          <w:rtl/>
        </w:rPr>
        <w:t xml:space="preserve">. </w:t>
      </w:r>
    </w:p>
    <w:p w14:paraId="5FE58EB5" w14:textId="77777777" w:rsidR="00C33366" w:rsidRPr="00C33366" w:rsidRDefault="00C33366" w:rsidP="00C33366">
      <w:pPr>
        <w:pBdr>
          <w:top w:val="single" w:sz="4" w:space="1" w:color="auto"/>
          <w:bottom w:val="single" w:sz="4" w:space="1" w:color="auto"/>
        </w:pBdr>
        <w:spacing w:after="120" w:line="320" w:lineRule="exact"/>
        <w:jc w:val="both"/>
        <w:rPr>
          <w:rFonts w:cs="FrankRuehl" w:hint="cs"/>
          <w:szCs w:val="26"/>
          <w:rtl/>
        </w:rPr>
      </w:pPr>
      <w:r w:rsidRPr="00C33366">
        <w:rPr>
          <w:rFonts w:cs="FrankRuehl" w:hint="cs"/>
          <w:szCs w:val="26"/>
          <w:rtl/>
        </w:rPr>
        <w:t xml:space="preserve">בנסיבות העניין, יש לאמץ את עמדת שירות המבחן לסטות ממתחם העונש ההולם ולהימנע מהטלת רכיבי ענישה הכוללים </w:t>
      </w:r>
      <w:r w:rsidRPr="00C33366">
        <w:rPr>
          <w:rFonts w:cs="FrankRuehl"/>
          <w:szCs w:val="26"/>
          <w:rtl/>
        </w:rPr>
        <w:t>מאסר, אף לא בדרך של עבודת שירות.</w:t>
      </w:r>
      <w:r w:rsidRPr="00C33366">
        <w:rPr>
          <w:rFonts w:cs="FrankRuehl" w:hint="cs"/>
          <w:szCs w:val="26"/>
          <w:rtl/>
        </w:rPr>
        <w:t xml:space="preserve"> יחד עם זאת, ובנסיבות התיק דנן, יש לקבוע מסגרת שעות של"צ רחבה מזו עליה המליץ שירות המבחן.</w:t>
      </w:r>
    </w:p>
    <w:p w14:paraId="04A0A746" w14:textId="77777777" w:rsidR="00C33366" w:rsidRDefault="00C33366" w:rsidP="00E350ED">
      <w:pPr>
        <w:spacing w:after="300" w:line="360" w:lineRule="auto"/>
        <w:ind w:left="360"/>
        <w:jc w:val="center"/>
        <w:rPr>
          <w:rFonts w:ascii="David" w:hAnsi="David"/>
          <w:b/>
          <w:bCs/>
          <w:sz w:val="28"/>
          <w:szCs w:val="28"/>
          <w:u w:val="single"/>
        </w:rPr>
      </w:pPr>
      <w:bookmarkStart w:id="8" w:name="ABSTRACT_END"/>
      <w:bookmarkEnd w:id="8"/>
    </w:p>
    <w:p w14:paraId="223DE307" w14:textId="77777777" w:rsidR="000644AB" w:rsidRPr="000644AB" w:rsidRDefault="000644AB" w:rsidP="00E350ED">
      <w:pPr>
        <w:spacing w:after="300" w:line="360" w:lineRule="auto"/>
        <w:ind w:left="360"/>
        <w:jc w:val="center"/>
        <w:rPr>
          <w:rFonts w:ascii="David" w:hAnsi="David"/>
          <w:b/>
          <w:bCs/>
          <w:sz w:val="28"/>
          <w:szCs w:val="28"/>
          <w:u w:val="single"/>
          <w:rtl/>
        </w:rPr>
      </w:pPr>
      <w:r w:rsidRPr="000644AB">
        <w:rPr>
          <w:rFonts w:ascii="David" w:hAnsi="David"/>
          <w:b/>
          <w:bCs/>
          <w:sz w:val="28"/>
          <w:szCs w:val="28"/>
          <w:u w:val="single"/>
          <w:rtl/>
        </w:rPr>
        <w:t>גזר דין</w:t>
      </w:r>
    </w:p>
    <w:bookmarkEnd w:id="2"/>
    <w:p w14:paraId="3B3B38AB" w14:textId="77777777" w:rsidR="0089095E" w:rsidRPr="009A39A1" w:rsidRDefault="0089095E" w:rsidP="0089095E">
      <w:pPr>
        <w:numPr>
          <w:ilvl w:val="0"/>
          <w:numId w:val="1"/>
        </w:numPr>
        <w:spacing w:after="300" w:line="360" w:lineRule="auto"/>
        <w:ind w:hanging="635"/>
        <w:jc w:val="both"/>
        <w:rPr>
          <w:rFonts w:ascii="David" w:hAnsi="David"/>
        </w:rPr>
      </w:pPr>
      <w:r>
        <w:rPr>
          <w:rFonts w:ascii="David" w:hAnsi="David" w:hint="cs"/>
          <w:rtl/>
        </w:rPr>
        <w:t xml:space="preserve">הנאשם הורשע על פי הודאתו ובמסגרת הסדר טעון בעבירות של סחר בסם מסוכן (2 עבירות) לפי </w:t>
      </w:r>
      <w:r w:rsidRPr="009A39A1">
        <w:rPr>
          <w:rFonts w:ascii="David" w:hAnsi="David"/>
          <w:rtl/>
        </w:rPr>
        <w:t xml:space="preserve"> עפ"י סעיף </w:t>
      </w:r>
      <w:hyperlink r:id="rId44" w:history="1">
        <w:r w:rsidR="00E350ED" w:rsidRPr="00E350ED">
          <w:rPr>
            <w:rStyle w:val="Hyperlink"/>
            <w:rFonts w:ascii="David" w:hAnsi="David"/>
            <w:rtl/>
          </w:rPr>
          <w:t>13 + 19א</w:t>
        </w:r>
      </w:hyperlink>
      <w:r w:rsidRPr="009A39A1">
        <w:rPr>
          <w:rFonts w:ascii="David" w:hAnsi="David"/>
          <w:rtl/>
        </w:rPr>
        <w:t xml:space="preserve"> ל</w:t>
      </w:r>
      <w:hyperlink r:id="rId45" w:history="1">
        <w:r w:rsidR="000644AB" w:rsidRPr="000644AB">
          <w:rPr>
            <w:rFonts w:ascii="David" w:hAnsi="David"/>
            <w:color w:val="0000FF"/>
            <w:u w:val="single"/>
            <w:rtl/>
          </w:rPr>
          <w:t>פקודת הסמים המסוכנים</w:t>
        </w:r>
      </w:hyperlink>
      <w:r w:rsidRPr="009A39A1">
        <w:rPr>
          <w:rFonts w:ascii="David" w:hAnsi="David"/>
          <w:rtl/>
        </w:rPr>
        <w:t xml:space="preserve"> (נוסח חדש), תשל"ג – 1973 (להלן: </w:t>
      </w:r>
      <w:r w:rsidRPr="009A39A1">
        <w:rPr>
          <w:rFonts w:ascii="David" w:hAnsi="David"/>
          <w:b/>
          <w:bCs/>
          <w:rtl/>
        </w:rPr>
        <w:t>"פקודת הסמים"</w:t>
      </w:r>
      <w:r w:rsidRPr="009A39A1">
        <w:rPr>
          <w:rFonts w:ascii="David" w:hAnsi="David"/>
          <w:rtl/>
        </w:rPr>
        <w:t xml:space="preserve">) וקשירת קשר לעשות פשע </w:t>
      </w:r>
      <w:r>
        <w:rPr>
          <w:rFonts w:ascii="David" w:hAnsi="David" w:hint="cs"/>
          <w:rtl/>
        </w:rPr>
        <w:t>(2 עבירות)</w:t>
      </w:r>
      <w:r w:rsidRPr="009A39A1">
        <w:rPr>
          <w:rFonts w:ascii="David" w:hAnsi="David"/>
          <w:rtl/>
        </w:rPr>
        <w:t xml:space="preserve"> עפ"י </w:t>
      </w:r>
      <w:hyperlink r:id="rId46" w:history="1">
        <w:r w:rsidR="00E350ED" w:rsidRPr="00E350ED">
          <w:rPr>
            <w:rStyle w:val="Hyperlink"/>
            <w:rFonts w:ascii="David" w:hAnsi="David"/>
            <w:rtl/>
          </w:rPr>
          <w:t>סעיף 499(א)(1)</w:t>
        </w:r>
      </w:hyperlink>
      <w:r w:rsidRPr="009A39A1">
        <w:rPr>
          <w:rFonts w:ascii="David" w:hAnsi="David"/>
          <w:rtl/>
        </w:rPr>
        <w:t xml:space="preserve"> ל</w:t>
      </w:r>
      <w:hyperlink r:id="rId47" w:history="1">
        <w:r w:rsidR="000644AB" w:rsidRPr="000644AB">
          <w:rPr>
            <w:rFonts w:ascii="David" w:hAnsi="David"/>
            <w:color w:val="0000FF"/>
            <w:u w:val="single"/>
            <w:rtl/>
          </w:rPr>
          <w:t>חוק העונשין</w:t>
        </w:r>
      </w:hyperlink>
      <w:r w:rsidRPr="009A39A1">
        <w:rPr>
          <w:rFonts w:ascii="David" w:hAnsi="David"/>
          <w:rtl/>
        </w:rPr>
        <w:t xml:space="preserve">, תשל"ג – 1973 (להלן: </w:t>
      </w:r>
      <w:r w:rsidRPr="009A39A1">
        <w:rPr>
          <w:rFonts w:ascii="David" w:hAnsi="David"/>
          <w:b/>
          <w:bCs/>
          <w:rtl/>
        </w:rPr>
        <w:t>"חוק העונשין"</w:t>
      </w:r>
      <w:r w:rsidRPr="009A39A1">
        <w:rPr>
          <w:rFonts w:ascii="David" w:hAnsi="David"/>
          <w:rtl/>
        </w:rPr>
        <w:t xml:space="preserve">). </w:t>
      </w:r>
      <w:r>
        <w:rPr>
          <w:rFonts w:ascii="David" w:hAnsi="David" w:hint="cs"/>
          <w:rtl/>
        </w:rPr>
        <w:t xml:space="preserve">סוכם בין הצדדים כי </w:t>
      </w:r>
      <w:r w:rsidRPr="009A39A1">
        <w:rPr>
          <w:rFonts w:ascii="David" w:hAnsi="David"/>
          <w:rtl/>
        </w:rPr>
        <w:t xml:space="preserve">המאשימה תגביל עצמה לעונש מאסר </w:t>
      </w:r>
      <w:r>
        <w:rPr>
          <w:rFonts w:ascii="David" w:hAnsi="David" w:hint="cs"/>
          <w:rtl/>
        </w:rPr>
        <w:t xml:space="preserve">של עד </w:t>
      </w:r>
      <w:r w:rsidRPr="009A39A1">
        <w:rPr>
          <w:rFonts w:ascii="David" w:hAnsi="David"/>
          <w:rtl/>
        </w:rPr>
        <w:t xml:space="preserve">7 חודשים לצד ענישה נלווית והנאשם יהיה חופשי בטיעוניו.  </w:t>
      </w:r>
    </w:p>
    <w:p w14:paraId="69F9C9A4"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עפ"י המתואר באישום הראשון, ביום 18.2.19 נוצר קשר בין הנאשם לבין סוכן משטרתי באמצעות אפליקציית "טלגראס" לצורך רכישת סם מסוג קנאביס. הסוכן סיכם עם הנאשם כי ירכוש ממנו 30 גרם קנאביס בעד תמורה בסך 1,300 ₪. לאחר מכן הגיעו השניים (הנאשם בליווי אדם נוסף) למקום המפגש אז הפנה הנאשם את הסוכן למקום בו הניח </w:t>
      </w:r>
      <w:r w:rsidRPr="009A39A1">
        <w:rPr>
          <w:rFonts w:ascii="David" w:hAnsi="David"/>
          <w:rtl/>
        </w:rPr>
        <w:lastRenderedPageBreak/>
        <w:t xml:space="preserve">עבורו את הסם כפי שסיכמו, הסוכן העביר לידי הנאשם את הסכום שסוכם וקיבל לידיו שקית ובה 30.2 </w:t>
      </w:r>
      <w:r>
        <w:rPr>
          <w:rFonts w:ascii="David" w:hAnsi="David"/>
          <w:rtl/>
        </w:rPr>
        <w:t>גרם</w:t>
      </w:r>
      <w:r w:rsidRPr="009A39A1">
        <w:rPr>
          <w:rFonts w:ascii="David" w:hAnsi="David"/>
          <w:rtl/>
        </w:rPr>
        <w:t xml:space="preserve"> קנאביס. </w:t>
      </w:r>
    </w:p>
    <w:p w14:paraId="2EB98A65" w14:textId="77777777" w:rsidR="0089095E"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באישום השני תואר כי ביום 4.3.19 שוב נוצר קשר באפליקציה בין הסוכן לבין </w:t>
      </w:r>
      <w:r>
        <w:rPr>
          <w:rFonts w:ascii="David" w:hAnsi="David" w:hint="cs"/>
          <w:rtl/>
        </w:rPr>
        <w:t>אדם שזהותו אינה ידועה</w:t>
      </w:r>
      <w:r w:rsidRPr="009A39A1">
        <w:rPr>
          <w:rFonts w:ascii="David" w:hAnsi="David"/>
          <w:rtl/>
        </w:rPr>
        <w:t>, תחת שם משתמש אחר</w:t>
      </w:r>
      <w:r>
        <w:rPr>
          <w:rFonts w:ascii="David" w:hAnsi="David" w:hint="cs"/>
          <w:rtl/>
        </w:rPr>
        <w:t xml:space="preserve"> משם המשתמש באישום הקודם</w:t>
      </w:r>
      <w:r w:rsidRPr="009A39A1">
        <w:rPr>
          <w:rFonts w:ascii="David" w:hAnsi="David"/>
          <w:rtl/>
        </w:rPr>
        <w:t xml:space="preserve">, וסוכם ביניהם כי </w:t>
      </w:r>
      <w:r>
        <w:rPr>
          <w:rFonts w:ascii="David" w:hAnsi="David" w:hint="cs"/>
          <w:rtl/>
        </w:rPr>
        <w:t>המשתמש</w:t>
      </w:r>
      <w:r w:rsidRPr="009A39A1">
        <w:rPr>
          <w:rFonts w:ascii="David" w:hAnsi="David"/>
          <w:rtl/>
        </w:rPr>
        <w:t xml:space="preserve"> ימכור לסוכן 30 </w:t>
      </w:r>
      <w:r>
        <w:rPr>
          <w:rFonts w:ascii="David" w:hAnsi="David"/>
          <w:rtl/>
        </w:rPr>
        <w:t>גרם</w:t>
      </w:r>
      <w:r w:rsidRPr="009A39A1">
        <w:rPr>
          <w:rFonts w:ascii="David" w:hAnsi="David"/>
          <w:rtl/>
        </w:rPr>
        <w:t xml:space="preserve"> קנאביס בעד תמורה בסך 1,500 ₪. באותו הערב </w:t>
      </w:r>
      <w:r>
        <w:rPr>
          <w:rFonts w:ascii="David" w:hAnsi="David" w:hint="cs"/>
          <w:rtl/>
        </w:rPr>
        <w:t xml:space="preserve">הגיע הסוכן למקום המפגש, </w:t>
      </w:r>
      <w:r w:rsidRPr="009A39A1">
        <w:rPr>
          <w:rFonts w:ascii="David" w:hAnsi="David"/>
          <w:rtl/>
        </w:rPr>
        <w:t>אז</w:t>
      </w:r>
      <w:r>
        <w:rPr>
          <w:rFonts w:ascii="David" w:hAnsi="David" w:hint="cs"/>
          <w:rtl/>
        </w:rPr>
        <w:t xml:space="preserve"> הגיע הנאשם למקום ו</w:t>
      </w:r>
      <w:r w:rsidRPr="009A39A1">
        <w:rPr>
          <w:rFonts w:ascii="David" w:hAnsi="David"/>
          <w:rtl/>
        </w:rPr>
        <w:t xml:space="preserve">העביר לידי הסוכן שקית ובה 29.7 </w:t>
      </w:r>
      <w:r>
        <w:rPr>
          <w:rFonts w:ascii="David" w:hAnsi="David"/>
          <w:rtl/>
        </w:rPr>
        <w:t>גרם</w:t>
      </w:r>
      <w:r w:rsidRPr="009A39A1">
        <w:rPr>
          <w:rFonts w:ascii="David" w:hAnsi="David"/>
          <w:rtl/>
        </w:rPr>
        <w:t xml:space="preserve"> קנאביס וקיבל לידיו את הסכום </w:t>
      </w:r>
      <w:r>
        <w:rPr>
          <w:rFonts w:ascii="David" w:hAnsi="David" w:hint="cs"/>
          <w:rtl/>
        </w:rPr>
        <w:t xml:space="preserve">עליו </w:t>
      </w:r>
      <w:r w:rsidRPr="009A39A1">
        <w:rPr>
          <w:rFonts w:ascii="David" w:hAnsi="David"/>
          <w:rtl/>
        </w:rPr>
        <w:t xml:space="preserve">סוכם. </w:t>
      </w:r>
    </w:p>
    <w:p w14:paraId="1EFF1B29" w14:textId="77777777" w:rsidR="0089095E" w:rsidRPr="002B102D" w:rsidRDefault="0089095E" w:rsidP="0089095E">
      <w:pPr>
        <w:spacing w:after="300" w:line="360" w:lineRule="auto"/>
        <w:ind w:left="-550"/>
        <w:jc w:val="both"/>
        <w:rPr>
          <w:rFonts w:ascii="David" w:hAnsi="David"/>
          <w:b/>
          <w:bCs/>
        </w:rPr>
      </w:pPr>
      <w:r>
        <w:rPr>
          <w:rFonts w:ascii="David" w:hAnsi="David"/>
          <w:b/>
          <w:bCs/>
          <w:rtl/>
        </w:rPr>
        <w:tab/>
      </w:r>
      <w:r w:rsidRPr="002B102D">
        <w:rPr>
          <w:rFonts w:ascii="David" w:hAnsi="David" w:hint="cs"/>
          <w:b/>
          <w:bCs/>
          <w:rtl/>
        </w:rPr>
        <w:t xml:space="preserve">תסקיר שרות מבחן: </w:t>
      </w:r>
    </w:p>
    <w:p w14:paraId="3BC1BEE6" w14:textId="77777777" w:rsidR="0089095E" w:rsidRDefault="0089095E" w:rsidP="0089095E">
      <w:pPr>
        <w:numPr>
          <w:ilvl w:val="0"/>
          <w:numId w:val="1"/>
        </w:numPr>
        <w:spacing w:after="300" w:line="360" w:lineRule="auto"/>
        <w:ind w:hanging="635"/>
        <w:jc w:val="both"/>
        <w:rPr>
          <w:rFonts w:ascii="David" w:hAnsi="David"/>
        </w:rPr>
      </w:pPr>
      <w:r w:rsidRPr="009A39A1">
        <w:rPr>
          <w:rFonts w:ascii="David" w:hAnsi="David"/>
          <w:rtl/>
        </w:rPr>
        <w:t>ביום 16.9.20 הוגש תסקיר שירות המבחן. אביא מתוכנו בתמצית.</w:t>
      </w:r>
      <w:r>
        <w:rPr>
          <w:rFonts w:ascii="David" w:hAnsi="David" w:hint="cs"/>
          <w:rtl/>
        </w:rPr>
        <w:t xml:space="preserve"> </w:t>
      </w:r>
    </w:p>
    <w:p w14:paraId="12C55094" w14:textId="77777777" w:rsidR="0089095E" w:rsidRDefault="0089095E" w:rsidP="0089095E">
      <w:pPr>
        <w:spacing w:after="300" w:line="360" w:lineRule="auto"/>
        <w:ind w:left="720"/>
        <w:jc w:val="both"/>
        <w:rPr>
          <w:rFonts w:ascii="David" w:hAnsi="David"/>
          <w:rtl/>
        </w:rPr>
      </w:pPr>
      <w:r w:rsidRPr="00806665">
        <w:rPr>
          <w:rFonts w:ascii="David" w:hAnsi="David"/>
          <w:rtl/>
        </w:rPr>
        <w:t xml:space="preserve">בתסקיר תואר הנאשם כבן 28, רווק, בן זקונים המתגורר עם הוריו. הנאשם תיאר מסכת חיים רגילה עד התגייסותו לצבא, אז השתתף בתפקיד לחימה במבצע צוק איתן. </w:t>
      </w:r>
    </w:p>
    <w:p w14:paraId="36B0FB22" w14:textId="77777777" w:rsidR="0089095E" w:rsidRPr="00806665" w:rsidRDefault="0089095E" w:rsidP="0089095E">
      <w:pPr>
        <w:spacing w:after="300" w:line="360" w:lineRule="auto"/>
        <w:ind w:left="720"/>
        <w:jc w:val="both"/>
        <w:rPr>
          <w:rFonts w:ascii="David" w:hAnsi="David"/>
        </w:rPr>
      </w:pPr>
      <w:r w:rsidRPr="00806665">
        <w:rPr>
          <w:rFonts w:ascii="David" w:hAnsi="David"/>
          <w:rtl/>
        </w:rPr>
        <w:t xml:space="preserve">כבר בסמוך לאחר המבצע התברר כי הנאשם פיתח תסמונת פוסט טראומטית, אך הוא הושב לתפקיד הלחימה ללא שטופל והשתחרר בתום שירותו הצבאי. לאחר שחרורו הדרדר מצבו הנפשי של הנאשם, הוא החל לסבול מביעותי לילה, חרדות וחוסר תפקוד והוכר כסובל מתסמונת </w:t>
      </w:r>
      <w:r w:rsidRPr="00806665">
        <w:rPr>
          <w:rFonts w:ascii="David" w:hAnsi="David"/>
        </w:rPr>
        <w:t>PTSD</w:t>
      </w:r>
      <w:r w:rsidRPr="00806665">
        <w:rPr>
          <w:rFonts w:ascii="David" w:hAnsi="David"/>
          <w:rtl/>
        </w:rPr>
        <w:t xml:space="preserve"> כרונית. בעקבות כך החל הנאשם לפתח התמכרות לשימוש בקנאביס ולהשתמש בסם באופן יומי, ובסופו של דבר קיבל רישיון לשימוש בקנאביס רפואי. </w:t>
      </w:r>
    </w:p>
    <w:p w14:paraId="3E9F1820"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את העביר</w:t>
      </w:r>
      <w:r>
        <w:rPr>
          <w:rFonts w:ascii="David" w:hAnsi="David" w:hint="cs"/>
          <w:rtl/>
        </w:rPr>
        <w:t>ות</w:t>
      </w:r>
      <w:r w:rsidRPr="009A39A1">
        <w:rPr>
          <w:rFonts w:ascii="David" w:hAnsi="David"/>
          <w:rtl/>
        </w:rPr>
        <w:t xml:space="preserve"> נשוא הליך זה הסביר הנאשם בכך שכחודש טרם פקיעת רישיונו </w:t>
      </w:r>
      <w:r>
        <w:rPr>
          <w:rFonts w:ascii="David" w:hAnsi="David"/>
          <w:rtl/>
        </w:rPr>
        <w:t>–</w:t>
      </w:r>
      <w:r>
        <w:rPr>
          <w:rFonts w:ascii="David" w:hAnsi="David" w:hint="cs"/>
          <w:rtl/>
        </w:rPr>
        <w:t xml:space="preserve"> </w:t>
      </w:r>
      <w:r w:rsidRPr="009A39A1">
        <w:rPr>
          <w:rFonts w:ascii="David" w:hAnsi="David"/>
          <w:rtl/>
        </w:rPr>
        <w:t>הגיש בקשה לחידוש הרישיון אך זה חודש רק בחלוף חודשיים לאחר שהרישיון פקע. באותה תקופה – בשל הצורך העז בשימוש בסם, החל לרכוש את הסם באופן בלתי חוקי באמצעות אפליקציית טלגראס. בשל קושי כלכלי לממן את הסמים להם הוא נדרש,</w:t>
      </w:r>
      <w:r>
        <w:rPr>
          <w:rFonts w:ascii="David" w:hAnsi="David" w:hint="cs"/>
          <w:rtl/>
        </w:rPr>
        <w:t xml:space="preserve"> כך לדבריו,</w:t>
      </w:r>
      <w:r w:rsidRPr="009A39A1">
        <w:rPr>
          <w:rFonts w:ascii="David" w:hAnsi="David"/>
          <w:rtl/>
        </w:rPr>
        <w:t xml:space="preserve"> נעתר הנאשם להצעה שקיבל לשמש כשליח למסירת סמים בעד הסמים שירכוש. הנאשם הביע חרטה רבה וצער בקשר עם העבירות שביצע ושירות המבחן התרשם מכנות חרט</w:t>
      </w:r>
      <w:r>
        <w:rPr>
          <w:rFonts w:ascii="David" w:hAnsi="David" w:hint="cs"/>
          <w:rtl/>
        </w:rPr>
        <w:t>ה זו</w:t>
      </w:r>
      <w:r w:rsidRPr="009A39A1">
        <w:rPr>
          <w:rFonts w:ascii="David" w:hAnsi="David"/>
          <w:rtl/>
        </w:rPr>
        <w:t xml:space="preserve">. </w:t>
      </w:r>
    </w:p>
    <w:p w14:paraId="786D561E"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שירות המבחן התרשם שהנאשם אכן פעל ממצוקה רבה הנובעת מהתסמונת ממנה הוא סובל, כי הוא סבל ממופנמות ומקשיים רגשיים עד אשר החל ליטול חלק בטיפול הניתן לו ממשרד הביטחון והחל לעשות שימוש בקנאביס רפואי. נוכח ההקלה בתסמינים מהם סבל לאחר שהחל בשימוש פיתח הנאשם תלות של ממש בקנאביס באופן שהוביל לביצוע העבירות בהן הואשם. </w:t>
      </w:r>
    </w:p>
    <w:p w14:paraId="158DBC94"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בגורמי הסיכון צוינה ההתמכרות ממנה סובל הנאשם אשר הובילה אותו להתקשות בהפעלת שיקול דעתו והוא הונע ע"י חרדה משמעותית</w:t>
      </w:r>
      <w:r>
        <w:rPr>
          <w:rFonts w:ascii="David" w:hAnsi="David" w:hint="cs"/>
          <w:rtl/>
        </w:rPr>
        <w:t xml:space="preserve"> מכך שלא יהיה בידיו סם לשימוש עצמי</w:t>
      </w:r>
      <w:r w:rsidRPr="009A39A1">
        <w:rPr>
          <w:rFonts w:ascii="David" w:hAnsi="David"/>
          <w:rtl/>
        </w:rPr>
        <w:t>. בגורמי הסיכוי ציין שירות המבחן שלהתרשמותו מדובר מבחור צעיר, ערכי</w:t>
      </w:r>
      <w:r>
        <w:rPr>
          <w:rFonts w:ascii="David" w:hAnsi="David" w:hint="cs"/>
          <w:rtl/>
        </w:rPr>
        <w:t>,</w:t>
      </w:r>
      <w:r w:rsidRPr="009A39A1">
        <w:rPr>
          <w:rFonts w:ascii="David" w:hAnsi="David"/>
          <w:rtl/>
        </w:rPr>
        <w:t xml:space="preserve"> בעל פוטנציאל לתפקוד גבוה. הנאשם בעל יכולות קוגניטיביות גבוהות המגיע ממשפחה בעל</w:t>
      </w:r>
      <w:r>
        <w:rPr>
          <w:rFonts w:ascii="David" w:hAnsi="David" w:hint="cs"/>
          <w:rtl/>
        </w:rPr>
        <w:t>ת</w:t>
      </w:r>
      <w:r w:rsidRPr="009A39A1">
        <w:rPr>
          <w:rFonts w:ascii="David" w:hAnsi="David"/>
          <w:rtl/>
        </w:rPr>
        <w:t xml:space="preserve"> ערכים נורמטיביים תקינים. עוד צוין שהנאשם אינו בעל דפוסים עברייניים ואינו חלק מחברה שולית, כאשר ההליך המשפטי נגדו היווה עבורו גורם מרתיע ומציב גבול. </w:t>
      </w:r>
    </w:p>
    <w:p w14:paraId="79884105" w14:textId="77777777" w:rsidR="0089095E" w:rsidRDefault="0089095E" w:rsidP="0089095E">
      <w:pPr>
        <w:numPr>
          <w:ilvl w:val="0"/>
          <w:numId w:val="1"/>
        </w:numPr>
        <w:spacing w:after="300" w:line="360" w:lineRule="auto"/>
        <w:ind w:hanging="635"/>
        <w:jc w:val="both"/>
        <w:rPr>
          <w:rFonts w:ascii="David" w:hAnsi="David"/>
        </w:rPr>
      </w:pPr>
      <w:r w:rsidRPr="009A39A1">
        <w:rPr>
          <w:rFonts w:ascii="David" w:hAnsi="David"/>
          <w:rtl/>
        </w:rPr>
        <w:t>שירות המבחן מצא שהנאשם ה</w:t>
      </w:r>
      <w:r>
        <w:rPr>
          <w:rFonts w:ascii="David" w:hAnsi="David" w:hint="cs"/>
          <w:rtl/>
        </w:rPr>
        <w:t xml:space="preserve">ינו </w:t>
      </w:r>
      <w:r w:rsidRPr="009A39A1">
        <w:rPr>
          <w:rFonts w:ascii="David" w:hAnsi="David"/>
          <w:rtl/>
        </w:rPr>
        <w:t>אדם פגיע ורגיש המביע חרטה כנה על מעשיו. עוד מצא כי נוכח מצבו הנפשי הקשה, כליאתו של הנאשם תהווה גורם מסכן ופוגע באופן ממשי. שירות המבחן מצא כי דווקא אפיק שיקומי יתאים לנאשם. מאחר והנאשם כבר נמצא בהליך טיפולי הניתן לו ע"י משרד הביטחון לא מצא שירות המבחן שהנאשם זקוק לסיוע נפשי נוסף מטעמו</w:t>
      </w:r>
      <w:r>
        <w:rPr>
          <w:rFonts w:ascii="David" w:hAnsi="David" w:hint="cs"/>
          <w:rtl/>
        </w:rPr>
        <w:t>.</w:t>
      </w:r>
    </w:p>
    <w:p w14:paraId="7B33530D" w14:textId="77777777" w:rsidR="0089095E" w:rsidRPr="009A39A1" w:rsidRDefault="0089095E" w:rsidP="0089095E">
      <w:pPr>
        <w:spacing w:after="300" w:line="360" w:lineRule="auto"/>
        <w:ind w:left="720"/>
        <w:jc w:val="both"/>
        <w:rPr>
          <w:rFonts w:ascii="David" w:hAnsi="David"/>
        </w:rPr>
      </w:pPr>
      <w:r w:rsidRPr="009A39A1">
        <w:rPr>
          <w:rFonts w:ascii="David" w:hAnsi="David"/>
          <w:rtl/>
        </w:rPr>
        <w:t xml:space="preserve">עם זאת, שירות המבחן המליץ </w:t>
      </w:r>
      <w:r>
        <w:rPr>
          <w:rFonts w:ascii="David" w:hAnsi="David" w:hint="cs"/>
          <w:rtl/>
        </w:rPr>
        <w:t xml:space="preserve">להטיל על הנאשם </w:t>
      </w:r>
      <w:r w:rsidRPr="009A39A1">
        <w:rPr>
          <w:rFonts w:ascii="David" w:hAnsi="David"/>
          <w:rtl/>
        </w:rPr>
        <w:t xml:space="preserve">צו של"צ בהיקף 250 שעות, אשר יהווה עונש שיקדם את שיקומו </w:t>
      </w:r>
      <w:r>
        <w:rPr>
          <w:rFonts w:ascii="David" w:hAnsi="David" w:hint="cs"/>
          <w:rtl/>
        </w:rPr>
        <w:t xml:space="preserve">מחד ומאידך </w:t>
      </w:r>
      <w:r w:rsidRPr="009A39A1">
        <w:rPr>
          <w:rFonts w:ascii="David" w:hAnsi="David"/>
          <w:rtl/>
        </w:rPr>
        <w:t xml:space="preserve">יהווה תרומה לחברה ויקטין את הישנות העבירה בעתיד. </w:t>
      </w:r>
    </w:p>
    <w:p w14:paraId="7B060BD6"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בנוסף, לאור לקיחת האחריות וביטויי החרטה והבושה שהביע הנאשם, בהתחשב בהיעדר עבר פלילי</w:t>
      </w:r>
      <w:r>
        <w:rPr>
          <w:rFonts w:ascii="David" w:hAnsi="David" w:hint="cs"/>
          <w:rtl/>
        </w:rPr>
        <w:t>,</w:t>
      </w:r>
      <w:r w:rsidRPr="009A39A1">
        <w:rPr>
          <w:rFonts w:ascii="David" w:hAnsi="David"/>
          <w:rtl/>
        </w:rPr>
        <w:t xml:space="preserve"> בהתחשב במצבו הפוסט טראומטי ובהתחשב בגילו הצעיר, מצא שירות המבחן להמליץ על ביטול הרשעתו של הנאשם וזאת במטרה למנוע את הנזק שייגרם לנאשם ברמה התעסוקתית והנפשית. </w:t>
      </w:r>
    </w:p>
    <w:p w14:paraId="32010329" w14:textId="77777777" w:rsidR="0089095E" w:rsidRPr="009A39A1" w:rsidRDefault="0089095E" w:rsidP="0089095E">
      <w:pPr>
        <w:spacing w:after="300" w:line="360" w:lineRule="auto"/>
        <w:ind w:left="85"/>
        <w:jc w:val="both"/>
        <w:rPr>
          <w:rFonts w:ascii="David" w:hAnsi="David"/>
          <w:b/>
          <w:bCs/>
        </w:rPr>
      </w:pPr>
      <w:r w:rsidRPr="009A39A1">
        <w:rPr>
          <w:rFonts w:ascii="David" w:hAnsi="David"/>
          <w:b/>
          <w:bCs/>
          <w:rtl/>
        </w:rPr>
        <w:t>טענות הצדדים</w:t>
      </w:r>
    </w:p>
    <w:p w14:paraId="6BE2FD74"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בטיעוניה לעונש ביקשה המאשימה לדחות את המלצות שירות המבחן. המאשימה ציינה את העובדה שהנאשם מכר כמויות גדולות של סם ובעד תמורה גבוהה. עוד הפנתה לתחכום שבביצוע העבירות ולתכנון המוקדם. </w:t>
      </w:r>
    </w:p>
    <w:p w14:paraId="7E2248DE" w14:textId="77777777" w:rsidR="0089095E" w:rsidRPr="004748D4"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המאשימה </w:t>
      </w:r>
      <w:r>
        <w:rPr>
          <w:rFonts w:ascii="David" w:hAnsi="David" w:hint="cs"/>
          <w:rtl/>
        </w:rPr>
        <w:t xml:space="preserve">ציינה כי </w:t>
      </w:r>
      <w:r w:rsidRPr="009A39A1">
        <w:rPr>
          <w:rFonts w:ascii="David" w:hAnsi="David"/>
          <w:rtl/>
        </w:rPr>
        <w:t xml:space="preserve">הנאשם פגע בערכים המוגנים של מיגור נגע הסמים והפגיעה בשלום הציבור ובשלטון החוק. </w:t>
      </w:r>
      <w:r w:rsidRPr="004748D4">
        <w:rPr>
          <w:rFonts w:ascii="David" w:hAnsi="David"/>
          <w:rtl/>
        </w:rPr>
        <w:t xml:space="preserve">לטענת המאשימה, מתחם הענישה ההולם בגין העבירות שביצע הנאשם </w:t>
      </w:r>
      <w:r>
        <w:rPr>
          <w:rFonts w:ascii="David" w:hAnsi="David" w:hint="cs"/>
          <w:rtl/>
        </w:rPr>
        <w:t xml:space="preserve">הינו החל ממאסר למשך </w:t>
      </w:r>
      <w:r w:rsidRPr="004748D4">
        <w:rPr>
          <w:rFonts w:ascii="David" w:hAnsi="David"/>
          <w:rtl/>
        </w:rPr>
        <w:t xml:space="preserve">6 </w:t>
      </w:r>
      <w:r>
        <w:rPr>
          <w:rFonts w:ascii="David" w:hAnsi="David" w:hint="cs"/>
          <w:rtl/>
        </w:rPr>
        <w:t xml:space="preserve">חודשים ועד </w:t>
      </w:r>
      <w:r w:rsidRPr="004748D4">
        <w:rPr>
          <w:rFonts w:ascii="David" w:hAnsi="David"/>
          <w:rtl/>
        </w:rPr>
        <w:t>ל-12 חודשי מאסר</w:t>
      </w:r>
      <w:r>
        <w:rPr>
          <w:rFonts w:ascii="David" w:hAnsi="David" w:hint="cs"/>
          <w:rtl/>
        </w:rPr>
        <w:t xml:space="preserve"> זאת בהתאם </w:t>
      </w:r>
      <w:r w:rsidRPr="004748D4">
        <w:rPr>
          <w:rFonts w:ascii="David" w:hAnsi="David"/>
          <w:rtl/>
        </w:rPr>
        <w:t xml:space="preserve">לפסיקה </w:t>
      </w:r>
      <w:r>
        <w:rPr>
          <w:rFonts w:ascii="David" w:hAnsi="David" w:hint="cs"/>
          <w:rtl/>
        </w:rPr>
        <w:t>שהוגשה</w:t>
      </w:r>
      <w:r w:rsidRPr="004748D4">
        <w:rPr>
          <w:rFonts w:ascii="David" w:hAnsi="David"/>
          <w:rtl/>
        </w:rPr>
        <w:t xml:space="preserve">. תוך התחשבות במצבו של הנאשם ביקשה המאשימה לגזור את עונשו על 7 חודשי מאסר שירוצו </w:t>
      </w:r>
      <w:r>
        <w:rPr>
          <w:rFonts w:ascii="David" w:hAnsi="David" w:hint="cs"/>
          <w:rtl/>
        </w:rPr>
        <w:t xml:space="preserve">על דרך </w:t>
      </w:r>
      <w:r w:rsidRPr="004748D4">
        <w:rPr>
          <w:rFonts w:ascii="David" w:hAnsi="David"/>
          <w:rtl/>
        </w:rPr>
        <w:t xml:space="preserve">עבודות שירות, מע"ת, פסילה בפועל, קנס וחילוט מוצגים. </w:t>
      </w:r>
    </w:p>
    <w:p w14:paraId="04526510"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הסניגור </w:t>
      </w:r>
      <w:r>
        <w:rPr>
          <w:rFonts w:ascii="David" w:hAnsi="David" w:hint="cs"/>
          <w:rtl/>
        </w:rPr>
        <w:t xml:space="preserve">מנגד </w:t>
      </w:r>
      <w:r w:rsidRPr="009A39A1">
        <w:rPr>
          <w:rFonts w:ascii="David" w:hAnsi="David"/>
          <w:rtl/>
        </w:rPr>
        <w:t>ביקש לקבל את המלצות שירות המבחן</w:t>
      </w:r>
      <w:r>
        <w:rPr>
          <w:rFonts w:ascii="David" w:hAnsi="David" w:hint="cs"/>
          <w:rtl/>
        </w:rPr>
        <w:t xml:space="preserve"> במלואן</w:t>
      </w:r>
      <w:r w:rsidRPr="009A39A1">
        <w:rPr>
          <w:rFonts w:ascii="David" w:hAnsi="David"/>
          <w:rtl/>
        </w:rPr>
        <w:t>. לטענתו – הנאשם שימש לכל היותר כשליח עבור סוחרים שעשו שימוש באפליקציית הטלגראס ומתיק החקירה ניתן ל</w:t>
      </w:r>
      <w:r>
        <w:rPr>
          <w:rFonts w:ascii="David" w:hAnsi="David" w:hint="cs"/>
          <w:rtl/>
        </w:rPr>
        <w:t>למוד</w:t>
      </w:r>
      <w:r w:rsidRPr="009A39A1">
        <w:rPr>
          <w:rFonts w:ascii="David" w:hAnsi="David"/>
          <w:rtl/>
        </w:rPr>
        <w:t xml:space="preserve"> שהנאשם ציין </w:t>
      </w:r>
      <w:r>
        <w:rPr>
          <w:rFonts w:ascii="David" w:hAnsi="David" w:hint="cs"/>
          <w:rtl/>
        </w:rPr>
        <w:t>ב</w:t>
      </w:r>
      <w:r w:rsidRPr="009A39A1">
        <w:rPr>
          <w:rFonts w:ascii="David" w:hAnsi="David"/>
          <w:rtl/>
        </w:rPr>
        <w:t xml:space="preserve">פני הסוכן, בעת ביצוע העסקאות, </w:t>
      </w:r>
      <w:r>
        <w:rPr>
          <w:rFonts w:ascii="David" w:hAnsi="David" w:hint="cs"/>
          <w:rtl/>
        </w:rPr>
        <w:t>שהוא מבצע שליחות</w:t>
      </w:r>
      <w:r w:rsidRPr="009A39A1">
        <w:rPr>
          <w:rFonts w:ascii="David" w:hAnsi="David"/>
          <w:rtl/>
        </w:rPr>
        <w:t xml:space="preserve"> בלבד. </w:t>
      </w:r>
      <w:r w:rsidRPr="000F2355">
        <w:rPr>
          <w:rFonts w:ascii="David" w:hAnsi="David" w:hint="cs"/>
          <w:rtl/>
        </w:rPr>
        <w:t xml:space="preserve">עוד </w:t>
      </w:r>
      <w:r w:rsidRPr="000F2355">
        <w:rPr>
          <w:rFonts w:ascii="David" w:hAnsi="David"/>
          <w:rtl/>
        </w:rPr>
        <w:t xml:space="preserve">ציין הסניגור את התרשלות הרשויות בהנפקת רישיון </w:t>
      </w:r>
      <w:r>
        <w:rPr>
          <w:rFonts w:ascii="David" w:hAnsi="David" w:hint="cs"/>
          <w:rtl/>
        </w:rPr>
        <w:t>הקנאביס,</w:t>
      </w:r>
      <w:r w:rsidRPr="000F2355">
        <w:rPr>
          <w:rFonts w:ascii="David" w:hAnsi="David"/>
          <w:rtl/>
        </w:rPr>
        <w:t xml:space="preserve"> אשר הוביל להיווצרות חוב של הנאשם כלפי אחד הסוחרים ממנו רכש את הסמים באופן עצמאי, וכך גם לביצוע העבירות. הסניגור ציין שמדובר בתקופה </w:t>
      </w:r>
      <w:r>
        <w:rPr>
          <w:rFonts w:ascii="David" w:hAnsi="David" w:hint="cs"/>
          <w:rtl/>
        </w:rPr>
        <w:t xml:space="preserve">קצרה </w:t>
      </w:r>
      <w:r w:rsidRPr="000F2355">
        <w:rPr>
          <w:rFonts w:ascii="David" w:hAnsi="David"/>
          <w:rtl/>
        </w:rPr>
        <w:t xml:space="preserve">בת שבועיים בלבד, </w:t>
      </w:r>
      <w:r>
        <w:rPr>
          <w:rFonts w:ascii="David" w:hAnsi="David" w:hint="cs"/>
          <w:rtl/>
        </w:rPr>
        <w:t xml:space="preserve">במהלכה ביצע הנאשם את העבירות, </w:t>
      </w:r>
      <w:r w:rsidRPr="000F2355">
        <w:rPr>
          <w:rFonts w:ascii="David" w:hAnsi="David"/>
          <w:rtl/>
        </w:rPr>
        <w:t>וכי לנאשם לא היה כל חלק בכמויות שהועברו או בקביעת התשלום שישולם לסוחר – עבורו שימש כשליח בלבד.</w:t>
      </w:r>
      <w:r>
        <w:rPr>
          <w:rFonts w:ascii="David" w:hAnsi="David" w:hint="cs"/>
          <w:rtl/>
        </w:rPr>
        <w:t xml:space="preserve"> </w:t>
      </w:r>
    </w:p>
    <w:p w14:paraId="67FBC664" w14:textId="77777777" w:rsidR="0089095E" w:rsidRPr="00221058"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הסניגור פירט אודות האירועים הקשים אליהם נחשף הנאשם במהלך שירותו הצבאי במבצע צוק איתן. עוד ציין את פעולותיו </w:t>
      </w:r>
      <w:r>
        <w:rPr>
          <w:rFonts w:ascii="David" w:hAnsi="David" w:hint="cs"/>
          <w:rtl/>
        </w:rPr>
        <w:t xml:space="preserve">של הנאשם </w:t>
      </w:r>
      <w:r w:rsidRPr="009A39A1">
        <w:rPr>
          <w:rFonts w:ascii="David" w:hAnsi="David"/>
          <w:rtl/>
        </w:rPr>
        <w:t xml:space="preserve">שהצילו חיי חיילים אחרים ואת תפקודו עד תום המבצע, ואף את ליקוי הצבא באבחון הטראומה ממנה סבל. </w:t>
      </w:r>
      <w:r w:rsidRPr="00221058">
        <w:rPr>
          <w:rFonts w:ascii="David" w:hAnsi="David"/>
          <w:rtl/>
        </w:rPr>
        <w:t xml:space="preserve">הסניגור </w:t>
      </w:r>
      <w:r>
        <w:rPr>
          <w:rFonts w:ascii="David" w:hAnsi="David" w:hint="cs"/>
          <w:rtl/>
        </w:rPr>
        <w:t>הפנה ל</w:t>
      </w:r>
      <w:r w:rsidRPr="00221058">
        <w:rPr>
          <w:rFonts w:ascii="David" w:hAnsi="David"/>
          <w:rtl/>
        </w:rPr>
        <w:t>קבלת האחריות והחיסכון בזמן שיפוטי בהם נקט הנאשם. עוד ציין את הטיפול ה</w:t>
      </w:r>
      <w:r w:rsidRPr="00221058">
        <w:rPr>
          <w:rFonts w:ascii="David" w:hAnsi="David" w:hint="cs"/>
          <w:rtl/>
        </w:rPr>
        <w:t>נפשי ה</w:t>
      </w:r>
      <w:r w:rsidRPr="00221058">
        <w:rPr>
          <w:rFonts w:ascii="David" w:hAnsi="David"/>
          <w:rtl/>
        </w:rPr>
        <w:t>משמעותי שהוא מקבל</w:t>
      </w:r>
      <w:r>
        <w:rPr>
          <w:rFonts w:ascii="David" w:hAnsi="David" w:hint="cs"/>
          <w:rtl/>
        </w:rPr>
        <w:t xml:space="preserve"> במסגרת משרד הביטחון</w:t>
      </w:r>
      <w:r w:rsidRPr="00221058">
        <w:rPr>
          <w:rFonts w:ascii="David" w:hAnsi="David"/>
          <w:rtl/>
        </w:rPr>
        <w:t>. באשר להמלצה לביטול ההרשעה טען הסניגור שמגמת הפסיקה לפיה יש לנקוט באי ההרשעה במקרים חריגים ונדירים כורסמה עם השנים ו</w:t>
      </w:r>
      <w:r>
        <w:rPr>
          <w:rFonts w:ascii="David" w:hAnsi="David" w:hint="cs"/>
          <w:rtl/>
        </w:rPr>
        <w:t>כן</w:t>
      </w:r>
      <w:r w:rsidRPr="00221058">
        <w:rPr>
          <w:rFonts w:ascii="David" w:hAnsi="David"/>
          <w:rtl/>
        </w:rPr>
        <w:t xml:space="preserve"> הגיש לעיון בית המשפט פסיקת בית המשפט העליון הקובעת שראוי להגמיש את התנאים לשימוש ב</w:t>
      </w:r>
      <w:r>
        <w:rPr>
          <w:rFonts w:ascii="David" w:hAnsi="David" w:hint="cs"/>
          <w:rtl/>
        </w:rPr>
        <w:t>מקרים בהם תבוטל ה</w:t>
      </w:r>
      <w:r w:rsidRPr="00221058">
        <w:rPr>
          <w:rFonts w:ascii="David" w:hAnsi="David"/>
          <w:rtl/>
        </w:rPr>
        <w:t xml:space="preserve">הרשעה. </w:t>
      </w:r>
    </w:p>
    <w:p w14:paraId="40F6D148" w14:textId="77777777" w:rsidR="0089095E" w:rsidRPr="009A39A1" w:rsidRDefault="0089095E" w:rsidP="0089095E">
      <w:pPr>
        <w:numPr>
          <w:ilvl w:val="0"/>
          <w:numId w:val="1"/>
        </w:numPr>
        <w:spacing w:after="300" w:line="360" w:lineRule="auto"/>
        <w:ind w:hanging="635"/>
        <w:jc w:val="both"/>
        <w:rPr>
          <w:rFonts w:ascii="David" w:hAnsi="David"/>
        </w:rPr>
      </w:pPr>
      <w:r>
        <w:rPr>
          <w:rFonts w:ascii="David" w:hAnsi="David"/>
          <w:rtl/>
        </w:rPr>
        <w:t>ב</w:t>
      </w:r>
      <w:r>
        <w:rPr>
          <w:rFonts w:ascii="David" w:hAnsi="David" w:hint="cs"/>
          <w:rtl/>
        </w:rPr>
        <w:t xml:space="preserve">דבריו בסיום ציין הנאשם </w:t>
      </w:r>
      <w:r w:rsidRPr="009A39A1">
        <w:rPr>
          <w:rFonts w:ascii="David" w:hAnsi="David"/>
          <w:rtl/>
        </w:rPr>
        <w:t xml:space="preserve">כי הוא </w:t>
      </w:r>
      <w:r>
        <w:rPr>
          <w:rFonts w:ascii="David" w:hAnsi="David" w:hint="cs"/>
          <w:rtl/>
        </w:rPr>
        <w:t xml:space="preserve">מביע צער </w:t>
      </w:r>
      <w:r w:rsidRPr="009A39A1">
        <w:rPr>
          <w:rFonts w:ascii="David" w:hAnsi="David"/>
          <w:rtl/>
        </w:rPr>
        <w:t xml:space="preserve">על מעשיו, </w:t>
      </w:r>
      <w:r>
        <w:rPr>
          <w:rFonts w:ascii="David" w:hAnsi="David" w:hint="cs"/>
          <w:rtl/>
        </w:rPr>
        <w:t>ו</w:t>
      </w:r>
      <w:r w:rsidRPr="009A39A1">
        <w:rPr>
          <w:rFonts w:ascii="David" w:hAnsi="David"/>
          <w:rtl/>
        </w:rPr>
        <w:t>כי העבירות לא יישנו</w:t>
      </w:r>
      <w:r>
        <w:rPr>
          <w:rFonts w:ascii="David" w:hAnsi="David" w:hint="cs"/>
          <w:rtl/>
        </w:rPr>
        <w:t xml:space="preserve">. הנאשם הוסיף כי </w:t>
      </w:r>
      <w:r w:rsidRPr="009A39A1">
        <w:rPr>
          <w:rFonts w:ascii="David" w:hAnsi="David"/>
          <w:rtl/>
        </w:rPr>
        <w:t>ברצונו להמשיך בהליך הטיפולי בו הוא מצוי</w:t>
      </w:r>
      <w:r>
        <w:rPr>
          <w:rFonts w:ascii="David" w:hAnsi="David" w:hint="cs"/>
          <w:rtl/>
        </w:rPr>
        <w:t>, ו</w:t>
      </w:r>
      <w:r w:rsidRPr="009A39A1">
        <w:rPr>
          <w:rFonts w:ascii="David" w:hAnsi="David"/>
          <w:rtl/>
        </w:rPr>
        <w:t>לנהל אורח חיים נורמטיבי.</w:t>
      </w:r>
      <w:r>
        <w:rPr>
          <w:rFonts w:ascii="David" w:hAnsi="David" w:hint="cs"/>
          <w:rtl/>
        </w:rPr>
        <w:t xml:space="preserve">  </w:t>
      </w:r>
    </w:p>
    <w:p w14:paraId="57C780A9" w14:textId="77777777" w:rsidR="0089095E" w:rsidRPr="009A39A1" w:rsidRDefault="0089095E" w:rsidP="0089095E">
      <w:pPr>
        <w:spacing w:after="300" w:line="360" w:lineRule="auto"/>
        <w:ind w:left="85"/>
        <w:jc w:val="both"/>
        <w:rPr>
          <w:rFonts w:ascii="David" w:hAnsi="David"/>
          <w:b/>
          <w:bCs/>
        </w:rPr>
      </w:pPr>
      <w:r w:rsidRPr="009A39A1">
        <w:rPr>
          <w:rFonts w:ascii="David" w:hAnsi="David"/>
          <w:b/>
          <w:bCs/>
          <w:rtl/>
        </w:rPr>
        <w:t>דיון והכרעה</w:t>
      </w:r>
    </w:p>
    <w:p w14:paraId="1B9FB481"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בסעיף </w:t>
      </w:r>
      <w:hyperlink r:id="rId48" w:history="1">
        <w:r w:rsidR="00E350ED" w:rsidRPr="00E350ED">
          <w:rPr>
            <w:rStyle w:val="Hyperlink"/>
            <w:rFonts w:ascii="David" w:hAnsi="David"/>
            <w:rtl/>
          </w:rPr>
          <w:t>40 ב'</w:t>
        </w:r>
      </w:hyperlink>
      <w:r w:rsidRPr="009A39A1">
        <w:rPr>
          <w:rFonts w:ascii="David" w:hAnsi="David"/>
          <w:rtl/>
        </w:rPr>
        <w:t xml:space="preserve"> ל</w:t>
      </w:r>
      <w:hyperlink r:id="rId49" w:history="1">
        <w:r w:rsidR="000644AB" w:rsidRPr="000644AB">
          <w:rPr>
            <w:rFonts w:ascii="David" w:hAnsi="David"/>
            <w:color w:val="0000FF"/>
            <w:u w:val="single"/>
            <w:rtl/>
          </w:rPr>
          <w:t>חוק העונשין</w:t>
        </w:r>
      </w:hyperlink>
      <w:r w:rsidRPr="009A39A1">
        <w:rPr>
          <w:rFonts w:ascii="David" w:hAnsi="David"/>
          <w:rtl/>
        </w:rPr>
        <w:t xml:space="preserve"> נקבע שהעיקרון המנחה בענישה הוא עקרון ההלימה,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58DC7BEC"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בעת ק</w:t>
      </w:r>
      <w:r>
        <w:rPr>
          <w:rFonts w:ascii="David" w:hAnsi="David" w:hint="cs"/>
          <w:rtl/>
        </w:rPr>
        <w:t>ביעת העונש</w:t>
      </w:r>
      <w:r w:rsidRPr="009A39A1">
        <w:rPr>
          <w:rFonts w:ascii="David" w:hAnsi="David"/>
          <w:rtl/>
        </w:rPr>
        <w:t xml:space="preserve"> יש לדון תחילה בשאלה האם העבירות בהן הורשע הנאשם נפרדות, או שמא היוו אירוע עברייני אחד (</w:t>
      </w:r>
      <w:hyperlink r:id="rId50" w:history="1">
        <w:r w:rsidR="00E350ED" w:rsidRPr="00E350ED">
          <w:rPr>
            <w:rStyle w:val="Hyperlink"/>
            <w:rFonts w:ascii="David" w:hAnsi="David"/>
            <w:rtl/>
          </w:rPr>
          <w:t>סעיף 40יג</w:t>
        </w:r>
      </w:hyperlink>
      <w:r w:rsidRPr="009A39A1">
        <w:rPr>
          <w:rFonts w:ascii="David" w:hAnsi="David"/>
          <w:rtl/>
        </w:rPr>
        <w:t xml:space="preserve"> ל</w:t>
      </w:r>
      <w:hyperlink r:id="rId51" w:history="1">
        <w:r w:rsidR="000644AB" w:rsidRPr="000644AB">
          <w:rPr>
            <w:rFonts w:ascii="David" w:hAnsi="David"/>
            <w:color w:val="0000FF"/>
            <w:u w:val="single"/>
            <w:rtl/>
          </w:rPr>
          <w:t>חוק העונשין</w:t>
        </w:r>
      </w:hyperlink>
      <w:r w:rsidRPr="009A39A1">
        <w:rPr>
          <w:rFonts w:ascii="David" w:hAnsi="David"/>
          <w:rtl/>
        </w:rPr>
        <w:t>). בפסיקה נדונה בהרחבה סוגיית ריבוי העבירות. בפסק דינו של כב' השופט סולברג ב</w:t>
      </w:r>
      <w:hyperlink r:id="rId52" w:history="1">
        <w:r w:rsidR="000644AB" w:rsidRPr="000644AB">
          <w:rPr>
            <w:rFonts w:ascii="David" w:hAnsi="David"/>
            <w:color w:val="0000FF"/>
            <w:u w:val="single"/>
            <w:rtl/>
          </w:rPr>
          <w:t>ע"פ 1261/15</w:t>
        </w:r>
      </w:hyperlink>
      <w:r w:rsidRPr="009A39A1">
        <w:rPr>
          <w:rFonts w:ascii="David" w:hAnsi="David"/>
          <w:rtl/>
        </w:rPr>
        <w:t xml:space="preserve"> </w:t>
      </w:r>
      <w:r w:rsidRPr="009A39A1">
        <w:rPr>
          <w:rFonts w:ascii="David" w:hAnsi="David"/>
          <w:b/>
          <w:bCs/>
          <w:rtl/>
        </w:rPr>
        <w:t>מדינת ישראל נ' יוסף דלאל</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(3.9.15) נקבע כי עבירות שלהן קשר ענייני הדוק, ואשר ניתן להשקיף עליהן כמסכת עבריינית אחת, ייחשבו לאירוע אחד. עוד הועלו מבחני עזר לבחינת הקשר ההדוק, ובהם, בין היתר, ניתן לבחון: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ועוד. </w:t>
      </w:r>
    </w:p>
    <w:p w14:paraId="1D8AFC61"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במקרה שלפני אני</w:t>
      </w:r>
      <w:r>
        <w:rPr>
          <w:rFonts w:ascii="David" w:hAnsi="David"/>
          <w:rtl/>
        </w:rPr>
        <w:t xml:space="preserve"> סבור שעבירת קשירת הקשר לביצוע </w:t>
      </w:r>
      <w:r w:rsidRPr="009A39A1">
        <w:rPr>
          <w:rFonts w:ascii="David" w:hAnsi="David"/>
          <w:rtl/>
        </w:rPr>
        <w:t>פשע היא עבירה נלווית לעבירת הסחר, ונובעת ממנה, ועל כן אין לקבוע לה מתחם ענישה נפרד. עוד אקבע מתחם ענישה אחד לעבירות הסחר, שכן המדובר בעבירות הנובעות מאותה מסכת עובדתית, שנעברו במועדים סמוכים (בתוך שבועיים) ובאמצעות עזרים דומים (אפליקציית טלגראס)</w:t>
      </w:r>
      <w:r>
        <w:rPr>
          <w:rFonts w:ascii="David" w:hAnsi="David" w:hint="cs"/>
          <w:rtl/>
        </w:rPr>
        <w:t xml:space="preserve"> כלפי אותו סוכן</w:t>
      </w:r>
      <w:r w:rsidRPr="009A39A1">
        <w:rPr>
          <w:rFonts w:ascii="David" w:hAnsi="David"/>
          <w:rtl/>
        </w:rPr>
        <w:t>.</w:t>
      </w:r>
      <w:r w:rsidRPr="009A39A1">
        <w:rPr>
          <w:rFonts w:ascii="Calibri" w:hAnsi="Calibri" w:cs="Arial"/>
          <w:sz w:val="22"/>
          <w:szCs w:val="22"/>
          <w:rtl/>
        </w:rPr>
        <w:t xml:space="preserve"> </w:t>
      </w:r>
    </w:p>
    <w:p w14:paraId="7800E170" w14:textId="77777777" w:rsidR="0089095E" w:rsidRPr="009A39A1" w:rsidRDefault="0089095E" w:rsidP="0089095E">
      <w:pPr>
        <w:spacing w:after="300" w:line="360" w:lineRule="auto"/>
        <w:ind w:left="85"/>
        <w:jc w:val="both"/>
        <w:rPr>
          <w:rFonts w:ascii="David" w:hAnsi="David"/>
          <w:b/>
          <w:bCs/>
        </w:rPr>
      </w:pPr>
      <w:r w:rsidRPr="009A39A1">
        <w:rPr>
          <w:rFonts w:ascii="David" w:hAnsi="David"/>
          <w:b/>
          <w:bCs/>
          <w:rtl/>
        </w:rPr>
        <w:t xml:space="preserve">מתחם הענישה ההולם – סחר בסמים </w:t>
      </w:r>
    </w:p>
    <w:p w14:paraId="54D57B79" w14:textId="77777777" w:rsidR="0089095E"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עבירות הסחר והשימוש בסמים חומרתן רבה, והן פוגעות בערכים המוגנים של הגנה על שלום הציבור וביטחונו מפני הנזקים החמורים הנגרמים כתוצאה משימוש והפצה של סמים. ואכן, לא לחינם קבע המחוקק </w:t>
      </w:r>
      <w:hyperlink r:id="rId53" w:history="1">
        <w:r w:rsidR="00E350ED" w:rsidRPr="00E350ED">
          <w:rPr>
            <w:rStyle w:val="Hyperlink"/>
            <w:rFonts w:ascii="David" w:hAnsi="David"/>
            <w:rtl/>
          </w:rPr>
          <w:t>בסעיף 19א</w:t>
        </w:r>
      </w:hyperlink>
      <w:r w:rsidRPr="009A39A1">
        <w:rPr>
          <w:rFonts w:ascii="David" w:hAnsi="David"/>
          <w:rtl/>
        </w:rPr>
        <w:t xml:space="preserve"> לפקודת הסמים כי כל הלוקח חלק בסחר בסם, דינו 20 שנות מאסר בפועל. </w:t>
      </w:r>
    </w:p>
    <w:p w14:paraId="1CEEBF7B"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ב</w:t>
      </w:r>
      <w:hyperlink r:id="rId54" w:history="1">
        <w:r w:rsidR="000644AB" w:rsidRPr="000644AB">
          <w:rPr>
            <w:rFonts w:ascii="David" w:hAnsi="David"/>
            <w:color w:val="0000FF"/>
            <w:u w:val="single"/>
            <w:rtl/>
          </w:rPr>
          <w:t>ע"פ 6029/03</w:t>
        </w:r>
      </w:hyperlink>
      <w:r w:rsidRPr="009A39A1">
        <w:rPr>
          <w:rFonts w:ascii="David" w:hAnsi="David"/>
          <w:rtl/>
        </w:rPr>
        <w:t xml:space="preserve"> </w:t>
      </w:r>
      <w:r w:rsidRPr="009A39A1">
        <w:rPr>
          <w:rFonts w:ascii="David" w:hAnsi="David"/>
          <w:b/>
          <w:bCs/>
          <w:rtl/>
        </w:rPr>
        <w:t>מדינת ישראל נ' גולן שמאי</w:t>
      </w:r>
      <w:r w:rsidRPr="009A39A1">
        <w:rPr>
          <w:rFonts w:ascii="David" w:hAnsi="David"/>
          <w:rtl/>
        </w:rPr>
        <w:t xml:space="preserve"> </w:t>
      </w:r>
      <w:r w:rsidR="00F85A49" w:rsidRPr="00F85A49">
        <w:rPr>
          <w:sz w:val="22"/>
          <w:rtl/>
        </w:rPr>
        <w:t xml:space="preserve">[פורסם בנבו] </w:t>
      </w:r>
      <w:r w:rsidRPr="009A39A1">
        <w:rPr>
          <w:rFonts w:ascii="David" w:hAnsi="David"/>
          <w:rtl/>
        </w:rPr>
        <w:t>(9.2.04) קבע בית המשפט העליון כי: "נגע הסמים אוכל</w:t>
      </w:r>
      <w:r w:rsidRPr="009A39A1">
        <w:rPr>
          <w:rFonts w:ascii="David" w:hAnsi="David"/>
          <w:b/>
          <w:bCs/>
          <w:rtl/>
        </w:rPr>
        <w:t xml:space="preserve"> </w:t>
      </w:r>
      <w:r w:rsidRPr="009A39A1">
        <w:rPr>
          <w:rFonts w:ascii="David" w:hAnsi="David"/>
          <w:rtl/>
        </w:rPr>
        <w:t>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w:t>
      </w:r>
      <w:r w:rsidRPr="009A39A1">
        <w:rPr>
          <w:rFonts w:ascii="David" w:hAnsi="David"/>
        </w:rPr>
        <w:t xml:space="preserve"> -</w:t>
      </w:r>
      <w:r w:rsidRPr="009A39A1">
        <w:rPr>
          <w:rFonts w:ascii="David" w:hAnsi="David"/>
          <w:rtl/>
        </w:rPr>
        <w:t>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sidRPr="009A39A1">
        <w:rPr>
          <w:rFonts w:ascii="David" w:hAnsi="David"/>
        </w:rPr>
        <w:t xml:space="preserve"> </w:t>
      </w:r>
      <w:r w:rsidRPr="009A39A1">
        <w:rPr>
          <w:rFonts w:ascii="David" w:hAnsi="David"/>
          <w:rtl/>
        </w:rPr>
        <w:t>הטלת עונשים חמורים".</w:t>
      </w:r>
    </w:p>
    <w:p w14:paraId="0E348217"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לרוב נהוג לגזור בגין עבירות סחר בסמים עונשי מאסר בפועל. בית המשפט קבע כי נוכח הצורך החשוב שבמאבק בעבירות הסחר בסמים, על בית המשפט לתת משקל ממשי לשיקול ההרתעתי אל מול השיקולים האישיים. </w:t>
      </w:r>
      <w:hyperlink r:id="rId55" w:history="1">
        <w:r w:rsidR="000644AB" w:rsidRPr="000644AB">
          <w:rPr>
            <w:rFonts w:ascii="David" w:hAnsi="David"/>
            <w:color w:val="0000FF"/>
            <w:u w:val="single"/>
            <w:rtl/>
          </w:rPr>
          <w:t>ע"פ 9482/09</w:t>
        </w:r>
      </w:hyperlink>
      <w:r w:rsidRPr="009A39A1">
        <w:rPr>
          <w:rFonts w:ascii="David" w:hAnsi="David"/>
          <w:rtl/>
        </w:rPr>
        <w:t xml:space="preserve"> </w:t>
      </w:r>
      <w:r w:rsidRPr="009A39A1">
        <w:rPr>
          <w:rFonts w:ascii="David" w:hAnsi="David"/>
          <w:b/>
          <w:bCs/>
          <w:rtl/>
        </w:rPr>
        <w:t>ביטון נ' מדינת ישראל</w:t>
      </w:r>
      <w:r w:rsidRPr="009A39A1">
        <w:rPr>
          <w:rFonts w:ascii="David" w:hAnsi="David"/>
          <w:rtl/>
        </w:rPr>
        <w:t xml:space="preserve"> </w:t>
      </w:r>
      <w:r w:rsidR="00F85A49" w:rsidRPr="00F85A49">
        <w:rPr>
          <w:sz w:val="22"/>
          <w:rtl/>
        </w:rPr>
        <w:t xml:space="preserve">[פורסם בנבו] </w:t>
      </w:r>
      <w:r w:rsidRPr="009A39A1">
        <w:rPr>
          <w:rFonts w:ascii="David" w:hAnsi="David"/>
          <w:rtl/>
        </w:rPr>
        <w:t>(24.7.11).</w:t>
      </w:r>
    </w:p>
    <w:p w14:paraId="0F6F6CDF"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עוד נקבע בפסיקה כי אי ההרשעה, והטלת עונש של"צ, הינה בגדר חריג שבחריגים, נוכח חומרת</w:t>
      </w:r>
      <w:r>
        <w:rPr>
          <w:rFonts w:ascii="David" w:hAnsi="David" w:hint="cs"/>
          <w:rtl/>
        </w:rPr>
        <w:t xml:space="preserve"> העבירה</w:t>
      </w:r>
      <w:r w:rsidRPr="009A39A1">
        <w:rPr>
          <w:rFonts w:ascii="David" w:hAnsi="David"/>
          <w:rtl/>
        </w:rPr>
        <w:t xml:space="preserve">, והיות הנאשם חוטא ומחטיא את הזולת. </w:t>
      </w:r>
      <w:hyperlink r:id="rId56" w:history="1">
        <w:r w:rsidR="000644AB" w:rsidRPr="000644AB">
          <w:rPr>
            <w:rFonts w:ascii="David" w:hAnsi="David"/>
            <w:color w:val="0000FF"/>
            <w:u w:val="single"/>
            <w:rtl/>
          </w:rPr>
          <w:t>רע"פ 873/12</w:t>
        </w:r>
      </w:hyperlink>
      <w:r w:rsidRPr="009A39A1">
        <w:rPr>
          <w:rFonts w:ascii="David" w:hAnsi="David"/>
          <w:rtl/>
        </w:rPr>
        <w:t xml:space="preserve"> </w:t>
      </w:r>
      <w:r w:rsidRPr="009A39A1">
        <w:rPr>
          <w:rFonts w:ascii="David" w:hAnsi="David"/>
          <w:b/>
          <w:bCs/>
          <w:rtl/>
        </w:rPr>
        <w:t>פלוני נ' מדינת ישראל</w:t>
      </w:r>
      <w:r w:rsidRPr="009A39A1">
        <w:rPr>
          <w:rFonts w:ascii="David" w:hAnsi="David"/>
          <w:rtl/>
        </w:rPr>
        <w:t xml:space="preserve"> </w:t>
      </w:r>
      <w:r w:rsidR="00F85A49" w:rsidRPr="00F85A49">
        <w:rPr>
          <w:sz w:val="22"/>
          <w:rtl/>
        </w:rPr>
        <w:t xml:space="preserve">[פורסם בנבו] </w:t>
      </w:r>
      <w:r w:rsidRPr="009A39A1">
        <w:rPr>
          <w:rFonts w:ascii="David" w:hAnsi="David"/>
          <w:rtl/>
        </w:rPr>
        <w:t>(2.2.12).</w:t>
      </w:r>
    </w:p>
    <w:p w14:paraId="40B0698C"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ב</w:t>
      </w:r>
      <w:hyperlink r:id="rId57" w:history="1">
        <w:r w:rsidR="000644AB" w:rsidRPr="000644AB">
          <w:rPr>
            <w:rFonts w:ascii="David" w:hAnsi="David"/>
            <w:color w:val="0000FF"/>
            <w:u w:val="single"/>
            <w:rtl/>
          </w:rPr>
          <w:t>ע"פ 2596/18</w:t>
        </w:r>
      </w:hyperlink>
      <w:r w:rsidRPr="009A39A1">
        <w:rPr>
          <w:rFonts w:ascii="David" w:hAnsi="David"/>
          <w:rtl/>
        </w:rPr>
        <w:t xml:space="preserve"> </w:t>
      </w:r>
      <w:r w:rsidRPr="009A39A1">
        <w:rPr>
          <w:rFonts w:ascii="David" w:hAnsi="David"/>
          <w:b/>
          <w:bCs/>
          <w:rtl/>
        </w:rPr>
        <w:t>זנזורי נ' מדינת ישראל</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(12.8.18)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 משימוש באמצעים אלו. וראו גם: </w:t>
      </w:r>
      <w:hyperlink r:id="rId58" w:history="1">
        <w:r w:rsidR="000644AB" w:rsidRPr="000644AB">
          <w:rPr>
            <w:rFonts w:ascii="David" w:hAnsi="David"/>
            <w:color w:val="0000FF"/>
            <w:u w:val="single"/>
            <w:rtl/>
          </w:rPr>
          <w:t>ת"פ 42189-08-19</w:t>
        </w:r>
      </w:hyperlink>
      <w:r w:rsidRPr="009A39A1">
        <w:rPr>
          <w:rFonts w:ascii="David" w:hAnsi="David"/>
          <w:rtl/>
        </w:rPr>
        <w:t xml:space="preserve"> </w:t>
      </w:r>
      <w:r w:rsidRPr="009A39A1">
        <w:rPr>
          <w:rFonts w:ascii="David" w:hAnsi="David"/>
          <w:b/>
          <w:bCs/>
          <w:rtl/>
        </w:rPr>
        <w:t>מדינת ישראל נ' נני מזוז</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(06.04.20). </w:t>
      </w:r>
    </w:p>
    <w:p w14:paraId="4ACE0516"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במקרה ש</w:t>
      </w:r>
      <w:r>
        <w:rPr>
          <w:rFonts w:ascii="David" w:hAnsi="David" w:hint="cs"/>
          <w:rtl/>
        </w:rPr>
        <w:t>ל</w:t>
      </w:r>
      <w:r w:rsidRPr="009A39A1">
        <w:rPr>
          <w:rFonts w:ascii="David" w:hAnsi="David"/>
          <w:rtl/>
        </w:rPr>
        <w:t>פני המדובר ב</w:t>
      </w:r>
      <w:r>
        <w:rPr>
          <w:rFonts w:ascii="David" w:hAnsi="David" w:hint="cs"/>
          <w:rtl/>
        </w:rPr>
        <w:t xml:space="preserve">שתי </w:t>
      </w:r>
      <w:r w:rsidRPr="009A39A1">
        <w:rPr>
          <w:rFonts w:ascii="David" w:hAnsi="David"/>
          <w:rtl/>
        </w:rPr>
        <w:t>עבירות סחר ב</w:t>
      </w:r>
      <w:r>
        <w:rPr>
          <w:rFonts w:ascii="David" w:hAnsi="David" w:hint="cs"/>
          <w:rtl/>
        </w:rPr>
        <w:t xml:space="preserve">סם מסוג </w:t>
      </w:r>
      <w:r w:rsidRPr="009A39A1">
        <w:rPr>
          <w:rFonts w:ascii="David" w:hAnsi="David"/>
          <w:rtl/>
        </w:rPr>
        <w:t xml:space="preserve">קנאביס בכמות של כ-30 </w:t>
      </w:r>
      <w:r>
        <w:rPr>
          <w:rFonts w:ascii="David" w:hAnsi="David"/>
          <w:rtl/>
        </w:rPr>
        <w:t>גרם</w:t>
      </w:r>
      <w:r w:rsidRPr="009A39A1">
        <w:rPr>
          <w:rFonts w:ascii="David" w:hAnsi="David"/>
          <w:rtl/>
        </w:rPr>
        <w:t>. אמנם, המדובר בסם מסוג קנאביס, המוגדר כסם קל יחסית ואשר הענישה בעניינו פחותה יותר ביחס לסמים אחרים. עם זאת, אין להתעלם מהנזק ומהסיכון הרב הטמון בעבירות הסחר והחזקת הסמים, וכפי שציינתי לעיל – הפסיקה מייחסת לעבירות אלו חומרה יתרה. כך נקבע ב</w:t>
      </w:r>
      <w:hyperlink r:id="rId59" w:history="1">
        <w:r w:rsidR="000644AB" w:rsidRPr="000644AB">
          <w:rPr>
            <w:rFonts w:ascii="David" w:hAnsi="David"/>
            <w:color w:val="0000FF"/>
            <w:u w:val="single"/>
            <w:rtl/>
          </w:rPr>
          <w:t>ע"פ 170/07</w:t>
        </w:r>
      </w:hyperlink>
      <w:r w:rsidRPr="009A39A1">
        <w:rPr>
          <w:rFonts w:ascii="David" w:hAnsi="David"/>
          <w:rtl/>
        </w:rPr>
        <w:t xml:space="preserve"> </w:t>
      </w:r>
      <w:r w:rsidRPr="009A39A1">
        <w:rPr>
          <w:rFonts w:ascii="David" w:hAnsi="David"/>
          <w:b/>
          <w:bCs/>
          <w:rtl/>
        </w:rPr>
        <w:t>מטיס נ' מדינת ישראל</w:t>
      </w:r>
      <w:r w:rsidRPr="009A39A1">
        <w:rPr>
          <w:rFonts w:ascii="David" w:hAnsi="David"/>
          <w:rtl/>
        </w:rPr>
        <w:t xml:space="preserve"> </w:t>
      </w:r>
      <w:r w:rsidR="00F85A49" w:rsidRPr="00F85A49">
        <w:rPr>
          <w:sz w:val="22"/>
          <w:rtl/>
        </w:rPr>
        <w:t xml:space="preserve">[פורסם בנבו] </w:t>
      </w:r>
      <w:r w:rsidRPr="009A39A1">
        <w:rPr>
          <w:rFonts w:ascii="David" w:hAnsi="David"/>
          <w:rtl/>
        </w:rPr>
        <w:t>(2007), ביחס לסם הקנאביס, כי גם סמים קלים מהווים לעיתים קרובות את יריית הפתיחה להתמכרות לסמים קשים יותר וכי גם בשימוש בהם עצמם טמונה סכנה.</w:t>
      </w:r>
    </w:p>
    <w:p w14:paraId="5CA6060A"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באשר למתחם הענישה שנקבע בפסיקה בגין עבירות סחר דומות אפנה לפסקי דין אלו: </w:t>
      </w:r>
    </w:p>
    <w:p w14:paraId="6842A0CC" w14:textId="77777777" w:rsidR="0089095E" w:rsidRPr="009A39A1" w:rsidRDefault="0089095E" w:rsidP="0089095E">
      <w:pPr>
        <w:numPr>
          <w:ilvl w:val="0"/>
          <w:numId w:val="2"/>
        </w:numPr>
        <w:spacing w:after="300" w:line="360" w:lineRule="auto"/>
        <w:ind w:left="1076" w:hanging="283"/>
        <w:contextualSpacing/>
        <w:jc w:val="both"/>
        <w:rPr>
          <w:rFonts w:ascii="David" w:hAnsi="David"/>
          <w:rtl/>
        </w:rPr>
      </w:pPr>
      <w:r w:rsidRPr="009A39A1">
        <w:rPr>
          <w:rFonts w:ascii="David" w:hAnsi="David"/>
          <w:rtl/>
        </w:rPr>
        <w:t>ב</w:t>
      </w:r>
      <w:hyperlink r:id="rId60" w:history="1">
        <w:r w:rsidR="000644AB" w:rsidRPr="000644AB">
          <w:rPr>
            <w:rFonts w:ascii="David" w:hAnsi="David"/>
            <w:color w:val="0000FF"/>
            <w:u w:val="single"/>
            <w:rtl/>
          </w:rPr>
          <w:t>רע"פ 1720/11</w:t>
        </w:r>
      </w:hyperlink>
      <w:r w:rsidRPr="009A39A1">
        <w:rPr>
          <w:rFonts w:ascii="David" w:hAnsi="David"/>
          <w:rtl/>
        </w:rPr>
        <w:t xml:space="preserve"> </w:t>
      </w:r>
      <w:r w:rsidRPr="009A39A1">
        <w:rPr>
          <w:rFonts w:ascii="David" w:hAnsi="David"/>
          <w:b/>
          <w:bCs/>
          <w:rtl/>
        </w:rPr>
        <w:t>מיכאל גליק נגד מדינת ישראל</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(07.03.11), אושר גזר דינו של בית משפט השלום בו הוטלו על נאשם ב-3 עבירות סחר בסם מסוג חשיש (בסה"כ 110 </w:t>
      </w:r>
      <w:r>
        <w:rPr>
          <w:rFonts w:ascii="David" w:hAnsi="David"/>
          <w:rtl/>
        </w:rPr>
        <w:t>גרם</w:t>
      </w:r>
      <w:r w:rsidRPr="009A39A1">
        <w:rPr>
          <w:rFonts w:ascii="David" w:hAnsi="David"/>
          <w:rtl/>
        </w:rPr>
        <w:t xml:space="preserve">) ובעבירה של תיווך בחשיש (בכמות של כ- 95 </w:t>
      </w:r>
      <w:r>
        <w:rPr>
          <w:rFonts w:ascii="David" w:hAnsi="David"/>
          <w:rtl/>
        </w:rPr>
        <w:t>גרם</w:t>
      </w:r>
      <w:r w:rsidRPr="009A39A1">
        <w:rPr>
          <w:rFonts w:ascii="David" w:hAnsi="David"/>
          <w:rtl/>
        </w:rPr>
        <w:t xml:space="preserve">) 8 חודשי מאסר לריצוי בפועל בתוספת ענישה נלווית. </w:t>
      </w:r>
    </w:p>
    <w:p w14:paraId="5F1F92EA" w14:textId="77777777" w:rsidR="0089095E" w:rsidRPr="009A39A1" w:rsidRDefault="0089095E" w:rsidP="0089095E">
      <w:pPr>
        <w:spacing w:after="300" w:line="360" w:lineRule="auto"/>
        <w:ind w:left="1440"/>
        <w:contextualSpacing/>
        <w:jc w:val="both"/>
        <w:rPr>
          <w:rFonts w:ascii="David" w:hAnsi="David"/>
        </w:rPr>
      </w:pPr>
    </w:p>
    <w:p w14:paraId="59540EEC" w14:textId="77777777" w:rsidR="0089095E" w:rsidRPr="009A39A1" w:rsidRDefault="0089095E" w:rsidP="0089095E">
      <w:pPr>
        <w:numPr>
          <w:ilvl w:val="0"/>
          <w:numId w:val="2"/>
        </w:numPr>
        <w:spacing w:after="300" w:line="360" w:lineRule="auto"/>
        <w:ind w:left="1076" w:hanging="283"/>
        <w:jc w:val="both"/>
        <w:rPr>
          <w:rFonts w:ascii="David" w:hAnsi="David"/>
        </w:rPr>
      </w:pPr>
      <w:r w:rsidRPr="009A39A1">
        <w:rPr>
          <w:rFonts w:ascii="David" w:hAnsi="David"/>
          <w:rtl/>
        </w:rPr>
        <w:t>ב</w:t>
      </w:r>
      <w:hyperlink r:id="rId61" w:history="1">
        <w:r w:rsidR="000644AB" w:rsidRPr="000644AB">
          <w:rPr>
            <w:rFonts w:ascii="David" w:hAnsi="David"/>
            <w:color w:val="0000FF"/>
            <w:u w:val="single"/>
            <w:rtl/>
          </w:rPr>
          <w:t>רע"פ 5712/16</w:t>
        </w:r>
      </w:hyperlink>
      <w:r w:rsidRPr="009A39A1">
        <w:rPr>
          <w:rFonts w:ascii="David" w:hAnsi="David"/>
          <w:rtl/>
        </w:rPr>
        <w:t xml:space="preserve"> </w:t>
      </w:r>
      <w:r w:rsidRPr="009A39A1">
        <w:rPr>
          <w:rFonts w:ascii="David" w:hAnsi="David"/>
          <w:b/>
          <w:bCs/>
          <w:rtl/>
        </w:rPr>
        <w:t>יצחק אייזנבאך נ' מדינת ישראל</w:t>
      </w:r>
      <w:r w:rsidRPr="009A39A1">
        <w:rPr>
          <w:rFonts w:ascii="David" w:hAnsi="David"/>
          <w:rtl/>
        </w:rPr>
        <w:t xml:space="preserve"> </w:t>
      </w:r>
      <w:r w:rsidR="00F85A49" w:rsidRPr="00F85A49">
        <w:rPr>
          <w:sz w:val="22"/>
          <w:rtl/>
        </w:rPr>
        <w:t xml:space="preserve">[פורסם בנבו] </w:t>
      </w:r>
      <w:r w:rsidRPr="009A39A1">
        <w:rPr>
          <w:rFonts w:ascii="David" w:hAnsi="David"/>
          <w:rtl/>
        </w:rPr>
        <w:t>(17.08.16)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08CD4D81" w14:textId="77777777" w:rsidR="0089095E" w:rsidRPr="009A39A1" w:rsidRDefault="0089095E" w:rsidP="0089095E">
      <w:pPr>
        <w:numPr>
          <w:ilvl w:val="0"/>
          <w:numId w:val="2"/>
        </w:numPr>
        <w:spacing w:after="300" w:line="360" w:lineRule="auto"/>
        <w:ind w:left="1076" w:hanging="283"/>
        <w:jc w:val="both"/>
        <w:rPr>
          <w:rFonts w:ascii="David" w:hAnsi="David"/>
        </w:rPr>
      </w:pPr>
      <w:r w:rsidRPr="009A39A1">
        <w:rPr>
          <w:rFonts w:ascii="David" w:hAnsi="David"/>
          <w:rtl/>
        </w:rPr>
        <w:t>ב</w:t>
      </w:r>
      <w:hyperlink r:id="rId62" w:history="1">
        <w:r w:rsidR="000644AB" w:rsidRPr="000644AB">
          <w:rPr>
            <w:rFonts w:ascii="David" w:hAnsi="David"/>
            <w:color w:val="0000FF"/>
            <w:u w:val="single"/>
            <w:rtl/>
          </w:rPr>
          <w:t>רע"פ 3627/13</w:t>
        </w:r>
      </w:hyperlink>
      <w:r w:rsidRPr="009A39A1">
        <w:rPr>
          <w:rFonts w:ascii="David" w:hAnsi="David"/>
          <w:rtl/>
        </w:rPr>
        <w:t xml:space="preserve"> </w:t>
      </w:r>
      <w:r w:rsidRPr="009A39A1">
        <w:rPr>
          <w:rFonts w:ascii="David" w:hAnsi="David"/>
          <w:b/>
          <w:bCs/>
          <w:rtl/>
        </w:rPr>
        <w:t>שדה נגד מדינת ישראל</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(22.5.13) אושר גזר דין בו הוטל על  נאשם שהורשע על יסוד הודאתו ב-2 עבירות של סחר בסמים בכמויות קטנות מאוד מסוג קנביס (0.8 </w:t>
      </w:r>
      <w:r>
        <w:rPr>
          <w:rFonts w:ascii="David" w:hAnsi="David"/>
          <w:rtl/>
        </w:rPr>
        <w:t>גרם</w:t>
      </w:r>
      <w:r w:rsidRPr="009A39A1">
        <w:rPr>
          <w:rFonts w:ascii="David" w:hAnsi="David"/>
          <w:rtl/>
        </w:rPr>
        <w:t xml:space="preserve"> ו-1 </w:t>
      </w:r>
      <w:r>
        <w:rPr>
          <w:rFonts w:ascii="David" w:hAnsi="David"/>
          <w:rtl/>
        </w:rPr>
        <w:t>גרם</w:t>
      </w:r>
      <w:r w:rsidRPr="009A39A1">
        <w:rPr>
          <w:rFonts w:ascii="David" w:hAnsi="David"/>
          <w:rtl/>
        </w:rPr>
        <w:t xml:space="preserve">) עונש של 7 חודשי מאסר בפועל, אך זאת בשל עבר </w:t>
      </w:r>
      <w:r>
        <w:rPr>
          <w:rFonts w:ascii="David" w:hAnsi="David" w:hint="cs"/>
          <w:rtl/>
        </w:rPr>
        <w:t>פ</w:t>
      </w:r>
      <w:r w:rsidRPr="009A39A1">
        <w:rPr>
          <w:rFonts w:ascii="David" w:hAnsi="David"/>
          <w:rtl/>
        </w:rPr>
        <w:t xml:space="preserve">לילי עשיר וחוסר שת"פ עם שירות המבחן. </w:t>
      </w:r>
    </w:p>
    <w:p w14:paraId="4722F234" w14:textId="77777777" w:rsidR="0089095E" w:rsidRPr="009A39A1" w:rsidRDefault="0089095E" w:rsidP="0089095E">
      <w:pPr>
        <w:numPr>
          <w:ilvl w:val="0"/>
          <w:numId w:val="2"/>
        </w:numPr>
        <w:spacing w:after="300" w:line="360" w:lineRule="auto"/>
        <w:ind w:left="1076" w:hanging="283"/>
        <w:jc w:val="both"/>
        <w:rPr>
          <w:rFonts w:ascii="David" w:hAnsi="David"/>
        </w:rPr>
      </w:pPr>
      <w:r w:rsidRPr="009A39A1">
        <w:rPr>
          <w:rFonts w:ascii="David" w:hAnsi="David"/>
          <w:rtl/>
        </w:rPr>
        <w:t>ב</w:t>
      </w:r>
      <w:hyperlink r:id="rId63" w:history="1">
        <w:r w:rsidR="000644AB" w:rsidRPr="000644AB">
          <w:rPr>
            <w:rFonts w:ascii="David" w:hAnsi="David"/>
            <w:color w:val="0000FF"/>
            <w:u w:val="single"/>
            <w:rtl/>
          </w:rPr>
          <w:t>עפ"ג 31347-08-14</w:t>
        </w:r>
      </w:hyperlink>
      <w:r w:rsidRPr="009A39A1">
        <w:rPr>
          <w:rFonts w:ascii="David" w:hAnsi="David"/>
          <w:rtl/>
        </w:rPr>
        <w:t xml:space="preserve"> </w:t>
      </w:r>
      <w:r w:rsidRPr="009A39A1">
        <w:rPr>
          <w:rFonts w:ascii="David" w:hAnsi="David"/>
          <w:b/>
          <w:bCs/>
          <w:rtl/>
        </w:rPr>
        <w:t xml:space="preserve">מדינת ישראל נגד אברהים בשיטי </w:t>
      </w:r>
      <w:r w:rsidR="00F85A49" w:rsidRPr="00F85A49">
        <w:rPr>
          <w:sz w:val="22"/>
          <w:rtl/>
        </w:rPr>
        <w:t xml:space="preserve">[פורסם בנבו] </w:t>
      </w:r>
      <w:r w:rsidRPr="009A39A1">
        <w:rPr>
          <w:rFonts w:ascii="David" w:hAnsi="David"/>
          <w:rtl/>
        </w:rPr>
        <w:t xml:space="preserve">(10.12.14) נגזרו על נאשם שהורשע ב-2 עבירות סחר בקנאביס (במשקל 97 </w:t>
      </w:r>
      <w:r>
        <w:rPr>
          <w:rFonts w:ascii="David" w:hAnsi="David"/>
          <w:rtl/>
        </w:rPr>
        <w:t>גרם</w:t>
      </w:r>
      <w:r w:rsidRPr="009A39A1">
        <w:rPr>
          <w:rFonts w:ascii="David" w:hAnsi="David"/>
          <w:rtl/>
        </w:rPr>
        <w:t xml:space="preserve"> ו-47 </w:t>
      </w:r>
      <w:r>
        <w:rPr>
          <w:rFonts w:ascii="David" w:hAnsi="David"/>
          <w:rtl/>
        </w:rPr>
        <w:t>גרם</w:t>
      </w:r>
      <w:r w:rsidRPr="009A39A1">
        <w:rPr>
          <w:rFonts w:ascii="David" w:hAnsi="David"/>
          <w:rtl/>
        </w:rPr>
        <w:t xml:space="preserve">) ובמכירת 5 טבליות </w:t>
      </w:r>
      <w:r w:rsidRPr="009A39A1">
        <w:rPr>
          <w:rFonts w:ascii="David" w:hAnsi="David"/>
        </w:rPr>
        <w:t>MDMA</w:t>
      </w:r>
      <w:r w:rsidRPr="009A39A1">
        <w:rPr>
          <w:rFonts w:ascii="David" w:hAnsi="David"/>
          <w:rtl/>
        </w:rPr>
        <w:t>, נעדר עבר פלילי, 6 חודשי עבודות שרות, מאסר על תנאי וקנס.</w:t>
      </w:r>
    </w:p>
    <w:p w14:paraId="22B29267" w14:textId="77777777" w:rsidR="0089095E" w:rsidRPr="009A39A1" w:rsidRDefault="0089095E" w:rsidP="0089095E">
      <w:pPr>
        <w:numPr>
          <w:ilvl w:val="0"/>
          <w:numId w:val="2"/>
        </w:numPr>
        <w:spacing w:after="300" w:line="360" w:lineRule="auto"/>
        <w:ind w:left="1076" w:hanging="283"/>
        <w:jc w:val="both"/>
        <w:rPr>
          <w:rFonts w:ascii="David" w:hAnsi="David"/>
        </w:rPr>
      </w:pPr>
      <w:r w:rsidRPr="009A39A1">
        <w:rPr>
          <w:rFonts w:ascii="David" w:hAnsi="David"/>
          <w:rtl/>
        </w:rPr>
        <w:t>ב</w:t>
      </w:r>
      <w:hyperlink r:id="rId64" w:history="1">
        <w:r w:rsidR="000644AB" w:rsidRPr="000644AB">
          <w:rPr>
            <w:rFonts w:ascii="David" w:hAnsi="David"/>
            <w:color w:val="0000FF"/>
            <w:u w:val="single"/>
            <w:rtl/>
          </w:rPr>
          <w:t>ע"פ 7319-08-12</w:t>
        </w:r>
      </w:hyperlink>
      <w:r w:rsidRPr="009A39A1">
        <w:rPr>
          <w:rFonts w:ascii="David" w:hAnsi="David"/>
          <w:rtl/>
        </w:rPr>
        <w:t xml:space="preserve"> </w:t>
      </w:r>
      <w:r w:rsidRPr="009A39A1">
        <w:rPr>
          <w:rFonts w:ascii="David" w:hAnsi="David"/>
          <w:b/>
          <w:bCs/>
          <w:rtl/>
        </w:rPr>
        <w:t>אבישי סבח נגד מדינת ישראל</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(25.10.12), נדחה ערעורו של נאשם שהורשע ב-2 עבירות סחר בחשיש בכמויות קטנות (5.3 </w:t>
      </w:r>
      <w:r>
        <w:rPr>
          <w:rFonts w:ascii="David" w:hAnsi="David"/>
          <w:rtl/>
        </w:rPr>
        <w:t>גרם</w:t>
      </w:r>
      <w:r w:rsidRPr="009A39A1">
        <w:rPr>
          <w:rFonts w:ascii="David" w:hAnsi="David"/>
          <w:rtl/>
        </w:rPr>
        <w:t xml:space="preserve"> ו-2.9 </w:t>
      </w:r>
      <w:r>
        <w:rPr>
          <w:rFonts w:ascii="David" w:hAnsi="David"/>
          <w:rtl/>
        </w:rPr>
        <w:t>גרם</w:t>
      </w:r>
      <w:r w:rsidRPr="009A39A1">
        <w:rPr>
          <w:rFonts w:ascii="David" w:hAnsi="David"/>
          <w:rtl/>
        </w:rPr>
        <w:t>) ובעבירה אחת לתיווך לרכישת סם והוטל עליו עונש מאסר של 18 חודשי מאסר לריצוי בפועל.</w:t>
      </w:r>
    </w:p>
    <w:p w14:paraId="37A74745" w14:textId="77777777" w:rsidR="0089095E" w:rsidRPr="009A39A1" w:rsidRDefault="0089095E" w:rsidP="0089095E">
      <w:pPr>
        <w:numPr>
          <w:ilvl w:val="0"/>
          <w:numId w:val="2"/>
        </w:numPr>
        <w:spacing w:after="300" w:line="360" w:lineRule="auto"/>
        <w:ind w:left="1076" w:hanging="283"/>
        <w:jc w:val="both"/>
        <w:rPr>
          <w:rFonts w:ascii="David" w:hAnsi="David"/>
        </w:rPr>
      </w:pPr>
      <w:r w:rsidRPr="009A39A1">
        <w:rPr>
          <w:rFonts w:ascii="David" w:hAnsi="David"/>
          <w:rtl/>
        </w:rPr>
        <w:t>ב</w:t>
      </w:r>
      <w:hyperlink r:id="rId65" w:history="1">
        <w:r w:rsidR="000644AB" w:rsidRPr="000644AB">
          <w:rPr>
            <w:rFonts w:ascii="David" w:hAnsi="David"/>
            <w:color w:val="0000FF"/>
            <w:u w:val="single"/>
            <w:rtl/>
          </w:rPr>
          <w:t>ת"פ 726-01-14</w:t>
        </w:r>
      </w:hyperlink>
      <w:r w:rsidRPr="009A39A1">
        <w:rPr>
          <w:rFonts w:ascii="David" w:hAnsi="David"/>
          <w:rtl/>
        </w:rPr>
        <w:t xml:space="preserve"> </w:t>
      </w:r>
      <w:r w:rsidRPr="009A39A1">
        <w:rPr>
          <w:rFonts w:ascii="David" w:hAnsi="David"/>
          <w:b/>
          <w:bCs/>
          <w:rtl/>
        </w:rPr>
        <w:t>מדינת ישראל נ' עבד אל חלים זיתון</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 </w:t>
      </w:r>
    </w:p>
    <w:p w14:paraId="2765F158" w14:textId="77777777" w:rsidR="0089095E" w:rsidRPr="009A39A1" w:rsidRDefault="0089095E" w:rsidP="0089095E">
      <w:pPr>
        <w:numPr>
          <w:ilvl w:val="0"/>
          <w:numId w:val="2"/>
        </w:numPr>
        <w:spacing w:after="300" w:line="360" w:lineRule="auto"/>
        <w:ind w:left="1076" w:hanging="283"/>
        <w:jc w:val="both"/>
        <w:rPr>
          <w:rFonts w:ascii="David" w:hAnsi="David"/>
          <w:rtl/>
        </w:rPr>
      </w:pPr>
      <w:r w:rsidRPr="009A39A1">
        <w:rPr>
          <w:rFonts w:ascii="David" w:hAnsi="David"/>
          <w:rtl/>
        </w:rPr>
        <w:t>ב</w:t>
      </w:r>
      <w:hyperlink r:id="rId66" w:history="1">
        <w:r w:rsidR="000644AB" w:rsidRPr="000644AB">
          <w:rPr>
            <w:rFonts w:ascii="David" w:hAnsi="David"/>
            <w:color w:val="0000FF"/>
            <w:u w:val="single"/>
            <w:rtl/>
          </w:rPr>
          <w:t>ת"פ 56059-07-17</w:t>
        </w:r>
      </w:hyperlink>
      <w:r w:rsidRPr="009A39A1">
        <w:rPr>
          <w:rFonts w:ascii="David" w:hAnsi="David"/>
          <w:rtl/>
        </w:rPr>
        <w:t xml:space="preserve"> </w:t>
      </w:r>
      <w:r w:rsidRPr="009A39A1">
        <w:rPr>
          <w:rFonts w:ascii="David" w:hAnsi="David"/>
          <w:b/>
          <w:bCs/>
          <w:rtl/>
        </w:rPr>
        <w:t>מדינת ישראל נגד מתן רווח</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(12.03.18), נגזרו על נאשם שהורשע ב-3 עבירות סחר בקנאביס באמצעות טלגראס (9.8 </w:t>
      </w:r>
      <w:r>
        <w:rPr>
          <w:rFonts w:ascii="David" w:hAnsi="David"/>
          <w:rtl/>
        </w:rPr>
        <w:t>גרם</w:t>
      </w:r>
      <w:r w:rsidRPr="009A39A1">
        <w:rPr>
          <w:rFonts w:ascii="David" w:hAnsi="David"/>
          <w:rtl/>
        </w:rPr>
        <w:t xml:space="preserve">, 12.7 </w:t>
      </w:r>
      <w:r>
        <w:rPr>
          <w:rFonts w:ascii="David" w:hAnsi="David"/>
          <w:rtl/>
        </w:rPr>
        <w:t>גרם</w:t>
      </w:r>
      <w:r w:rsidRPr="009A39A1">
        <w:rPr>
          <w:rFonts w:ascii="David" w:hAnsi="David"/>
          <w:rtl/>
        </w:rPr>
        <w:t xml:space="preserve"> ו-2.9 </w:t>
      </w:r>
      <w:r>
        <w:rPr>
          <w:rFonts w:ascii="David" w:hAnsi="David"/>
          <w:rtl/>
        </w:rPr>
        <w:t>גרם</w:t>
      </w:r>
      <w:r w:rsidRPr="009A39A1">
        <w:rPr>
          <w:rFonts w:ascii="David" w:hAnsi="David"/>
          <w:rtl/>
        </w:rPr>
        <w:t>) 5 חודשי מאסר בפועל בתוספת ענישה נלווית.</w:t>
      </w:r>
    </w:p>
    <w:p w14:paraId="0CE87731"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 xml:space="preserve">עם זאת, ישנם מקרים בהם קיבל בית המשפט את המלצת שירות המבחן וגזר את עונשו של הנאשם על דרך עבודות של"צ, תוך </w:t>
      </w:r>
      <w:r>
        <w:rPr>
          <w:rFonts w:ascii="David" w:hAnsi="David" w:hint="cs"/>
          <w:rtl/>
        </w:rPr>
        <w:t>סטייה מהמתחם ומתן משקל מכריע ל</w:t>
      </w:r>
      <w:r w:rsidRPr="009A39A1">
        <w:rPr>
          <w:rFonts w:ascii="David" w:hAnsi="David"/>
          <w:rtl/>
        </w:rPr>
        <w:t xml:space="preserve">שיקול השיקומי. </w:t>
      </w:r>
    </w:p>
    <w:p w14:paraId="4D314B72" w14:textId="77777777" w:rsidR="0089095E" w:rsidRPr="009A39A1" w:rsidRDefault="0089095E" w:rsidP="0089095E">
      <w:pPr>
        <w:spacing w:after="300" w:line="360" w:lineRule="auto"/>
        <w:ind w:left="720"/>
        <w:jc w:val="both"/>
        <w:rPr>
          <w:rFonts w:ascii="David" w:hAnsi="David"/>
        </w:rPr>
      </w:pPr>
      <w:r w:rsidRPr="009A39A1">
        <w:rPr>
          <w:rFonts w:ascii="David" w:hAnsi="David"/>
          <w:rtl/>
        </w:rPr>
        <w:t>כך לדוגמה ב</w:t>
      </w:r>
      <w:hyperlink r:id="rId67" w:history="1">
        <w:r w:rsidR="000644AB" w:rsidRPr="000644AB">
          <w:rPr>
            <w:rFonts w:ascii="David" w:hAnsi="David"/>
            <w:color w:val="0000FF"/>
            <w:u w:val="single"/>
            <w:rtl/>
          </w:rPr>
          <w:t>ת"פ 46914-06-18</w:t>
        </w:r>
      </w:hyperlink>
      <w:r w:rsidRPr="009A39A1">
        <w:rPr>
          <w:rFonts w:ascii="David" w:hAnsi="David"/>
          <w:rtl/>
        </w:rPr>
        <w:t xml:space="preserve"> </w:t>
      </w:r>
      <w:r w:rsidRPr="009A39A1">
        <w:rPr>
          <w:rFonts w:ascii="David" w:hAnsi="David"/>
          <w:b/>
          <w:bCs/>
          <w:rtl/>
        </w:rPr>
        <w:t>מדינת ישראל נ' רבאב ח</w:t>
      </w:r>
      <w:r>
        <w:rPr>
          <w:rFonts w:ascii="David" w:hAnsi="David"/>
          <w:b/>
          <w:bCs/>
          <w:rtl/>
        </w:rPr>
        <w:t>ג</w:t>
      </w:r>
      <w:r>
        <w:rPr>
          <w:rFonts w:ascii="David" w:hAnsi="David" w:hint="cs"/>
          <w:b/>
          <w:bCs/>
          <w:rtl/>
        </w:rPr>
        <w:t>'</w:t>
      </w:r>
      <w:r w:rsidRPr="009A39A1">
        <w:rPr>
          <w:rFonts w:ascii="David" w:hAnsi="David"/>
          <w:b/>
          <w:bCs/>
          <w:rtl/>
        </w:rPr>
        <w:t>אזי</w:t>
      </w:r>
      <w:r w:rsidRPr="009A39A1">
        <w:rPr>
          <w:rFonts w:ascii="David" w:hAnsi="David"/>
          <w:rtl/>
        </w:rPr>
        <w:t xml:space="preserve"> </w:t>
      </w:r>
      <w:r w:rsidR="00F85A49" w:rsidRPr="00F85A49">
        <w:rPr>
          <w:sz w:val="22"/>
          <w:rtl/>
        </w:rPr>
        <w:t xml:space="preserve">[פורסם בנבו] </w:t>
      </w:r>
      <w:r w:rsidRPr="009A39A1">
        <w:rPr>
          <w:rFonts w:ascii="David" w:hAnsi="David"/>
          <w:rtl/>
        </w:rPr>
        <w:t>(23.09.19) התחשב בית המשפט בגילה הצעיר של הנאשמת, מצבה הנפשי הקרוב לסייג האחריות הפלילית, נטילת אחריות, היעדר עבר פלילי ועוד, וגזר את עונשה בצו מבחן, של"צ בהיקף 300 שעות ומאסר מותנה, זאת על אף שביצעה עבירות סחר רבות באמצעות אפליקציית טלגראס</w:t>
      </w:r>
      <w:r>
        <w:rPr>
          <w:rFonts w:ascii="David" w:hAnsi="David" w:hint="cs"/>
          <w:rtl/>
        </w:rPr>
        <w:t xml:space="preserve"> (11 אישומים)</w:t>
      </w:r>
      <w:r w:rsidRPr="009A39A1">
        <w:rPr>
          <w:rFonts w:ascii="David" w:hAnsi="David"/>
          <w:rtl/>
        </w:rPr>
        <w:t xml:space="preserve">. </w:t>
      </w:r>
    </w:p>
    <w:p w14:paraId="77283A8A" w14:textId="77777777" w:rsidR="0089095E" w:rsidRPr="009A39A1" w:rsidRDefault="0089095E" w:rsidP="0089095E">
      <w:pPr>
        <w:spacing w:after="300" w:line="360" w:lineRule="auto"/>
        <w:ind w:left="720"/>
        <w:jc w:val="both"/>
        <w:rPr>
          <w:rFonts w:ascii="David" w:hAnsi="David"/>
          <w:rtl/>
        </w:rPr>
      </w:pPr>
      <w:r w:rsidRPr="009A39A1">
        <w:rPr>
          <w:rFonts w:ascii="David" w:hAnsi="David"/>
          <w:rtl/>
        </w:rPr>
        <w:t>ב</w:t>
      </w:r>
      <w:hyperlink r:id="rId68" w:history="1">
        <w:r w:rsidR="000644AB" w:rsidRPr="000644AB">
          <w:rPr>
            <w:rFonts w:ascii="David" w:hAnsi="David"/>
            <w:color w:val="0000FF"/>
            <w:u w:val="single"/>
            <w:rtl/>
          </w:rPr>
          <w:t>ת"פ 34271-10-18</w:t>
        </w:r>
      </w:hyperlink>
      <w:r w:rsidRPr="009A39A1">
        <w:rPr>
          <w:rFonts w:ascii="David" w:hAnsi="David"/>
          <w:rtl/>
        </w:rPr>
        <w:t xml:space="preserve"> </w:t>
      </w:r>
      <w:r w:rsidRPr="009A39A1">
        <w:rPr>
          <w:rFonts w:ascii="David" w:hAnsi="David"/>
          <w:b/>
          <w:bCs/>
          <w:rtl/>
        </w:rPr>
        <w:t>מדינת ישראל נ' אור שמואל דהן</w:t>
      </w:r>
      <w:r w:rsidRPr="009A39A1">
        <w:rPr>
          <w:rFonts w:ascii="David" w:hAnsi="David"/>
          <w:rtl/>
        </w:rPr>
        <w:t xml:space="preserve"> </w:t>
      </w:r>
      <w:r w:rsidR="00F85A49" w:rsidRPr="00F85A49">
        <w:rPr>
          <w:sz w:val="22"/>
          <w:rtl/>
        </w:rPr>
        <w:t xml:space="preserve">[פורסם בנבו] </w:t>
      </w:r>
      <w:r w:rsidRPr="009A39A1">
        <w:rPr>
          <w:rFonts w:ascii="David" w:hAnsi="David"/>
          <w:rtl/>
        </w:rPr>
        <w:t xml:space="preserve">(23.03.19) אף הסתיים ההליך נגד נאשם ב-2 עבירות סחר בקנאביס באמצעות טלגראס ובהחזקה לשימוש עצמי ללא הרשעה וזאת תוך התחשבות בגילו הצעיר של הנאשם (בן 18), היעדר עבר פלילי ושיקום מרשים. על הנאשם הוטל צו מבחן למשך שנה. </w:t>
      </w:r>
    </w:p>
    <w:p w14:paraId="5D5AB013" w14:textId="77777777" w:rsidR="0089095E" w:rsidRPr="009A39A1" w:rsidRDefault="0089095E" w:rsidP="0089095E">
      <w:pPr>
        <w:spacing w:after="300" w:line="360" w:lineRule="auto"/>
        <w:ind w:left="720"/>
        <w:jc w:val="both"/>
        <w:rPr>
          <w:rFonts w:ascii="David" w:hAnsi="David"/>
        </w:rPr>
      </w:pPr>
      <w:r w:rsidRPr="009A39A1">
        <w:rPr>
          <w:rFonts w:ascii="David" w:hAnsi="David"/>
          <w:rtl/>
        </w:rPr>
        <w:t>ב</w:t>
      </w:r>
      <w:hyperlink r:id="rId69" w:history="1">
        <w:r w:rsidR="000644AB" w:rsidRPr="000644AB">
          <w:rPr>
            <w:rFonts w:ascii="David" w:hAnsi="David"/>
            <w:color w:val="0000FF"/>
            <w:u w:val="single"/>
            <w:rtl/>
          </w:rPr>
          <w:t>ת"פ 21679-04-15</w:t>
        </w:r>
      </w:hyperlink>
      <w:r w:rsidRPr="009A39A1">
        <w:rPr>
          <w:rFonts w:ascii="David" w:hAnsi="David"/>
          <w:rtl/>
        </w:rPr>
        <w:t xml:space="preserve"> </w:t>
      </w:r>
      <w:r w:rsidRPr="009A39A1">
        <w:rPr>
          <w:rFonts w:ascii="David" w:hAnsi="David"/>
          <w:b/>
          <w:bCs/>
          <w:rtl/>
        </w:rPr>
        <w:t>מדינת ישראל נ' שאול</w:t>
      </w:r>
      <w:r w:rsidRPr="009A39A1">
        <w:rPr>
          <w:rFonts w:ascii="David" w:hAnsi="David"/>
          <w:rtl/>
        </w:rPr>
        <w:t xml:space="preserve"> </w:t>
      </w:r>
      <w:r w:rsidRPr="009A39A1">
        <w:rPr>
          <w:rFonts w:ascii="David" w:hAnsi="David"/>
          <w:b/>
          <w:bCs/>
          <w:rtl/>
        </w:rPr>
        <w:t xml:space="preserve">בראנץ </w:t>
      </w:r>
      <w:r w:rsidR="00F85A49" w:rsidRPr="00F85A49">
        <w:rPr>
          <w:sz w:val="22"/>
          <w:rtl/>
        </w:rPr>
        <w:t xml:space="preserve">[פורסם בנבו] </w:t>
      </w:r>
      <w:r w:rsidRPr="009A39A1">
        <w:rPr>
          <w:rFonts w:ascii="David" w:hAnsi="David"/>
          <w:rtl/>
        </w:rPr>
        <w:t xml:space="preserve">(24.02.16) התחשב בית המשפט בגילו המבוגר של הנאשם ובמצבו הרפואי החמור והטיל על הנאשם עונש של"צ. </w:t>
      </w:r>
    </w:p>
    <w:p w14:paraId="7B21B120" w14:textId="77777777" w:rsidR="0089095E" w:rsidRPr="009A39A1" w:rsidRDefault="0089095E" w:rsidP="0089095E">
      <w:pPr>
        <w:numPr>
          <w:ilvl w:val="0"/>
          <w:numId w:val="1"/>
        </w:numPr>
        <w:spacing w:after="300" w:line="360" w:lineRule="auto"/>
        <w:ind w:hanging="636"/>
        <w:jc w:val="both"/>
        <w:rPr>
          <w:rFonts w:ascii="David" w:hAnsi="David"/>
          <w:rtl/>
        </w:rPr>
      </w:pPr>
      <w:r w:rsidRPr="009A39A1">
        <w:rPr>
          <w:rFonts w:ascii="David" w:hAnsi="David"/>
          <w:rtl/>
        </w:rPr>
        <w:t xml:space="preserve">בעת קביעת מתחם הענישה ההולם את האירוע שלפני יש להתחשב בשיקולים </w:t>
      </w:r>
      <w:r w:rsidRPr="009A39A1">
        <w:rPr>
          <w:rFonts w:ascii="Calibri" w:hAnsi="Calibri" w:hint="eastAsia"/>
          <w:rtl/>
        </w:rPr>
        <w:t>שיש</w:t>
      </w:r>
      <w:r w:rsidRPr="009A39A1">
        <w:rPr>
          <w:rFonts w:ascii="Calibri" w:hAnsi="Calibri"/>
          <w:rtl/>
        </w:rPr>
        <w:t xml:space="preserve"> </w:t>
      </w:r>
      <w:r w:rsidRPr="009A39A1">
        <w:rPr>
          <w:rFonts w:ascii="Calibri" w:hAnsi="Calibri" w:hint="eastAsia"/>
          <w:rtl/>
        </w:rPr>
        <w:t>בהם</w:t>
      </w:r>
      <w:r w:rsidRPr="009A39A1">
        <w:rPr>
          <w:rFonts w:ascii="Calibri" w:hAnsi="Calibri"/>
          <w:rtl/>
        </w:rPr>
        <w:t xml:space="preserve"> </w:t>
      </w:r>
      <w:r w:rsidRPr="009A39A1">
        <w:rPr>
          <w:rFonts w:ascii="Calibri" w:hAnsi="Calibri" w:hint="eastAsia"/>
          <w:rtl/>
        </w:rPr>
        <w:t>להשפיע</w:t>
      </w:r>
      <w:r w:rsidRPr="009A39A1">
        <w:rPr>
          <w:rFonts w:ascii="Calibri" w:hAnsi="Calibri"/>
          <w:rtl/>
        </w:rPr>
        <w:t xml:space="preserve"> </w:t>
      </w:r>
      <w:r w:rsidRPr="009A39A1">
        <w:rPr>
          <w:rFonts w:ascii="Calibri" w:hAnsi="Calibri" w:hint="eastAsia"/>
          <w:rtl/>
        </w:rPr>
        <w:t>על</w:t>
      </w:r>
      <w:r w:rsidRPr="009A39A1">
        <w:rPr>
          <w:rFonts w:ascii="Calibri" w:hAnsi="Calibri"/>
          <w:rtl/>
        </w:rPr>
        <w:t xml:space="preserve"> </w:t>
      </w:r>
      <w:r w:rsidRPr="009A39A1">
        <w:rPr>
          <w:rFonts w:ascii="Calibri" w:hAnsi="Calibri" w:hint="eastAsia"/>
          <w:rtl/>
        </w:rPr>
        <w:t>קביעת</w:t>
      </w:r>
      <w:r w:rsidRPr="009A39A1">
        <w:rPr>
          <w:rFonts w:ascii="Calibri" w:hAnsi="Calibri"/>
          <w:rtl/>
        </w:rPr>
        <w:t xml:space="preserve"> </w:t>
      </w:r>
      <w:r w:rsidRPr="009A39A1">
        <w:rPr>
          <w:rFonts w:ascii="Calibri" w:hAnsi="Calibri" w:hint="eastAsia"/>
          <w:rtl/>
        </w:rPr>
        <w:t>מתחם</w:t>
      </w:r>
      <w:r w:rsidRPr="009A39A1">
        <w:rPr>
          <w:rFonts w:ascii="Calibri" w:hAnsi="Calibri"/>
          <w:rtl/>
        </w:rPr>
        <w:t xml:space="preserve"> </w:t>
      </w:r>
      <w:r w:rsidRPr="009A39A1">
        <w:rPr>
          <w:rFonts w:ascii="Calibri" w:hAnsi="Calibri" w:hint="eastAsia"/>
          <w:rtl/>
        </w:rPr>
        <w:t>העונש</w:t>
      </w:r>
      <w:r w:rsidRPr="009A39A1">
        <w:rPr>
          <w:rFonts w:ascii="Calibri" w:hAnsi="Calibri"/>
          <w:rtl/>
        </w:rPr>
        <w:t xml:space="preserve">, </w:t>
      </w:r>
      <w:r w:rsidRPr="009A39A1">
        <w:rPr>
          <w:rFonts w:ascii="Calibri" w:hAnsi="Calibri" w:hint="eastAsia"/>
          <w:rtl/>
        </w:rPr>
        <w:t>כמפורט</w:t>
      </w:r>
      <w:r w:rsidRPr="009A39A1">
        <w:rPr>
          <w:rFonts w:ascii="David" w:hAnsi="David"/>
          <w:rtl/>
        </w:rPr>
        <w:t xml:space="preserve"> </w:t>
      </w:r>
      <w:hyperlink r:id="rId70" w:history="1">
        <w:r w:rsidR="00E350ED" w:rsidRPr="00E350ED">
          <w:rPr>
            <w:rStyle w:val="Hyperlink"/>
            <w:rFonts w:ascii="Calibri" w:hAnsi="Calibri" w:hint="eastAsia"/>
            <w:rtl/>
          </w:rPr>
          <w:t>בסעיף</w:t>
        </w:r>
        <w:r w:rsidR="00E350ED" w:rsidRPr="00E350ED">
          <w:rPr>
            <w:rStyle w:val="Hyperlink"/>
            <w:rFonts w:ascii="Calibri" w:hAnsi="Calibri"/>
            <w:rtl/>
          </w:rPr>
          <w:t xml:space="preserve"> 40</w:t>
        </w:r>
        <w:r w:rsidR="00E350ED" w:rsidRPr="00E350ED">
          <w:rPr>
            <w:rStyle w:val="Hyperlink"/>
            <w:rFonts w:ascii="Calibri" w:hAnsi="Calibri" w:hint="eastAsia"/>
            <w:rtl/>
          </w:rPr>
          <w:t>ט</w:t>
        </w:r>
      </w:hyperlink>
      <w:r w:rsidRPr="009A39A1">
        <w:rPr>
          <w:rFonts w:ascii="Calibri" w:hAnsi="Calibri"/>
          <w:rtl/>
        </w:rPr>
        <w:t xml:space="preserve"> </w:t>
      </w:r>
      <w:r w:rsidRPr="009A39A1">
        <w:rPr>
          <w:rFonts w:ascii="Calibri" w:hAnsi="Calibri" w:hint="eastAsia"/>
          <w:rtl/>
        </w:rPr>
        <w:t>ל</w:t>
      </w:r>
      <w:hyperlink r:id="rId71" w:history="1">
        <w:r w:rsidR="000644AB" w:rsidRPr="000644AB">
          <w:rPr>
            <w:rFonts w:ascii="Calibri" w:hAnsi="Calibri" w:hint="eastAsia"/>
            <w:color w:val="0000FF"/>
            <w:u w:val="single"/>
            <w:rtl/>
          </w:rPr>
          <w:t>חוק</w:t>
        </w:r>
        <w:r w:rsidR="000644AB" w:rsidRPr="000644AB">
          <w:rPr>
            <w:rFonts w:ascii="Calibri" w:hAnsi="Calibri"/>
            <w:color w:val="0000FF"/>
            <w:u w:val="single"/>
            <w:rtl/>
          </w:rPr>
          <w:t xml:space="preserve"> </w:t>
        </w:r>
        <w:r w:rsidR="000644AB" w:rsidRPr="000644AB">
          <w:rPr>
            <w:rFonts w:ascii="Calibri" w:hAnsi="Calibri" w:hint="eastAsia"/>
            <w:color w:val="0000FF"/>
            <w:u w:val="single"/>
            <w:rtl/>
          </w:rPr>
          <w:t>העונשין</w:t>
        </w:r>
      </w:hyperlink>
      <w:r w:rsidRPr="009A39A1">
        <w:rPr>
          <w:rFonts w:ascii="Calibri" w:hAnsi="Calibri"/>
          <w:rtl/>
        </w:rPr>
        <w:t xml:space="preserve">, </w:t>
      </w:r>
      <w:r w:rsidRPr="009A39A1">
        <w:rPr>
          <w:rFonts w:ascii="Calibri" w:hAnsi="Calibri" w:hint="eastAsia"/>
          <w:rtl/>
        </w:rPr>
        <w:t>ביניהם</w:t>
      </w:r>
      <w:r w:rsidRPr="009A39A1">
        <w:rPr>
          <w:rFonts w:ascii="Calibri" w:hAnsi="Calibri"/>
          <w:rtl/>
        </w:rPr>
        <w:t xml:space="preserve">: </w:t>
      </w:r>
      <w:r w:rsidRPr="009A39A1">
        <w:rPr>
          <w:rFonts w:ascii="Calibri" w:hAnsi="Calibri" w:hint="eastAsia"/>
          <w:color w:val="000000"/>
          <w:rtl/>
        </w:rPr>
        <w:t>התכנון</w:t>
      </w:r>
      <w:r w:rsidRPr="009A39A1">
        <w:rPr>
          <w:rFonts w:ascii="Calibri" w:hAnsi="Calibri"/>
          <w:color w:val="000000"/>
          <w:rtl/>
        </w:rPr>
        <w:t xml:space="preserve"> </w:t>
      </w:r>
      <w:r w:rsidRPr="009A39A1">
        <w:rPr>
          <w:rFonts w:ascii="Calibri" w:hAnsi="Calibri" w:hint="eastAsia"/>
          <w:color w:val="000000"/>
          <w:rtl/>
        </w:rPr>
        <w:t>שקדם</w:t>
      </w:r>
      <w:r w:rsidRPr="009A39A1">
        <w:rPr>
          <w:rFonts w:ascii="Calibri" w:hAnsi="Calibri"/>
          <w:color w:val="000000"/>
          <w:rtl/>
        </w:rPr>
        <w:t xml:space="preserve"> </w:t>
      </w:r>
      <w:r w:rsidRPr="009A39A1">
        <w:rPr>
          <w:rFonts w:ascii="Calibri" w:hAnsi="Calibri" w:hint="eastAsia"/>
          <w:color w:val="000000"/>
          <w:rtl/>
        </w:rPr>
        <w:t>לביצוע</w:t>
      </w:r>
      <w:r w:rsidRPr="009A39A1">
        <w:rPr>
          <w:rFonts w:ascii="Calibri" w:hAnsi="Calibri"/>
          <w:color w:val="000000"/>
          <w:rtl/>
        </w:rPr>
        <w:t xml:space="preserve"> </w:t>
      </w:r>
      <w:r w:rsidRPr="009A39A1">
        <w:rPr>
          <w:rFonts w:ascii="Calibri" w:hAnsi="Calibri" w:hint="eastAsia"/>
          <w:color w:val="000000"/>
          <w:rtl/>
        </w:rPr>
        <w:t>העבירה</w:t>
      </w:r>
      <w:r w:rsidRPr="009A39A1">
        <w:rPr>
          <w:rFonts w:ascii="Calibri" w:hAnsi="Calibri"/>
          <w:color w:val="000000"/>
          <w:rtl/>
        </w:rPr>
        <w:t xml:space="preserve">; </w:t>
      </w:r>
      <w:r w:rsidRPr="009A39A1">
        <w:rPr>
          <w:rFonts w:ascii="Calibri" w:hAnsi="Calibri" w:hint="eastAsia"/>
          <w:color w:val="000000"/>
          <w:rtl/>
        </w:rPr>
        <w:t>חלקו</w:t>
      </w:r>
      <w:r w:rsidRPr="009A39A1">
        <w:rPr>
          <w:rFonts w:ascii="Calibri" w:hAnsi="Calibri"/>
          <w:color w:val="000000"/>
          <w:rtl/>
        </w:rPr>
        <w:t xml:space="preserve"> </w:t>
      </w:r>
      <w:r w:rsidRPr="009A39A1">
        <w:rPr>
          <w:rFonts w:ascii="Calibri" w:hAnsi="Calibri" w:hint="eastAsia"/>
          <w:color w:val="000000"/>
          <w:rtl/>
        </w:rPr>
        <w:t>היחסי</w:t>
      </w:r>
      <w:r w:rsidRPr="009A39A1">
        <w:rPr>
          <w:rFonts w:ascii="Calibri" w:hAnsi="Calibri"/>
          <w:color w:val="000000"/>
          <w:rtl/>
        </w:rPr>
        <w:t xml:space="preserve"> </w:t>
      </w:r>
      <w:r w:rsidRPr="009A39A1">
        <w:rPr>
          <w:rFonts w:ascii="Calibri" w:hAnsi="Calibri" w:hint="eastAsia"/>
          <w:color w:val="000000"/>
          <w:rtl/>
        </w:rPr>
        <w:t>של</w:t>
      </w:r>
      <w:r w:rsidRPr="009A39A1">
        <w:rPr>
          <w:rFonts w:ascii="Calibri" w:hAnsi="Calibri"/>
          <w:color w:val="000000"/>
          <w:rtl/>
        </w:rPr>
        <w:t xml:space="preserve"> </w:t>
      </w:r>
      <w:r w:rsidRPr="009A39A1">
        <w:rPr>
          <w:rFonts w:ascii="Calibri" w:hAnsi="Calibri" w:hint="eastAsia"/>
          <w:color w:val="000000"/>
          <w:rtl/>
        </w:rPr>
        <w:t>הנאשם</w:t>
      </w:r>
      <w:r w:rsidRPr="009A39A1">
        <w:rPr>
          <w:rFonts w:ascii="Calibri" w:hAnsi="Calibri"/>
          <w:color w:val="000000"/>
          <w:rtl/>
        </w:rPr>
        <w:t xml:space="preserve"> </w:t>
      </w:r>
      <w:r w:rsidRPr="009A39A1">
        <w:rPr>
          <w:rFonts w:ascii="Calibri" w:hAnsi="Calibri" w:hint="eastAsia"/>
          <w:color w:val="000000"/>
          <w:rtl/>
        </w:rPr>
        <w:t>בביצוע</w:t>
      </w:r>
      <w:r w:rsidRPr="009A39A1">
        <w:rPr>
          <w:rFonts w:ascii="Calibri" w:hAnsi="Calibri"/>
          <w:color w:val="000000"/>
          <w:rtl/>
        </w:rPr>
        <w:t xml:space="preserve"> </w:t>
      </w:r>
      <w:r w:rsidRPr="009A39A1">
        <w:rPr>
          <w:rFonts w:ascii="Calibri" w:hAnsi="Calibri" w:hint="eastAsia"/>
          <w:color w:val="000000"/>
          <w:rtl/>
        </w:rPr>
        <w:t>העבירה</w:t>
      </w:r>
      <w:r w:rsidRPr="009A39A1">
        <w:rPr>
          <w:rFonts w:ascii="Calibri" w:hAnsi="Calibri"/>
          <w:color w:val="000000"/>
          <w:rtl/>
        </w:rPr>
        <w:t xml:space="preserve"> </w:t>
      </w:r>
      <w:r w:rsidRPr="009A39A1">
        <w:rPr>
          <w:rFonts w:ascii="Calibri" w:hAnsi="Calibri" w:hint="eastAsia"/>
          <w:color w:val="000000"/>
          <w:rtl/>
        </w:rPr>
        <w:t>ומידת</w:t>
      </w:r>
      <w:r w:rsidRPr="009A39A1">
        <w:rPr>
          <w:rFonts w:ascii="Calibri" w:hAnsi="Calibri"/>
          <w:color w:val="000000"/>
          <w:rtl/>
        </w:rPr>
        <w:t xml:space="preserve"> </w:t>
      </w:r>
      <w:r w:rsidRPr="009A39A1">
        <w:rPr>
          <w:rFonts w:ascii="Calibri" w:hAnsi="Calibri" w:hint="eastAsia"/>
          <w:color w:val="000000"/>
          <w:rtl/>
        </w:rPr>
        <w:t>ההשפעה</w:t>
      </w:r>
      <w:r w:rsidRPr="009A39A1">
        <w:rPr>
          <w:rFonts w:ascii="Calibri" w:hAnsi="Calibri"/>
          <w:color w:val="000000"/>
          <w:rtl/>
        </w:rPr>
        <w:t xml:space="preserve"> </w:t>
      </w:r>
      <w:r w:rsidRPr="009A39A1">
        <w:rPr>
          <w:rFonts w:ascii="Calibri" w:hAnsi="Calibri" w:hint="eastAsia"/>
          <w:color w:val="000000"/>
          <w:rtl/>
        </w:rPr>
        <w:t>של</w:t>
      </w:r>
      <w:r w:rsidRPr="009A39A1">
        <w:rPr>
          <w:rFonts w:ascii="Calibri" w:hAnsi="Calibri"/>
          <w:color w:val="000000"/>
          <w:rtl/>
        </w:rPr>
        <w:t xml:space="preserve"> </w:t>
      </w:r>
      <w:r w:rsidRPr="009A39A1">
        <w:rPr>
          <w:rFonts w:ascii="Calibri" w:hAnsi="Calibri" w:hint="eastAsia"/>
          <w:color w:val="000000"/>
          <w:rtl/>
        </w:rPr>
        <w:t>אחר</w:t>
      </w:r>
      <w:r w:rsidRPr="009A39A1">
        <w:rPr>
          <w:rFonts w:ascii="Calibri" w:hAnsi="Calibri"/>
          <w:color w:val="000000"/>
          <w:rtl/>
        </w:rPr>
        <w:t xml:space="preserve"> </w:t>
      </w:r>
      <w:r w:rsidRPr="009A39A1">
        <w:rPr>
          <w:rFonts w:ascii="Calibri" w:hAnsi="Calibri" w:hint="eastAsia"/>
          <w:color w:val="000000"/>
          <w:rtl/>
        </w:rPr>
        <w:t>על</w:t>
      </w:r>
      <w:r w:rsidRPr="009A39A1">
        <w:rPr>
          <w:rFonts w:ascii="Calibri" w:hAnsi="Calibri"/>
          <w:color w:val="000000"/>
          <w:rtl/>
        </w:rPr>
        <w:t xml:space="preserve"> </w:t>
      </w:r>
      <w:r w:rsidRPr="009A39A1">
        <w:rPr>
          <w:rFonts w:ascii="Calibri" w:hAnsi="Calibri" w:hint="eastAsia"/>
          <w:color w:val="000000"/>
          <w:rtl/>
        </w:rPr>
        <w:t>הנאשם</w:t>
      </w:r>
      <w:r w:rsidRPr="009A39A1">
        <w:rPr>
          <w:rFonts w:ascii="Calibri" w:hAnsi="Calibri"/>
          <w:color w:val="000000"/>
          <w:rtl/>
        </w:rPr>
        <w:t xml:space="preserve"> </w:t>
      </w:r>
      <w:r w:rsidRPr="009A39A1">
        <w:rPr>
          <w:rFonts w:ascii="Calibri" w:hAnsi="Calibri" w:hint="eastAsia"/>
          <w:color w:val="000000"/>
          <w:rtl/>
        </w:rPr>
        <w:t>בביצוע</w:t>
      </w:r>
      <w:r w:rsidRPr="009A39A1">
        <w:rPr>
          <w:rFonts w:ascii="Calibri" w:hAnsi="Calibri"/>
          <w:color w:val="000000"/>
          <w:rtl/>
        </w:rPr>
        <w:t xml:space="preserve"> </w:t>
      </w:r>
      <w:r w:rsidRPr="009A39A1">
        <w:rPr>
          <w:rFonts w:ascii="Calibri" w:hAnsi="Calibri" w:hint="eastAsia"/>
          <w:color w:val="000000"/>
          <w:rtl/>
        </w:rPr>
        <w:t>העבירה</w:t>
      </w:r>
      <w:r w:rsidRPr="009A39A1">
        <w:rPr>
          <w:rFonts w:ascii="Calibri" w:hAnsi="Calibri"/>
          <w:color w:val="000000"/>
          <w:rtl/>
        </w:rPr>
        <w:t xml:space="preserve">; </w:t>
      </w:r>
      <w:r w:rsidRPr="009A39A1">
        <w:rPr>
          <w:rFonts w:ascii="Calibri" w:hAnsi="Calibri" w:hint="eastAsia"/>
          <w:color w:val="000000"/>
          <w:rtl/>
        </w:rPr>
        <w:t>הנזק</w:t>
      </w:r>
      <w:r w:rsidRPr="009A39A1">
        <w:rPr>
          <w:rFonts w:ascii="Calibri" w:hAnsi="Calibri"/>
          <w:color w:val="000000"/>
          <w:rtl/>
        </w:rPr>
        <w:t xml:space="preserve"> </w:t>
      </w:r>
      <w:r w:rsidRPr="009A39A1">
        <w:rPr>
          <w:rFonts w:ascii="Calibri" w:hAnsi="Calibri" w:hint="eastAsia"/>
          <w:color w:val="000000"/>
          <w:rtl/>
        </w:rPr>
        <w:t>שהיה</w:t>
      </w:r>
      <w:r w:rsidRPr="009A39A1">
        <w:rPr>
          <w:rFonts w:ascii="Calibri" w:hAnsi="Calibri"/>
          <w:color w:val="000000"/>
          <w:rtl/>
        </w:rPr>
        <w:t xml:space="preserve"> </w:t>
      </w:r>
      <w:r w:rsidRPr="009A39A1">
        <w:rPr>
          <w:rFonts w:ascii="Calibri" w:hAnsi="Calibri" w:hint="eastAsia"/>
          <w:color w:val="000000"/>
          <w:rtl/>
        </w:rPr>
        <w:t>צפוי</w:t>
      </w:r>
      <w:r w:rsidRPr="009A39A1">
        <w:rPr>
          <w:rFonts w:ascii="Calibri" w:hAnsi="Calibri"/>
          <w:color w:val="000000"/>
          <w:rtl/>
        </w:rPr>
        <w:t xml:space="preserve"> </w:t>
      </w:r>
      <w:r w:rsidRPr="009A39A1">
        <w:rPr>
          <w:rFonts w:ascii="Calibri" w:hAnsi="Calibri" w:hint="eastAsia"/>
          <w:color w:val="000000"/>
          <w:rtl/>
        </w:rPr>
        <w:t>להיגרם</w:t>
      </w:r>
      <w:r w:rsidRPr="009A39A1">
        <w:rPr>
          <w:rFonts w:ascii="Calibri" w:hAnsi="Calibri"/>
          <w:color w:val="000000"/>
          <w:rtl/>
        </w:rPr>
        <w:t xml:space="preserve"> </w:t>
      </w:r>
      <w:r w:rsidRPr="009A39A1">
        <w:rPr>
          <w:rFonts w:ascii="Calibri" w:hAnsi="Calibri" w:hint="eastAsia"/>
          <w:color w:val="000000"/>
          <w:rtl/>
        </w:rPr>
        <w:t>מביצוע</w:t>
      </w:r>
      <w:r w:rsidRPr="009A39A1">
        <w:rPr>
          <w:rFonts w:ascii="Calibri" w:hAnsi="Calibri"/>
          <w:color w:val="000000"/>
          <w:rtl/>
        </w:rPr>
        <w:t xml:space="preserve"> </w:t>
      </w:r>
      <w:r w:rsidRPr="009A39A1">
        <w:rPr>
          <w:rFonts w:ascii="Calibri" w:hAnsi="Calibri" w:hint="eastAsia"/>
          <w:color w:val="000000"/>
          <w:rtl/>
        </w:rPr>
        <w:t>העבירה</w:t>
      </w:r>
      <w:r w:rsidRPr="009A39A1">
        <w:rPr>
          <w:rFonts w:ascii="Calibri" w:hAnsi="Calibri"/>
          <w:color w:val="000000"/>
          <w:rtl/>
        </w:rPr>
        <w:t xml:space="preserve">; </w:t>
      </w:r>
      <w:r w:rsidRPr="009A39A1">
        <w:rPr>
          <w:rFonts w:ascii="Calibri" w:hAnsi="Calibri" w:hint="eastAsia"/>
          <w:color w:val="000000"/>
          <w:rtl/>
        </w:rPr>
        <w:t>הנזק</w:t>
      </w:r>
      <w:r w:rsidRPr="009A39A1">
        <w:rPr>
          <w:rFonts w:ascii="Calibri" w:hAnsi="Calibri"/>
          <w:color w:val="000000"/>
          <w:rtl/>
        </w:rPr>
        <w:t xml:space="preserve"> </w:t>
      </w:r>
      <w:r w:rsidRPr="009A39A1">
        <w:rPr>
          <w:rFonts w:ascii="Calibri" w:hAnsi="Calibri" w:hint="eastAsia"/>
          <w:color w:val="000000"/>
          <w:rtl/>
        </w:rPr>
        <w:t>שנגרם</w:t>
      </w:r>
      <w:r w:rsidRPr="009A39A1">
        <w:rPr>
          <w:rFonts w:ascii="Calibri" w:hAnsi="Calibri"/>
          <w:color w:val="000000"/>
          <w:rtl/>
        </w:rPr>
        <w:t xml:space="preserve"> </w:t>
      </w:r>
      <w:r w:rsidRPr="009A39A1">
        <w:rPr>
          <w:rFonts w:ascii="Calibri" w:hAnsi="Calibri" w:hint="eastAsia"/>
          <w:color w:val="000000"/>
          <w:rtl/>
        </w:rPr>
        <w:t>מביצוע</w:t>
      </w:r>
      <w:r w:rsidRPr="009A39A1">
        <w:rPr>
          <w:rFonts w:ascii="Calibri" w:hAnsi="Calibri"/>
          <w:color w:val="000000"/>
          <w:rtl/>
        </w:rPr>
        <w:t xml:space="preserve"> </w:t>
      </w:r>
      <w:r w:rsidRPr="009A39A1">
        <w:rPr>
          <w:rFonts w:ascii="Calibri" w:hAnsi="Calibri" w:hint="eastAsia"/>
          <w:color w:val="000000"/>
          <w:rtl/>
        </w:rPr>
        <w:t>העבירה</w:t>
      </w:r>
      <w:r w:rsidRPr="009A39A1">
        <w:rPr>
          <w:rFonts w:ascii="Calibri" w:hAnsi="Calibri"/>
          <w:color w:val="000000"/>
          <w:rtl/>
        </w:rPr>
        <w:t xml:space="preserve">; </w:t>
      </w:r>
      <w:r w:rsidRPr="009A39A1">
        <w:rPr>
          <w:rFonts w:ascii="Calibri" w:hAnsi="Calibri" w:hint="eastAsia"/>
          <w:color w:val="000000"/>
          <w:rtl/>
        </w:rPr>
        <w:t>הסיבות</w:t>
      </w:r>
      <w:r w:rsidRPr="009A39A1">
        <w:rPr>
          <w:rFonts w:ascii="Calibri" w:hAnsi="Calibri"/>
          <w:color w:val="000000"/>
          <w:rtl/>
        </w:rPr>
        <w:t xml:space="preserve"> </w:t>
      </w:r>
      <w:r w:rsidRPr="009A39A1">
        <w:rPr>
          <w:rFonts w:ascii="Calibri" w:hAnsi="Calibri" w:hint="eastAsia"/>
          <w:color w:val="000000"/>
          <w:rtl/>
        </w:rPr>
        <w:t>שהביאו</w:t>
      </w:r>
      <w:r w:rsidRPr="009A39A1">
        <w:rPr>
          <w:rFonts w:ascii="Calibri" w:hAnsi="Calibri"/>
          <w:color w:val="000000"/>
          <w:rtl/>
        </w:rPr>
        <w:t xml:space="preserve"> </w:t>
      </w:r>
      <w:r w:rsidRPr="009A39A1">
        <w:rPr>
          <w:rFonts w:ascii="Calibri" w:hAnsi="Calibri" w:hint="eastAsia"/>
          <w:color w:val="000000"/>
          <w:rtl/>
        </w:rPr>
        <w:t>את</w:t>
      </w:r>
      <w:r w:rsidRPr="009A39A1">
        <w:rPr>
          <w:rFonts w:ascii="Calibri" w:hAnsi="Calibri"/>
          <w:color w:val="000000"/>
          <w:rtl/>
        </w:rPr>
        <w:t xml:space="preserve"> </w:t>
      </w:r>
      <w:r w:rsidRPr="009A39A1">
        <w:rPr>
          <w:rFonts w:ascii="Calibri" w:hAnsi="Calibri" w:hint="eastAsia"/>
          <w:color w:val="000000"/>
          <w:rtl/>
        </w:rPr>
        <w:t>הנאשם</w:t>
      </w:r>
      <w:r w:rsidRPr="009A39A1">
        <w:rPr>
          <w:rFonts w:ascii="Calibri" w:hAnsi="Calibri"/>
          <w:color w:val="000000"/>
          <w:rtl/>
        </w:rPr>
        <w:t xml:space="preserve"> </w:t>
      </w:r>
      <w:r w:rsidRPr="009A39A1">
        <w:rPr>
          <w:rFonts w:ascii="Calibri" w:hAnsi="Calibri" w:hint="eastAsia"/>
          <w:color w:val="000000"/>
          <w:rtl/>
        </w:rPr>
        <w:t>לבצע</w:t>
      </w:r>
      <w:r w:rsidRPr="009A39A1">
        <w:rPr>
          <w:rFonts w:ascii="Calibri" w:hAnsi="Calibri"/>
          <w:color w:val="000000"/>
          <w:rtl/>
        </w:rPr>
        <w:t xml:space="preserve"> </w:t>
      </w:r>
      <w:r w:rsidRPr="009A39A1">
        <w:rPr>
          <w:rFonts w:ascii="Calibri" w:hAnsi="Calibri" w:hint="eastAsia"/>
          <w:color w:val="000000"/>
          <w:rtl/>
        </w:rPr>
        <w:t>את</w:t>
      </w:r>
      <w:r w:rsidRPr="009A39A1">
        <w:rPr>
          <w:rFonts w:ascii="Calibri" w:hAnsi="Calibri"/>
          <w:color w:val="000000"/>
          <w:rtl/>
        </w:rPr>
        <w:t xml:space="preserve"> </w:t>
      </w:r>
      <w:r w:rsidRPr="009A39A1">
        <w:rPr>
          <w:rFonts w:ascii="Calibri" w:hAnsi="Calibri" w:hint="eastAsia"/>
          <w:color w:val="000000"/>
          <w:rtl/>
        </w:rPr>
        <w:t>העבירה</w:t>
      </w:r>
      <w:r w:rsidRPr="009A39A1">
        <w:rPr>
          <w:rFonts w:ascii="Calibri" w:hAnsi="Calibri"/>
          <w:color w:val="000000"/>
          <w:rtl/>
        </w:rPr>
        <w:t xml:space="preserve">; </w:t>
      </w:r>
      <w:r w:rsidRPr="009A39A1">
        <w:rPr>
          <w:rFonts w:ascii="Calibri" w:hAnsi="Calibri" w:hint="eastAsia"/>
          <w:color w:val="000000"/>
          <w:rtl/>
        </w:rPr>
        <w:t>יכולתו</w:t>
      </w:r>
      <w:r w:rsidRPr="009A39A1">
        <w:rPr>
          <w:rFonts w:ascii="Calibri" w:hAnsi="Calibri"/>
          <w:color w:val="000000"/>
          <w:rtl/>
        </w:rPr>
        <w:t xml:space="preserve"> </w:t>
      </w:r>
      <w:r w:rsidRPr="009A39A1">
        <w:rPr>
          <w:rFonts w:ascii="Calibri" w:hAnsi="Calibri" w:hint="eastAsia"/>
          <w:color w:val="000000"/>
          <w:rtl/>
        </w:rPr>
        <w:t>של</w:t>
      </w:r>
      <w:r w:rsidRPr="009A39A1">
        <w:rPr>
          <w:rFonts w:ascii="Calibri" w:hAnsi="Calibri"/>
          <w:color w:val="000000"/>
          <w:rtl/>
        </w:rPr>
        <w:t xml:space="preserve"> </w:t>
      </w:r>
      <w:r w:rsidRPr="009A39A1">
        <w:rPr>
          <w:rFonts w:ascii="Calibri" w:hAnsi="Calibri" w:hint="eastAsia"/>
          <w:color w:val="000000"/>
          <w:rtl/>
        </w:rPr>
        <w:t>הנאשם</w:t>
      </w:r>
      <w:r w:rsidRPr="009A39A1">
        <w:rPr>
          <w:rFonts w:ascii="Calibri" w:hAnsi="Calibri"/>
          <w:color w:val="000000"/>
          <w:rtl/>
        </w:rPr>
        <w:t xml:space="preserve"> </w:t>
      </w:r>
      <w:r w:rsidRPr="009A39A1">
        <w:rPr>
          <w:rFonts w:ascii="Calibri" w:hAnsi="Calibri" w:hint="eastAsia"/>
          <w:color w:val="000000"/>
          <w:rtl/>
        </w:rPr>
        <w:t>להבין</w:t>
      </w:r>
      <w:r w:rsidRPr="009A39A1">
        <w:rPr>
          <w:rFonts w:ascii="Calibri" w:hAnsi="Calibri"/>
          <w:color w:val="000000"/>
          <w:rtl/>
        </w:rPr>
        <w:t xml:space="preserve"> </w:t>
      </w:r>
      <w:r w:rsidRPr="009A39A1">
        <w:rPr>
          <w:rFonts w:ascii="Calibri" w:hAnsi="Calibri" w:hint="eastAsia"/>
          <w:color w:val="000000"/>
          <w:rtl/>
        </w:rPr>
        <w:t>את</w:t>
      </w:r>
      <w:r w:rsidRPr="009A39A1">
        <w:rPr>
          <w:rFonts w:ascii="Calibri" w:hAnsi="Calibri"/>
          <w:color w:val="000000"/>
          <w:rtl/>
        </w:rPr>
        <w:t xml:space="preserve"> </w:t>
      </w:r>
      <w:r w:rsidRPr="009A39A1">
        <w:rPr>
          <w:rFonts w:ascii="Calibri" w:hAnsi="Calibri" w:hint="eastAsia"/>
          <w:color w:val="000000"/>
          <w:rtl/>
        </w:rPr>
        <w:t>אשר</w:t>
      </w:r>
      <w:r w:rsidRPr="009A39A1">
        <w:rPr>
          <w:rFonts w:ascii="Calibri" w:hAnsi="Calibri"/>
          <w:color w:val="000000"/>
          <w:rtl/>
        </w:rPr>
        <w:t xml:space="preserve"> </w:t>
      </w:r>
      <w:r w:rsidRPr="009A39A1">
        <w:rPr>
          <w:rFonts w:ascii="Calibri" w:hAnsi="Calibri" w:hint="eastAsia"/>
          <w:color w:val="000000"/>
          <w:rtl/>
        </w:rPr>
        <w:t>הוא</w:t>
      </w:r>
      <w:r w:rsidRPr="009A39A1">
        <w:rPr>
          <w:rFonts w:ascii="Calibri" w:hAnsi="Calibri"/>
          <w:color w:val="000000"/>
          <w:rtl/>
        </w:rPr>
        <w:t xml:space="preserve"> </w:t>
      </w:r>
      <w:r w:rsidRPr="009A39A1">
        <w:rPr>
          <w:rFonts w:ascii="Calibri" w:hAnsi="Calibri" w:hint="eastAsia"/>
          <w:color w:val="000000"/>
          <w:rtl/>
        </w:rPr>
        <w:t>עושה</w:t>
      </w:r>
      <w:r w:rsidRPr="009A39A1">
        <w:rPr>
          <w:rFonts w:ascii="Calibri" w:hAnsi="Calibri"/>
          <w:color w:val="000000"/>
          <w:rtl/>
        </w:rPr>
        <w:t xml:space="preserve">, </w:t>
      </w:r>
      <w:r w:rsidRPr="009A39A1">
        <w:rPr>
          <w:rFonts w:ascii="Calibri" w:hAnsi="Calibri" w:hint="eastAsia"/>
          <w:color w:val="000000"/>
          <w:rtl/>
        </w:rPr>
        <w:t>את</w:t>
      </w:r>
      <w:r w:rsidRPr="009A39A1">
        <w:rPr>
          <w:rFonts w:ascii="Calibri" w:hAnsi="Calibri"/>
          <w:color w:val="000000"/>
          <w:rtl/>
        </w:rPr>
        <w:t xml:space="preserve"> </w:t>
      </w:r>
      <w:r w:rsidRPr="009A39A1">
        <w:rPr>
          <w:rFonts w:ascii="Calibri" w:hAnsi="Calibri" w:hint="eastAsia"/>
          <w:color w:val="000000"/>
          <w:rtl/>
        </w:rPr>
        <w:t>הפסול</w:t>
      </w:r>
      <w:r w:rsidRPr="009A39A1">
        <w:rPr>
          <w:rFonts w:ascii="Calibri" w:hAnsi="Calibri"/>
          <w:color w:val="000000"/>
          <w:rtl/>
        </w:rPr>
        <w:t xml:space="preserve"> </w:t>
      </w:r>
      <w:r w:rsidRPr="009A39A1">
        <w:rPr>
          <w:rFonts w:ascii="Calibri" w:hAnsi="Calibri" w:hint="eastAsia"/>
          <w:color w:val="000000"/>
          <w:rtl/>
        </w:rPr>
        <w:t>שבמעשהו</w:t>
      </w:r>
      <w:r w:rsidRPr="009A39A1">
        <w:rPr>
          <w:rFonts w:ascii="Calibri" w:hAnsi="Calibri"/>
          <w:color w:val="000000"/>
          <w:rtl/>
        </w:rPr>
        <w:t xml:space="preserve"> </w:t>
      </w:r>
      <w:r w:rsidRPr="009A39A1">
        <w:rPr>
          <w:rFonts w:ascii="Calibri" w:hAnsi="Calibri" w:hint="eastAsia"/>
          <w:color w:val="000000"/>
          <w:rtl/>
        </w:rPr>
        <w:t>או</w:t>
      </w:r>
      <w:r w:rsidRPr="009A39A1">
        <w:rPr>
          <w:rFonts w:ascii="Calibri" w:hAnsi="Calibri"/>
          <w:color w:val="000000"/>
          <w:rtl/>
        </w:rPr>
        <w:t xml:space="preserve"> </w:t>
      </w:r>
      <w:r w:rsidRPr="009A39A1">
        <w:rPr>
          <w:rFonts w:ascii="Calibri" w:hAnsi="Calibri" w:hint="eastAsia"/>
          <w:color w:val="000000"/>
          <w:rtl/>
        </w:rPr>
        <w:t>את</w:t>
      </w:r>
      <w:r w:rsidRPr="009A39A1">
        <w:rPr>
          <w:rFonts w:ascii="Calibri" w:hAnsi="Calibri"/>
          <w:color w:val="000000"/>
          <w:rtl/>
        </w:rPr>
        <w:t xml:space="preserve"> </w:t>
      </w:r>
      <w:r w:rsidRPr="009A39A1">
        <w:rPr>
          <w:rFonts w:ascii="Calibri" w:hAnsi="Calibri" w:hint="eastAsia"/>
          <w:color w:val="000000"/>
          <w:rtl/>
        </w:rPr>
        <w:t>משמעות</w:t>
      </w:r>
      <w:r w:rsidRPr="009A39A1">
        <w:rPr>
          <w:rFonts w:ascii="Calibri" w:hAnsi="Calibri"/>
          <w:color w:val="000000"/>
          <w:rtl/>
        </w:rPr>
        <w:t xml:space="preserve"> </w:t>
      </w:r>
      <w:r w:rsidRPr="009A39A1">
        <w:rPr>
          <w:rFonts w:ascii="Calibri" w:hAnsi="Calibri" w:hint="eastAsia"/>
          <w:color w:val="000000"/>
          <w:rtl/>
        </w:rPr>
        <w:t>מעשהו</w:t>
      </w:r>
      <w:r w:rsidRPr="009A39A1">
        <w:rPr>
          <w:rFonts w:ascii="Calibri" w:hAnsi="Calibri"/>
          <w:color w:val="000000"/>
          <w:rtl/>
        </w:rPr>
        <w:t xml:space="preserve">, </w:t>
      </w:r>
      <w:r w:rsidRPr="009A39A1">
        <w:rPr>
          <w:rFonts w:ascii="Calibri" w:hAnsi="Calibri" w:hint="eastAsia"/>
          <w:color w:val="000000"/>
          <w:rtl/>
        </w:rPr>
        <w:t>לרבות</w:t>
      </w:r>
      <w:r w:rsidRPr="009A39A1">
        <w:rPr>
          <w:rFonts w:ascii="Calibri" w:hAnsi="Calibri"/>
          <w:color w:val="000000"/>
          <w:rtl/>
        </w:rPr>
        <w:t xml:space="preserve"> </w:t>
      </w:r>
      <w:r w:rsidRPr="009A39A1">
        <w:rPr>
          <w:rFonts w:ascii="Calibri" w:hAnsi="Calibri" w:hint="eastAsia"/>
          <w:color w:val="000000"/>
          <w:rtl/>
        </w:rPr>
        <w:t>בשל</w:t>
      </w:r>
      <w:r w:rsidRPr="009A39A1">
        <w:rPr>
          <w:rFonts w:ascii="Calibri" w:hAnsi="Calibri"/>
          <w:color w:val="000000"/>
          <w:rtl/>
        </w:rPr>
        <w:t xml:space="preserve"> </w:t>
      </w:r>
      <w:r w:rsidRPr="009A39A1">
        <w:rPr>
          <w:rFonts w:ascii="Calibri" w:hAnsi="Calibri" w:hint="eastAsia"/>
          <w:color w:val="000000"/>
          <w:rtl/>
        </w:rPr>
        <w:t>גילו</w:t>
      </w:r>
      <w:r w:rsidRPr="009A39A1">
        <w:rPr>
          <w:rFonts w:ascii="Calibri" w:hAnsi="Calibri"/>
          <w:color w:val="000000"/>
          <w:rtl/>
        </w:rPr>
        <w:t>.</w:t>
      </w:r>
    </w:p>
    <w:p w14:paraId="56950BDD"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לצורך קביעת מתחם הענישה אתחשב מצד אחד בחומרת העבירה – כפי שציינתי לעיל המדובר ב</w:t>
      </w:r>
      <w:r>
        <w:rPr>
          <w:rFonts w:ascii="David" w:hAnsi="David"/>
          <w:rtl/>
        </w:rPr>
        <w:t xml:space="preserve">עבירה שחומרתה רבה ביותר, בגינה </w:t>
      </w:r>
      <w:r>
        <w:rPr>
          <w:rFonts w:ascii="David" w:hAnsi="David" w:hint="cs"/>
          <w:rtl/>
        </w:rPr>
        <w:t>נגזר</w:t>
      </w:r>
      <w:r w:rsidRPr="009A39A1">
        <w:rPr>
          <w:rFonts w:ascii="David" w:hAnsi="David"/>
          <w:rtl/>
        </w:rPr>
        <w:t xml:space="preserve"> לרוב עונש מאסר בפועל. עוד יש לציין את הכמויות הגדולות יחסית בהן סחר הנאשם – 30 </w:t>
      </w:r>
      <w:r>
        <w:rPr>
          <w:rFonts w:ascii="David" w:hAnsi="David"/>
          <w:rtl/>
        </w:rPr>
        <w:t>גרם</w:t>
      </w:r>
      <w:r w:rsidRPr="009A39A1">
        <w:rPr>
          <w:rFonts w:ascii="David" w:hAnsi="David"/>
          <w:rtl/>
        </w:rPr>
        <w:t xml:space="preserve"> בכל אישום ובעד תמורה גבוהה. מצד שני המאשימה לא </w:t>
      </w:r>
      <w:r>
        <w:rPr>
          <w:rFonts w:ascii="David" w:hAnsi="David" w:hint="cs"/>
          <w:rtl/>
        </w:rPr>
        <w:t>חלקה על כך ש</w:t>
      </w:r>
      <w:r w:rsidRPr="009A39A1">
        <w:rPr>
          <w:rFonts w:ascii="David" w:hAnsi="David"/>
          <w:rtl/>
        </w:rPr>
        <w:t>חלקו של הנאשם בביצוע העביר</w:t>
      </w:r>
      <w:r>
        <w:rPr>
          <w:rFonts w:ascii="David" w:hAnsi="David" w:hint="cs"/>
          <w:rtl/>
        </w:rPr>
        <w:t>ות</w:t>
      </w:r>
      <w:r w:rsidRPr="009A39A1">
        <w:rPr>
          <w:rFonts w:ascii="David" w:hAnsi="David"/>
          <w:rtl/>
        </w:rPr>
        <w:t xml:space="preserve"> היה מינורי יחסית, והוא </w:t>
      </w:r>
      <w:r>
        <w:rPr>
          <w:rFonts w:ascii="David" w:hAnsi="David" w:hint="cs"/>
          <w:rtl/>
        </w:rPr>
        <w:t xml:space="preserve">התבטא בהיותו </w:t>
      </w:r>
      <w:r w:rsidRPr="009A39A1">
        <w:rPr>
          <w:rFonts w:ascii="David" w:hAnsi="David"/>
          <w:rtl/>
        </w:rPr>
        <w:t xml:space="preserve">שליח לביצוע </w:t>
      </w:r>
      <w:r>
        <w:rPr>
          <w:rFonts w:ascii="David" w:hAnsi="David" w:hint="cs"/>
          <w:rtl/>
        </w:rPr>
        <w:t>אותן עבירות</w:t>
      </w:r>
      <w:r w:rsidRPr="009A39A1">
        <w:rPr>
          <w:rFonts w:ascii="David" w:hAnsi="David"/>
          <w:rtl/>
        </w:rPr>
        <w:t xml:space="preserve">. </w:t>
      </w:r>
    </w:p>
    <w:p w14:paraId="2EF50536" w14:textId="77777777" w:rsidR="0089095E" w:rsidRPr="009A39A1" w:rsidRDefault="0089095E" w:rsidP="0089095E">
      <w:pPr>
        <w:numPr>
          <w:ilvl w:val="0"/>
          <w:numId w:val="1"/>
        </w:numPr>
        <w:spacing w:after="300" w:line="360" w:lineRule="auto"/>
        <w:ind w:hanging="635"/>
        <w:jc w:val="both"/>
        <w:rPr>
          <w:rFonts w:ascii="David" w:hAnsi="David"/>
        </w:rPr>
      </w:pPr>
      <w:r w:rsidRPr="009A39A1">
        <w:rPr>
          <w:rFonts w:ascii="David" w:hAnsi="David"/>
          <w:rtl/>
        </w:rPr>
        <w:t>בנסיבות האמורות</w:t>
      </w:r>
      <w:r>
        <w:rPr>
          <w:rFonts w:ascii="David" w:hAnsi="David"/>
          <w:rtl/>
        </w:rPr>
        <w:t xml:space="preserve"> יש לקבוע שמתחם העבירה הינו </w:t>
      </w:r>
      <w:r>
        <w:rPr>
          <w:rFonts w:ascii="David" w:hAnsi="David" w:hint="cs"/>
          <w:rtl/>
        </w:rPr>
        <w:t>החל משישה חודשי מאסר ועד 12</w:t>
      </w:r>
      <w:r w:rsidRPr="009A39A1">
        <w:rPr>
          <w:rFonts w:ascii="David" w:hAnsi="David"/>
          <w:rtl/>
        </w:rPr>
        <w:t xml:space="preserve"> חודשי</w:t>
      </w:r>
      <w:r>
        <w:rPr>
          <w:rFonts w:ascii="David" w:hAnsi="David" w:hint="cs"/>
          <w:rtl/>
        </w:rPr>
        <w:t>ם</w:t>
      </w:r>
      <w:r w:rsidRPr="009A39A1">
        <w:rPr>
          <w:rFonts w:ascii="David" w:hAnsi="David"/>
          <w:rtl/>
        </w:rPr>
        <w:t xml:space="preserve"> מאסר בפועל</w:t>
      </w:r>
      <w:r>
        <w:rPr>
          <w:rFonts w:ascii="David" w:hAnsi="David" w:hint="cs"/>
          <w:rtl/>
        </w:rPr>
        <w:t>,</w:t>
      </w:r>
      <w:r w:rsidRPr="009A39A1">
        <w:rPr>
          <w:rFonts w:ascii="David" w:hAnsi="David"/>
          <w:rtl/>
        </w:rPr>
        <w:t xml:space="preserve"> לצד ענישה נלווית.</w:t>
      </w:r>
    </w:p>
    <w:p w14:paraId="08D5BFFD" w14:textId="77777777" w:rsidR="0089095E" w:rsidRPr="009A39A1" w:rsidRDefault="0089095E" w:rsidP="0089095E">
      <w:pPr>
        <w:spacing w:after="300" w:line="360" w:lineRule="auto"/>
        <w:ind w:left="85"/>
        <w:jc w:val="both"/>
        <w:rPr>
          <w:rFonts w:ascii="David" w:hAnsi="David"/>
          <w:b/>
          <w:bCs/>
        </w:rPr>
      </w:pPr>
      <w:r>
        <w:rPr>
          <w:rFonts w:ascii="David" w:hAnsi="David" w:hint="cs"/>
          <w:b/>
          <w:bCs/>
          <w:rtl/>
        </w:rPr>
        <w:t xml:space="preserve">סטייה בשל שיקולי שיקום </w:t>
      </w:r>
      <w:r w:rsidRPr="009A39A1">
        <w:rPr>
          <w:rFonts w:ascii="David" w:hAnsi="David"/>
          <w:b/>
          <w:bCs/>
          <w:rtl/>
        </w:rPr>
        <w:t>וסוגיית אי ההרשעה</w:t>
      </w:r>
    </w:p>
    <w:p w14:paraId="0B32F872" w14:textId="77777777" w:rsidR="0089095E" w:rsidRDefault="0089095E" w:rsidP="0089095E">
      <w:pPr>
        <w:numPr>
          <w:ilvl w:val="0"/>
          <w:numId w:val="1"/>
        </w:numPr>
        <w:spacing w:after="300" w:line="360" w:lineRule="auto"/>
        <w:ind w:hanging="635"/>
        <w:jc w:val="both"/>
        <w:rPr>
          <w:rFonts w:ascii="David" w:hAnsi="David"/>
        </w:rPr>
      </w:pPr>
      <w:r w:rsidRPr="009A39A1">
        <w:rPr>
          <w:rFonts w:ascii="David" w:hAnsi="David"/>
          <w:rtl/>
        </w:rPr>
        <w:t>נסיבותיו האישיות של הנאשם</w:t>
      </w:r>
      <w:r>
        <w:rPr>
          <w:rFonts w:ascii="David" w:hAnsi="David" w:hint="cs"/>
          <w:rtl/>
        </w:rPr>
        <w:t xml:space="preserve"> הינן חריגות, וזאת כמי </w:t>
      </w:r>
      <w:r w:rsidRPr="009A39A1">
        <w:rPr>
          <w:rFonts w:ascii="David" w:hAnsi="David"/>
          <w:rtl/>
        </w:rPr>
        <w:t>שנטל חלק משמעותי ב</w:t>
      </w:r>
      <w:r>
        <w:rPr>
          <w:rFonts w:ascii="David" w:hAnsi="David" w:hint="cs"/>
          <w:rtl/>
        </w:rPr>
        <w:t>מסגרת שירותו הצבאי ב</w:t>
      </w:r>
      <w:r w:rsidRPr="009A39A1">
        <w:rPr>
          <w:rFonts w:ascii="David" w:hAnsi="David"/>
          <w:rtl/>
        </w:rPr>
        <w:t xml:space="preserve">מבצע צבאי </w:t>
      </w:r>
      <w:r>
        <w:rPr>
          <w:rFonts w:ascii="David" w:hAnsi="David" w:hint="cs"/>
          <w:rtl/>
        </w:rPr>
        <w:t xml:space="preserve">מורכב </w:t>
      </w:r>
      <w:r w:rsidRPr="009A39A1">
        <w:rPr>
          <w:rFonts w:ascii="David" w:hAnsi="David"/>
          <w:rtl/>
        </w:rPr>
        <w:t>אשר בגינו הוסת מסלול חייו</w:t>
      </w:r>
      <w:r>
        <w:rPr>
          <w:rFonts w:ascii="David" w:hAnsi="David" w:hint="cs"/>
          <w:rtl/>
        </w:rPr>
        <w:t xml:space="preserve">, והוא </w:t>
      </w:r>
      <w:r w:rsidRPr="009A39A1">
        <w:rPr>
          <w:rFonts w:ascii="David" w:hAnsi="David"/>
          <w:rtl/>
        </w:rPr>
        <w:t xml:space="preserve">סובל </w:t>
      </w:r>
      <w:r>
        <w:rPr>
          <w:rFonts w:ascii="David" w:hAnsi="David" w:hint="cs"/>
          <w:rtl/>
        </w:rPr>
        <w:t>מ</w:t>
      </w:r>
      <w:r w:rsidRPr="009A39A1">
        <w:rPr>
          <w:rFonts w:ascii="David" w:hAnsi="David"/>
          <w:rtl/>
        </w:rPr>
        <w:t>תסמונת פוסט טראומתית קשה אשר פגעה בכל אורחות חייו</w:t>
      </w:r>
      <w:r>
        <w:rPr>
          <w:rFonts w:ascii="David" w:hAnsi="David" w:hint="cs"/>
          <w:rtl/>
        </w:rPr>
        <w:t xml:space="preserve">. לטעמי יש בכך כדי להוות טעם המצדיק סטייה ממתחם העונש ההולם, אולם אין בו, או בטעמים הנוספים עליהם עומד שרות המבחן בתסקירו, כדי להוות טעם מספיק לסיום ההליך באי הרשעה. </w:t>
      </w:r>
    </w:p>
    <w:p w14:paraId="3D71F559" w14:textId="77777777" w:rsidR="0089095E" w:rsidRPr="0082519C" w:rsidRDefault="0089095E" w:rsidP="0089095E">
      <w:pPr>
        <w:numPr>
          <w:ilvl w:val="0"/>
          <w:numId w:val="1"/>
        </w:numPr>
        <w:spacing w:after="300" w:line="360" w:lineRule="auto"/>
        <w:ind w:hanging="636"/>
        <w:jc w:val="both"/>
        <w:rPr>
          <w:rFonts w:ascii="Arial" w:hAnsi="Arial"/>
        </w:rPr>
      </w:pPr>
      <w:r w:rsidRPr="0082519C">
        <w:rPr>
          <w:rFonts w:ascii="Arial" w:hAnsi="Arial"/>
          <w:rtl/>
        </w:rPr>
        <w:t>סוגי</w:t>
      </w:r>
      <w:r>
        <w:rPr>
          <w:rFonts w:ascii="Arial" w:hAnsi="Arial" w:hint="cs"/>
          <w:rtl/>
        </w:rPr>
        <w:t>ית אי ההרשעה מ</w:t>
      </w:r>
      <w:r w:rsidRPr="0082519C">
        <w:rPr>
          <w:rFonts w:ascii="Arial" w:hAnsi="Arial"/>
          <w:rtl/>
        </w:rPr>
        <w:t xml:space="preserve">עוגנת </w:t>
      </w:r>
      <w:hyperlink r:id="rId72" w:history="1">
        <w:r w:rsidR="00E350ED" w:rsidRPr="00E350ED">
          <w:rPr>
            <w:rStyle w:val="Hyperlink"/>
            <w:rFonts w:ascii="Arial" w:hAnsi="Arial"/>
            <w:rtl/>
          </w:rPr>
          <w:t>בסעיף 192א</w:t>
        </w:r>
      </w:hyperlink>
      <w:r w:rsidRPr="0082519C">
        <w:rPr>
          <w:rFonts w:ascii="Arial" w:hAnsi="Arial"/>
          <w:rtl/>
        </w:rPr>
        <w:t xml:space="preserve"> ל</w:t>
      </w:r>
      <w:hyperlink r:id="rId73" w:history="1">
        <w:r w:rsidR="000644AB" w:rsidRPr="000644AB">
          <w:rPr>
            <w:rFonts w:ascii="Arial" w:hAnsi="Arial"/>
            <w:color w:val="0000FF"/>
            <w:u w:val="single"/>
            <w:rtl/>
          </w:rPr>
          <w:t>חסד"פ</w:t>
        </w:r>
      </w:hyperlink>
      <w:r w:rsidRPr="0082519C">
        <w:rPr>
          <w:rFonts w:ascii="Arial" w:hAnsi="Arial"/>
          <w:rtl/>
        </w:rPr>
        <w:t xml:space="preserve">, </w:t>
      </w:r>
      <w:hyperlink r:id="rId74" w:history="1">
        <w:r w:rsidR="00E350ED" w:rsidRPr="00E350ED">
          <w:rPr>
            <w:rStyle w:val="Hyperlink"/>
            <w:rFonts w:ascii="Arial" w:hAnsi="Arial"/>
            <w:rtl/>
          </w:rPr>
          <w:t>בסעיף 71א(ב)</w:t>
        </w:r>
      </w:hyperlink>
      <w:r w:rsidRPr="0082519C">
        <w:rPr>
          <w:rFonts w:ascii="Arial" w:hAnsi="Arial"/>
          <w:rtl/>
        </w:rPr>
        <w:t xml:space="preserve"> ל</w:t>
      </w:r>
      <w:hyperlink r:id="rId75" w:history="1">
        <w:r w:rsidR="000644AB" w:rsidRPr="000644AB">
          <w:rPr>
            <w:rFonts w:ascii="Arial" w:hAnsi="Arial"/>
            <w:color w:val="0000FF"/>
            <w:u w:val="single"/>
            <w:rtl/>
          </w:rPr>
          <w:t>חוק העונשין</w:t>
        </w:r>
      </w:hyperlink>
      <w:r w:rsidRPr="0082519C">
        <w:rPr>
          <w:rFonts w:ascii="Arial" w:hAnsi="Arial"/>
          <w:rtl/>
        </w:rPr>
        <w:t xml:space="preserve"> ו</w:t>
      </w:r>
      <w:r w:rsidRPr="0082519C">
        <w:rPr>
          <w:sz w:val="20"/>
          <w:rtl/>
        </w:rPr>
        <w:t>ב</w:t>
      </w:r>
      <w:r w:rsidRPr="000644AB">
        <w:rPr>
          <w:color w:val="000000"/>
          <w:sz w:val="20"/>
          <w:rtl/>
        </w:rPr>
        <w:t xml:space="preserve">סעיף </w:t>
      </w:r>
      <w:hyperlink r:id="rId76" w:history="1">
        <w:r w:rsidR="00E350ED" w:rsidRPr="00E350ED">
          <w:rPr>
            <w:rStyle w:val="Hyperlink"/>
            <w:sz w:val="20"/>
            <w:rtl/>
          </w:rPr>
          <w:t>1(2)</w:t>
        </w:r>
      </w:hyperlink>
      <w:r w:rsidRPr="0082519C">
        <w:rPr>
          <w:sz w:val="20"/>
          <w:rtl/>
        </w:rPr>
        <w:t xml:space="preserve"> ל</w:t>
      </w:r>
      <w:hyperlink r:id="rId77" w:history="1">
        <w:r w:rsidR="000644AB" w:rsidRPr="000644AB">
          <w:rPr>
            <w:color w:val="0000FF"/>
            <w:sz w:val="20"/>
            <w:u w:val="single"/>
            <w:rtl/>
          </w:rPr>
          <w:t>פקודת המבחן</w:t>
        </w:r>
      </w:hyperlink>
      <w:r w:rsidRPr="0082519C">
        <w:rPr>
          <w:sz w:val="20"/>
          <w:rtl/>
        </w:rPr>
        <w:t xml:space="preserve"> [נוסח חדש], תשכ״ט-1969, אשר בכולם הוסמך בית המשפט ליתן צו מבחן או צו שירות לתועלת הציבור, תוך הימנעות מהרשעה. </w:t>
      </w:r>
    </w:p>
    <w:p w14:paraId="57DE1931" w14:textId="77777777" w:rsidR="0089095E" w:rsidRPr="009A39A1" w:rsidRDefault="0089095E" w:rsidP="0089095E">
      <w:pPr>
        <w:numPr>
          <w:ilvl w:val="0"/>
          <w:numId w:val="1"/>
        </w:numPr>
        <w:spacing w:after="300" w:line="360" w:lineRule="auto"/>
        <w:ind w:hanging="636"/>
        <w:jc w:val="both"/>
        <w:rPr>
          <w:rFonts w:ascii="Arial" w:hAnsi="Arial"/>
          <w:rtl/>
        </w:rPr>
      </w:pPr>
      <w:r w:rsidRPr="009A39A1">
        <w:rPr>
          <w:rFonts w:ascii="Arial" w:hAnsi="Arial"/>
          <w:rtl/>
        </w:rPr>
        <w:t>ב</w:t>
      </w:r>
      <w:hyperlink r:id="rId78" w:history="1">
        <w:r w:rsidR="000644AB" w:rsidRPr="00F85A49">
          <w:rPr>
            <w:rStyle w:val="Hyperlink"/>
            <w:rFonts w:ascii="Arial" w:hAnsi="Arial"/>
            <w:rtl/>
          </w:rPr>
          <w:t>ע"פ 2083/96</w:t>
        </w:r>
        <w:r w:rsidRPr="00F85A49">
          <w:rPr>
            <w:rStyle w:val="Hyperlink"/>
            <w:rFonts w:ascii="Arial" w:hAnsi="Arial"/>
            <w:rtl/>
          </w:rPr>
          <w:t xml:space="preserve"> </w:t>
        </w:r>
        <w:r w:rsidRPr="00F85A49">
          <w:rPr>
            <w:rStyle w:val="Hyperlink"/>
            <w:rFonts w:ascii="Arial" w:hAnsi="Arial"/>
            <w:b/>
            <w:bCs/>
            <w:rtl/>
          </w:rPr>
          <w:t>כתב נ' מדינת ישראל פ"ד</w:t>
        </w:r>
        <w:r w:rsidRPr="00F85A49">
          <w:rPr>
            <w:rStyle w:val="Hyperlink"/>
            <w:rFonts w:ascii="Arial" w:hAnsi="Arial"/>
            <w:rtl/>
          </w:rPr>
          <w:t>, נב</w:t>
        </w:r>
      </w:hyperlink>
      <w:r w:rsidRPr="009A39A1">
        <w:rPr>
          <w:rFonts w:ascii="Arial" w:hAnsi="Arial"/>
          <w:rtl/>
        </w:rPr>
        <w:t xml:space="preserve">(3) 337 (21.8.97) (להלן: </w:t>
      </w:r>
      <w:r w:rsidRPr="009A39A1">
        <w:rPr>
          <w:rFonts w:ascii="Arial" w:hAnsi="Arial"/>
          <w:b/>
          <w:bCs/>
          <w:rtl/>
        </w:rPr>
        <w:t>"פס"ד כתב"</w:t>
      </w:r>
      <w:r w:rsidRPr="009A39A1">
        <w:rPr>
          <w:rFonts w:ascii="Arial" w:hAnsi="Arial"/>
          <w:rtl/>
        </w:rPr>
        <w:t xml:space="preserve">) נקבע כי משהוכח ביצועה של עבירה, יש להרשיע את הנאשם, זולת מקרים יוצאי דופן בהם אין יחס סביר בין הנזק הצפוי לנאשם מן ההרשעה לבין חומרתה של העבירה (ראו: סעיף 6 לפסק דינה של כב' השופטת דורנר). </w:t>
      </w:r>
    </w:p>
    <w:p w14:paraId="7E796009" w14:textId="77777777" w:rsidR="0089095E" w:rsidRPr="009A39A1" w:rsidRDefault="0089095E" w:rsidP="0089095E">
      <w:pPr>
        <w:numPr>
          <w:ilvl w:val="0"/>
          <w:numId w:val="1"/>
        </w:numPr>
        <w:spacing w:after="300" w:line="360" w:lineRule="auto"/>
        <w:ind w:hanging="636"/>
        <w:jc w:val="both"/>
        <w:rPr>
          <w:rFonts w:ascii="Arial" w:hAnsi="Arial"/>
          <w:rtl/>
        </w:rPr>
      </w:pPr>
      <w:r w:rsidRPr="009A39A1">
        <w:rPr>
          <w:rFonts w:ascii="Arial" w:hAnsi="Arial"/>
          <w:rtl/>
        </w:rPr>
        <w:t xml:space="preserve">עוד נקבע בפסה"ד כי מטרת השימוש בסעיף זה לחוק היא שיקומית, והיא תובא במכלול השיקולים לפטור את הנאשם מהרשעה. בפסה"ד נקבע כי ייעשה שימוש בכלי זה כאשר יתקיימו שני תנאים אלו במצטבר: </w:t>
      </w:r>
    </w:p>
    <w:p w14:paraId="11664769" w14:textId="77777777" w:rsidR="0089095E" w:rsidRPr="009A39A1" w:rsidRDefault="0089095E" w:rsidP="0089095E">
      <w:pPr>
        <w:spacing w:after="300" w:line="360" w:lineRule="auto"/>
        <w:ind w:left="1275" w:hanging="636"/>
        <w:jc w:val="both"/>
        <w:rPr>
          <w:rFonts w:ascii="Arial" w:hAnsi="Arial"/>
          <w:rtl/>
        </w:rPr>
      </w:pPr>
      <w:r w:rsidRPr="009A39A1">
        <w:rPr>
          <w:rFonts w:ascii="Arial" w:hAnsi="Arial"/>
          <w:rtl/>
        </w:rPr>
        <w:t>א.</w:t>
      </w:r>
      <w:r w:rsidRPr="009A39A1">
        <w:rPr>
          <w:rFonts w:ascii="Arial" w:hAnsi="Arial"/>
          <w:rtl/>
        </w:rPr>
        <w:tab/>
        <w:t xml:space="preserve">הרשעה תוביל לפגיעה חמורה בשיקום הנאשם. </w:t>
      </w:r>
    </w:p>
    <w:p w14:paraId="1BCE50A7" w14:textId="77777777" w:rsidR="0089095E" w:rsidRPr="009A39A1" w:rsidRDefault="0089095E" w:rsidP="0089095E">
      <w:pPr>
        <w:spacing w:after="300" w:line="360" w:lineRule="auto"/>
        <w:ind w:left="1275" w:hanging="636"/>
        <w:jc w:val="both"/>
        <w:rPr>
          <w:rFonts w:ascii="Arial" w:hAnsi="Arial"/>
          <w:rtl/>
        </w:rPr>
      </w:pPr>
      <w:r w:rsidRPr="009A39A1">
        <w:rPr>
          <w:rFonts w:ascii="Arial" w:hAnsi="Arial"/>
          <w:rtl/>
        </w:rPr>
        <w:t>ב.</w:t>
      </w:r>
      <w:r w:rsidRPr="009A39A1">
        <w:rPr>
          <w:rFonts w:ascii="Arial" w:hAnsi="Arial"/>
          <w:rtl/>
        </w:rPr>
        <w:tab/>
        <w:t>סוג העבירה מאפשר לוותר בנסיבות המקרה המסוים על ההרשעה בלי לפגוע באופן מהותי בשיקולי הענישה האחרים שפורטו בפסה"ד.</w:t>
      </w:r>
    </w:p>
    <w:p w14:paraId="54F8D169" w14:textId="77777777" w:rsidR="0089095E" w:rsidRDefault="0089095E" w:rsidP="0089095E">
      <w:pPr>
        <w:numPr>
          <w:ilvl w:val="0"/>
          <w:numId w:val="1"/>
        </w:numPr>
        <w:spacing w:after="300" w:line="360" w:lineRule="auto"/>
        <w:ind w:hanging="636"/>
        <w:jc w:val="both"/>
        <w:rPr>
          <w:rFonts w:ascii="Arial" w:hAnsi="Arial"/>
        </w:rPr>
      </w:pPr>
      <w:r w:rsidRPr="009A39A1">
        <w:rPr>
          <w:rFonts w:ascii="Arial" w:hAnsi="Arial"/>
          <w:rtl/>
        </w:rPr>
        <w:t xml:space="preserve">הרציונל העומד בבסיס הוראות </w:t>
      </w:r>
      <w:hyperlink r:id="rId79" w:history="1">
        <w:r w:rsidR="00E350ED" w:rsidRPr="00E350ED">
          <w:rPr>
            <w:rStyle w:val="Hyperlink"/>
            <w:rFonts w:ascii="Arial" w:hAnsi="Arial"/>
            <w:rtl/>
          </w:rPr>
          <w:t>סעיף 71א</w:t>
        </w:r>
      </w:hyperlink>
      <w:r w:rsidRPr="009A39A1">
        <w:rPr>
          <w:rFonts w:ascii="Arial" w:hAnsi="Arial"/>
          <w:rtl/>
        </w:rPr>
        <w:t xml:space="preserve"> לחוק הוא חינוכי בעיקרו: השירות לציבור יקנה לעבריין ערכי עבודה ומוסר, ולפיכך בעל פוטנציאל לשקמו (</w:t>
      </w:r>
      <w:r w:rsidRPr="009A39A1">
        <w:rPr>
          <w:rFonts w:ascii="Arial" w:hAnsi="Arial"/>
          <w:b/>
          <w:bCs/>
          <w:rtl/>
        </w:rPr>
        <w:t>הוועדה הציבורית לבחינת מדיניות הענישה והטיפול בעבריינים</w:t>
      </w:r>
      <w:r w:rsidRPr="009A39A1">
        <w:rPr>
          <w:rFonts w:ascii="Arial" w:hAnsi="Arial"/>
          <w:rtl/>
        </w:rPr>
        <w:t xml:space="preserve">, דין וחשבון, אוגוסט 2015). </w:t>
      </w:r>
    </w:p>
    <w:p w14:paraId="68869291" w14:textId="77777777" w:rsidR="0089095E" w:rsidRPr="009A39A1" w:rsidRDefault="0089095E" w:rsidP="0089095E">
      <w:pPr>
        <w:numPr>
          <w:ilvl w:val="0"/>
          <w:numId w:val="1"/>
        </w:numPr>
        <w:spacing w:after="300" w:line="360" w:lineRule="auto"/>
        <w:ind w:hanging="636"/>
        <w:jc w:val="both"/>
        <w:rPr>
          <w:rFonts w:ascii="Arial" w:hAnsi="Arial"/>
        </w:rPr>
      </w:pPr>
      <w:r w:rsidRPr="009A39A1">
        <w:rPr>
          <w:rFonts w:ascii="Arial" w:hAnsi="Arial"/>
          <w:rtl/>
        </w:rPr>
        <w:t>בחוק לא הוגבל שיקול דעתו של ביהמ"ש בנוגע ליישום הסעיף, והסעיף מאפשר לבית המשפט לפעול על פיו אף ללא הרשעת הנאשם תחילה (השוו בעניין זה להצעת החוק, בה הוצע להגביל את אפשרות זו לעבירות קלות בלבד).</w:t>
      </w:r>
    </w:p>
    <w:p w14:paraId="0DB1B453" w14:textId="77777777" w:rsidR="0089095E" w:rsidRPr="009A39A1" w:rsidRDefault="0089095E" w:rsidP="0089095E">
      <w:pPr>
        <w:numPr>
          <w:ilvl w:val="0"/>
          <w:numId w:val="1"/>
        </w:numPr>
        <w:spacing w:after="300" w:line="360" w:lineRule="auto"/>
        <w:ind w:hanging="636"/>
        <w:jc w:val="both"/>
        <w:rPr>
          <w:rFonts w:ascii="Arial" w:hAnsi="Arial"/>
        </w:rPr>
      </w:pPr>
      <w:r w:rsidRPr="009A39A1">
        <w:rPr>
          <w:rFonts w:ascii="Arial" w:hAnsi="Arial"/>
          <w:rtl/>
        </w:rPr>
        <w:t>עם זאת, בפסיקה מאוחרת נקבע ש</w:t>
      </w:r>
      <w:r w:rsidRPr="009A39A1">
        <w:rPr>
          <w:rtl/>
        </w:rPr>
        <w:t xml:space="preserve">אי הרשעתו של נאשם, שאשמתו הוכחה, היא חריג לכלל שכן יש בה ממד של פגיעה בעקרון השוויון בפני הדין. לפיכך נקבע שבתי המשפט מצווים לעשות שימוש מושכל וזהיר בסמכות שניתנה להם על פי </w:t>
      </w:r>
      <w:hyperlink r:id="rId80" w:history="1">
        <w:r w:rsidR="00E350ED" w:rsidRPr="00E350ED">
          <w:rPr>
            <w:rStyle w:val="Hyperlink"/>
            <w:rtl/>
          </w:rPr>
          <w:t>סעיף 71א(ב)</w:t>
        </w:r>
      </w:hyperlink>
      <w:r w:rsidRPr="009A39A1">
        <w:rPr>
          <w:rtl/>
        </w:rPr>
        <w:t xml:space="preserve"> ל</w:t>
      </w:r>
      <w:hyperlink r:id="rId81" w:history="1">
        <w:r w:rsidR="000644AB" w:rsidRPr="000644AB">
          <w:rPr>
            <w:color w:val="0000FF"/>
            <w:u w:val="single"/>
            <w:rtl/>
          </w:rPr>
          <w:t>חוק העונשין</w:t>
        </w:r>
      </w:hyperlink>
      <w:r w:rsidRPr="009A39A1">
        <w:rPr>
          <w:rtl/>
        </w:rPr>
        <w:t xml:space="preserve"> ולהימנע מהרשעת נאשם רק במקרים חריגים בהם מתקיימות נסיבות מיוחדות המצדיקות זאת, וזאת בכדי למנוע פגיעה מהותית בעקרון השוויון בפני החוק ובשיקולי ענישה אחרים (ראו בהרחבה: </w:t>
      </w:r>
      <w:hyperlink r:id="rId82" w:history="1">
        <w:r w:rsidR="00F85A49" w:rsidRPr="00F85A49">
          <w:rPr>
            <w:rStyle w:val="Hyperlink"/>
            <w:rFonts w:ascii="Arial" w:hAnsi="Arial"/>
            <w:rtl/>
          </w:rPr>
          <w:t xml:space="preserve">ע"פ 1082/06 </w:t>
        </w:r>
      </w:hyperlink>
      <w:r w:rsidRPr="009A39A1">
        <w:rPr>
          <w:rFonts w:ascii="Arial" w:hAnsi="Arial"/>
          <w:rtl/>
        </w:rPr>
        <w:t xml:space="preserve"> </w:t>
      </w:r>
      <w:r w:rsidRPr="009A39A1">
        <w:rPr>
          <w:rFonts w:ascii="Arial" w:hAnsi="Arial"/>
          <w:b/>
          <w:bCs/>
          <w:rtl/>
        </w:rPr>
        <w:t>מיכאל שוראקי נ' מדינת ישראל</w:t>
      </w:r>
      <w:r w:rsidRPr="009A39A1">
        <w:rPr>
          <w:rFonts w:ascii="Arial" w:hAnsi="Arial"/>
          <w:rtl/>
        </w:rPr>
        <w:t xml:space="preserve"> </w:t>
      </w:r>
      <w:r w:rsidR="00F85A49" w:rsidRPr="00F85A49">
        <w:rPr>
          <w:sz w:val="22"/>
          <w:rtl/>
        </w:rPr>
        <w:t xml:space="preserve">[פורסם בנבו] </w:t>
      </w:r>
      <w:r w:rsidRPr="009A39A1">
        <w:rPr>
          <w:rFonts w:ascii="Arial" w:hAnsi="Arial"/>
          <w:rtl/>
        </w:rPr>
        <w:t xml:space="preserve">(20.6.06); וכן השוו אודות השימוש החריג בסעיף אי ההרשעה: </w:t>
      </w:r>
      <w:hyperlink r:id="rId83" w:history="1">
        <w:r w:rsidR="000644AB" w:rsidRPr="000644AB">
          <w:rPr>
            <w:rFonts w:ascii="Arial" w:hAnsi="Arial"/>
            <w:color w:val="0000FF"/>
            <w:u w:val="single"/>
            <w:rtl/>
          </w:rPr>
          <w:t>רע"פ 1666/05</w:t>
        </w:r>
      </w:hyperlink>
      <w:r w:rsidRPr="009A39A1">
        <w:rPr>
          <w:rFonts w:ascii="Arial" w:hAnsi="Arial"/>
          <w:rtl/>
        </w:rPr>
        <w:t xml:space="preserve"> </w:t>
      </w:r>
      <w:r w:rsidRPr="009A39A1">
        <w:rPr>
          <w:rFonts w:ascii="Arial" w:hAnsi="Arial"/>
          <w:b/>
          <w:bCs/>
          <w:rtl/>
        </w:rPr>
        <w:t xml:space="preserve">יאיר סטבסקי נ' מדינת ישראל </w:t>
      </w:r>
      <w:r w:rsidR="00F85A49" w:rsidRPr="00F85A49">
        <w:rPr>
          <w:sz w:val="22"/>
          <w:rtl/>
        </w:rPr>
        <w:t xml:space="preserve">[פורסם בנבו] </w:t>
      </w:r>
      <w:r w:rsidRPr="009A39A1">
        <w:rPr>
          <w:rFonts w:ascii="Arial" w:hAnsi="Arial"/>
          <w:rtl/>
        </w:rPr>
        <w:t xml:space="preserve">(24.03.05); </w:t>
      </w:r>
      <w:hyperlink r:id="rId84" w:history="1">
        <w:r w:rsidR="000644AB" w:rsidRPr="00F85A49">
          <w:rPr>
            <w:rStyle w:val="Hyperlink"/>
            <w:rFonts w:ascii="Arial" w:hAnsi="Arial"/>
            <w:rtl/>
          </w:rPr>
          <w:t>ע"פ 1042/03</w:t>
        </w:r>
        <w:r w:rsidRPr="00F85A49">
          <w:rPr>
            <w:rStyle w:val="Hyperlink"/>
            <w:rFonts w:ascii="Arial" w:hAnsi="Arial"/>
            <w:rtl/>
          </w:rPr>
          <w:t xml:space="preserve"> </w:t>
        </w:r>
        <w:r w:rsidRPr="00F85A49">
          <w:rPr>
            <w:rStyle w:val="Hyperlink"/>
            <w:rFonts w:ascii="Arial" w:hAnsi="Arial"/>
            <w:b/>
            <w:bCs/>
            <w:rtl/>
          </w:rPr>
          <w:t>מצרפלס שותפות מוגבלת בע"מ (1974) נ' מדינת ישראל</w:t>
        </w:r>
        <w:r w:rsidRPr="00F85A49">
          <w:rPr>
            <w:rStyle w:val="Hyperlink"/>
            <w:rFonts w:ascii="Arial" w:hAnsi="Arial"/>
            <w:rtl/>
          </w:rPr>
          <w:t>, נח</w:t>
        </w:r>
      </w:hyperlink>
      <w:r w:rsidRPr="009A39A1">
        <w:rPr>
          <w:rFonts w:ascii="Arial" w:hAnsi="Arial"/>
          <w:rtl/>
        </w:rPr>
        <w:t xml:space="preserve">(1) 721 (2003)). </w:t>
      </w:r>
    </w:p>
    <w:p w14:paraId="755F79FD" w14:textId="77777777" w:rsidR="0089095E" w:rsidRPr="0089095E" w:rsidRDefault="0089095E" w:rsidP="0089095E">
      <w:pPr>
        <w:numPr>
          <w:ilvl w:val="0"/>
          <w:numId w:val="1"/>
        </w:numPr>
        <w:spacing w:after="300" w:line="360" w:lineRule="auto"/>
        <w:ind w:hanging="636"/>
        <w:jc w:val="both"/>
        <w:rPr>
          <w:rFonts w:cs="Times New Roman"/>
        </w:rPr>
      </w:pPr>
      <w:r w:rsidRPr="009A39A1">
        <w:rPr>
          <w:sz w:val="20"/>
          <w:rtl/>
        </w:rPr>
        <w:t>ב</w:t>
      </w:r>
      <w:hyperlink r:id="rId85" w:history="1">
        <w:r w:rsidR="000644AB" w:rsidRPr="00F85A49">
          <w:rPr>
            <w:rStyle w:val="Hyperlink"/>
            <w:sz w:val="20"/>
            <w:rtl/>
          </w:rPr>
          <w:t>ע״פ 2669/00</w:t>
        </w:r>
        <w:r w:rsidRPr="00F85A49">
          <w:rPr>
            <w:rStyle w:val="Hyperlink"/>
            <w:sz w:val="20"/>
            <w:rtl/>
          </w:rPr>
          <w:t xml:space="preserve"> </w:t>
        </w:r>
        <w:r w:rsidRPr="00F85A49">
          <w:rPr>
            <w:rStyle w:val="Hyperlink"/>
            <w:b/>
            <w:bCs/>
            <w:sz w:val="20"/>
            <w:rtl/>
          </w:rPr>
          <w:t>מדינת ישראל נ׳ פלוני</w:t>
        </w:r>
        <w:r w:rsidRPr="00F85A49">
          <w:rPr>
            <w:rStyle w:val="Hyperlink"/>
            <w:sz w:val="20"/>
            <w:rtl/>
          </w:rPr>
          <w:t>, פ״ד נד</w:t>
        </w:r>
      </w:hyperlink>
      <w:r w:rsidRPr="009A39A1">
        <w:rPr>
          <w:sz w:val="20"/>
          <w:rtl/>
        </w:rPr>
        <w:t xml:space="preserve">(3), 685, (17.8.00) נקבע כי: </w:t>
      </w:r>
      <w:r w:rsidRPr="0089095E">
        <w:rPr>
          <w:rFonts w:cs="Times New Roman"/>
          <w:sz w:val="20"/>
          <w:rtl/>
        </w:rPr>
        <w:t>"משמתבקש בית המשפט לשקול אימתי יחיל את הכלל המדבר בחובת הרשעה ומתי יחיל את החריג בדבר הימנעות מהרשעה, נדרש איזון שיקולים המעמיד את האינטרס הציבורי אל מול נסיבותיו האינדיבידואלית של הנאשם...</w:t>
      </w:r>
      <w:r w:rsidRPr="0089095E">
        <w:rPr>
          <w:rFonts w:cs="Times New Roman"/>
          <w:rtl/>
        </w:rPr>
        <w:t xml:space="preserve"> </w:t>
      </w:r>
      <w:r w:rsidRPr="0089095E">
        <w:rPr>
          <w:rFonts w:cs="Times New Roman"/>
          <w:sz w:val="20"/>
          <w:rtl/>
        </w:rPr>
        <w:t>במאזן השיקולים האמור גובר בדרך כלל השיקול הציבורי ורק נסיבות מיוחדות, חריגות ויוצאות דופן ביותר תצדקנה סטייה מחובת מיצוי הדין בדרך הרשעת העבירין, וזאת, לרוב, כאשר עלול להיווצר יחס בלתי סביר בין הנזק הצפוי מההרשעה בדין לבין חומרתה של העבירה והנזק הצפוי לעבריין מההרשעה״.</w:t>
      </w:r>
    </w:p>
    <w:p w14:paraId="6AD7D4B2" w14:textId="77777777" w:rsidR="0089095E" w:rsidRPr="0089095E" w:rsidRDefault="0089095E" w:rsidP="0089095E">
      <w:pPr>
        <w:numPr>
          <w:ilvl w:val="0"/>
          <w:numId w:val="1"/>
        </w:numPr>
        <w:spacing w:after="300" w:line="360" w:lineRule="auto"/>
        <w:ind w:hanging="636"/>
        <w:jc w:val="both"/>
        <w:rPr>
          <w:rFonts w:cs="Times New Roman"/>
        </w:rPr>
      </w:pPr>
      <w:r w:rsidRPr="009A39A1">
        <w:rPr>
          <w:rFonts w:ascii="Arial" w:hAnsi="Arial"/>
          <w:rtl/>
        </w:rPr>
        <w:t xml:space="preserve">בספרו </w:t>
      </w:r>
      <w:r w:rsidR="00F85A49" w:rsidRPr="00DC56AA">
        <w:rPr>
          <w:rFonts w:ascii="Arial" w:hAnsi="Arial"/>
          <w:b/>
          <w:bCs/>
          <w:color w:val="000000"/>
          <w:rtl/>
        </w:rPr>
        <w:t xml:space="preserve">על סדר הדין בפלילים </w:t>
      </w:r>
      <w:r w:rsidRPr="009A39A1">
        <w:rPr>
          <w:rFonts w:ascii="Arial" w:hAnsi="Arial"/>
          <w:rtl/>
        </w:rPr>
        <w:t xml:space="preserve"> (חלק שני, תשס"ג, 1105) ציין המלומד קדמי כי </w:t>
      </w:r>
      <w:r w:rsidRPr="0089095E">
        <w:rPr>
          <w:rFonts w:cs="Times New Roman"/>
          <w:rtl/>
        </w:rPr>
        <w:t xml:space="preserve">"בנסיבות נדירות ביותר, כאשר יש בעצם ההרשעה משום תגובה חריפה באורח קיצוני למעשה העבירה מחד גיסא, ובנסיבות העניין אין מקום לענישה אלא להעמידה במבחן. נסיבות נדירות כאלה נוצרות בדרך כלל על רקע נסיבות אישיות – כגון: גיל, מצב בריאות, מוצא משפחתי – כאשר ההרשעה כמוה כ'מכת מוות' לנאשם." </w:t>
      </w:r>
    </w:p>
    <w:p w14:paraId="75079F2E" w14:textId="77777777" w:rsidR="0089095E" w:rsidRDefault="0089095E" w:rsidP="0089095E">
      <w:pPr>
        <w:numPr>
          <w:ilvl w:val="0"/>
          <w:numId w:val="1"/>
        </w:numPr>
        <w:spacing w:after="300" w:line="360" w:lineRule="auto"/>
        <w:ind w:hanging="636"/>
        <w:jc w:val="both"/>
        <w:rPr>
          <w:rFonts w:ascii="Arial" w:hAnsi="Arial"/>
        </w:rPr>
      </w:pPr>
      <w:r w:rsidRPr="009A39A1">
        <w:rPr>
          <w:rFonts w:ascii="Arial" w:hAnsi="Arial"/>
          <w:rtl/>
        </w:rPr>
        <w:t xml:space="preserve">עוד נקבע בפסיקה שאחד השיקולים המהותיים שייטו את הכף לטובת אי הרשעה הינו כאשר </w:t>
      </w:r>
      <w:r w:rsidRPr="009A39A1">
        <w:rPr>
          <w:sz w:val="20"/>
          <w:rtl/>
        </w:rPr>
        <w:t>בית המשפט משתכנע שהנאשם הפנים את חומרת מעשיו והביע חרטה לגביהם (ראו:</w:t>
      </w:r>
      <w:r w:rsidRPr="009A39A1">
        <w:rPr>
          <w:rtl/>
        </w:rPr>
        <w:t xml:space="preserve"> </w:t>
      </w:r>
      <w:hyperlink r:id="rId86" w:history="1">
        <w:r w:rsidR="000644AB" w:rsidRPr="000644AB">
          <w:rPr>
            <w:color w:val="0000FF"/>
            <w:sz w:val="20"/>
            <w:u w:val="single"/>
            <w:rtl/>
          </w:rPr>
          <w:t>ת"פ 40200/99</w:t>
        </w:r>
      </w:hyperlink>
      <w:r w:rsidRPr="009A39A1">
        <w:rPr>
          <w:sz w:val="20"/>
          <w:rtl/>
        </w:rPr>
        <w:t xml:space="preserve"> </w:t>
      </w:r>
      <w:r w:rsidRPr="009A39A1">
        <w:rPr>
          <w:b/>
          <w:bCs/>
          <w:sz w:val="20"/>
          <w:rtl/>
        </w:rPr>
        <w:t>מדינת ישראל נ' שלמה איזנברג</w:t>
      </w:r>
      <w:r w:rsidRPr="009A39A1">
        <w:rPr>
          <w:sz w:val="20"/>
          <w:rtl/>
        </w:rPr>
        <w:t xml:space="preserve"> </w:t>
      </w:r>
      <w:r w:rsidR="00F85A49" w:rsidRPr="00F85A49">
        <w:rPr>
          <w:sz w:val="22"/>
          <w:rtl/>
        </w:rPr>
        <w:t xml:space="preserve">[פורסם בנבו] </w:t>
      </w:r>
      <w:r w:rsidRPr="009A39A1">
        <w:rPr>
          <w:sz w:val="20"/>
          <w:rtl/>
        </w:rPr>
        <w:t>(10.02.04).</w:t>
      </w:r>
    </w:p>
    <w:p w14:paraId="4072A4EB" w14:textId="77777777" w:rsidR="0089095E" w:rsidRDefault="0089095E" w:rsidP="0089095E">
      <w:pPr>
        <w:numPr>
          <w:ilvl w:val="0"/>
          <w:numId w:val="1"/>
        </w:numPr>
        <w:spacing w:after="300" w:line="360" w:lineRule="auto"/>
        <w:ind w:hanging="636"/>
        <w:jc w:val="both"/>
        <w:rPr>
          <w:rFonts w:ascii="Arial" w:hAnsi="Arial"/>
        </w:rPr>
      </w:pPr>
      <w:r w:rsidRPr="005E0488">
        <w:rPr>
          <w:rFonts w:ascii="David" w:hAnsi="David"/>
          <w:rtl/>
        </w:rPr>
        <w:t xml:space="preserve">הנאשם </w:t>
      </w:r>
      <w:r w:rsidRPr="005E0488">
        <w:rPr>
          <w:rFonts w:ascii="David" w:hAnsi="David" w:hint="cs"/>
          <w:rtl/>
        </w:rPr>
        <w:t xml:space="preserve">כאמור </w:t>
      </w:r>
      <w:r w:rsidRPr="005E0488">
        <w:rPr>
          <w:rFonts w:ascii="David" w:hAnsi="David"/>
          <w:rtl/>
        </w:rPr>
        <w:t>סחר בסם מסוכן בכמויות גדולות ובעד תמורה גבוהה</w:t>
      </w:r>
      <w:r w:rsidRPr="005E0488">
        <w:rPr>
          <w:rFonts w:ascii="David" w:hAnsi="David" w:hint="cs"/>
          <w:rtl/>
        </w:rPr>
        <w:t>.</w:t>
      </w:r>
      <w:r w:rsidRPr="005E0488">
        <w:rPr>
          <w:rFonts w:ascii="David" w:hAnsi="David"/>
          <w:rtl/>
        </w:rPr>
        <w:t xml:space="preserve"> </w:t>
      </w:r>
      <w:r w:rsidRPr="005E0488">
        <w:rPr>
          <w:rFonts w:ascii="David" w:hAnsi="David" w:hint="cs"/>
          <w:rtl/>
        </w:rPr>
        <w:t xml:space="preserve">בנוסף, אתקשה לקבל את טיעוני ההגנה בדבר </w:t>
      </w:r>
      <w:r w:rsidRPr="005E0488">
        <w:rPr>
          <w:rFonts w:ascii="David" w:hAnsi="David"/>
          <w:rtl/>
        </w:rPr>
        <w:t xml:space="preserve">הנסיבות שהובילו </w:t>
      </w:r>
      <w:r w:rsidRPr="005E0488">
        <w:rPr>
          <w:rFonts w:ascii="David" w:hAnsi="David" w:hint="cs"/>
          <w:rtl/>
        </w:rPr>
        <w:t xml:space="preserve">את הנאשם </w:t>
      </w:r>
      <w:r w:rsidRPr="005E0488">
        <w:rPr>
          <w:rFonts w:ascii="David" w:hAnsi="David"/>
          <w:rtl/>
        </w:rPr>
        <w:t>לביצוע העבירות</w:t>
      </w:r>
      <w:r w:rsidRPr="005E0488">
        <w:rPr>
          <w:rFonts w:ascii="David" w:hAnsi="David" w:hint="cs"/>
          <w:rtl/>
        </w:rPr>
        <w:t>, ואף אם פג תוקפ</w:t>
      </w:r>
      <w:r>
        <w:rPr>
          <w:rFonts w:ascii="David" w:hAnsi="David" w:hint="cs"/>
          <w:rtl/>
        </w:rPr>
        <w:t>ו</w:t>
      </w:r>
      <w:r w:rsidRPr="005E0488">
        <w:rPr>
          <w:rFonts w:ascii="David" w:hAnsi="David" w:hint="cs"/>
          <w:rtl/>
        </w:rPr>
        <w:t xml:space="preserve"> של </w:t>
      </w:r>
      <w:r>
        <w:rPr>
          <w:rFonts w:ascii="David" w:hAnsi="David" w:hint="cs"/>
          <w:rtl/>
        </w:rPr>
        <w:t>ה</w:t>
      </w:r>
      <w:r w:rsidRPr="005E0488">
        <w:rPr>
          <w:rFonts w:ascii="David" w:hAnsi="David"/>
          <w:rtl/>
        </w:rPr>
        <w:t>רישי</w:t>
      </w:r>
      <w:r>
        <w:rPr>
          <w:rFonts w:ascii="David" w:hAnsi="David" w:hint="cs"/>
          <w:rtl/>
        </w:rPr>
        <w:t>ון ש</w:t>
      </w:r>
      <w:r w:rsidRPr="005E0488">
        <w:rPr>
          <w:rFonts w:ascii="David" w:hAnsi="David" w:hint="cs"/>
          <w:rtl/>
        </w:rPr>
        <w:t>נית</w:t>
      </w:r>
      <w:r>
        <w:rPr>
          <w:rFonts w:ascii="David" w:hAnsi="David" w:hint="cs"/>
          <w:rtl/>
        </w:rPr>
        <w:t>ן</w:t>
      </w:r>
      <w:r w:rsidRPr="005E0488">
        <w:rPr>
          <w:rFonts w:ascii="David" w:hAnsi="David" w:hint="cs"/>
          <w:rtl/>
        </w:rPr>
        <w:t xml:space="preserve"> לו, הרי שאין בכך כ</w:t>
      </w:r>
      <w:r w:rsidRPr="005E0488">
        <w:rPr>
          <w:rFonts w:ascii="David" w:hAnsi="David"/>
          <w:rtl/>
        </w:rPr>
        <w:t xml:space="preserve">די להצדיק </w:t>
      </w:r>
      <w:r w:rsidRPr="005E0488">
        <w:rPr>
          <w:rFonts w:ascii="David" w:hAnsi="David" w:hint="cs"/>
          <w:rtl/>
        </w:rPr>
        <w:t xml:space="preserve">בשום </w:t>
      </w:r>
      <w:r>
        <w:rPr>
          <w:rFonts w:ascii="David" w:hAnsi="David" w:hint="cs"/>
          <w:rtl/>
        </w:rPr>
        <w:t xml:space="preserve">דרך </w:t>
      </w:r>
      <w:r w:rsidRPr="005E0488">
        <w:rPr>
          <w:rFonts w:ascii="David" w:hAnsi="David"/>
          <w:rtl/>
        </w:rPr>
        <w:t xml:space="preserve">פנייה לביצוע עבירות </w:t>
      </w:r>
      <w:r w:rsidRPr="005E0488">
        <w:rPr>
          <w:rFonts w:ascii="David" w:hAnsi="David" w:hint="cs"/>
          <w:rtl/>
        </w:rPr>
        <w:t xml:space="preserve">של </w:t>
      </w:r>
      <w:r w:rsidRPr="005E0488">
        <w:rPr>
          <w:rFonts w:ascii="David" w:hAnsi="David"/>
          <w:rtl/>
        </w:rPr>
        <w:t>סחר</w:t>
      </w:r>
      <w:r w:rsidRPr="005E0488">
        <w:rPr>
          <w:rFonts w:ascii="David" w:hAnsi="David" w:hint="cs"/>
          <w:rtl/>
        </w:rPr>
        <w:t xml:space="preserve"> בסם מסוכן</w:t>
      </w:r>
      <w:r>
        <w:rPr>
          <w:rFonts w:ascii="David" w:hAnsi="David" w:hint="cs"/>
          <w:rtl/>
        </w:rPr>
        <w:t>-</w:t>
      </w:r>
      <w:r w:rsidRPr="005E0488">
        <w:rPr>
          <w:rFonts w:ascii="David" w:hAnsi="David" w:hint="cs"/>
          <w:rtl/>
        </w:rPr>
        <w:t xml:space="preserve"> לצורך צריכת סם לשימוש</w:t>
      </w:r>
      <w:r>
        <w:rPr>
          <w:rFonts w:ascii="David" w:hAnsi="David" w:hint="cs"/>
          <w:rtl/>
        </w:rPr>
        <w:t>ו</w:t>
      </w:r>
      <w:r w:rsidRPr="005E0488">
        <w:rPr>
          <w:rFonts w:ascii="David" w:hAnsi="David" w:hint="cs"/>
          <w:rtl/>
        </w:rPr>
        <w:t xml:space="preserve"> </w:t>
      </w:r>
      <w:r>
        <w:rPr>
          <w:rFonts w:ascii="David" w:hAnsi="David" w:hint="cs"/>
          <w:rtl/>
        </w:rPr>
        <w:t>ה</w:t>
      </w:r>
      <w:r w:rsidRPr="005E0488">
        <w:rPr>
          <w:rFonts w:ascii="David" w:hAnsi="David" w:hint="cs"/>
          <w:rtl/>
        </w:rPr>
        <w:t>עצמי</w:t>
      </w:r>
      <w:r w:rsidRPr="005E0488">
        <w:rPr>
          <w:rFonts w:ascii="David" w:hAnsi="David"/>
          <w:rtl/>
        </w:rPr>
        <w:t xml:space="preserve">. </w:t>
      </w:r>
    </w:p>
    <w:p w14:paraId="092D92EE" w14:textId="77777777" w:rsidR="0089095E" w:rsidRDefault="0089095E" w:rsidP="0089095E">
      <w:pPr>
        <w:numPr>
          <w:ilvl w:val="0"/>
          <w:numId w:val="1"/>
        </w:numPr>
        <w:spacing w:after="300" w:line="360" w:lineRule="auto"/>
        <w:ind w:hanging="636"/>
        <w:jc w:val="both"/>
        <w:rPr>
          <w:rFonts w:ascii="Arial" w:hAnsi="Arial"/>
        </w:rPr>
      </w:pPr>
      <w:r w:rsidRPr="005E0488">
        <w:rPr>
          <w:rFonts w:ascii="David" w:hAnsi="David" w:hint="cs"/>
          <w:rtl/>
        </w:rPr>
        <w:t>בהתאם ל</w:t>
      </w:r>
      <w:r w:rsidRPr="005E0488">
        <w:rPr>
          <w:rFonts w:ascii="David" w:hAnsi="David"/>
          <w:rtl/>
        </w:rPr>
        <w:t>מבחנים שהו</w:t>
      </w:r>
      <w:r w:rsidRPr="005E0488">
        <w:rPr>
          <w:rFonts w:ascii="David" w:hAnsi="David" w:hint="cs"/>
          <w:rtl/>
        </w:rPr>
        <w:t>תוו</w:t>
      </w:r>
      <w:r w:rsidRPr="005E0488">
        <w:rPr>
          <w:rFonts w:ascii="David" w:hAnsi="David"/>
          <w:rtl/>
        </w:rPr>
        <w:t xml:space="preserve"> בפסיקה, על מנת </w:t>
      </w:r>
      <w:r>
        <w:rPr>
          <w:rFonts w:ascii="David" w:hAnsi="David" w:hint="cs"/>
          <w:rtl/>
        </w:rPr>
        <w:t xml:space="preserve">שייעשה </w:t>
      </w:r>
      <w:r w:rsidRPr="005E0488">
        <w:rPr>
          <w:rFonts w:ascii="David" w:hAnsi="David"/>
          <w:rtl/>
        </w:rPr>
        <w:t xml:space="preserve">שימוש בכלי של ביטול ההרשעה יש להוכיח פגיעה משמעותית בשיקומו של הנאשם ועל העבירות שנעברו להיות מסוג </w:t>
      </w:r>
      <w:r w:rsidRPr="005E0488">
        <w:rPr>
          <w:rFonts w:ascii="David" w:hAnsi="David" w:hint="cs"/>
          <w:rtl/>
        </w:rPr>
        <w:t>ה</w:t>
      </w:r>
      <w:r w:rsidRPr="005E0488">
        <w:rPr>
          <w:rFonts w:ascii="David" w:hAnsi="David"/>
          <w:rtl/>
        </w:rPr>
        <w:t xml:space="preserve">עבירות שבעניינן ניתן "לוותר" על הרשעתו של הנאשם. לא כך במקרה שלפני, כאשר המדובר בעבירות </w:t>
      </w:r>
      <w:r w:rsidRPr="005E0488">
        <w:rPr>
          <w:rFonts w:ascii="David" w:hAnsi="David" w:hint="cs"/>
          <w:rtl/>
        </w:rPr>
        <w:t xml:space="preserve">במדרג הגבוה של עבירות הסם, ובנסיבות בהן </w:t>
      </w:r>
      <w:r w:rsidRPr="005E0488">
        <w:rPr>
          <w:rFonts w:ascii="David" w:hAnsi="David"/>
          <w:rtl/>
        </w:rPr>
        <w:t xml:space="preserve">לא הוכח </w:t>
      </w:r>
      <w:r w:rsidRPr="005E0488">
        <w:rPr>
          <w:rFonts w:ascii="David" w:hAnsi="David" w:hint="cs"/>
          <w:rtl/>
        </w:rPr>
        <w:t xml:space="preserve">כי </w:t>
      </w:r>
      <w:r w:rsidRPr="005E0488">
        <w:rPr>
          <w:rFonts w:ascii="David" w:hAnsi="David"/>
          <w:rtl/>
        </w:rPr>
        <w:t xml:space="preserve">יש בהרשעת הנאשם כדי להוביל לפגיעה חמורה </w:t>
      </w:r>
      <w:r w:rsidRPr="005E0488">
        <w:rPr>
          <w:rFonts w:ascii="David" w:hAnsi="David" w:hint="cs"/>
          <w:rtl/>
        </w:rPr>
        <w:t xml:space="preserve">וממשית </w:t>
      </w:r>
      <w:r w:rsidRPr="005E0488">
        <w:rPr>
          <w:rFonts w:ascii="David" w:hAnsi="David"/>
          <w:rtl/>
        </w:rPr>
        <w:t>בשיקומו</w:t>
      </w:r>
      <w:r w:rsidRPr="005E0488">
        <w:rPr>
          <w:rFonts w:ascii="David" w:hAnsi="David" w:hint="cs"/>
          <w:rtl/>
        </w:rPr>
        <w:t xml:space="preserve">, לבד מטענה כללית </w:t>
      </w:r>
      <w:r>
        <w:rPr>
          <w:rFonts w:ascii="David" w:hAnsi="David" w:hint="cs"/>
          <w:rtl/>
        </w:rPr>
        <w:t xml:space="preserve">אודות </w:t>
      </w:r>
      <w:r w:rsidRPr="005E0488">
        <w:rPr>
          <w:rFonts w:ascii="David" w:hAnsi="David" w:hint="cs"/>
          <w:rtl/>
        </w:rPr>
        <w:t>פגיעה מקצועית או כזו הנוגעת בדימויו העצמי של הנאשם</w:t>
      </w:r>
      <w:r w:rsidRPr="005E0488">
        <w:rPr>
          <w:rFonts w:ascii="David" w:hAnsi="David"/>
          <w:rtl/>
        </w:rPr>
        <w:t xml:space="preserve">. </w:t>
      </w:r>
    </w:p>
    <w:p w14:paraId="346A79D8" w14:textId="77777777" w:rsidR="0089095E" w:rsidRDefault="0089095E" w:rsidP="0089095E">
      <w:pPr>
        <w:numPr>
          <w:ilvl w:val="0"/>
          <w:numId w:val="1"/>
        </w:numPr>
        <w:spacing w:after="300" w:line="360" w:lineRule="auto"/>
        <w:ind w:hanging="636"/>
        <w:jc w:val="both"/>
        <w:rPr>
          <w:rFonts w:ascii="Arial" w:hAnsi="Arial"/>
        </w:rPr>
      </w:pPr>
      <w:r w:rsidRPr="005E0488">
        <w:rPr>
          <w:rFonts w:ascii="David" w:hAnsi="David"/>
          <w:rtl/>
        </w:rPr>
        <w:t>בפסה"ד ב</w:t>
      </w:r>
      <w:hyperlink r:id="rId87" w:history="1">
        <w:r w:rsidR="000644AB" w:rsidRPr="000644AB">
          <w:rPr>
            <w:rFonts w:ascii="David" w:hAnsi="David"/>
            <w:color w:val="0000FF"/>
            <w:u w:val="single"/>
            <w:rtl/>
          </w:rPr>
          <w:t>עת"מ 34952-06-11</w:t>
        </w:r>
      </w:hyperlink>
      <w:r w:rsidRPr="005E0488">
        <w:rPr>
          <w:rFonts w:ascii="David" w:hAnsi="David"/>
          <w:rtl/>
        </w:rPr>
        <w:t xml:space="preserve"> </w:t>
      </w:r>
      <w:r w:rsidRPr="005E0488">
        <w:rPr>
          <w:rFonts w:ascii="David" w:hAnsi="David"/>
          <w:b/>
          <w:bCs/>
          <w:rtl/>
        </w:rPr>
        <w:t>הוצאת עיתון הארץ בע"מ נ' שירות בתי הסוהר</w:t>
      </w:r>
      <w:r w:rsidRPr="005E0488">
        <w:rPr>
          <w:rFonts w:ascii="David" w:hAnsi="David"/>
          <w:rtl/>
        </w:rPr>
        <w:t xml:space="preserve"> </w:t>
      </w:r>
      <w:r w:rsidR="00F85A49" w:rsidRPr="00F85A49">
        <w:rPr>
          <w:sz w:val="22"/>
          <w:rtl/>
        </w:rPr>
        <w:t xml:space="preserve">[פורסם בנבו] </w:t>
      </w:r>
      <w:r w:rsidRPr="005E0488">
        <w:rPr>
          <w:rFonts w:ascii="David" w:hAnsi="David"/>
          <w:rtl/>
        </w:rPr>
        <w:t xml:space="preserve">(17.6.12) צוין שהועדה לדרכי ענישה ולטיפול בעבריין, בראשות השופט חיים כהן ז"ל, המליצה על עונש השירות לתועלת הציבור, בין השאר במטרה לחנך את הנידון ולהקנות לו ערכי מוסר ועבודה לשירות הכלל. בדברי ההסבר להצעת </w:t>
      </w:r>
      <w:hyperlink r:id="rId88" w:history="1">
        <w:r w:rsidR="000644AB" w:rsidRPr="000644AB">
          <w:rPr>
            <w:rFonts w:ascii="David" w:hAnsi="David"/>
            <w:color w:val="0000FF"/>
            <w:u w:val="single"/>
            <w:rtl/>
          </w:rPr>
          <w:t>חוק העונשין</w:t>
        </w:r>
      </w:hyperlink>
      <w:r w:rsidRPr="005E0488">
        <w:rPr>
          <w:rFonts w:ascii="David" w:hAnsi="David"/>
          <w:rtl/>
        </w:rPr>
        <w:t xml:space="preserve"> (תיקון מס' 8), תשל"ח-1978, נאמר כי בשירות לתועלת הציבור, שהוא שירות לזולת, יש כדי לשרת את הרעיון של הטבת הנזק שגרם הנידון לחברה בעבירה שעבר, ועם זאת להקנות לו ערכים ובכך לתרום לשיקומו. </w:t>
      </w:r>
    </w:p>
    <w:p w14:paraId="73D134F3" w14:textId="77777777" w:rsidR="0089095E" w:rsidRDefault="0089095E" w:rsidP="0089095E">
      <w:pPr>
        <w:numPr>
          <w:ilvl w:val="0"/>
          <w:numId w:val="1"/>
        </w:numPr>
        <w:spacing w:after="300" w:line="360" w:lineRule="auto"/>
        <w:ind w:hanging="636"/>
        <w:jc w:val="both"/>
        <w:rPr>
          <w:rFonts w:ascii="Arial" w:hAnsi="Arial"/>
        </w:rPr>
      </w:pPr>
      <w:r w:rsidRPr="005E0488">
        <w:rPr>
          <w:rFonts w:ascii="David" w:hAnsi="David"/>
          <w:rtl/>
        </w:rPr>
        <w:t xml:space="preserve">במסגרת </w:t>
      </w:r>
      <w:hyperlink r:id="rId89" w:history="1">
        <w:r w:rsidR="00F85A49" w:rsidRPr="00F85A49">
          <w:rPr>
            <w:rStyle w:val="Hyperlink"/>
            <w:rFonts w:ascii="David" w:hAnsi="David"/>
            <w:rtl/>
          </w:rPr>
          <w:t>55303-03-17</w:t>
        </w:r>
      </w:hyperlink>
      <w:r w:rsidRPr="005E0488">
        <w:rPr>
          <w:rFonts w:ascii="David" w:hAnsi="David"/>
          <w:rtl/>
        </w:rPr>
        <w:t xml:space="preserve"> </w:t>
      </w:r>
      <w:r w:rsidRPr="005E0488">
        <w:rPr>
          <w:rFonts w:ascii="David" w:hAnsi="David"/>
          <w:b/>
          <w:bCs/>
          <w:rtl/>
        </w:rPr>
        <w:t>מוסא דארי  נ' מדינת ישראל</w:t>
      </w:r>
      <w:r w:rsidRPr="005E0488">
        <w:rPr>
          <w:rFonts w:ascii="David" w:hAnsi="David"/>
          <w:rtl/>
        </w:rPr>
        <w:t xml:space="preserve"> </w:t>
      </w:r>
      <w:r w:rsidR="00F85A49" w:rsidRPr="00F85A49">
        <w:rPr>
          <w:sz w:val="22"/>
          <w:rtl/>
        </w:rPr>
        <w:t xml:space="preserve">[פורסם בנבו] </w:t>
      </w:r>
      <w:r w:rsidRPr="005E0488">
        <w:rPr>
          <w:rFonts w:ascii="David" w:hAnsi="David"/>
          <w:rtl/>
        </w:rPr>
        <w:t>(17.5.17) ציין כב' השופט ד"ר שפירא ששיקול הדעת המסור לבית המשפט מכוח הוראות החוק מחייב את ביהמ"ש לבחון האם הנאשם השתקם או שקיים סיכוי ממשי שישתקם. "דו"ח ועדת דורנר קובע כי אין טעם בניסיון לקדם את ההרתעה באמצעות הרחבת השימוש במאסרים או באמצעות שימוש במאסרים ממושכים יותר. הדו"ח מצביע על כך שבמקרים המתאימים, שיקום בקהילה באמצעות ענישה שנעה בין עבודות שירות לצווי מבחן ושירות למען הציבור צפוי להפיק תוצאות טובות יותר מאשר שימוש נרחב יותר במאסרים".</w:t>
      </w:r>
    </w:p>
    <w:p w14:paraId="3BE9342E" w14:textId="77777777" w:rsidR="0089095E" w:rsidRPr="005E0488" w:rsidRDefault="0089095E" w:rsidP="0089095E">
      <w:pPr>
        <w:numPr>
          <w:ilvl w:val="0"/>
          <w:numId w:val="1"/>
        </w:numPr>
        <w:spacing w:after="300" w:line="360" w:lineRule="auto"/>
        <w:ind w:hanging="636"/>
        <w:jc w:val="both"/>
        <w:rPr>
          <w:rFonts w:ascii="Arial" w:hAnsi="Arial"/>
        </w:rPr>
      </w:pPr>
      <w:r w:rsidRPr="005E0488">
        <w:rPr>
          <w:rFonts w:ascii="David" w:hAnsi="David" w:hint="cs"/>
          <w:rtl/>
        </w:rPr>
        <w:t>הנאשם ה</w:t>
      </w:r>
      <w:r w:rsidRPr="005E0488">
        <w:rPr>
          <w:rFonts w:ascii="David" w:hAnsi="David"/>
          <w:rtl/>
        </w:rPr>
        <w:t>ודה ו</w:t>
      </w:r>
      <w:r w:rsidRPr="005E0488">
        <w:rPr>
          <w:rFonts w:ascii="David" w:hAnsi="David" w:hint="cs"/>
          <w:rtl/>
        </w:rPr>
        <w:t xml:space="preserve">נטל </w:t>
      </w:r>
      <w:r w:rsidRPr="005E0488">
        <w:rPr>
          <w:rFonts w:ascii="David" w:hAnsi="David"/>
          <w:rtl/>
        </w:rPr>
        <w:t>אחריות מלאה על מעשיו</w:t>
      </w:r>
      <w:r w:rsidRPr="005E0488">
        <w:rPr>
          <w:rFonts w:ascii="David" w:hAnsi="David" w:hint="cs"/>
          <w:rtl/>
        </w:rPr>
        <w:t>. ש</w:t>
      </w:r>
      <w:r w:rsidRPr="005E0488">
        <w:rPr>
          <w:rFonts w:ascii="David" w:hAnsi="David"/>
          <w:rtl/>
        </w:rPr>
        <w:t xml:space="preserve">ירות המבחן התרשם מכנות </w:t>
      </w:r>
      <w:r w:rsidRPr="005E0488">
        <w:rPr>
          <w:rFonts w:ascii="David" w:hAnsi="David" w:hint="cs"/>
          <w:rtl/>
        </w:rPr>
        <w:t>החרטה</w:t>
      </w:r>
      <w:r w:rsidRPr="005E0488">
        <w:rPr>
          <w:rFonts w:ascii="David" w:hAnsi="David"/>
          <w:rtl/>
        </w:rPr>
        <w:t xml:space="preserve">. </w:t>
      </w:r>
      <w:r w:rsidRPr="005E0488">
        <w:rPr>
          <w:rFonts w:ascii="David" w:hAnsi="David" w:hint="cs"/>
          <w:rtl/>
        </w:rPr>
        <w:t xml:space="preserve">בנוסף, יש להביא בחשבון את חלוף הזמן, ובעיקר את </w:t>
      </w:r>
      <w:r w:rsidRPr="005E0488">
        <w:rPr>
          <w:rFonts w:ascii="David" w:hAnsi="David"/>
          <w:rtl/>
        </w:rPr>
        <w:t>מצבו ה</w:t>
      </w:r>
      <w:r w:rsidRPr="005E0488">
        <w:rPr>
          <w:rFonts w:ascii="David" w:hAnsi="David" w:hint="cs"/>
          <w:rtl/>
        </w:rPr>
        <w:t>אישי ה</w:t>
      </w:r>
      <w:r w:rsidRPr="005E0488">
        <w:rPr>
          <w:rFonts w:ascii="David" w:hAnsi="David"/>
          <w:rtl/>
        </w:rPr>
        <w:t>רגיש של הנאשם</w:t>
      </w:r>
      <w:r w:rsidRPr="005E0488">
        <w:rPr>
          <w:rFonts w:ascii="David" w:hAnsi="David" w:hint="cs"/>
          <w:rtl/>
        </w:rPr>
        <w:t>, כמפורט בתסקיר המבחן, ש</w:t>
      </w:r>
      <w:r w:rsidRPr="005E0488">
        <w:rPr>
          <w:rFonts w:ascii="David" w:hAnsi="David"/>
          <w:rtl/>
        </w:rPr>
        <w:t>הינו תוצר ישיר של שירותו הצבאי</w:t>
      </w:r>
      <w:r w:rsidRPr="005E0488">
        <w:rPr>
          <w:rFonts w:ascii="David" w:hAnsi="David" w:hint="cs"/>
          <w:rtl/>
        </w:rPr>
        <w:t xml:space="preserve">. בנסיבות אלו </w:t>
      </w:r>
      <w:r w:rsidRPr="005E0488">
        <w:rPr>
          <w:rFonts w:ascii="David" w:hAnsi="David"/>
          <w:rtl/>
        </w:rPr>
        <w:t xml:space="preserve">הטלת </w:t>
      </w:r>
      <w:r w:rsidRPr="005E0488">
        <w:rPr>
          <w:rFonts w:ascii="David" w:hAnsi="David" w:hint="cs"/>
          <w:rtl/>
        </w:rPr>
        <w:t>ע</w:t>
      </w:r>
      <w:r w:rsidRPr="005E0488">
        <w:rPr>
          <w:rFonts w:ascii="David" w:hAnsi="David"/>
          <w:rtl/>
        </w:rPr>
        <w:t>ונש מאסר</w:t>
      </w:r>
      <w:r w:rsidRPr="005E0488">
        <w:rPr>
          <w:rFonts w:ascii="David" w:hAnsi="David" w:hint="cs"/>
          <w:rtl/>
        </w:rPr>
        <w:t>,</w:t>
      </w:r>
      <w:r w:rsidRPr="005E0488">
        <w:rPr>
          <w:rFonts w:ascii="David" w:hAnsi="David"/>
          <w:rtl/>
        </w:rPr>
        <w:t xml:space="preserve"> תפר את האיזון הראוי בין שיקולי הענישה השונים, ותביא לפגיעה משמעותית בנאשם, ותחבל בסיכוי לשקמו.</w:t>
      </w:r>
      <w:r w:rsidRPr="005E0488">
        <w:rPr>
          <w:rFonts w:ascii="David" w:hAnsi="David" w:hint="cs"/>
          <w:rtl/>
        </w:rPr>
        <w:t xml:space="preserve"> </w:t>
      </w:r>
    </w:p>
    <w:p w14:paraId="7C83A3BF" w14:textId="77777777" w:rsidR="0089095E" w:rsidRPr="005E0488" w:rsidRDefault="0089095E" w:rsidP="0089095E">
      <w:pPr>
        <w:numPr>
          <w:ilvl w:val="0"/>
          <w:numId w:val="1"/>
        </w:numPr>
        <w:spacing w:after="300" w:line="360" w:lineRule="auto"/>
        <w:ind w:hanging="636"/>
        <w:jc w:val="both"/>
        <w:rPr>
          <w:rFonts w:ascii="Arial" w:hAnsi="Arial"/>
        </w:rPr>
      </w:pPr>
      <w:r w:rsidRPr="005E0488">
        <w:rPr>
          <w:rFonts w:ascii="David" w:hAnsi="David" w:hint="cs"/>
          <w:rtl/>
        </w:rPr>
        <w:t>כפי שצוין בתסקיר הנאשם מקבל טיפול במסגרת משרד הביטחון, הכולל מעקב פסיכיאטרי וסיוע מאגף השיקום במשרד הביטחון ושילובו ביחידה לתגובות קרב של חיל הרפואה. הנאשם שומר על יציבות תעסוקתית משך כשנה, הוא נתמך על ידי הוריו, ושואף להתחיל לימודי תוכנה בעתיד הקרוב.</w:t>
      </w:r>
      <w:r w:rsidRPr="005E0488">
        <w:rPr>
          <w:rFonts w:ascii="David" w:hAnsi="David"/>
          <w:rtl/>
        </w:rPr>
        <w:t xml:space="preserve"> </w:t>
      </w:r>
    </w:p>
    <w:p w14:paraId="612DCAD3" w14:textId="77777777" w:rsidR="0089095E" w:rsidRDefault="0089095E" w:rsidP="0089095E">
      <w:pPr>
        <w:spacing w:after="300" w:line="360" w:lineRule="auto"/>
        <w:ind w:left="720" w:hanging="720"/>
        <w:jc w:val="both"/>
        <w:rPr>
          <w:rFonts w:ascii="David" w:hAnsi="David"/>
          <w:rtl/>
        </w:rPr>
      </w:pPr>
      <w:r>
        <w:rPr>
          <w:rFonts w:ascii="David" w:hAnsi="David" w:hint="cs"/>
          <w:rtl/>
        </w:rPr>
        <w:t>41.</w:t>
      </w:r>
      <w:r>
        <w:rPr>
          <w:rFonts w:ascii="David" w:hAnsi="David" w:hint="cs"/>
          <w:rtl/>
        </w:rPr>
        <w:tab/>
      </w:r>
      <w:r w:rsidRPr="00F46A51">
        <w:rPr>
          <w:rFonts w:ascii="David" w:hAnsi="David" w:hint="cs"/>
          <w:rtl/>
        </w:rPr>
        <w:t xml:space="preserve">נוכח טעמים אלו, ראיתי </w:t>
      </w:r>
      <w:r>
        <w:rPr>
          <w:rFonts w:ascii="David" w:hAnsi="David" w:hint="cs"/>
          <w:rtl/>
        </w:rPr>
        <w:t xml:space="preserve">בנסיבות העניין לאמץ את </w:t>
      </w:r>
      <w:r w:rsidRPr="00F46A51">
        <w:rPr>
          <w:rFonts w:ascii="David" w:hAnsi="David" w:hint="cs"/>
          <w:rtl/>
        </w:rPr>
        <w:t>עמדת</w:t>
      </w:r>
      <w:r>
        <w:rPr>
          <w:rFonts w:ascii="David" w:hAnsi="David" w:hint="cs"/>
          <w:rtl/>
        </w:rPr>
        <w:t xml:space="preserve"> שרות המבחן לסטות ממתחם העונש ההולם ולהימנע מ</w:t>
      </w:r>
      <w:r w:rsidRPr="00F46A51">
        <w:rPr>
          <w:rFonts w:ascii="David" w:hAnsi="David" w:hint="cs"/>
          <w:rtl/>
        </w:rPr>
        <w:t xml:space="preserve">הטלת רכיבי ענישה </w:t>
      </w:r>
      <w:r>
        <w:rPr>
          <w:rFonts w:ascii="David" w:hAnsi="David" w:hint="cs"/>
          <w:rtl/>
        </w:rPr>
        <w:t xml:space="preserve">הכוללים </w:t>
      </w:r>
      <w:r w:rsidRPr="00F46A51">
        <w:rPr>
          <w:rFonts w:ascii="David" w:hAnsi="David"/>
          <w:rtl/>
        </w:rPr>
        <w:t>מאסר, אף לא בדרך של עבודת שירות.</w:t>
      </w:r>
      <w:r>
        <w:rPr>
          <w:rFonts w:ascii="David" w:hAnsi="David" w:hint="cs"/>
          <w:rtl/>
        </w:rPr>
        <w:t xml:space="preserve"> יחד עם זאת, ובנסיבות התיק דנן, ראיתי לקבוע מסגרת שעות של"צ רחבה מזו עליה המליץ שרות המבחן. </w:t>
      </w:r>
      <w:r w:rsidRPr="00F46A51">
        <w:rPr>
          <w:rFonts w:ascii="David" w:hAnsi="David"/>
          <w:rtl/>
        </w:rPr>
        <w:t xml:space="preserve">   </w:t>
      </w:r>
    </w:p>
    <w:p w14:paraId="34CAE4FB" w14:textId="77777777" w:rsidR="0089095E" w:rsidRPr="00F46A51" w:rsidRDefault="0089095E" w:rsidP="0089095E">
      <w:pPr>
        <w:pStyle w:val="a9"/>
        <w:numPr>
          <w:ilvl w:val="0"/>
          <w:numId w:val="1"/>
        </w:numPr>
        <w:spacing w:after="300" w:line="360" w:lineRule="auto"/>
        <w:ind w:hanging="579"/>
        <w:jc w:val="both"/>
        <w:rPr>
          <w:rFonts w:ascii="David" w:hAnsi="David"/>
        </w:rPr>
      </w:pPr>
      <w:r>
        <w:rPr>
          <w:rFonts w:ascii="David" w:hAnsi="David" w:hint="cs"/>
          <w:rtl/>
        </w:rPr>
        <w:t xml:space="preserve">אשר על כן </w:t>
      </w:r>
      <w:r w:rsidRPr="00F46A51">
        <w:rPr>
          <w:rFonts w:ascii="David" w:hAnsi="David" w:hint="cs"/>
          <w:rtl/>
        </w:rPr>
        <w:t>אני גוזר את עונשו של</w:t>
      </w:r>
      <w:r w:rsidRPr="00F46A51">
        <w:rPr>
          <w:rFonts w:ascii="David" w:hAnsi="David"/>
          <w:rtl/>
        </w:rPr>
        <w:t xml:space="preserve"> הנאשם </w:t>
      </w:r>
      <w:r w:rsidRPr="00F46A51">
        <w:rPr>
          <w:rFonts w:ascii="David" w:hAnsi="David" w:hint="cs"/>
          <w:rtl/>
        </w:rPr>
        <w:t>לעונשים הבאים:</w:t>
      </w:r>
    </w:p>
    <w:p w14:paraId="66BF5356" w14:textId="77777777" w:rsidR="0089095E" w:rsidRPr="009A39A1" w:rsidRDefault="0089095E" w:rsidP="0089095E">
      <w:pPr>
        <w:numPr>
          <w:ilvl w:val="0"/>
          <w:numId w:val="3"/>
        </w:numPr>
        <w:spacing w:after="300" w:line="360" w:lineRule="auto"/>
        <w:jc w:val="both"/>
        <w:rPr>
          <w:rFonts w:ascii="David" w:hAnsi="David"/>
        </w:rPr>
      </w:pPr>
      <w:r>
        <w:rPr>
          <w:rFonts w:ascii="David" w:hAnsi="David" w:hint="cs"/>
          <w:rtl/>
        </w:rPr>
        <w:t xml:space="preserve">320 </w:t>
      </w:r>
      <w:r w:rsidRPr="009A39A1">
        <w:rPr>
          <w:rFonts w:ascii="David" w:hAnsi="David"/>
          <w:rtl/>
        </w:rPr>
        <w:t>שעות ש</w:t>
      </w:r>
      <w:r>
        <w:rPr>
          <w:rFonts w:ascii="David" w:hAnsi="David" w:hint="cs"/>
          <w:rtl/>
        </w:rPr>
        <w:t xml:space="preserve">ירות לתועלת הציבור אשר </w:t>
      </w:r>
      <w:r w:rsidRPr="009A39A1">
        <w:rPr>
          <w:rFonts w:ascii="David" w:hAnsi="David"/>
          <w:rtl/>
        </w:rPr>
        <w:t xml:space="preserve">יבוצעו בפיקוח שירות המבחן. </w:t>
      </w:r>
      <w:r>
        <w:rPr>
          <w:rFonts w:ascii="David" w:hAnsi="David" w:hint="cs"/>
          <w:rtl/>
        </w:rPr>
        <w:t>התוכנית תוגש לאישור בית המשפט עד ליום 1.2.2021.</w:t>
      </w:r>
      <w:r w:rsidRPr="009A39A1">
        <w:rPr>
          <w:rFonts w:ascii="David" w:hAnsi="David"/>
          <w:rtl/>
        </w:rPr>
        <w:t xml:space="preserve"> </w:t>
      </w:r>
    </w:p>
    <w:p w14:paraId="54ED087F" w14:textId="77777777" w:rsidR="0089095E" w:rsidRDefault="0089095E" w:rsidP="0089095E">
      <w:pPr>
        <w:numPr>
          <w:ilvl w:val="0"/>
          <w:numId w:val="3"/>
        </w:numPr>
        <w:spacing w:after="300" w:line="360" w:lineRule="auto"/>
        <w:jc w:val="both"/>
        <w:rPr>
          <w:rFonts w:ascii="David" w:hAnsi="David"/>
        </w:rPr>
      </w:pPr>
      <w:r>
        <w:rPr>
          <w:rFonts w:ascii="David" w:hAnsi="David" w:hint="cs"/>
          <w:rtl/>
        </w:rPr>
        <w:t>מאסר למשך 5 חודשים שלא יעבור עבירה מסוג פשע מ</w:t>
      </w:r>
      <w:hyperlink r:id="rId90" w:history="1">
        <w:r w:rsidR="000644AB" w:rsidRPr="000644AB">
          <w:rPr>
            <w:rFonts w:ascii="David" w:hAnsi="David"/>
            <w:color w:val="0000FF"/>
            <w:u w:val="single"/>
            <w:rtl/>
          </w:rPr>
          <w:t>פקודת הסמים המסוכנים</w:t>
        </w:r>
      </w:hyperlink>
      <w:r>
        <w:rPr>
          <w:rFonts w:ascii="David" w:hAnsi="David" w:hint="cs"/>
          <w:rtl/>
        </w:rPr>
        <w:t xml:space="preserve"> או עבירה בניגוד </w:t>
      </w:r>
      <w:hyperlink r:id="rId91" w:history="1">
        <w:r w:rsidR="00E350ED" w:rsidRPr="00E350ED">
          <w:rPr>
            <w:rStyle w:val="Hyperlink"/>
            <w:rFonts w:ascii="David" w:hAnsi="David" w:hint="eastAsia"/>
            <w:rtl/>
          </w:rPr>
          <w:t>לסעיף</w:t>
        </w:r>
        <w:r w:rsidR="00E350ED" w:rsidRPr="00E350ED">
          <w:rPr>
            <w:rStyle w:val="Hyperlink"/>
            <w:rFonts w:ascii="David" w:hAnsi="David"/>
            <w:rtl/>
          </w:rPr>
          <w:t xml:space="preserve"> 449</w:t>
        </w:r>
      </w:hyperlink>
      <w:r>
        <w:rPr>
          <w:rFonts w:ascii="David" w:hAnsi="David" w:hint="cs"/>
          <w:rtl/>
        </w:rPr>
        <w:t xml:space="preserve"> ל</w:t>
      </w:r>
      <w:hyperlink r:id="rId92" w:history="1">
        <w:r w:rsidR="000644AB" w:rsidRPr="000644AB">
          <w:rPr>
            <w:rFonts w:ascii="David" w:hAnsi="David"/>
            <w:color w:val="0000FF"/>
            <w:u w:val="single"/>
            <w:rtl/>
          </w:rPr>
          <w:t>חוק העונשין</w:t>
        </w:r>
      </w:hyperlink>
      <w:r>
        <w:rPr>
          <w:rFonts w:ascii="David" w:hAnsi="David" w:hint="cs"/>
          <w:rtl/>
        </w:rPr>
        <w:t>, וזאת למשך 3 שנים מהיום</w:t>
      </w:r>
      <w:r w:rsidRPr="009A39A1">
        <w:rPr>
          <w:rFonts w:ascii="David" w:hAnsi="David"/>
          <w:rtl/>
        </w:rPr>
        <w:t>.</w:t>
      </w:r>
    </w:p>
    <w:p w14:paraId="246BCC73" w14:textId="77777777" w:rsidR="0089095E" w:rsidRPr="009A39A1" w:rsidRDefault="0089095E" w:rsidP="0089095E">
      <w:pPr>
        <w:numPr>
          <w:ilvl w:val="0"/>
          <w:numId w:val="3"/>
        </w:numPr>
        <w:spacing w:after="300" w:line="360" w:lineRule="auto"/>
        <w:jc w:val="both"/>
        <w:rPr>
          <w:rFonts w:ascii="David" w:hAnsi="David"/>
        </w:rPr>
      </w:pPr>
      <w:r>
        <w:rPr>
          <w:rFonts w:ascii="David" w:hAnsi="David" w:hint="cs"/>
          <w:rtl/>
        </w:rPr>
        <w:t>מאסר למשך חודשיים שלא יעבור עבירה מסוג עוון מ</w:t>
      </w:r>
      <w:hyperlink r:id="rId93" w:history="1">
        <w:r w:rsidR="000644AB" w:rsidRPr="000644AB">
          <w:rPr>
            <w:rFonts w:ascii="David" w:hAnsi="David"/>
            <w:color w:val="0000FF"/>
            <w:u w:val="single"/>
            <w:rtl/>
          </w:rPr>
          <w:t>פקודת הסמים המסוכנים</w:t>
        </w:r>
      </w:hyperlink>
      <w:r>
        <w:rPr>
          <w:rFonts w:ascii="David" w:hAnsi="David" w:hint="cs"/>
          <w:rtl/>
        </w:rPr>
        <w:t>, וזאת למשך שלוש שנים מהיום.</w:t>
      </w:r>
      <w:r w:rsidRPr="009A39A1">
        <w:rPr>
          <w:rFonts w:ascii="David" w:hAnsi="David"/>
          <w:rtl/>
        </w:rPr>
        <w:t xml:space="preserve"> </w:t>
      </w:r>
    </w:p>
    <w:p w14:paraId="568F2939" w14:textId="77777777" w:rsidR="0089095E" w:rsidRDefault="0089095E" w:rsidP="0089095E">
      <w:pPr>
        <w:numPr>
          <w:ilvl w:val="0"/>
          <w:numId w:val="3"/>
        </w:numPr>
        <w:spacing w:after="300" w:line="360" w:lineRule="auto"/>
        <w:jc w:val="both"/>
        <w:rPr>
          <w:rFonts w:ascii="David" w:hAnsi="David"/>
        </w:rPr>
      </w:pPr>
      <w:r w:rsidRPr="009A39A1">
        <w:rPr>
          <w:rFonts w:ascii="David" w:hAnsi="David"/>
          <w:rtl/>
        </w:rPr>
        <w:t xml:space="preserve">התחייבות בסך 5,000 ₪ לפיה הנאשם לא יעבור על </w:t>
      </w:r>
      <w:r>
        <w:rPr>
          <w:rFonts w:ascii="David" w:hAnsi="David" w:hint="cs"/>
          <w:rtl/>
        </w:rPr>
        <w:t>הע</w:t>
      </w:r>
      <w:r w:rsidRPr="009A39A1">
        <w:rPr>
          <w:rFonts w:ascii="David" w:hAnsi="David"/>
          <w:rtl/>
        </w:rPr>
        <w:t xml:space="preserve">בירות </w:t>
      </w:r>
      <w:r>
        <w:rPr>
          <w:rFonts w:ascii="David" w:hAnsi="David" w:hint="cs"/>
          <w:rtl/>
        </w:rPr>
        <w:t xml:space="preserve">בהן הורשע וזאת למשך </w:t>
      </w:r>
      <w:r w:rsidRPr="009A39A1">
        <w:rPr>
          <w:rFonts w:ascii="David" w:hAnsi="David"/>
          <w:rtl/>
        </w:rPr>
        <w:t xml:space="preserve">3 שנים </w:t>
      </w:r>
      <w:r>
        <w:rPr>
          <w:rFonts w:ascii="David" w:hAnsi="David" w:hint="cs"/>
          <w:rtl/>
        </w:rPr>
        <w:t>מהיום</w:t>
      </w:r>
      <w:r w:rsidRPr="009A39A1">
        <w:rPr>
          <w:rFonts w:ascii="David" w:hAnsi="David"/>
          <w:rtl/>
        </w:rPr>
        <w:t xml:space="preserve">. </w:t>
      </w:r>
    </w:p>
    <w:p w14:paraId="4D2D5A8E" w14:textId="77777777" w:rsidR="0089095E" w:rsidRDefault="0089095E" w:rsidP="0089095E">
      <w:pPr>
        <w:numPr>
          <w:ilvl w:val="0"/>
          <w:numId w:val="3"/>
        </w:numPr>
        <w:spacing w:after="300" w:line="360" w:lineRule="auto"/>
        <w:jc w:val="both"/>
        <w:rPr>
          <w:rFonts w:ascii="David" w:hAnsi="David"/>
        </w:rPr>
      </w:pPr>
      <w:r>
        <w:rPr>
          <w:rFonts w:ascii="David" w:hAnsi="David" w:hint="cs"/>
          <w:rtl/>
        </w:rPr>
        <w:t>קנס בסך 2000 ₪ אשר ישולם ב-5 תשלומים חודשיים החל מיום 1.2.2021.</w:t>
      </w:r>
    </w:p>
    <w:p w14:paraId="5FF7D42C" w14:textId="77777777" w:rsidR="0089095E" w:rsidRPr="009A39A1" w:rsidRDefault="0089095E" w:rsidP="0089095E">
      <w:pPr>
        <w:numPr>
          <w:ilvl w:val="0"/>
          <w:numId w:val="3"/>
        </w:numPr>
        <w:spacing w:after="300" w:line="360" w:lineRule="auto"/>
        <w:jc w:val="both"/>
        <w:rPr>
          <w:rFonts w:ascii="David" w:hAnsi="David"/>
        </w:rPr>
      </w:pPr>
      <w:r>
        <w:rPr>
          <w:rFonts w:ascii="David" w:hAnsi="David" w:hint="cs"/>
          <w:rtl/>
        </w:rPr>
        <w:t>הסמים יושמדו.</w:t>
      </w:r>
    </w:p>
    <w:p w14:paraId="41938CFA" w14:textId="77777777" w:rsidR="0089095E" w:rsidRPr="00707705" w:rsidRDefault="0089095E" w:rsidP="0089095E">
      <w:pPr>
        <w:spacing w:after="300" w:line="360" w:lineRule="auto"/>
        <w:ind w:left="85"/>
        <w:jc w:val="both"/>
        <w:rPr>
          <w:rFonts w:ascii="David" w:hAnsi="David"/>
          <w:b/>
          <w:bCs/>
          <w:rtl/>
        </w:rPr>
      </w:pPr>
      <w:r w:rsidRPr="00707705">
        <w:rPr>
          <w:rFonts w:ascii="David" w:hAnsi="David" w:hint="cs"/>
          <w:b/>
          <w:bCs/>
          <w:rtl/>
        </w:rPr>
        <w:t>זכות ערעור לבית המשפט המחוזי בתוך 45 יום.</w:t>
      </w:r>
    </w:p>
    <w:p w14:paraId="5494295D" w14:textId="77777777" w:rsidR="0089095E" w:rsidRPr="00707705" w:rsidRDefault="0089095E" w:rsidP="0089095E">
      <w:pPr>
        <w:spacing w:after="300" w:line="360" w:lineRule="auto"/>
        <w:ind w:left="85"/>
        <w:jc w:val="both"/>
        <w:rPr>
          <w:rFonts w:ascii="David" w:hAnsi="David"/>
          <w:b/>
          <w:bCs/>
        </w:rPr>
      </w:pPr>
      <w:r w:rsidRPr="00707705">
        <w:rPr>
          <w:rFonts w:ascii="David" w:hAnsi="David"/>
          <w:b/>
          <w:bCs/>
          <w:u w:val="single"/>
          <w:rtl/>
        </w:rPr>
        <w:t xml:space="preserve">המזכירות תעביר העתק </w:t>
      </w:r>
      <w:r w:rsidRPr="00707705">
        <w:rPr>
          <w:rFonts w:ascii="David" w:hAnsi="David" w:hint="cs"/>
          <w:b/>
          <w:bCs/>
          <w:u w:val="single"/>
          <w:rtl/>
        </w:rPr>
        <w:t>גזר הדין לשרות המבחן</w:t>
      </w:r>
      <w:r w:rsidRPr="00707705">
        <w:rPr>
          <w:rFonts w:ascii="David" w:hAnsi="David"/>
          <w:b/>
          <w:bCs/>
          <w:rtl/>
        </w:rPr>
        <w:t xml:space="preserve">.  </w:t>
      </w:r>
    </w:p>
    <w:p w14:paraId="5303A6C2" w14:textId="77777777" w:rsidR="0089095E" w:rsidRPr="000644AB" w:rsidRDefault="000644AB" w:rsidP="0089095E">
      <w:pPr>
        <w:rPr>
          <w:color w:val="FFFFFF"/>
          <w:sz w:val="2"/>
          <w:szCs w:val="2"/>
          <w:rtl/>
        </w:rPr>
      </w:pPr>
      <w:r w:rsidRPr="000644AB">
        <w:rPr>
          <w:color w:val="FFFFFF"/>
          <w:sz w:val="2"/>
          <w:szCs w:val="2"/>
          <w:rtl/>
        </w:rPr>
        <w:t>5129371</w:t>
      </w:r>
    </w:p>
    <w:p w14:paraId="4E212F60" w14:textId="77777777" w:rsidR="0089095E" w:rsidRPr="00F85A49" w:rsidRDefault="000644AB" w:rsidP="0089095E">
      <w:pPr>
        <w:rPr>
          <w:rFonts w:cs="FrankRuehl"/>
          <w:b/>
          <w:bCs/>
          <w:sz w:val="28"/>
          <w:szCs w:val="28"/>
          <w:rtl/>
        </w:rPr>
      </w:pPr>
      <w:bookmarkStart w:id="9" w:name="Nitan"/>
      <w:r w:rsidRPr="00F85A49">
        <w:rPr>
          <w:rFonts w:ascii="Arial" w:hAnsi="Arial"/>
          <w:b/>
          <w:bCs/>
          <w:color w:val="FFFFFF"/>
          <w:sz w:val="2"/>
          <w:szCs w:val="2"/>
          <w:rtl/>
        </w:rPr>
        <w:t>54678313</w:t>
      </w:r>
      <w:r w:rsidRPr="00F85A49">
        <w:rPr>
          <w:rFonts w:ascii="Arial" w:hAnsi="Arial"/>
          <w:b/>
          <w:bCs/>
          <w:rtl/>
        </w:rPr>
        <w:t xml:space="preserve">ניתן היום,  י"ח חשוון תשפ"א, 05 נובמבר 2020, בנוכחות המאשימה הנאשם ובא כוחו. </w:t>
      </w:r>
      <w:bookmarkEnd w:id="9"/>
    </w:p>
    <w:p w14:paraId="6A2359FA" w14:textId="77777777" w:rsidR="0089095E" w:rsidRDefault="0089095E" w:rsidP="000644A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93FBF6F" w14:textId="77777777" w:rsidR="0089095E" w:rsidRDefault="0089095E" w:rsidP="0089095E">
      <w:pPr>
        <w:pStyle w:val="a3"/>
        <w:jc w:val="center"/>
        <w:rPr>
          <w:rtl/>
        </w:rPr>
      </w:pPr>
    </w:p>
    <w:p w14:paraId="4D9FE994" w14:textId="77777777" w:rsidR="003D0519" w:rsidRPr="000644AB" w:rsidRDefault="003D0519" w:rsidP="000644AB">
      <w:pPr>
        <w:keepNext/>
        <w:rPr>
          <w:rFonts w:ascii="David" w:hAnsi="David"/>
          <w:color w:val="000000"/>
          <w:sz w:val="22"/>
          <w:szCs w:val="22"/>
          <w:rtl/>
        </w:rPr>
      </w:pPr>
    </w:p>
    <w:p w14:paraId="0AD0ADF5" w14:textId="77777777" w:rsidR="000644AB" w:rsidRPr="000644AB" w:rsidRDefault="000644AB" w:rsidP="000644AB">
      <w:pPr>
        <w:keepNext/>
        <w:rPr>
          <w:rFonts w:ascii="David" w:hAnsi="David"/>
          <w:color w:val="000000"/>
          <w:sz w:val="22"/>
          <w:szCs w:val="22"/>
          <w:rtl/>
        </w:rPr>
      </w:pPr>
      <w:r w:rsidRPr="000644AB">
        <w:rPr>
          <w:rFonts w:ascii="David" w:hAnsi="David"/>
          <w:color w:val="000000"/>
          <w:sz w:val="22"/>
          <w:szCs w:val="22"/>
          <w:rtl/>
        </w:rPr>
        <w:t>ארנון איתן 54678313</w:t>
      </w:r>
    </w:p>
    <w:p w14:paraId="02AE45A8" w14:textId="77777777" w:rsidR="000644AB" w:rsidRDefault="000644AB" w:rsidP="000644AB">
      <w:r w:rsidRPr="000644AB">
        <w:rPr>
          <w:color w:val="000000"/>
          <w:rtl/>
        </w:rPr>
        <w:t>נוסח מסמך זה כפוף לשינויי ניסוח ועריכה</w:t>
      </w:r>
    </w:p>
    <w:p w14:paraId="72B2F39A" w14:textId="77777777" w:rsidR="000644AB" w:rsidRDefault="000644AB" w:rsidP="000644AB">
      <w:pPr>
        <w:rPr>
          <w:rtl/>
        </w:rPr>
      </w:pPr>
    </w:p>
    <w:p w14:paraId="56385647" w14:textId="77777777" w:rsidR="000644AB" w:rsidRDefault="000644AB" w:rsidP="000644AB">
      <w:pPr>
        <w:jc w:val="center"/>
        <w:rPr>
          <w:color w:val="0000FF"/>
          <w:u w:val="single"/>
        </w:rPr>
      </w:pPr>
      <w:hyperlink r:id="rId94" w:history="1">
        <w:r>
          <w:rPr>
            <w:color w:val="0000FF"/>
            <w:u w:val="single"/>
            <w:rtl/>
          </w:rPr>
          <w:t>בעניין עריכה ושינויים במסמכי פסיקה, חקיקה ועוד באתר נבו – הקש כאן</w:t>
        </w:r>
      </w:hyperlink>
    </w:p>
    <w:p w14:paraId="4A52D1F6" w14:textId="77777777" w:rsidR="000644AB" w:rsidRPr="000644AB" w:rsidRDefault="000644AB" w:rsidP="000644AB">
      <w:pPr>
        <w:jc w:val="center"/>
        <w:rPr>
          <w:color w:val="0000FF"/>
          <w:u w:val="single"/>
        </w:rPr>
      </w:pPr>
    </w:p>
    <w:sectPr w:rsidR="000644AB" w:rsidRPr="000644AB" w:rsidSect="000644AB">
      <w:headerReference w:type="even" r:id="rId95"/>
      <w:headerReference w:type="default" r:id="rId96"/>
      <w:footerReference w:type="even" r:id="rId97"/>
      <w:footerReference w:type="default" r:id="rId9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CC018" w14:textId="77777777" w:rsidR="00445EE0" w:rsidRDefault="00445EE0" w:rsidP="009A7805">
      <w:r>
        <w:separator/>
      </w:r>
    </w:p>
  </w:endnote>
  <w:endnote w:type="continuationSeparator" w:id="0">
    <w:p w14:paraId="6E49F191" w14:textId="77777777" w:rsidR="00445EE0" w:rsidRDefault="00445EE0" w:rsidP="009A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05CEB" w14:textId="77777777" w:rsidR="000644AB" w:rsidRDefault="000644AB" w:rsidP="000644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A9798A" w14:textId="77777777" w:rsidR="008666C8" w:rsidRPr="000644AB" w:rsidRDefault="000644AB" w:rsidP="000644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875A1" w14:textId="77777777" w:rsidR="000644AB" w:rsidRDefault="000644AB" w:rsidP="000644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433A">
      <w:rPr>
        <w:rFonts w:ascii="FrankRuehl" w:hAnsi="FrankRuehl" w:cs="FrankRuehl"/>
        <w:noProof/>
        <w:rtl/>
      </w:rPr>
      <w:t>1</w:t>
    </w:r>
    <w:r>
      <w:rPr>
        <w:rFonts w:ascii="FrankRuehl" w:hAnsi="FrankRuehl" w:cs="FrankRuehl"/>
        <w:rtl/>
      </w:rPr>
      <w:fldChar w:fldCharType="end"/>
    </w:r>
  </w:p>
  <w:p w14:paraId="7F3583B7" w14:textId="77777777" w:rsidR="008666C8" w:rsidRPr="000644AB" w:rsidRDefault="000644AB" w:rsidP="000644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371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5BC7D" w14:textId="77777777" w:rsidR="00445EE0" w:rsidRDefault="00445EE0" w:rsidP="009A7805">
      <w:r>
        <w:separator/>
      </w:r>
    </w:p>
  </w:footnote>
  <w:footnote w:type="continuationSeparator" w:id="0">
    <w:p w14:paraId="43D85FEB" w14:textId="77777777" w:rsidR="00445EE0" w:rsidRDefault="00445EE0" w:rsidP="009A7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B5249" w14:textId="77777777" w:rsidR="000644AB" w:rsidRPr="000644AB" w:rsidRDefault="000644AB" w:rsidP="00064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18320-05-19</w:t>
    </w:r>
    <w:r>
      <w:rPr>
        <w:rFonts w:ascii="David" w:hAnsi="David"/>
        <w:color w:val="000000"/>
        <w:sz w:val="22"/>
        <w:szCs w:val="22"/>
        <w:rtl/>
      </w:rPr>
      <w:tab/>
      <w:t xml:space="preserve"> מדינת ישראל נ' חנניה חננאל אביקזר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60C29" w14:textId="77777777" w:rsidR="000644AB" w:rsidRPr="000644AB" w:rsidRDefault="000644AB" w:rsidP="00064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18320-05-19</w:t>
    </w:r>
    <w:r>
      <w:rPr>
        <w:rFonts w:ascii="David" w:hAnsi="David"/>
        <w:color w:val="000000"/>
        <w:sz w:val="22"/>
        <w:szCs w:val="22"/>
        <w:rtl/>
      </w:rPr>
      <w:tab/>
      <w:t xml:space="preserve"> מדינת ישראל נ' חנניה חננאל אביקזר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59F"/>
    <w:multiLevelType w:val="hybridMultilevel"/>
    <w:tmpl w:val="9F783DEC"/>
    <w:lvl w:ilvl="0" w:tplc="05BE9A7C">
      <w:start w:val="1"/>
      <w:numFmt w:val="hebrew1"/>
      <w:lvlText w:val="%1."/>
      <w:lvlJc w:val="center"/>
      <w:pPr>
        <w:ind w:left="1492" w:hanging="360"/>
      </w:pPr>
      <w:rPr>
        <w:rFonts w:cs="David"/>
      </w:rPr>
    </w:lvl>
    <w:lvl w:ilvl="1" w:tplc="04090019" w:tentative="1">
      <w:start w:val="1"/>
      <w:numFmt w:val="lowerLetter"/>
      <w:lvlText w:val="%2."/>
      <w:lvlJc w:val="left"/>
      <w:pPr>
        <w:ind w:left="2212" w:hanging="360"/>
      </w:pPr>
      <w:rPr>
        <w:rFonts w:cs="Times New Roman"/>
      </w:rPr>
    </w:lvl>
    <w:lvl w:ilvl="2" w:tplc="0409001B" w:tentative="1">
      <w:start w:val="1"/>
      <w:numFmt w:val="lowerRoman"/>
      <w:lvlText w:val="%3."/>
      <w:lvlJc w:val="right"/>
      <w:pPr>
        <w:ind w:left="2932" w:hanging="180"/>
      </w:pPr>
      <w:rPr>
        <w:rFonts w:cs="Times New Roman"/>
      </w:rPr>
    </w:lvl>
    <w:lvl w:ilvl="3" w:tplc="0409000F" w:tentative="1">
      <w:start w:val="1"/>
      <w:numFmt w:val="decimal"/>
      <w:lvlText w:val="%4."/>
      <w:lvlJc w:val="left"/>
      <w:pPr>
        <w:ind w:left="3652" w:hanging="360"/>
      </w:pPr>
      <w:rPr>
        <w:rFonts w:cs="Times New Roman"/>
      </w:rPr>
    </w:lvl>
    <w:lvl w:ilvl="4" w:tplc="04090019" w:tentative="1">
      <w:start w:val="1"/>
      <w:numFmt w:val="lowerLetter"/>
      <w:lvlText w:val="%5."/>
      <w:lvlJc w:val="left"/>
      <w:pPr>
        <w:ind w:left="4372" w:hanging="360"/>
      </w:pPr>
      <w:rPr>
        <w:rFonts w:cs="Times New Roman"/>
      </w:rPr>
    </w:lvl>
    <w:lvl w:ilvl="5" w:tplc="0409001B" w:tentative="1">
      <w:start w:val="1"/>
      <w:numFmt w:val="lowerRoman"/>
      <w:lvlText w:val="%6."/>
      <w:lvlJc w:val="right"/>
      <w:pPr>
        <w:ind w:left="5092" w:hanging="180"/>
      </w:pPr>
      <w:rPr>
        <w:rFonts w:cs="Times New Roman"/>
      </w:rPr>
    </w:lvl>
    <w:lvl w:ilvl="6" w:tplc="0409000F" w:tentative="1">
      <w:start w:val="1"/>
      <w:numFmt w:val="decimal"/>
      <w:lvlText w:val="%7."/>
      <w:lvlJc w:val="left"/>
      <w:pPr>
        <w:ind w:left="5812" w:hanging="360"/>
      </w:pPr>
      <w:rPr>
        <w:rFonts w:cs="Times New Roman"/>
      </w:rPr>
    </w:lvl>
    <w:lvl w:ilvl="7" w:tplc="04090019" w:tentative="1">
      <w:start w:val="1"/>
      <w:numFmt w:val="lowerLetter"/>
      <w:lvlText w:val="%8."/>
      <w:lvlJc w:val="left"/>
      <w:pPr>
        <w:ind w:left="6532" w:hanging="360"/>
      </w:pPr>
      <w:rPr>
        <w:rFonts w:cs="Times New Roman"/>
      </w:rPr>
    </w:lvl>
    <w:lvl w:ilvl="8" w:tplc="0409001B" w:tentative="1">
      <w:start w:val="1"/>
      <w:numFmt w:val="lowerRoman"/>
      <w:lvlText w:val="%9."/>
      <w:lvlJc w:val="right"/>
      <w:pPr>
        <w:ind w:left="7252" w:hanging="180"/>
      </w:pPr>
      <w:rPr>
        <w:rFonts w:cs="Times New Roman"/>
      </w:rPr>
    </w:lvl>
  </w:abstractNum>
  <w:abstractNum w:abstractNumId="1" w15:restartNumberingAfterBreak="0">
    <w:nsid w:val="272C04F2"/>
    <w:multiLevelType w:val="hybridMultilevel"/>
    <w:tmpl w:val="4E4AE44E"/>
    <w:lvl w:ilvl="0" w:tplc="0D02855C">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303D6297"/>
    <w:multiLevelType w:val="hybridMultilevel"/>
    <w:tmpl w:val="1F7662E4"/>
    <w:lvl w:ilvl="0" w:tplc="1D9E9C82">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60013652">
    <w:abstractNumId w:val="2"/>
  </w:num>
  <w:num w:numId="2" w16cid:durableId="1944527796">
    <w:abstractNumId w:val="1"/>
  </w:num>
  <w:num w:numId="3" w16cid:durableId="147771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095E"/>
    <w:rsid w:val="000644AB"/>
    <w:rsid w:val="0024799B"/>
    <w:rsid w:val="003A33AF"/>
    <w:rsid w:val="003D0519"/>
    <w:rsid w:val="00445EE0"/>
    <w:rsid w:val="00617E89"/>
    <w:rsid w:val="00840356"/>
    <w:rsid w:val="008666C8"/>
    <w:rsid w:val="0089095E"/>
    <w:rsid w:val="008E1EC0"/>
    <w:rsid w:val="009A7805"/>
    <w:rsid w:val="00AD54E3"/>
    <w:rsid w:val="00C200AF"/>
    <w:rsid w:val="00C33366"/>
    <w:rsid w:val="00D143D7"/>
    <w:rsid w:val="00DC56AA"/>
    <w:rsid w:val="00E350ED"/>
    <w:rsid w:val="00EF26EC"/>
    <w:rsid w:val="00F8433A"/>
    <w:rsid w:val="00F85A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DEB7B3"/>
  <w15:chartTrackingRefBased/>
  <w15:docId w15:val="{37234A1A-00B5-439D-929F-5D399855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095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095E"/>
    <w:pPr>
      <w:tabs>
        <w:tab w:val="center" w:pos="4153"/>
        <w:tab w:val="right" w:pos="8306"/>
      </w:tabs>
    </w:pPr>
  </w:style>
  <w:style w:type="character" w:customStyle="1" w:styleId="a4">
    <w:name w:val="כותרת עליונה תו"/>
    <w:link w:val="a3"/>
    <w:rsid w:val="0089095E"/>
    <w:rPr>
      <w:rFonts w:ascii="Times New Roman" w:eastAsia="Times New Roman" w:hAnsi="Times New Roman" w:cs="David"/>
      <w:sz w:val="24"/>
      <w:szCs w:val="24"/>
    </w:rPr>
  </w:style>
  <w:style w:type="paragraph" w:styleId="a5">
    <w:name w:val="footer"/>
    <w:basedOn w:val="a"/>
    <w:link w:val="a6"/>
    <w:rsid w:val="0089095E"/>
    <w:pPr>
      <w:tabs>
        <w:tab w:val="center" w:pos="4153"/>
        <w:tab w:val="right" w:pos="8306"/>
      </w:tabs>
    </w:pPr>
  </w:style>
  <w:style w:type="character" w:customStyle="1" w:styleId="a6">
    <w:name w:val="כותרת תחתונה תו"/>
    <w:link w:val="a5"/>
    <w:rsid w:val="0089095E"/>
    <w:rPr>
      <w:rFonts w:ascii="Times New Roman" w:eastAsia="Times New Roman" w:hAnsi="Times New Roman" w:cs="David"/>
      <w:sz w:val="24"/>
      <w:szCs w:val="24"/>
    </w:rPr>
  </w:style>
  <w:style w:type="table" w:styleId="a7">
    <w:name w:val="Table Grid"/>
    <w:basedOn w:val="a1"/>
    <w:rsid w:val="008909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095E"/>
  </w:style>
  <w:style w:type="paragraph" w:styleId="a9">
    <w:name w:val="List Paragraph"/>
    <w:basedOn w:val="a"/>
    <w:qFormat/>
    <w:rsid w:val="0089095E"/>
    <w:pPr>
      <w:ind w:left="720"/>
      <w:contextualSpacing/>
    </w:pPr>
  </w:style>
  <w:style w:type="character" w:styleId="Hyperlink">
    <w:name w:val="Hyperlink"/>
    <w:rsid w:val="00064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71553" TargetMode="External"/><Relationship Id="rId42" Type="http://schemas.openxmlformats.org/officeDocument/2006/relationships/hyperlink" Target="http://www.nevo.co.il/law/70301/499.a.1"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17978777" TargetMode="External"/><Relationship Id="rId68" Type="http://schemas.openxmlformats.org/officeDocument/2006/relationships/hyperlink" Target="http://www.nevo.co.il/case/25053162" TargetMode="External"/><Relationship Id="rId84" Type="http://schemas.openxmlformats.org/officeDocument/2006/relationships/hyperlink" Target="http://www.nevo.co.il/case/5743140" TargetMode="External"/><Relationship Id="rId89" Type="http://schemas.openxmlformats.org/officeDocument/2006/relationships/hyperlink" Target="http://www.nevo.co.il/case/22355740" TargetMode="External"/><Relationship Id="rId16" Type="http://schemas.openxmlformats.org/officeDocument/2006/relationships/hyperlink" Target="http://www.nevo.co.il/law/70301/449"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0301/40jc" TargetMode="External"/><Relationship Id="rId37" Type="http://schemas.openxmlformats.org/officeDocument/2006/relationships/hyperlink" Target="http://www.nevo.co.il/law/74903/192a" TargetMode="External"/><Relationship Id="rId53" Type="http://schemas.openxmlformats.org/officeDocument/2006/relationships/hyperlink" Target="http://www.nevo.co.il/law/4216/19a" TargetMode="External"/><Relationship Id="rId58" Type="http://schemas.openxmlformats.org/officeDocument/2006/relationships/hyperlink" Target="http://www.nevo.co.il/case/25973238" TargetMode="External"/><Relationship Id="rId74" Type="http://schemas.openxmlformats.org/officeDocument/2006/relationships/hyperlink" Target="http://www.nevo.co.il/law/70301/71a.b" TargetMode="External"/><Relationship Id="rId79" Type="http://schemas.openxmlformats.org/officeDocument/2006/relationships/hyperlink" Target="http://www.nevo.co.il/law/74903/71a" TargetMode="External"/><Relationship Id="rId5" Type="http://schemas.openxmlformats.org/officeDocument/2006/relationships/footnotes" Target="footnotes.xml"/><Relationship Id="rId90" Type="http://schemas.openxmlformats.org/officeDocument/2006/relationships/hyperlink" Target="http://www.nevo.co.il/law/4216" TargetMode="External"/><Relationship Id="rId95" Type="http://schemas.openxmlformats.org/officeDocument/2006/relationships/header" Target="header1.xml"/><Relationship Id="rId22" Type="http://schemas.openxmlformats.org/officeDocument/2006/relationships/hyperlink" Target="http://www.nevo.co.il/law/71553/1.2" TargetMode="External"/><Relationship Id="rId27" Type="http://schemas.openxmlformats.org/officeDocument/2006/relationships/hyperlink" Target="http://www.nevo.co.il/law/4216/19a"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b" TargetMode="External"/><Relationship Id="rId64" Type="http://schemas.openxmlformats.org/officeDocument/2006/relationships/hyperlink" Target="http://www.nevo.co.il/case/3892678" TargetMode="External"/><Relationship Id="rId69" Type="http://schemas.openxmlformats.org/officeDocument/2006/relationships/hyperlink" Target="http://www.nevo.co.il/case/20199517" TargetMode="External"/><Relationship Id="rId80" Type="http://schemas.openxmlformats.org/officeDocument/2006/relationships/hyperlink" Target="http://www.nevo.co.il/law/70301/71a.b" TargetMode="External"/><Relationship Id="rId85" Type="http://schemas.openxmlformats.org/officeDocument/2006/relationships/hyperlink" Target="http://www.nevo.co.il/case/5849797"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70301/449" TargetMode="External"/><Relationship Id="rId38" Type="http://schemas.openxmlformats.org/officeDocument/2006/relationships/hyperlink" Target="http://www.nevo.co.il/law/71553" TargetMode="External"/><Relationship Id="rId46" Type="http://schemas.openxmlformats.org/officeDocument/2006/relationships/hyperlink" Target="http://www.nevo.co.il/law/70301/499.a.1" TargetMode="External"/><Relationship Id="rId59" Type="http://schemas.openxmlformats.org/officeDocument/2006/relationships/hyperlink" Target="http://www.nevo.co.il/case/5681787" TargetMode="External"/><Relationship Id="rId67" Type="http://schemas.openxmlformats.org/officeDocument/2006/relationships/hyperlink" Target="http://www.nevo.co.il/case/24319534" TargetMode="External"/><Relationship Id="rId20" Type="http://schemas.openxmlformats.org/officeDocument/2006/relationships/hyperlink" Target="http://www.nevo.co.il/law/74903/192a" TargetMode="External"/><Relationship Id="rId41" Type="http://schemas.openxmlformats.org/officeDocument/2006/relationships/hyperlink" Target="http://www.nevo.co.il/law/4216" TargetMode="External"/><Relationship Id="rId54" Type="http://schemas.openxmlformats.org/officeDocument/2006/relationships/hyperlink" Target="http://www.nevo.co.il/case/5786821" TargetMode="External"/><Relationship Id="rId62" Type="http://schemas.openxmlformats.org/officeDocument/2006/relationships/hyperlink" Target="http://www.nevo.co.il/case/7012287" TargetMode="External"/><Relationship Id="rId70" Type="http://schemas.openxmlformats.org/officeDocument/2006/relationships/hyperlink" Target="http://www.nevo.co.il/law/70301/40i" TargetMode="External"/><Relationship Id="rId75" Type="http://schemas.openxmlformats.org/officeDocument/2006/relationships/hyperlink" Target="http://www.nevo.co.il/law/70301" TargetMode="External"/><Relationship Id="rId83" Type="http://schemas.openxmlformats.org/officeDocument/2006/relationships/hyperlink" Target="http://www.nevo.co.il/case/5784021"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449"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safrut/bookgroup/234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4903/71a"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3827604"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70301/71a.b" TargetMode="External"/><Relationship Id="rId44" Type="http://schemas.openxmlformats.org/officeDocument/2006/relationships/hyperlink" Target="http://www.nevo.co.il/law/4216/13;19.a" TargetMode="External"/><Relationship Id="rId52" Type="http://schemas.openxmlformats.org/officeDocument/2006/relationships/hyperlink" Target="http://www.nevo.co.il/case/20033641" TargetMode="External"/><Relationship Id="rId60" Type="http://schemas.openxmlformats.org/officeDocument/2006/relationships/hyperlink" Target="http://www.nevo.co.il/case/5787128" TargetMode="External"/><Relationship Id="rId65" Type="http://schemas.openxmlformats.org/officeDocument/2006/relationships/hyperlink" Target="http://www.nevo.co.il/case/11213700" TargetMode="External"/><Relationship Id="rId73" Type="http://schemas.openxmlformats.org/officeDocument/2006/relationships/hyperlink" Target="http://www.nevo.co.il/law/74903" TargetMode="External"/><Relationship Id="rId78" Type="http://schemas.openxmlformats.org/officeDocument/2006/relationships/hyperlink" Target="http://www.nevo.co.il/case/5810781"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2260593" TargetMode="External"/><Relationship Id="rId94" Type="http://schemas.openxmlformats.org/officeDocument/2006/relationships/hyperlink" Target="http://www.nevo.co.il/advertisements/nevo-100.doc"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4903" TargetMode="External"/><Relationship Id="rId39" Type="http://schemas.openxmlformats.org/officeDocument/2006/relationships/hyperlink" Target="http://www.nevo.co.il/law/71553/1.2" TargetMode="External"/><Relationship Id="rId34" Type="http://schemas.openxmlformats.org/officeDocument/2006/relationships/hyperlink" Target="http://www.nevo.co.il/law/70301/499.a.1" TargetMode="External"/><Relationship Id="rId50" Type="http://schemas.openxmlformats.org/officeDocument/2006/relationships/hyperlink" Target="http://www.nevo.co.il/law/70301/40jc" TargetMode="External"/><Relationship Id="rId55" Type="http://schemas.openxmlformats.org/officeDocument/2006/relationships/hyperlink" Target="http://www.nevo.co.il/case/5726579" TargetMode="External"/><Relationship Id="rId76" Type="http://schemas.openxmlformats.org/officeDocument/2006/relationships/hyperlink" Target="http://www.nevo.co.il/law/71553/1.2" TargetMode="External"/><Relationship Id="rId97"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40b" TargetMode="External"/><Relationship Id="rId24" Type="http://schemas.openxmlformats.org/officeDocument/2006/relationships/hyperlink" Target="http://www.nevo.co.il/law/4216" TargetMode="External"/><Relationship Id="rId40" Type="http://schemas.openxmlformats.org/officeDocument/2006/relationships/hyperlink" Target="http://www.nevo.co.il/law/4216/13;19.a" TargetMode="External"/><Relationship Id="rId45" Type="http://schemas.openxmlformats.org/officeDocument/2006/relationships/hyperlink" Target="http://www.nevo.co.il/law/4216" TargetMode="External"/><Relationship Id="rId66" Type="http://schemas.openxmlformats.org/officeDocument/2006/relationships/hyperlink" Target="http://www.nevo.co.il/case/22856999" TargetMode="External"/><Relationship Id="rId87" Type="http://schemas.openxmlformats.org/officeDocument/2006/relationships/hyperlink" Target="http://www.nevo.co.il/case/4654820" TargetMode="External"/><Relationship Id="rId61" Type="http://schemas.openxmlformats.org/officeDocument/2006/relationships/hyperlink" Target="http://www.nevo.co.il/case/21477472" TargetMode="External"/><Relationship Id="rId82" Type="http://schemas.openxmlformats.org/officeDocument/2006/relationships/hyperlink" Target="http://www.nevo.co.il/case/483240" TargetMode="External"/><Relationship Id="rId19" Type="http://schemas.openxmlformats.org/officeDocument/2006/relationships/hyperlink" Target="http://www.nevo.co.il/law/74903/71a" TargetMode="External"/><Relationship Id="rId14" Type="http://schemas.openxmlformats.org/officeDocument/2006/relationships/hyperlink" Target="http://www.nevo.co.il/law/70301/71a.b"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4903" TargetMode="External"/><Relationship Id="rId56" Type="http://schemas.openxmlformats.org/officeDocument/2006/relationships/hyperlink" Target="http://www.nevo.co.il/case/6248620" TargetMode="External"/><Relationship Id="rId77" Type="http://schemas.openxmlformats.org/officeDocument/2006/relationships/hyperlink" Target="http://www.nevo.co.il/law/71553" TargetMode="External"/><Relationship Id="rId100"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4903/192a" TargetMode="External"/><Relationship Id="rId93" Type="http://schemas.openxmlformats.org/officeDocument/2006/relationships/hyperlink" Target="http://www.nevo.co.il/law/4216" TargetMode="External"/><Relationship Id="rId9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4358</Words>
  <Characters>21795</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26101</CharactersWithSpaces>
  <SharedDoc>false</SharedDoc>
  <HLinks>
    <vt:vector size="528" baseType="variant">
      <vt:variant>
        <vt:i4>393283</vt:i4>
      </vt:variant>
      <vt:variant>
        <vt:i4>261</vt:i4>
      </vt:variant>
      <vt:variant>
        <vt:i4>0</vt:i4>
      </vt:variant>
      <vt:variant>
        <vt:i4>5</vt:i4>
      </vt:variant>
      <vt:variant>
        <vt:lpwstr>http://www.nevo.co.il/advertisements/nevo-100.doc</vt:lpwstr>
      </vt:variant>
      <vt:variant>
        <vt:lpwstr/>
      </vt:variant>
      <vt:variant>
        <vt:i4>8257637</vt:i4>
      </vt:variant>
      <vt:variant>
        <vt:i4>258</vt:i4>
      </vt:variant>
      <vt:variant>
        <vt:i4>0</vt:i4>
      </vt:variant>
      <vt:variant>
        <vt:i4>5</vt:i4>
      </vt:variant>
      <vt:variant>
        <vt:lpwstr>http://www.nevo.co.il/law/4216</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6357089</vt:i4>
      </vt:variant>
      <vt:variant>
        <vt:i4>252</vt:i4>
      </vt:variant>
      <vt:variant>
        <vt:i4>0</vt:i4>
      </vt:variant>
      <vt:variant>
        <vt:i4>5</vt:i4>
      </vt:variant>
      <vt:variant>
        <vt:lpwstr>http://www.nevo.co.il/law/70301/449</vt:lpwstr>
      </vt:variant>
      <vt:variant>
        <vt:lpwstr/>
      </vt:variant>
      <vt:variant>
        <vt:i4>8257637</vt:i4>
      </vt:variant>
      <vt:variant>
        <vt:i4>249</vt:i4>
      </vt:variant>
      <vt:variant>
        <vt:i4>0</vt:i4>
      </vt:variant>
      <vt:variant>
        <vt:i4>5</vt:i4>
      </vt:variant>
      <vt:variant>
        <vt:lpwstr>http://www.nevo.co.il/law/4216</vt:lpwstr>
      </vt:variant>
      <vt:variant>
        <vt:lpwstr/>
      </vt:variant>
      <vt:variant>
        <vt:i4>3145844</vt:i4>
      </vt:variant>
      <vt:variant>
        <vt:i4>246</vt:i4>
      </vt:variant>
      <vt:variant>
        <vt:i4>0</vt:i4>
      </vt:variant>
      <vt:variant>
        <vt:i4>5</vt:i4>
      </vt:variant>
      <vt:variant>
        <vt:lpwstr>http://www.nevo.co.il/case/22355740</vt:lpwstr>
      </vt:variant>
      <vt:variant>
        <vt:lpwstr/>
      </vt:variant>
      <vt:variant>
        <vt:i4>7995492</vt:i4>
      </vt:variant>
      <vt:variant>
        <vt:i4>243</vt:i4>
      </vt:variant>
      <vt:variant>
        <vt:i4>0</vt:i4>
      </vt:variant>
      <vt:variant>
        <vt:i4>5</vt:i4>
      </vt:variant>
      <vt:variant>
        <vt:lpwstr>http://www.nevo.co.il/law/70301</vt:lpwstr>
      </vt:variant>
      <vt:variant>
        <vt:lpwstr/>
      </vt:variant>
      <vt:variant>
        <vt:i4>3735668</vt:i4>
      </vt:variant>
      <vt:variant>
        <vt:i4>240</vt:i4>
      </vt:variant>
      <vt:variant>
        <vt:i4>0</vt:i4>
      </vt:variant>
      <vt:variant>
        <vt:i4>5</vt:i4>
      </vt:variant>
      <vt:variant>
        <vt:lpwstr>http://www.nevo.co.il/case/4654820</vt:lpwstr>
      </vt:variant>
      <vt:variant>
        <vt:lpwstr/>
      </vt:variant>
      <vt:variant>
        <vt:i4>3276927</vt:i4>
      </vt:variant>
      <vt:variant>
        <vt:i4>237</vt:i4>
      </vt:variant>
      <vt:variant>
        <vt:i4>0</vt:i4>
      </vt:variant>
      <vt:variant>
        <vt:i4>5</vt:i4>
      </vt:variant>
      <vt:variant>
        <vt:lpwstr>http://www.nevo.co.il/case/2260593</vt:lpwstr>
      </vt:variant>
      <vt:variant>
        <vt:lpwstr/>
      </vt:variant>
      <vt:variant>
        <vt:i4>3211388</vt:i4>
      </vt:variant>
      <vt:variant>
        <vt:i4>234</vt:i4>
      </vt:variant>
      <vt:variant>
        <vt:i4>0</vt:i4>
      </vt:variant>
      <vt:variant>
        <vt:i4>5</vt:i4>
      </vt:variant>
      <vt:variant>
        <vt:lpwstr>http://www.nevo.co.il/case/5849797</vt:lpwstr>
      </vt:variant>
      <vt:variant>
        <vt:lpwstr/>
      </vt:variant>
      <vt:variant>
        <vt:i4>3145844</vt:i4>
      </vt:variant>
      <vt:variant>
        <vt:i4>231</vt:i4>
      </vt:variant>
      <vt:variant>
        <vt:i4>0</vt:i4>
      </vt:variant>
      <vt:variant>
        <vt:i4>5</vt:i4>
      </vt:variant>
      <vt:variant>
        <vt:lpwstr>http://www.nevo.co.il/case/5743140</vt:lpwstr>
      </vt:variant>
      <vt:variant>
        <vt:lpwstr/>
      </vt:variant>
      <vt:variant>
        <vt:i4>3932277</vt:i4>
      </vt:variant>
      <vt:variant>
        <vt:i4>228</vt:i4>
      </vt:variant>
      <vt:variant>
        <vt:i4>0</vt:i4>
      </vt:variant>
      <vt:variant>
        <vt:i4>5</vt:i4>
      </vt:variant>
      <vt:variant>
        <vt:lpwstr>http://www.nevo.co.il/case/5784021</vt:lpwstr>
      </vt:variant>
      <vt:variant>
        <vt:lpwstr/>
      </vt:variant>
      <vt:variant>
        <vt:i4>196686</vt:i4>
      </vt:variant>
      <vt:variant>
        <vt:i4>225</vt:i4>
      </vt:variant>
      <vt:variant>
        <vt:i4>0</vt:i4>
      </vt:variant>
      <vt:variant>
        <vt:i4>5</vt:i4>
      </vt:variant>
      <vt:variant>
        <vt:lpwstr>http://www.nevo.co.il/case/483240</vt:lpwstr>
      </vt:variant>
      <vt:variant>
        <vt:lpwstr/>
      </vt:variant>
      <vt:variant>
        <vt:i4>7995492</vt:i4>
      </vt:variant>
      <vt:variant>
        <vt:i4>222</vt:i4>
      </vt:variant>
      <vt:variant>
        <vt:i4>0</vt:i4>
      </vt:variant>
      <vt:variant>
        <vt:i4>5</vt:i4>
      </vt:variant>
      <vt:variant>
        <vt:lpwstr>http://www.nevo.co.il/law/70301</vt:lpwstr>
      </vt:variant>
      <vt:variant>
        <vt:lpwstr/>
      </vt:variant>
      <vt:variant>
        <vt:i4>4849667</vt:i4>
      </vt:variant>
      <vt:variant>
        <vt:i4>219</vt:i4>
      </vt:variant>
      <vt:variant>
        <vt:i4>0</vt:i4>
      </vt:variant>
      <vt:variant>
        <vt:i4>5</vt:i4>
      </vt:variant>
      <vt:variant>
        <vt:lpwstr>http://www.nevo.co.il/law/70301/71a.b</vt:lpwstr>
      </vt:variant>
      <vt:variant>
        <vt:lpwstr/>
      </vt:variant>
      <vt:variant>
        <vt:i4>6291562</vt:i4>
      </vt:variant>
      <vt:variant>
        <vt:i4>216</vt:i4>
      </vt:variant>
      <vt:variant>
        <vt:i4>0</vt:i4>
      </vt:variant>
      <vt:variant>
        <vt:i4>5</vt:i4>
      </vt:variant>
      <vt:variant>
        <vt:lpwstr>http://www.nevo.co.il/law/74903/71a</vt:lpwstr>
      </vt:variant>
      <vt:variant>
        <vt:lpwstr/>
      </vt:variant>
      <vt:variant>
        <vt:i4>3276916</vt:i4>
      </vt:variant>
      <vt:variant>
        <vt:i4>213</vt:i4>
      </vt:variant>
      <vt:variant>
        <vt:i4>0</vt:i4>
      </vt:variant>
      <vt:variant>
        <vt:i4>5</vt:i4>
      </vt:variant>
      <vt:variant>
        <vt:lpwstr>http://www.nevo.co.il/case/5810781</vt:lpwstr>
      </vt:variant>
      <vt:variant>
        <vt:lpwstr/>
      </vt:variant>
      <vt:variant>
        <vt:i4>8257634</vt:i4>
      </vt:variant>
      <vt:variant>
        <vt:i4>210</vt:i4>
      </vt:variant>
      <vt:variant>
        <vt:i4>0</vt:i4>
      </vt:variant>
      <vt:variant>
        <vt:i4>5</vt:i4>
      </vt:variant>
      <vt:variant>
        <vt:lpwstr>http://www.nevo.co.il/law/71553</vt:lpwstr>
      </vt:variant>
      <vt:variant>
        <vt:lpwstr/>
      </vt:variant>
      <vt:variant>
        <vt:i4>8323168</vt:i4>
      </vt:variant>
      <vt:variant>
        <vt:i4>207</vt:i4>
      </vt:variant>
      <vt:variant>
        <vt:i4>0</vt:i4>
      </vt:variant>
      <vt:variant>
        <vt:i4>5</vt:i4>
      </vt:variant>
      <vt:variant>
        <vt:lpwstr>http://www.nevo.co.il/law/71553/1.2</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4849667</vt:i4>
      </vt:variant>
      <vt:variant>
        <vt:i4>201</vt:i4>
      </vt:variant>
      <vt:variant>
        <vt:i4>0</vt:i4>
      </vt:variant>
      <vt:variant>
        <vt:i4>5</vt:i4>
      </vt:variant>
      <vt:variant>
        <vt:lpwstr>http://www.nevo.co.il/law/70301/71a.b</vt:lpwstr>
      </vt:variant>
      <vt:variant>
        <vt:lpwstr/>
      </vt:variant>
      <vt:variant>
        <vt:i4>8257646</vt:i4>
      </vt:variant>
      <vt:variant>
        <vt:i4>198</vt:i4>
      </vt:variant>
      <vt:variant>
        <vt:i4>0</vt:i4>
      </vt:variant>
      <vt:variant>
        <vt:i4>5</vt:i4>
      </vt:variant>
      <vt:variant>
        <vt:lpwstr>http://www.nevo.co.il/law/74903</vt:lpwstr>
      </vt:variant>
      <vt:variant>
        <vt:lpwstr/>
      </vt:variant>
      <vt:variant>
        <vt:i4>589918</vt:i4>
      </vt:variant>
      <vt:variant>
        <vt:i4>195</vt:i4>
      </vt:variant>
      <vt:variant>
        <vt:i4>0</vt:i4>
      </vt:variant>
      <vt:variant>
        <vt:i4>5</vt:i4>
      </vt:variant>
      <vt:variant>
        <vt:lpwstr>http://www.nevo.co.il/law/74903/192a</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6619233</vt:i4>
      </vt:variant>
      <vt:variant>
        <vt:i4>189</vt:i4>
      </vt:variant>
      <vt:variant>
        <vt:i4>0</vt:i4>
      </vt:variant>
      <vt:variant>
        <vt:i4>5</vt:i4>
      </vt:variant>
      <vt:variant>
        <vt:lpwstr>http://www.nevo.co.il/law/70301/40i</vt:lpwstr>
      </vt:variant>
      <vt:variant>
        <vt:lpwstr/>
      </vt:variant>
      <vt:variant>
        <vt:i4>3866744</vt:i4>
      </vt:variant>
      <vt:variant>
        <vt:i4>186</vt:i4>
      </vt:variant>
      <vt:variant>
        <vt:i4>0</vt:i4>
      </vt:variant>
      <vt:variant>
        <vt:i4>5</vt:i4>
      </vt:variant>
      <vt:variant>
        <vt:lpwstr>http://www.nevo.co.il/case/20199517</vt:lpwstr>
      </vt:variant>
      <vt:variant>
        <vt:lpwstr/>
      </vt:variant>
      <vt:variant>
        <vt:i4>3604597</vt:i4>
      </vt:variant>
      <vt:variant>
        <vt:i4>183</vt:i4>
      </vt:variant>
      <vt:variant>
        <vt:i4>0</vt:i4>
      </vt:variant>
      <vt:variant>
        <vt:i4>5</vt:i4>
      </vt:variant>
      <vt:variant>
        <vt:lpwstr>http://www.nevo.co.il/case/25053162</vt:lpwstr>
      </vt:variant>
      <vt:variant>
        <vt:lpwstr/>
      </vt:variant>
      <vt:variant>
        <vt:i4>3866740</vt:i4>
      </vt:variant>
      <vt:variant>
        <vt:i4>180</vt:i4>
      </vt:variant>
      <vt:variant>
        <vt:i4>0</vt:i4>
      </vt:variant>
      <vt:variant>
        <vt:i4>5</vt:i4>
      </vt:variant>
      <vt:variant>
        <vt:lpwstr>http://www.nevo.co.il/case/24319534</vt:lpwstr>
      </vt:variant>
      <vt:variant>
        <vt:lpwstr/>
      </vt:variant>
      <vt:variant>
        <vt:i4>3473530</vt:i4>
      </vt:variant>
      <vt:variant>
        <vt:i4>177</vt:i4>
      </vt:variant>
      <vt:variant>
        <vt:i4>0</vt:i4>
      </vt:variant>
      <vt:variant>
        <vt:i4>5</vt:i4>
      </vt:variant>
      <vt:variant>
        <vt:lpwstr>http://www.nevo.co.il/case/22856999</vt:lpwstr>
      </vt:variant>
      <vt:variant>
        <vt:lpwstr/>
      </vt:variant>
      <vt:variant>
        <vt:i4>3145843</vt:i4>
      </vt:variant>
      <vt:variant>
        <vt:i4>174</vt:i4>
      </vt:variant>
      <vt:variant>
        <vt:i4>0</vt:i4>
      </vt:variant>
      <vt:variant>
        <vt:i4>5</vt:i4>
      </vt:variant>
      <vt:variant>
        <vt:lpwstr>http://www.nevo.co.il/case/11213700</vt:lpwstr>
      </vt:variant>
      <vt:variant>
        <vt:lpwstr/>
      </vt:variant>
      <vt:variant>
        <vt:i4>3407993</vt:i4>
      </vt:variant>
      <vt:variant>
        <vt:i4>171</vt:i4>
      </vt:variant>
      <vt:variant>
        <vt:i4>0</vt:i4>
      </vt:variant>
      <vt:variant>
        <vt:i4>5</vt:i4>
      </vt:variant>
      <vt:variant>
        <vt:lpwstr>http://www.nevo.co.il/case/3892678</vt:lpwstr>
      </vt:variant>
      <vt:variant>
        <vt:lpwstr/>
      </vt:variant>
      <vt:variant>
        <vt:i4>3604595</vt:i4>
      </vt:variant>
      <vt:variant>
        <vt:i4>168</vt:i4>
      </vt:variant>
      <vt:variant>
        <vt:i4>0</vt:i4>
      </vt:variant>
      <vt:variant>
        <vt:i4>5</vt:i4>
      </vt:variant>
      <vt:variant>
        <vt:lpwstr>http://www.nevo.co.il/case/17978777</vt:lpwstr>
      </vt:variant>
      <vt:variant>
        <vt:lpwstr/>
      </vt:variant>
      <vt:variant>
        <vt:i4>3342462</vt:i4>
      </vt:variant>
      <vt:variant>
        <vt:i4>165</vt:i4>
      </vt:variant>
      <vt:variant>
        <vt:i4>0</vt:i4>
      </vt:variant>
      <vt:variant>
        <vt:i4>5</vt:i4>
      </vt:variant>
      <vt:variant>
        <vt:lpwstr>http://www.nevo.co.il/case/7012287</vt:lpwstr>
      </vt:variant>
      <vt:variant>
        <vt:lpwstr/>
      </vt:variant>
      <vt:variant>
        <vt:i4>3539062</vt:i4>
      </vt:variant>
      <vt:variant>
        <vt:i4>162</vt:i4>
      </vt:variant>
      <vt:variant>
        <vt:i4>0</vt:i4>
      </vt:variant>
      <vt:variant>
        <vt:i4>5</vt:i4>
      </vt:variant>
      <vt:variant>
        <vt:lpwstr>http://www.nevo.co.il/case/21477472</vt:lpwstr>
      </vt:variant>
      <vt:variant>
        <vt:lpwstr/>
      </vt:variant>
      <vt:variant>
        <vt:i4>3407990</vt:i4>
      </vt:variant>
      <vt:variant>
        <vt:i4>159</vt:i4>
      </vt:variant>
      <vt:variant>
        <vt:i4>0</vt:i4>
      </vt:variant>
      <vt:variant>
        <vt:i4>5</vt:i4>
      </vt:variant>
      <vt:variant>
        <vt:lpwstr>http://www.nevo.co.il/case/5787128</vt:lpwstr>
      </vt:variant>
      <vt:variant>
        <vt:lpwstr/>
      </vt:variant>
      <vt:variant>
        <vt:i4>3997819</vt:i4>
      </vt:variant>
      <vt:variant>
        <vt:i4>156</vt:i4>
      </vt:variant>
      <vt:variant>
        <vt:i4>0</vt:i4>
      </vt:variant>
      <vt:variant>
        <vt:i4>5</vt:i4>
      </vt:variant>
      <vt:variant>
        <vt:lpwstr>http://www.nevo.co.il/case/5681787</vt:lpwstr>
      </vt:variant>
      <vt:variant>
        <vt:lpwstr/>
      </vt:variant>
      <vt:variant>
        <vt:i4>3866740</vt:i4>
      </vt:variant>
      <vt:variant>
        <vt:i4>153</vt:i4>
      </vt:variant>
      <vt:variant>
        <vt:i4>0</vt:i4>
      </vt:variant>
      <vt:variant>
        <vt:i4>5</vt:i4>
      </vt:variant>
      <vt:variant>
        <vt:lpwstr>http://www.nevo.co.il/case/25973238</vt:lpwstr>
      </vt:variant>
      <vt:variant>
        <vt:lpwstr/>
      </vt:variant>
      <vt:variant>
        <vt:i4>3997811</vt:i4>
      </vt:variant>
      <vt:variant>
        <vt:i4>150</vt:i4>
      </vt:variant>
      <vt:variant>
        <vt:i4>0</vt:i4>
      </vt:variant>
      <vt:variant>
        <vt:i4>5</vt:i4>
      </vt:variant>
      <vt:variant>
        <vt:lpwstr>http://www.nevo.co.il/case/23827604</vt:lpwstr>
      </vt:variant>
      <vt:variant>
        <vt:lpwstr/>
      </vt:variant>
      <vt:variant>
        <vt:i4>3407996</vt:i4>
      </vt:variant>
      <vt:variant>
        <vt:i4>147</vt:i4>
      </vt:variant>
      <vt:variant>
        <vt:i4>0</vt:i4>
      </vt:variant>
      <vt:variant>
        <vt:i4>5</vt:i4>
      </vt:variant>
      <vt:variant>
        <vt:lpwstr>http://www.nevo.co.il/case/6248620</vt:lpwstr>
      </vt:variant>
      <vt:variant>
        <vt:lpwstr/>
      </vt:variant>
      <vt:variant>
        <vt:i4>3866738</vt:i4>
      </vt:variant>
      <vt:variant>
        <vt:i4>144</vt:i4>
      </vt:variant>
      <vt:variant>
        <vt:i4>0</vt:i4>
      </vt:variant>
      <vt:variant>
        <vt:i4>5</vt:i4>
      </vt:variant>
      <vt:variant>
        <vt:lpwstr>http://www.nevo.co.il/case/5726579</vt:lpwstr>
      </vt:variant>
      <vt:variant>
        <vt:lpwstr/>
      </vt:variant>
      <vt:variant>
        <vt:i4>3407991</vt:i4>
      </vt:variant>
      <vt:variant>
        <vt:i4>141</vt:i4>
      </vt:variant>
      <vt:variant>
        <vt:i4>0</vt:i4>
      </vt:variant>
      <vt:variant>
        <vt:i4>5</vt:i4>
      </vt:variant>
      <vt:variant>
        <vt:lpwstr>http://www.nevo.co.il/case/5786821</vt:lpwstr>
      </vt:variant>
      <vt:variant>
        <vt:lpwstr/>
      </vt:variant>
      <vt:variant>
        <vt:i4>3014771</vt:i4>
      </vt:variant>
      <vt:variant>
        <vt:i4>138</vt:i4>
      </vt:variant>
      <vt:variant>
        <vt:i4>0</vt:i4>
      </vt:variant>
      <vt:variant>
        <vt:i4>5</vt:i4>
      </vt:variant>
      <vt:variant>
        <vt:lpwstr>http://www.nevo.co.il/law/4216/19a</vt:lpwstr>
      </vt:variant>
      <vt:variant>
        <vt:lpwstr/>
      </vt:variant>
      <vt:variant>
        <vt:i4>3473521</vt:i4>
      </vt:variant>
      <vt:variant>
        <vt:i4>135</vt:i4>
      </vt:variant>
      <vt:variant>
        <vt:i4>0</vt:i4>
      </vt:variant>
      <vt:variant>
        <vt:i4>5</vt:i4>
      </vt:variant>
      <vt:variant>
        <vt:lpwstr>http://www.nevo.co.il/case/20033641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393227</vt:i4>
      </vt:variant>
      <vt:variant>
        <vt:i4>129</vt:i4>
      </vt:variant>
      <vt:variant>
        <vt:i4>0</vt:i4>
      </vt:variant>
      <vt:variant>
        <vt:i4>5</vt:i4>
      </vt:variant>
      <vt:variant>
        <vt:lpwstr>http://www.nevo.co.il/law/70301/40jc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7077945</vt:i4>
      </vt:variant>
      <vt:variant>
        <vt:i4>117</vt:i4>
      </vt:variant>
      <vt:variant>
        <vt:i4>0</vt:i4>
      </vt:variant>
      <vt:variant>
        <vt:i4>5</vt:i4>
      </vt:variant>
      <vt:variant>
        <vt:lpwstr>http://www.nevo.co.il/law/70301/499.a.1</vt:lpwstr>
      </vt:variant>
      <vt:variant>
        <vt:lpwstr/>
      </vt:variant>
      <vt:variant>
        <vt:i4>8257637</vt:i4>
      </vt:variant>
      <vt:variant>
        <vt:i4>114</vt:i4>
      </vt:variant>
      <vt:variant>
        <vt:i4>0</vt:i4>
      </vt:variant>
      <vt:variant>
        <vt:i4>5</vt:i4>
      </vt:variant>
      <vt:variant>
        <vt:lpwstr>http://www.nevo.co.il/law/4216</vt:lpwstr>
      </vt:variant>
      <vt:variant>
        <vt:lpwstr/>
      </vt:variant>
      <vt:variant>
        <vt:i4>2883686</vt:i4>
      </vt:variant>
      <vt:variant>
        <vt:i4>111</vt:i4>
      </vt:variant>
      <vt:variant>
        <vt:i4>0</vt:i4>
      </vt:variant>
      <vt:variant>
        <vt:i4>5</vt:i4>
      </vt:variant>
      <vt:variant>
        <vt:lpwstr>http://www.nevo.co.il/law/4216/13;19.a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7077945</vt:i4>
      </vt:variant>
      <vt:variant>
        <vt:i4>105</vt:i4>
      </vt:variant>
      <vt:variant>
        <vt:i4>0</vt:i4>
      </vt:variant>
      <vt:variant>
        <vt:i4>5</vt:i4>
      </vt:variant>
      <vt:variant>
        <vt:lpwstr>http://www.nevo.co.il/law/70301/499.a.1</vt:lpwstr>
      </vt:variant>
      <vt:variant>
        <vt:lpwstr/>
      </vt:variant>
      <vt:variant>
        <vt:i4>8257637</vt:i4>
      </vt:variant>
      <vt:variant>
        <vt:i4>102</vt:i4>
      </vt:variant>
      <vt:variant>
        <vt:i4>0</vt:i4>
      </vt:variant>
      <vt:variant>
        <vt:i4>5</vt:i4>
      </vt:variant>
      <vt:variant>
        <vt:lpwstr>http://www.nevo.co.il/law/4216</vt:lpwstr>
      </vt:variant>
      <vt:variant>
        <vt:lpwstr/>
      </vt:variant>
      <vt:variant>
        <vt:i4>2883686</vt:i4>
      </vt:variant>
      <vt:variant>
        <vt:i4>99</vt:i4>
      </vt:variant>
      <vt:variant>
        <vt:i4>0</vt:i4>
      </vt:variant>
      <vt:variant>
        <vt:i4>5</vt:i4>
      </vt:variant>
      <vt:variant>
        <vt:lpwstr>http://www.nevo.co.il/law/4216/13;19.a</vt:lpwstr>
      </vt:variant>
      <vt:variant>
        <vt:lpwstr/>
      </vt:variant>
      <vt:variant>
        <vt:i4>8323168</vt:i4>
      </vt:variant>
      <vt:variant>
        <vt:i4>96</vt:i4>
      </vt:variant>
      <vt:variant>
        <vt:i4>0</vt:i4>
      </vt:variant>
      <vt:variant>
        <vt:i4>5</vt:i4>
      </vt:variant>
      <vt:variant>
        <vt:lpwstr>http://www.nevo.co.il/law/71553/1.2</vt:lpwstr>
      </vt:variant>
      <vt:variant>
        <vt:lpwstr/>
      </vt:variant>
      <vt:variant>
        <vt:i4>8257634</vt:i4>
      </vt:variant>
      <vt:variant>
        <vt:i4>93</vt:i4>
      </vt:variant>
      <vt:variant>
        <vt:i4>0</vt:i4>
      </vt:variant>
      <vt:variant>
        <vt:i4>5</vt:i4>
      </vt:variant>
      <vt:variant>
        <vt:lpwstr>http://www.nevo.co.il/law/71553</vt:lpwstr>
      </vt:variant>
      <vt:variant>
        <vt:lpwstr/>
      </vt:variant>
      <vt:variant>
        <vt:i4>589918</vt:i4>
      </vt:variant>
      <vt:variant>
        <vt:i4>90</vt:i4>
      </vt:variant>
      <vt:variant>
        <vt:i4>0</vt:i4>
      </vt:variant>
      <vt:variant>
        <vt:i4>5</vt:i4>
      </vt:variant>
      <vt:variant>
        <vt:lpwstr>http://www.nevo.co.il/law/74903/192a</vt:lpwstr>
      </vt:variant>
      <vt:variant>
        <vt:lpwstr/>
      </vt:variant>
      <vt:variant>
        <vt:i4>6291562</vt:i4>
      </vt:variant>
      <vt:variant>
        <vt:i4>87</vt:i4>
      </vt:variant>
      <vt:variant>
        <vt:i4>0</vt:i4>
      </vt:variant>
      <vt:variant>
        <vt:i4>5</vt:i4>
      </vt:variant>
      <vt:variant>
        <vt:lpwstr>http://www.nevo.co.il/law/74903/71a</vt:lpwstr>
      </vt:variant>
      <vt:variant>
        <vt:lpwstr/>
      </vt:variant>
      <vt:variant>
        <vt:i4>8257646</vt:i4>
      </vt:variant>
      <vt:variant>
        <vt:i4>84</vt:i4>
      </vt:variant>
      <vt:variant>
        <vt:i4>0</vt:i4>
      </vt:variant>
      <vt:variant>
        <vt:i4>5</vt:i4>
      </vt:variant>
      <vt:variant>
        <vt:lpwstr>http://www.nevo.co.il/law/74903</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6357089</vt:i4>
      </vt:variant>
      <vt:variant>
        <vt:i4>78</vt:i4>
      </vt:variant>
      <vt:variant>
        <vt:i4>0</vt:i4>
      </vt:variant>
      <vt:variant>
        <vt:i4>5</vt:i4>
      </vt:variant>
      <vt:variant>
        <vt:lpwstr>http://www.nevo.co.il/law/70301/449</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4849667</vt:i4>
      </vt:variant>
      <vt:variant>
        <vt:i4>72</vt:i4>
      </vt:variant>
      <vt:variant>
        <vt:i4>0</vt:i4>
      </vt:variant>
      <vt:variant>
        <vt:i4>5</vt:i4>
      </vt:variant>
      <vt:variant>
        <vt:lpwstr>http://www.nevo.co.il/law/70301/71a.b</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6357107</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8257637</vt:i4>
      </vt:variant>
      <vt:variant>
        <vt:i4>51</vt:i4>
      </vt:variant>
      <vt:variant>
        <vt:i4>0</vt:i4>
      </vt:variant>
      <vt:variant>
        <vt:i4>5</vt:i4>
      </vt:variant>
      <vt:variant>
        <vt:lpwstr>http://www.nevo.co.il/law/4216</vt:lpwstr>
      </vt:variant>
      <vt:variant>
        <vt:lpwstr/>
      </vt:variant>
      <vt:variant>
        <vt:i4>2097195</vt:i4>
      </vt:variant>
      <vt:variant>
        <vt:i4>48</vt:i4>
      </vt:variant>
      <vt:variant>
        <vt:i4>0</vt:i4>
      </vt:variant>
      <vt:variant>
        <vt:i4>5</vt:i4>
      </vt:variant>
      <vt:variant>
        <vt:lpwstr>http://www.nevo.co.il/safrut/bookgroup/2344</vt:lpwstr>
      </vt:variant>
      <vt:variant>
        <vt:lpwstr/>
      </vt:variant>
      <vt:variant>
        <vt:i4>8323168</vt:i4>
      </vt:variant>
      <vt:variant>
        <vt:i4>45</vt:i4>
      </vt:variant>
      <vt:variant>
        <vt:i4>0</vt:i4>
      </vt:variant>
      <vt:variant>
        <vt:i4>5</vt:i4>
      </vt:variant>
      <vt:variant>
        <vt:lpwstr>http://www.nevo.co.il/law/71553/1.2</vt:lpwstr>
      </vt:variant>
      <vt:variant>
        <vt:lpwstr/>
      </vt:variant>
      <vt:variant>
        <vt:i4>8257634</vt:i4>
      </vt:variant>
      <vt:variant>
        <vt:i4>42</vt:i4>
      </vt:variant>
      <vt:variant>
        <vt:i4>0</vt:i4>
      </vt:variant>
      <vt:variant>
        <vt:i4>5</vt:i4>
      </vt:variant>
      <vt:variant>
        <vt:lpwstr>http://www.nevo.co.il/law/71553</vt:lpwstr>
      </vt:variant>
      <vt:variant>
        <vt:lpwstr/>
      </vt:variant>
      <vt:variant>
        <vt:i4>589918</vt:i4>
      </vt:variant>
      <vt:variant>
        <vt:i4>39</vt:i4>
      </vt:variant>
      <vt:variant>
        <vt:i4>0</vt:i4>
      </vt:variant>
      <vt:variant>
        <vt:i4>5</vt:i4>
      </vt:variant>
      <vt:variant>
        <vt:lpwstr>http://www.nevo.co.il/law/74903/192a</vt:lpwstr>
      </vt:variant>
      <vt:variant>
        <vt:lpwstr/>
      </vt:variant>
      <vt:variant>
        <vt:i4>6291562</vt:i4>
      </vt:variant>
      <vt:variant>
        <vt:i4>36</vt:i4>
      </vt:variant>
      <vt:variant>
        <vt:i4>0</vt:i4>
      </vt:variant>
      <vt:variant>
        <vt:i4>5</vt:i4>
      </vt:variant>
      <vt:variant>
        <vt:lpwstr>http://www.nevo.co.il/law/74903/71a</vt:lpwstr>
      </vt:variant>
      <vt:variant>
        <vt:lpwstr/>
      </vt:variant>
      <vt:variant>
        <vt:i4>8257646</vt:i4>
      </vt:variant>
      <vt:variant>
        <vt:i4>33</vt:i4>
      </vt:variant>
      <vt:variant>
        <vt:i4>0</vt:i4>
      </vt:variant>
      <vt:variant>
        <vt:i4>5</vt:i4>
      </vt:variant>
      <vt:variant>
        <vt:lpwstr>http://www.nevo.co.il/law/74903</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6357089</vt:i4>
      </vt:variant>
      <vt:variant>
        <vt:i4>27</vt:i4>
      </vt:variant>
      <vt:variant>
        <vt:i4>0</vt:i4>
      </vt:variant>
      <vt:variant>
        <vt:i4>5</vt:i4>
      </vt:variant>
      <vt:variant>
        <vt:lpwstr>http://www.nevo.co.il/law/70301/449</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4849667</vt:i4>
      </vt:variant>
      <vt:variant>
        <vt:i4>21</vt:i4>
      </vt:variant>
      <vt:variant>
        <vt:i4>0</vt:i4>
      </vt:variant>
      <vt:variant>
        <vt:i4>5</vt:i4>
      </vt:variant>
      <vt:variant>
        <vt:lpwstr>http://www.nevo.co.il/law/70301/71a.b</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18320</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חנניה חננאל אביקזר</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20201105</vt:lpwstr>
  </property>
  <property fmtid="{D5CDD505-2E9C-101B-9397-08002B2CF9AE}" pid="13" name="TYPE_N_DATE">
    <vt:lpwstr>38020201105</vt:lpwstr>
  </property>
  <property fmtid="{D5CDD505-2E9C-101B-9397-08002B2CF9AE}" pid="14" name="WORDNUMPAGES">
    <vt:lpwstr>11</vt:lpwstr>
  </property>
  <property fmtid="{D5CDD505-2E9C-101B-9397-08002B2CF9AE}" pid="15" name="TYPE_ABS_DATE">
    <vt:lpwstr>380120201105</vt:lpwstr>
  </property>
  <property fmtid="{D5CDD505-2E9C-101B-9397-08002B2CF9AE}" pid="16" name="ISABSTRACT">
    <vt:lpwstr>Y</vt:lpwstr>
  </property>
  <property fmtid="{D5CDD505-2E9C-101B-9397-08002B2CF9AE}" pid="17" name="PADIMAIL">
    <vt:lpwstr>YES</vt:lpwstr>
  </property>
  <property fmtid="{D5CDD505-2E9C-101B-9397-08002B2CF9AE}" pid="18" name="NOSE1ID">
    <vt:lpwstr>77;77</vt:lpwstr>
  </property>
  <property fmtid="{D5CDD505-2E9C-101B-9397-08002B2CF9AE}" pid="19" name="NOSE2ID">
    <vt:lpwstr>1446;1446</vt:lpwstr>
  </property>
  <property fmtid="{D5CDD505-2E9C-101B-9397-08002B2CF9AE}" pid="20" name="NOSE3ID">
    <vt:lpwstr>8991;8975</vt:lpwstr>
  </property>
  <property fmtid="{D5CDD505-2E9C-101B-9397-08002B2CF9AE}" pid="21" name="NOSE11">
    <vt:lpwstr>עונשין</vt:lpwstr>
  </property>
  <property fmtid="{D5CDD505-2E9C-101B-9397-08002B2CF9AE}" pid="22" name="NOSE21">
    <vt:lpwstr>ענישה</vt:lpwstr>
  </property>
  <property fmtid="{D5CDD505-2E9C-101B-9397-08002B2CF9AE}" pid="23" name="NOSE31">
    <vt:lpwstr>מדיניות ענישה: עבירות סמים</vt:lpwstr>
  </property>
  <property fmtid="{D5CDD505-2E9C-101B-9397-08002B2CF9AE}" pid="24" name="NOSE12">
    <vt:lpwstr>עונשין</vt:lpwstr>
  </property>
  <property fmtid="{D5CDD505-2E9C-101B-9397-08002B2CF9AE}" pid="25" name="NOSE22">
    <vt:lpwstr>ענישה</vt:lpwstr>
  </property>
  <property fmtid="{D5CDD505-2E9C-101B-9397-08002B2CF9AE}" pid="26" name="NOSE32">
    <vt:lpwstr>דרכי ענישה: שירות לתועלת הציבור</vt:lpwstr>
  </property>
  <property fmtid="{D5CDD505-2E9C-101B-9397-08002B2CF9AE}" pid="27" name="PADIDATE">
    <vt:lpwstr>20201207</vt:lpwstr>
  </property>
  <property fmtid="{D5CDD505-2E9C-101B-9397-08002B2CF9AE}" pid="28" name="METAKZER">
    <vt:lpwstr>שירי</vt:lpwstr>
  </property>
  <property fmtid="{D5CDD505-2E9C-101B-9397-08002B2CF9AE}" pid="29" name="CASESLISTTMP1">
    <vt:lpwstr>20033641;5786821;5726579;6248620;23827604;25973238;5681787;5787128;21477472;7012287;17978777;3892678;11213700;22856999;24319534;25053162;20199517;5810781;483240;5784021;5743140;5849797;2260593;4654820;22355740</vt:lpwstr>
  </property>
  <property fmtid="{D5CDD505-2E9C-101B-9397-08002B2CF9AE}" pid="30" name="BOOKGROUPTMP1">
    <vt:lpwstr/>
  </property>
  <property fmtid="{D5CDD505-2E9C-101B-9397-08002B2CF9AE}" pid="31" name="NOBOOKNEVO">
    <vt:lpwstr>2344</vt:lpwstr>
  </property>
  <property fmtid="{D5CDD505-2E9C-101B-9397-08002B2CF9AE}" pid="32" name="LAWLISTTMP1">
    <vt:lpwstr>4216/013;019.a;019a</vt:lpwstr>
  </property>
  <property fmtid="{D5CDD505-2E9C-101B-9397-08002B2CF9AE}" pid="33" name="LAWLISTTMP2">
    <vt:lpwstr>70301/040b;040i;071a.b:2;40jc;449;499.a.1</vt:lpwstr>
  </property>
  <property fmtid="{D5CDD505-2E9C-101B-9397-08002B2CF9AE}" pid="34" name="LAWLISTTMP3">
    <vt:lpwstr>74903/071a;192a</vt:lpwstr>
  </property>
  <property fmtid="{D5CDD505-2E9C-101B-9397-08002B2CF9AE}" pid="35" name="LAWLISTTMP4">
    <vt:lpwstr>71553/001.2</vt:lpwstr>
  </property>
</Properties>
</file>