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7B53" w:rsidRPr="005354AB" w14:paraId="3255192F" w14:textId="77777777" w:rsidTr="00D340B1">
        <w:trPr>
          <w:trHeight w:hRule="exact" w:val="418"/>
          <w:jc w:val="center"/>
        </w:trPr>
        <w:tc>
          <w:tcPr>
            <w:tcW w:w="8721" w:type="dxa"/>
            <w:gridSpan w:val="2"/>
          </w:tcPr>
          <w:p w14:paraId="200D1E6E" w14:textId="77777777" w:rsidR="00447B53" w:rsidRPr="0015668B" w:rsidRDefault="00447B53" w:rsidP="00C33402">
            <w:pPr>
              <w:pStyle w:val="a3"/>
              <w:jc w:val="center"/>
              <w:rPr>
                <w:rFonts w:ascii="Tahoma" w:hAnsi="Tahoma" w:cs="Tahoma"/>
                <w:color w:val="000080"/>
                <w:rtl/>
                <w:lang w:val="en-US" w:eastAsia="en-US"/>
              </w:rPr>
            </w:pPr>
            <w:bookmarkStart w:id="0" w:name="LastJudge"/>
            <w:r w:rsidRPr="0015668B">
              <w:rPr>
                <w:rFonts w:ascii="Tahoma" w:hAnsi="Tahoma" w:cs="Tahoma"/>
                <w:b/>
                <w:bCs/>
                <w:color w:val="000080"/>
                <w:rtl/>
                <w:lang w:val="en-US" w:eastAsia="en-US"/>
              </w:rPr>
              <w:t>בית משפט השלום באשקלון</w:t>
            </w:r>
          </w:p>
        </w:tc>
      </w:tr>
      <w:tr w:rsidR="00447B53" w:rsidRPr="005354AB" w14:paraId="24D4EF96" w14:textId="77777777" w:rsidTr="00D340B1">
        <w:trPr>
          <w:trHeight w:val="337"/>
          <w:jc w:val="center"/>
        </w:trPr>
        <w:tc>
          <w:tcPr>
            <w:tcW w:w="5054" w:type="dxa"/>
          </w:tcPr>
          <w:p w14:paraId="05B3F4E6" w14:textId="77777777" w:rsidR="00447B53" w:rsidRPr="005354AB" w:rsidRDefault="00447B53" w:rsidP="00C33402">
            <w:pPr>
              <w:rPr>
                <w:rFonts w:cs="FrankRuehl"/>
                <w:sz w:val="28"/>
                <w:szCs w:val="28"/>
                <w:rtl/>
              </w:rPr>
            </w:pPr>
            <w:r w:rsidRPr="005354AB">
              <w:rPr>
                <w:rFonts w:cs="FrankRuehl"/>
                <w:sz w:val="28"/>
                <w:szCs w:val="28"/>
                <w:rtl/>
              </w:rPr>
              <w:t>ת"פ</w:t>
            </w:r>
            <w:r w:rsidRPr="005354AB">
              <w:rPr>
                <w:rFonts w:cs="FrankRuehl" w:hint="cs"/>
                <w:sz w:val="28"/>
                <w:szCs w:val="28"/>
                <w:rtl/>
              </w:rPr>
              <w:t xml:space="preserve"> </w:t>
            </w:r>
            <w:r w:rsidRPr="005354AB">
              <w:rPr>
                <w:rFonts w:cs="FrankRuehl"/>
                <w:sz w:val="28"/>
                <w:szCs w:val="28"/>
                <w:rtl/>
              </w:rPr>
              <w:t>31276-05-19</w:t>
            </w:r>
            <w:r w:rsidRPr="005354AB">
              <w:rPr>
                <w:rFonts w:cs="FrankRuehl" w:hint="cs"/>
                <w:sz w:val="28"/>
                <w:szCs w:val="28"/>
                <w:rtl/>
              </w:rPr>
              <w:t xml:space="preserve"> </w:t>
            </w:r>
            <w:r w:rsidRPr="005354AB">
              <w:rPr>
                <w:rFonts w:cs="FrankRuehl"/>
                <w:sz w:val="28"/>
                <w:szCs w:val="28"/>
                <w:rtl/>
              </w:rPr>
              <w:t>מדינת ישראל נ' סרי</w:t>
            </w:r>
          </w:p>
          <w:p w14:paraId="63C6C058" w14:textId="77777777" w:rsidR="00447B53" w:rsidRPr="0015668B" w:rsidRDefault="00447B53" w:rsidP="00C33402">
            <w:pPr>
              <w:pStyle w:val="a3"/>
              <w:rPr>
                <w:rFonts w:cs="FrankRuehl"/>
                <w:sz w:val="28"/>
                <w:szCs w:val="28"/>
                <w:rtl/>
                <w:lang w:val="en-US" w:eastAsia="en-US"/>
              </w:rPr>
            </w:pPr>
          </w:p>
        </w:tc>
        <w:tc>
          <w:tcPr>
            <w:tcW w:w="3667" w:type="dxa"/>
          </w:tcPr>
          <w:p w14:paraId="5ACDD0ED" w14:textId="77777777" w:rsidR="00447B53" w:rsidRPr="0015668B" w:rsidRDefault="00447B53" w:rsidP="00C33402">
            <w:pPr>
              <w:pStyle w:val="a3"/>
              <w:jc w:val="right"/>
              <w:rPr>
                <w:rFonts w:cs="FrankRuehl"/>
                <w:sz w:val="28"/>
                <w:szCs w:val="28"/>
                <w:rtl/>
                <w:lang w:val="en-US" w:eastAsia="en-US"/>
              </w:rPr>
            </w:pPr>
          </w:p>
        </w:tc>
      </w:tr>
    </w:tbl>
    <w:p w14:paraId="17F81F04" w14:textId="77777777" w:rsidR="00447B53" w:rsidRPr="005354AB" w:rsidRDefault="00447B53" w:rsidP="00447B53">
      <w:pPr>
        <w:pStyle w:val="a3"/>
        <w:rPr>
          <w:rtl/>
        </w:rPr>
      </w:pPr>
      <w:r w:rsidRPr="005354AB">
        <w:rPr>
          <w:rFonts w:hint="cs"/>
          <w:rtl/>
        </w:rPr>
        <w:t xml:space="preserve"> </w:t>
      </w:r>
    </w:p>
    <w:p w14:paraId="24CAA7E8" w14:textId="77777777" w:rsidR="00447B53" w:rsidRPr="005354AB" w:rsidRDefault="00447B53" w:rsidP="00447B53">
      <w:pPr>
        <w:rPr>
          <w:rtl/>
        </w:rPr>
      </w:pPr>
    </w:p>
    <w:p w14:paraId="0D9845C0" w14:textId="77777777" w:rsidR="00447B53" w:rsidRPr="005354AB" w:rsidRDefault="00447B53" w:rsidP="00447B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47B53" w:rsidRPr="005354AB" w14:paraId="2122A7EB" w14:textId="77777777" w:rsidTr="00447B53">
        <w:trPr>
          <w:trHeight w:val="295"/>
          <w:jc w:val="center"/>
        </w:trPr>
        <w:tc>
          <w:tcPr>
            <w:tcW w:w="923" w:type="dxa"/>
            <w:tcBorders>
              <w:top w:val="nil"/>
              <w:left w:val="nil"/>
              <w:bottom w:val="nil"/>
              <w:right w:val="nil"/>
            </w:tcBorders>
            <w:shd w:val="clear" w:color="auto" w:fill="auto"/>
          </w:tcPr>
          <w:p w14:paraId="25B8A1C1" w14:textId="77777777" w:rsidR="00447B53" w:rsidRPr="005354AB" w:rsidRDefault="00447B53" w:rsidP="00447B53">
            <w:pPr>
              <w:jc w:val="both"/>
              <w:rPr>
                <w:rFonts w:ascii="Arial" w:hAnsi="Arial" w:cs="FrankRuehl"/>
                <w:sz w:val="28"/>
                <w:szCs w:val="28"/>
              </w:rPr>
            </w:pPr>
            <w:r w:rsidRPr="005354AB">
              <w:rPr>
                <w:rFonts w:ascii="Arial" w:hAnsi="Arial" w:cs="FrankRuehl" w:hint="cs"/>
                <w:sz w:val="28"/>
                <w:szCs w:val="28"/>
                <w:rtl/>
              </w:rPr>
              <w:t>ב</w:t>
            </w:r>
            <w:r w:rsidRPr="005354A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7223C22" w14:textId="77777777" w:rsidR="00447B53" w:rsidRPr="005354AB" w:rsidRDefault="00447B53" w:rsidP="00C33402">
            <w:pPr>
              <w:rPr>
                <w:rFonts w:ascii="Arial" w:hAnsi="Arial"/>
                <w:b/>
                <w:bCs/>
                <w:rtl/>
              </w:rPr>
            </w:pPr>
            <w:r w:rsidRPr="005354AB">
              <w:rPr>
                <w:rFonts w:ascii="Arial" w:hAnsi="Arial" w:hint="cs"/>
                <w:b/>
                <w:bCs/>
                <w:rtl/>
              </w:rPr>
              <w:t>כבוד ה</w:t>
            </w:r>
            <w:r w:rsidRPr="005354AB">
              <w:rPr>
                <w:rFonts w:ascii="Arial" w:hAnsi="Arial"/>
                <w:b/>
                <w:bCs/>
                <w:rtl/>
              </w:rPr>
              <w:t>שופטת</w:t>
            </w:r>
            <w:r w:rsidRPr="005354AB">
              <w:rPr>
                <w:rFonts w:ascii="Arial" w:hAnsi="Arial" w:hint="cs"/>
                <w:b/>
                <w:bCs/>
                <w:rtl/>
              </w:rPr>
              <w:t xml:space="preserve">  </w:t>
            </w:r>
            <w:r w:rsidRPr="005354AB">
              <w:rPr>
                <w:rFonts w:ascii="Arial" w:hAnsi="Arial"/>
                <w:b/>
                <w:bCs/>
                <w:rtl/>
              </w:rPr>
              <w:t>ענת חולתא</w:t>
            </w:r>
          </w:p>
          <w:p w14:paraId="3769C815" w14:textId="77777777" w:rsidR="00447B53" w:rsidRPr="005354AB" w:rsidRDefault="00447B53" w:rsidP="00C33402">
            <w:pPr>
              <w:rPr>
                <w:rtl/>
              </w:rPr>
            </w:pPr>
          </w:p>
          <w:p w14:paraId="702D9E66" w14:textId="77777777" w:rsidR="00447B53" w:rsidRPr="005354AB" w:rsidRDefault="00447B53" w:rsidP="00447B53">
            <w:pPr>
              <w:jc w:val="both"/>
              <w:rPr>
                <w:rFonts w:ascii="Arial" w:hAnsi="Arial" w:cs="FrankRuehl"/>
                <w:sz w:val="28"/>
                <w:szCs w:val="28"/>
              </w:rPr>
            </w:pPr>
          </w:p>
        </w:tc>
      </w:tr>
      <w:tr w:rsidR="00447B53" w:rsidRPr="005354AB" w14:paraId="5522CF9F" w14:textId="77777777" w:rsidTr="00447B53">
        <w:trPr>
          <w:trHeight w:val="355"/>
          <w:jc w:val="center"/>
        </w:trPr>
        <w:tc>
          <w:tcPr>
            <w:tcW w:w="923" w:type="dxa"/>
            <w:tcBorders>
              <w:top w:val="nil"/>
              <w:left w:val="nil"/>
              <w:bottom w:val="nil"/>
              <w:right w:val="nil"/>
            </w:tcBorders>
            <w:shd w:val="clear" w:color="auto" w:fill="auto"/>
          </w:tcPr>
          <w:p w14:paraId="49909566" w14:textId="77777777" w:rsidR="00447B53" w:rsidRPr="005354AB" w:rsidRDefault="00447B53" w:rsidP="00447B53">
            <w:pPr>
              <w:jc w:val="both"/>
              <w:rPr>
                <w:rFonts w:ascii="Arial" w:hAnsi="Arial" w:cs="FrankRuehl"/>
                <w:sz w:val="28"/>
                <w:szCs w:val="28"/>
              </w:rPr>
            </w:pPr>
            <w:bookmarkStart w:id="1" w:name="FirstAppellant"/>
            <w:r w:rsidRPr="005354A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AC03848" w14:textId="77777777" w:rsidR="00447B53" w:rsidRPr="005354AB" w:rsidRDefault="00447B53" w:rsidP="00C33402">
            <w:r w:rsidRPr="005354A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B3BEDE9" w14:textId="77777777" w:rsidR="00447B53" w:rsidRPr="005354AB" w:rsidRDefault="00447B53" w:rsidP="00447B53">
            <w:pPr>
              <w:jc w:val="both"/>
              <w:rPr>
                <w:rFonts w:ascii="Arial" w:hAnsi="Arial" w:cs="FrankRuehl"/>
                <w:sz w:val="28"/>
                <w:szCs w:val="28"/>
              </w:rPr>
            </w:pPr>
          </w:p>
        </w:tc>
      </w:tr>
      <w:bookmarkEnd w:id="1"/>
      <w:tr w:rsidR="00447B53" w:rsidRPr="005354AB" w14:paraId="6C2C61AA" w14:textId="77777777" w:rsidTr="00447B53">
        <w:trPr>
          <w:trHeight w:val="355"/>
          <w:jc w:val="center"/>
        </w:trPr>
        <w:tc>
          <w:tcPr>
            <w:tcW w:w="923" w:type="dxa"/>
            <w:tcBorders>
              <w:top w:val="nil"/>
              <w:left w:val="nil"/>
              <w:bottom w:val="nil"/>
              <w:right w:val="nil"/>
            </w:tcBorders>
            <w:shd w:val="clear" w:color="auto" w:fill="auto"/>
          </w:tcPr>
          <w:p w14:paraId="3383E7A5" w14:textId="77777777" w:rsidR="00447B53" w:rsidRPr="005354AB" w:rsidRDefault="00447B53" w:rsidP="00447B5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5A7975" w14:textId="77777777" w:rsidR="00447B53" w:rsidRPr="005354AB" w:rsidRDefault="00447B53" w:rsidP="00447B53">
            <w:pPr>
              <w:jc w:val="both"/>
              <w:rPr>
                <w:rtl/>
              </w:rPr>
            </w:pPr>
          </w:p>
        </w:tc>
        <w:tc>
          <w:tcPr>
            <w:tcW w:w="3771" w:type="dxa"/>
            <w:tcBorders>
              <w:top w:val="nil"/>
              <w:left w:val="nil"/>
              <w:bottom w:val="nil"/>
              <w:right w:val="nil"/>
            </w:tcBorders>
            <w:shd w:val="clear" w:color="auto" w:fill="auto"/>
          </w:tcPr>
          <w:p w14:paraId="37F27983" w14:textId="77777777" w:rsidR="00447B53" w:rsidRPr="005354AB" w:rsidRDefault="00447B53" w:rsidP="00447B53">
            <w:pPr>
              <w:jc w:val="right"/>
              <w:rPr>
                <w:rFonts w:ascii="Arial" w:hAnsi="Arial" w:cs="FrankRuehl"/>
                <w:sz w:val="28"/>
                <w:szCs w:val="28"/>
                <w:rtl/>
              </w:rPr>
            </w:pPr>
            <w:r w:rsidRPr="005354AB">
              <w:rPr>
                <w:rFonts w:ascii="Arial" w:hAnsi="Arial" w:cs="FrankRuehl" w:hint="cs"/>
                <w:sz w:val="28"/>
                <w:szCs w:val="28"/>
                <w:rtl/>
              </w:rPr>
              <w:t>ה</w:t>
            </w:r>
            <w:r w:rsidRPr="005354AB">
              <w:rPr>
                <w:rFonts w:ascii="Arial" w:hAnsi="Arial" w:cs="FrankRuehl"/>
                <w:sz w:val="28"/>
                <w:szCs w:val="28"/>
                <w:rtl/>
              </w:rPr>
              <w:t>מאשימה</w:t>
            </w:r>
          </w:p>
        </w:tc>
      </w:tr>
      <w:tr w:rsidR="00447B53" w:rsidRPr="005354AB" w14:paraId="38B6105E" w14:textId="77777777" w:rsidTr="00447B53">
        <w:trPr>
          <w:trHeight w:val="355"/>
          <w:jc w:val="center"/>
        </w:trPr>
        <w:tc>
          <w:tcPr>
            <w:tcW w:w="923" w:type="dxa"/>
            <w:tcBorders>
              <w:top w:val="nil"/>
              <w:left w:val="nil"/>
              <w:bottom w:val="nil"/>
              <w:right w:val="nil"/>
            </w:tcBorders>
            <w:shd w:val="clear" w:color="auto" w:fill="auto"/>
          </w:tcPr>
          <w:p w14:paraId="7DABB71B" w14:textId="77777777" w:rsidR="00447B53" w:rsidRPr="005354AB" w:rsidRDefault="00447B53" w:rsidP="00447B5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F9C8CDB" w14:textId="77777777" w:rsidR="00447B53" w:rsidRPr="005354AB" w:rsidRDefault="00447B53" w:rsidP="00447B53">
            <w:pPr>
              <w:jc w:val="center"/>
              <w:rPr>
                <w:rFonts w:ascii="Arial" w:hAnsi="Arial" w:cs="FrankRuehl"/>
                <w:b/>
                <w:bCs/>
                <w:sz w:val="28"/>
                <w:szCs w:val="28"/>
                <w:rtl/>
              </w:rPr>
            </w:pPr>
          </w:p>
          <w:p w14:paraId="73D485BF" w14:textId="77777777" w:rsidR="00447B53" w:rsidRPr="005354AB" w:rsidRDefault="00447B53" w:rsidP="00447B53">
            <w:pPr>
              <w:jc w:val="center"/>
              <w:rPr>
                <w:rFonts w:ascii="Arial" w:hAnsi="Arial" w:cs="FrankRuehl"/>
                <w:b/>
                <w:bCs/>
                <w:sz w:val="28"/>
                <w:szCs w:val="28"/>
                <w:rtl/>
              </w:rPr>
            </w:pPr>
            <w:r w:rsidRPr="005354AB">
              <w:rPr>
                <w:rFonts w:ascii="Arial" w:hAnsi="Arial" w:cs="FrankRuehl"/>
                <w:b/>
                <w:bCs/>
                <w:sz w:val="28"/>
                <w:szCs w:val="28"/>
                <w:rtl/>
              </w:rPr>
              <w:t>נגד</w:t>
            </w:r>
          </w:p>
          <w:p w14:paraId="3B1BE893" w14:textId="77777777" w:rsidR="00447B53" w:rsidRPr="005354AB" w:rsidRDefault="00447B53" w:rsidP="00447B53">
            <w:pPr>
              <w:jc w:val="both"/>
              <w:rPr>
                <w:rFonts w:ascii="Arial" w:hAnsi="Arial" w:cs="FrankRuehl"/>
                <w:sz w:val="28"/>
                <w:szCs w:val="28"/>
              </w:rPr>
            </w:pPr>
          </w:p>
        </w:tc>
      </w:tr>
      <w:tr w:rsidR="00447B53" w:rsidRPr="005354AB" w14:paraId="35CC9DCF" w14:textId="77777777" w:rsidTr="00447B53">
        <w:trPr>
          <w:trHeight w:val="355"/>
          <w:jc w:val="center"/>
        </w:trPr>
        <w:tc>
          <w:tcPr>
            <w:tcW w:w="923" w:type="dxa"/>
            <w:tcBorders>
              <w:top w:val="nil"/>
              <w:left w:val="nil"/>
              <w:bottom w:val="nil"/>
              <w:right w:val="nil"/>
            </w:tcBorders>
            <w:shd w:val="clear" w:color="auto" w:fill="auto"/>
          </w:tcPr>
          <w:p w14:paraId="3B9EAC22" w14:textId="77777777" w:rsidR="00447B53" w:rsidRPr="005354AB" w:rsidRDefault="00447B53" w:rsidP="00C33402">
            <w:pPr>
              <w:rPr>
                <w:rFonts w:ascii="Arial" w:hAnsi="Arial" w:cs="FrankRuehl"/>
                <w:sz w:val="28"/>
                <w:szCs w:val="28"/>
                <w:rtl/>
              </w:rPr>
            </w:pPr>
          </w:p>
        </w:tc>
        <w:tc>
          <w:tcPr>
            <w:tcW w:w="4126" w:type="dxa"/>
            <w:tcBorders>
              <w:top w:val="nil"/>
              <w:left w:val="nil"/>
              <w:bottom w:val="nil"/>
              <w:right w:val="nil"/>
            </w:tcBorders>
            <w:shd w:val="clear" w:color="auto" w:fill="auto"/>
          </w:tcPr>
          <w:p w14:paraId="513E60DA" w14:textId="77777777" w:rsidR="00447B53" w:rsidRPr="005354AB" w:rsidRDefault="00447B53" w:rsidP="00C33402">
            <w:pPr>
              <w:rPr>
                <w:rtl/>
              </w:rPr>
            </w:pPr>
            <w:r w:rsidRPr="005354AB">
              <w:rPr>
                <w:rFonts w:ascii="Arial" w:hAnsi="Arial" w:cs="FrankRuehl"/>
                <w:sz w:val="28"/>
                <w:szCs w:val="28"/>
                <w:rtl/>
              </w:rPr>
              <w:t>דימטרי סרי</w:t>
            </w:r>
          </w:p>
        </w:tc>
        <w:tc>
          <w:tcPr>
            <w:tcW w:w="3771" w:type="dxa"/>
            <w:tcBorders>
              <w:top w:val="nil"/>
              <w:left w:val="nil"/>
              <w:bottom w:val="nil"/>
              <w:right w:val="nil"/>
            </w:tcBorders>
            <w:shd w:val="clear" w:color="auto" w:fill="auto"/>
          </w:tcPr>
          <w:p w14:paraId="6116767E" w14:textId="77777777" w:rsidR="00447B53" w:rsidRPr="005354AB" w:rsidRDefault="00447B53" w:rsidP="00447B53">
            <w:pPr>
              <w:jc w:val="right"/>
              <w:rPr>
                <w:rFonts w:ascii="Arial" w:hAnsi="Arial" w:cs="FrankRuehl"/>
                <w:sz w:val="28"/>
                <w:szCs w:val="28"/>
              </w:rPr>
            </w:pPr>
          </w:p>
        </w:tc>
      </w:tr>
      <w:tr w:rsidR="00447B53" w:rsidRPr="005354AB" w14:paraId="0B7AFF8A" w14:textId="77777777" w:rsidTr="00447B53">
        <w:trPr>
          <w:trHeight w:val="355"/>
          <w:jc w:val="center"/>
        </w:trPr>
        <w:tc>
          <w:tcPr>
            <w:tcW w:w="923" w:type="dxa"/>
            <w:tcBorders>
              <w:top w:val="nil"/>
              <w:left w:val="nil"/>
              <w:bottom w:val="nil"/>
              <w:right w:val="nil"/>
            </w:tcBorders>
            <w:shd w:val="clear" w:color="auto" w:fill="auto"/>
          </w:tcPr>
          <w:p w14:paraId="05CEE678" w14:textId="77777777" w:rsidR="00447B53" w:rsidRPr="005354AB" w:rsidRDefault="00447B53" w:rsidP="00447B5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D6C3C05" w14:textId="77777777" w:rsidR="00447B53" w:rsidRPr="005354AB" w:rsidRDefault="00447B53" w:rsidP="00447B53">
            <w:pPr>
              <w:jc w:val="both"/>
              <w:rPr>
                <w:rtl/>
              </w:rPr>
            </w:pPr>
          </w:p>
        </w:tc>
        <w:tc>
          <w:tcPr>
            <w:tcW w:w="3771" w:type="dxa"/>
            <w:tcBorders>
              <w:top w:val="nil"/>
              <w:left w:val="nil"/>
              <w:bottom w:val="nil"/>
              <w:right w:val="nil"/>
            </w:tcBorders>
            <w:shd w:val="clear" w:color="auto" w:fill="auto"/>
          </w:tcPr>
          <w:p w14:paraId="6C476F05" w14:textId="77777777" w:rsidR="00447B53" w:rsidRPr="005354AB" w:rsidRDefault="00447B53" w:rsidP="00447B53">
            <w:pPr>
              <w:jc w:val="right"/>
              <w:rPr>
                <w:rFonts w:ascii="Arial" w:hAnsi="Arial" w:cs="FrankRuehl"/>
                <w:sz w:val="28"/>
                <w:szCs w:val="28"/>
              </w:rPr>
            </w:pPr>
            <w:r w:rsidRPr="005354AB">
              <w:rPr>
                <w:rFonts w:ascii="Arial" w:hAnsi="Arial" w:cs="FrankRuehl" w:hint="cs"/>
                <w:sz w:val="28"/>
                <w:szCs w:val="28"/>
                <w:rtl/>
              </w:rPr>
              <w:t>ה</w:t>
            </w:r>
            <w:r w:rsidRPr="005354AB">
              <w:rPr>
                <w:rFonts w:ascii="Arial" w:hAnsi="Arial" w:cs="FrankRuehl"/>
                <w:sz w:val="28"/>
                <w:szCs w:val="28"/>
                <w:rtl/>
              </w:rPr>
              <w:t>נאשם</w:t>
            </w:r>
          </w:p>
        </w:tc>
      </w:tr>
    </w:tbl>
    <w:p w14:paraId="08AA1A31" w14:textId="77777777" w:rsidR="00D340B1" w:rsidRDefault="00D340B1" w:rsidP="005354AB">
      <w:pPr>
        <w:rPr>
          <w:rtl/>
        </w:rPr>
      </w:pPr>
    </w:p>
    <w:p w14:paraId="00BB811A" w14:textId="77777777" w:rsidR="00D340B1" w:rsidRPr="00D340B1" w:rsidRDefault="00D340B1" w:rsidP="00D340B1">
      <w:pPr>
        <w:spacing w:after="120" w:line="240" w:lineRule="exact"/>
        <w:ind w:left="283" w:hanging="283"/>
        <w:jc w:val="both"/>
        <w:rPr>
          <w:rFonts w:ascii="FrankRuehl" w:hAnsi="FrankRuehl" w:cs="FrankRuehl"/>
          <w:rtl/>
        </w:rPr>
      </w:pPr>
    </w:p>
    <w:p w14:paraId="345477DF" w14:textId="77777777" w:rsidR="006F5F15" w:rsidRDefault="006F5F15" w:rsidP="006F5F15">
      <w:pPr>
        <w:rPr>
          <w:rtl/>
        </w:rPr>
      </w:pPr>
      <w:bookmarkStart w:id="2" w:name="LawTable"/>
      <w:bookmarkEnd w:id="2"/>
    </w:p>
    <w:p w14:paraId="27876D0C" w14:textId="77777777" w:rsidR="006F5F15" w:rsidRPr="006F5F15" w:rsidRDefault="006F5F15" w:rsidP="006F5F15">
      <w:pPr>
        <w:spacing w:before="120" w:after="120" w:line="240" w:lineRule="exact"/>
        <w:ind w:left="283" w:hanging="283"/>
        <w:jc w:val="both"/>
        <w:rPr>
          <w:rFonts w:ascii="FrankRuehl" w:hAnsi="FrankRuehl" w:cs="FrankRuehl"/>
          <w:rtl/>
        </w:rPr>
      </w:pPr>
    </w:p>
    <w:p w14:paraId="116F2BD5" w14:textId="77777777" w:rsidR="006F5F15" w:rsidRPr="006F5F15" w:rsidRDefault="006F5F15" w:rsidP="006F5F15">
      <w:pPr>
        <w:spacing w:before="120" w:after="120" w:line="240" w:lineRule="exact"/>
        <w:ind w:left="283" w:hanging="283"/>
        <w:jc w:val="both"/>
        <w:rPr>
          <w:rFonts w:ascii="FrankRuehl" w:hAnsi="FrankRuehl" w:cs="FrankRuehl"/>
          <w:rtl/>
        </w:rPr>
      </w:pPr>
    </w:p>
    <w:p w14:paraId="70F14AA1" w14:textId="77777777" w:rsidR="006F5F15" w:rsidRPr="006F5F15" w:rsidRDefault="006F5F15" w:rsidP="006F5F15">
      <w:pPr>
        <w:spacing w:before="120" w:after="120" w:line="240" w:lineRule="exact"/>
        <w:ind w:left="283" w:hanging="283"/>
        <w:jc w:val="both"/>
        <w:rPr>
          <w:rFonts w:ascii="FrankRuehl" w:hAnsi="FrankRuehl" w:cs="FrankRuehl"/>
          <w:rtl/>
        </w:rPr>
      </w:pPr>
      <w:r w:rsidRPr="006F5F15">
        <w:rPr>
          <w:rFonts w:ascii="FrankRuehl" w:hAnsi="FrankRuehl" w:cs="FrankRuehl"/>
          <w:rtl/>
        </w:rPr>
        <w:t xml:space="preserve">חקיקה שאוזכרה: </w:t>
      </w:r>
    </w:p>
    <w:p w14:paraId="73C8E62D" w14:textId="77777777" w:rsidR="006F5F15" w:rsidRPr="006F5F15" w:rsidRDefault="006F5F15" w:rsidP="006F5F15">
      <w:pPr>
        <w:spacing w:before="120" w:after="120" w:line="240" w:lineRule="exact"/>
        <w:ind w:left="283" w:hanging="283"/>
        <w:jc w:val="both"/>
        <w:rPr>
          <w:rFonts w:ascii="FrankRuehl" w:hAnsi="FrankRuehl" w:cs="FrankRuehl"/>
          <w:rtl/>
        </w:rPr>
      </w:pPr>
      <w:hyperlink r:id="rId7" w:history="1">
        <w:r w:rsidRPr="006F5F15">
          <w:rPr>
            <w:rFonts w:ascii="FrankRuehl" w:hAnsi="FrankRuehl" w:cs="FrankRuehl"/>
            <w:color w:val="0000FF"/>
            <w:rtl/>
          </w:rPr>
          <w:t>פקודת הסמים המסוכנים [נוסח חדש], תשל"ג-1973</w:t>
        </w:r>
      </w:hyperlink>
      <w:r w:rsidRPr="006F5F15">
        <w:rPr>
          <w:rFonts w:ascii="FrankRuehl" w:hAnsi="FrankRuehl" w:cs="FrankRuehl"/>
          <w:rtl/>
        </w:rPr>
        <w:t xml:space="preserve">: סע'  </w:t>
      </w:r>
      <w:hyperlink r:id="rId8" w:history="1">
        <w:r w:rsidRPr="006F5F15">
          <w:rPr>
            <w:rFonts w:ascii="FrankRuehl" w:hAnsi="FrankRuehl" w:cs="FrankRuehl"/>
            <w:color w:val="0000FF"/>
            <w:rtl/>
          </w:rPr>
          <w:t>7.א.</w:t>
        </w:r>
      </w:hyperlink>
      <w:r w:rsidRPr="006F5F15">
        <w:rPr>
          <w:rFonts w:ascii="FrankRuehl" w:hAnsi="FrankRuehl" w:cs="FrankRuehl"/>
          <w:rtl/>
        </w:rPr>
        <w:t xml:space="preserve">, </w:t>
      </w:r>
      <w:hyperlink r:id="rId9" w:history="1">
        <w:r w:rsidRPr="006F5F15">
          <w:rPr>
            <w:rFonts w:ascii="FrankRuehl" w:hAnsi="FrankRuehl" w:cs="FrankRuehl"/>
            <w:color w:val="0000FF"/>
            <w:rtl/>
          </w:rPr>
          <w:t>7.ג</w:t>
        </w:r>
      </w:hyperlink>
    </w:p>
    <w:p w14:paraId="7D33534A" w14:textId="77777777" w:rsidR="006F5F15" w:rsidRPr="006F5F15" w:rsidRDefault="006F5F15" w:rsidP="006F5F15">
      <w:pPr>
        <w:spacing w:before="120" w:after="120" w:line="240" w:lineRule="exact"/>
        <w:ind w:left="283" w:hanging="283"/>
        <w:jc w:val="both"/>
        <w:rPr>
          <w:rFonts w:ascii="FrankRuehl" w:hAnsi="FrankRuehl" w:cs="FrankRuehl"/>
          <w:rtl/>
        </w:rPr>
      </w:pPr>
      <w:hyperlink r:id="rId10" w:history="1">
        <w:r w:rsidRPr="006F5F15">
          <w:rPr>
            <w:rFonts w:ascii="FrankRuehl" w:hAnsi="FrankRuehl" w:cs="FrankRuehl"/>
            <w:color w:val="0000FF"/>
            <w:rtl/>
          </w:rPr>
          <w:t>חוק העונשין, תשל"ז-1977</w:t>
        </w:r>
      </w:hyperlink>
      <w:r w:rsidRPr="006F5F15">
        <w:rPr>
          <w:rFonts w:ascii="FrankRuehl" w:hAnsi="FrankRuehl" w:cs="FrankRuehl"/>
          <w:rtl/>
        </w:rPr>
        <w:t xml:space="preserve">: סע'  </w:t>
      </w:r>
      <w:hyperlink r:id="rId11" w:history="1">
        <w:r w:rsidRPr="006F5F15">
          <w:rPr>
            <w:rFonts w:ascii="FrankRuehl" w:hAnsi="FrankRuehl" w:cs="FrankRuehl"/>
            <w:color w:val="0000FF"/>
            <w:rtl/>
          </w:rPr>
          <w:t>40 ט</w:t>
        </w:r>
      </w:hyperlink>
    </w:p>
    <w:p w14:paraId="350F4355" w14:textId="77777777" w:rsidR="006F5F15" w:rsidRPr="006F5F15" w:rsidRDefault="006F5F15" w:rsidP="006F5F15">
      <w:pPr>
        <w:rPr>
          <w:rtl/>
        </w:rPr>
      </w:pPr>
      <w:bookmarkStart w:id="3" w:name="LawTable_End"/>
      <w:bookmarkEnd w:id="3"/>
    </w:p>
    <w:p w14:paraId="2596DAB0" w14:textId="77777777" w:rsidR="005354AB" w:rsidRPr="005354AB" w:rsidRDefault="005354A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7B53" w14:paraId="44C80CB1" w14:textId="77777777" w:rsidTr="00447B53">
        <w:trPr>
          <w:trHeight w:val="355"/>
          <w:jc w:val="center"/>
        </w:trPr>
        <w:tc>
          <w:tcPr>
            <w:tcW w:w="8820" w:type="dxa"/>
            <w:tcBorders>
              <w:top w:val="nil"/>
              <w:left w:val="nil"/>
              <w:bottom w:val="nil"/>
              <w:right w:val="nil"/>
            </w:tcBorders>
            <w:shd w:val="clear" w:color="auto" w:fill="auto"/>
          </w:tcPr>
          <w:p w14:paraId="27505E5E" w14:textId="77777777" w:rsidR="005354AB" w:rsidRPr="005354AB" w:rsidRDefault="005354AB" w:rsidP="005354AB">
            <w:pPr>
              <w:jc w:val="center"/>
              <w:rPr>
                <w:rFonts w:ascii="Arial" w:hAnsi="Arial" w:cs="FrankRuehl"/>
                <w:b/>
                <w:bCs/>
                <w:sz w:val="32"/>
                <w:szCs w:val="32"/>
                <w:u w:val="single"/>
                <w:rtl/>
              </w:rPr>
            </w:pPr>
            <w:bookmarkStart w:id="4" w:name="PsakDin" w:colFirst="0" w:colLast="0"/>
            <w:bookmarkEnd w:id="0"/>
            <w:r w:rsidRPr="005354AB">
              <w:rPr>
                <w:rFonts w:ascii="Arial" w:hAnsi="Arial" w:cs="FrankRuehl"/>
                <w:b/>
                <w:bCs/>
                <w:sz w:val="32"/>
                <w:szCs w:val="32"/>
                <w:u w:val="single"/>
                <w:rtl/>
              </w:rPr>
              <w:t>גזר דין</w:t>
            </w:r>
          </w:p>
          <w:p w14:paraId="5140FA1D" w14:textId="77777777" w:rsidR="00447B53" w:rsidRPr="005354AB" w:rsidRDefault="00447B53" w:rsidP="005354AB">
            <w:pPr>
              <w:jc w:val="center"/>
              <w:rPr>
                <w:rFonts w:ascii="Arial" w:hAnsi="Arial" w:cs="FrankRuehl"/>
                <w:bCs/>
                <w:sz w:val="32"/>
                <w:szCs w:val="32"/>
                <w:u w:val="single"/>
                <w:rtl/>
              </w:rPr>
            </w:pPr>
          </w:p>
        </w:tc>
      </w:tr>
      <w:bookmarkEnd w:id="4"/>
    </w:tbl>
    <w:p w14:paraId="499BBA31" w14:textId="77777777" w:rsidR="00447B53" w:rsidRPr="00B05847" w:rsidRDefault="00447B53" w:rsidP="00447B53">
      <w:pPr>
        <w:rPr>
          <w:rFonts w:ascii="Arial" w:hAnsi="Arial"/>
          <w:rtl/>
        </w:rPr>
      </w:pPr>
    </w:p>
    <w:p w14:paraId="7642C61C" w14:textId="77777777" w:rsidR="00447B53" w:rsidRPr="00B05847" w:rsidRDefault="00447B53" w:rsidP="00447B53">
      <w:pPr>
        <w:rPr>
          <w:rtl/>
        </w:rPr>
      </w:pPr>
    </w:p>
    <w:p w14:paraId="7AB717FB" w14:textId="77777777" w:rsidR="00447B53" w:rsidRDefault="00447B53" w:rsidP="00447B53">
      <w:pPr>
        <w:spacing w:line="360" w:lineRule="auto"/>
        <w:jc w:val="both"/>
        <w:rPr>
          <w:rFonts w:ascii="David" w:hAnsi="David"/>
          <w:b/>
          <w:bCs/>
          <w:u w:val="single"/>
        </w:rPr>
      </w:pPr>
      <w:r>
        <w:rPr>
          <w:rFonts w:ascii="David" w:hAnsi="David"/>
          <w:b/>
          <w:bCs/>
          <w:u w:val="single"/>
          <w:rtl/>
        </w:rPr>
        <w:t>רקע</w:t>
      </w:r>
    </w:p>
    <w:p w14:paraId="5D1FE31B" w14:textId="77777777" w:rsidR="00447B53" w:rsidRDefault="00447B53" w:rsidP="00447B53">
      <w:pPr>
        <w:pStyle w:val="aa"/>
        <w:numPr>
          <w:ilvl w:val="0"/>
          <w:numId w:val="1"/>
        </w:numPr>
        <w:spacing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בהכרעת דין מיום 24/10/19, בהתאם להודאתו, בעובדות כתב האישום בעבירה של החזקה סם שלא לצריכה עצמית, לפי סעיף </w:t>
      </w:r>
      <w:hyperlink r:id="rId12" w:history="1">
        <w:r w:rsidR="00D340B1" w:rsidRPr="00D340B1">
          <w:rPr>
            <w:rStyle w:val="Hyperlink"/>
            <w:rFonts w:ascii="David" w:hAnsi="David" w:cs="David"/>
            <w:sz w:val="24"/>
            <w:szCs w:val="24"/>
            <w:rtl/>
          </w:rPr>
          <w:t>7(א) + (ג)</w:t>
        </w:r>
      </w:hyperlink>
      <w:r>
        <w:rPr>
          <w:rFonts w:ascii="David" w:hAnsi="David" w:cs="David"/>
          <w:sz w:val="24"/>
          <w:szCs w:val="24"/>
          <w:rtl/>
        </w:rPr>
        <w:t xml:space="preserve"> רישא ל</w:t>
      </w:r>
      <w:hyperlink r:id="rId13" w:history="1">
        <w:r w:rsidR="005354AB" w:rsidRPr="005354AB">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2B586471" w14:textId="77777777" w:rsidR="00447B53" w:rsidRDefault="00447B53" w:rsidP="00447B53">
      <w:pPr>
        <w:pStyle w:val="aa"/>
        <w:spacing w:line="360" w:lineRule="auto"/>
        <w:jc w:val="both"/>
        <w:rPr>
          <w:rFonts w:ascii="David" w:hAnsi="David" w:cs="David"/>
          <w:sz w:val="24"/>
          <w:szCs w:val="24"/>
        </w:rPr>
      </w:pPr>
    </w:p>
    <w:p w14:paraId="79121086" w14:textId="77777777" w:rsidR="00447B53" w:rsidRDefault="00447B53" w:rsidP="00447B53">
      <w:pPr>
        <w:pStyle w:val="aa"/>
        <w:spacing w:line="360" w:lineRule="auto"/>
        <w:jc w:val="both"/>
        <w:rPr>
          <w:rFonts w:ascii="David" w:hAnsi="David" w:cs="David"/>
          <w:sz w:val="24"/>
          <w:szCs w:val="24"/>
          <w:rtl/>
        </w:rPr>
      </w:pPr>
      <w:r>
        <w:rPr>
          <w:rFonts w:ascii="David" w:hAnsi="David" w:cs="David"/>
          <w:sz w:val="24"/>
          <w:szCs w:val="24"/>
          <w:rtl/>
        </w:rPr>
        <w:t>על פי כתב האישום, ביום 27.9.18 החזיק הנאשם בדירה בחשיש במשקל 67.1 גרם נטו, וכן החזיק שני משקלים אלקטרוניים וציוד המשמש לצריכת סמים. כן החזיק במעמד זה מכשיר טלפון נייד שבו עשה שימוש כדי לתקשר עם אחרים במטרה למכור להם סמים.</w:t>
      </w:r>
    </w:p>
    <w:p w14:paraId="4510DDD7" w14:textId="77777777" w:rsidR="00447B53" w:rsidRDefault="00447B53" w:rsidP="00447B53">
      <w:pPr>
        <w:pStyle w:val="aa"/>
        <w:spacing w:line="360" w:lineRule="auto"/>
        <w:jc w:val="both"/>
        <w:rPr>
          <w:rFonts w:ascii="David" w:hAnsi="David" w:cs="David"/>
          <w:sz w:val="24"/>
          <w:szCs w:val="24"/>
          <w:rtl/>
        </w:rPr>
      </w:pPr>
      <w:bookmarkStart w:id="6" w:name="ABSTRACT_END"/>
      <w:bookmarkEnd w:id="6"/>
    </w:p>
    <w:p w14:paraId="331B5002" w14:textId="77777777" w:rsidR="00447B53" w:rsidRDefault="00447B53" w:rsidP="00447B53">
      <w:pPr>
        <w:pStyle w:val="aa"/>
        <w:numPr>
          <w:ilvl w:val="0"/>
          <w:numId w:val="1"/>
        </w:numPr>
        <w:spacing w:line="360" w:lineRule="auto"/>
        <w:jc w:val="both"/>
        <w:rPr>
          <w:rFonts w:ascii="David" w:hAnsi="David" w:cs="David"/>
          <w:sz w:val="24"/>
          <w:szCs w:val="24"/>
        </w:rPr>
      </w:pPr>
      <w:r>
        <w:rPr>
          <w:rFonts w:ascii="David" w:hAnsi="David" w:cs="David" w:hint="cs"/>
          <w:sz w:val="24"/>
          <w:szCs w:val="24"/>
          <w:rtl/>
        </w:rPr>
        <w:lastRenderedPageBreak/>
        <w:t xml:space="preserve">בהתאם לבקשת ב"כ הנאשם שטען כי מדובר בצעיר ללא הרשעות קודמות נשלח הנאשם לשירות המבחן. </w:t>
      </w:r>
    </w:p>
    <w:p w14:paraId="39D91A78" w14:textId="77777777" w:rsidR="00447B53" w:rsidRDefault="00447B53" w:rsidP="00447B53">
      <w:pPr>
        <w:pStyle w:val="aa"/>
        <w:spacing w:line="360" w:lineRule="auto"/>
        <w:jc w:val="both"/>
        <w:rPr>
          <w:rFonts w:ascii="David" w:hAnsi="David" w:cs="David"/>
          <w:sz w:val="24"/>
          <w:szCs w:val="24"/>
        </w:rPr>
      </w:pPr>
      <w:r>
        <w:rPr>
          <w:rFonts w:ascii="David" w:hAnsi="David" w:cs="David" w:hint="cs"/>
          <w:sz w:val="24"/>
          <w:szCs w:val="24"/>
          <w:rtl/>
        </w:rPr>
        <w:t xml:space="preserve"> </w:t>
      </w:r>
    </w:p>
    <w:p w14:paraId="58D93AD8"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sz w:val="24"/>
          <w:szCs w:val="24"/>
          <w:rtl/>
        </w:rPr>
        <w:t>בעניינו של הנאשם התקבל תסקיר שירות המבחן, שאינו בא בהמלצה. על פי האמור בתסקיר, הנאשם מסר כי מאז היותו בן 17 שנים עשה שימוש תדיר ואינטנסיבי בסמים, לרבות במהלך שירותו הצבאי וזאת בשל לחץ נפשי וכלכלי בו היה מצוי. הנאשם מסר, כי כיום הפסיק את צריכת הסמים בעצמו.</w:t>
      </w:r>
    </w:p>
    <w:p w14:paraId="20B354BA" w14:textId="77777777" w:rsidR="00447B53" w:rsidRDefault="00447B53" w:rsidP="00447B53">
      <w:pPr>
        <w:pStyle w:val="aa"/>
        <w:spacing w:line="360" w:lineRule="auto"/>
        <w:jc w:val="both"/>
        <w:rPr>
          <w:rFonts w:ascii="David" w:hAnsi="David" w:cs="David"/>
          <w:sz w:val="24"/>
          <w:szCs w:val="24"/>
        </w:rPr>
      </w:pPr>
      <w:r>
        <w:rPr>
          <w:rFonts w:ascii="David" w:hAnsi="David" w:cs="David"/>
          <w:sz w:val="24"/>
          <w:szCs w:val="24"/>
          <w:rtl/>
        </w:rPr>
        <w:t>עם זאת, הנאשם התייצב לביצוע בדיקת שתן אחת בלבד, ולא התייצב ביתר הפעמים ועל כן אין בידי שירות המבחן להעריך את מצבו של הנאשם בתחום הסמים כיום.</w:t>
      </w:r>
    </w:p>
    <w:p w14:paraId="1AC61866" w14:textId="77777777" w:rsidR="00447B53" w:rsidRDefault="00447B53" w:rsidP="00447B53">
      <w:pPr>
        <w:pStyle w:val="aa"/>
        <w:spacing w:line="360" w:lineRule="auto"/>
        <w:jc w:val="both"/>
        <w:rPr>
          <w:rFonts w:ascii="David" w:hAnsi="David" w:cs="David"/>
          <w:sz w:val="24"/>
          <w:szCs w:val="24"/>
          <w:rtl/>
        </w:rPr>
      </w:pPr>
      <w:r>
        <w:rPr>
          <w:rFonts w:ascii="David" w:hAnsi="David" w:cs="David"/>
          <w:sz w:val="24"/>
          <w:szCs w:val="24"/>
          <w:rtl/>
        </w:rPr>
        <w:t>הנאשם מסר לשירות המבחן, כי ברקע לביצוע העבירה בה הורשע מצוקה בה היה נתון בתקופת עריקותו מהצבא וכן מסר, כי החזיק בסם לצריכה עצמית בלבד.</w:t>
      </w:r>
    </w:p>
    <w:p w14:paraId="3CA2B6B4" w14:textId="77777777" w:rsidR="00447B53" w:rsidRDefault="00447B53" w:rsidP="00447B53">
      <w:pPr>
        <w:pStyle w:val="aa"/>
        <w:spacing w:line="360" w:lineRule="auto"/>
        <w:jc w:val="both"/>
        <w:rPr>
          <w:rFonts w:ascii="David" w:hAnsi="David" w:cs="David"/>
          <w:sz w:val="24"/>
          <w:szCs w:val="24"/>
          <w:rtl/>
        </w:rPr>
      </w:pPr>
      <w:r>
        <w:rPr>
          <w:rFonts w:ascii="David" w:hAnsi="David" w:cs="David"/>
          <w:sz w:val="24"/>
          <w:szCs w:val="24"/>
          <w:rtl/>
        </w:rPr>
        <w:t xml:space="preserve">הנאשם הביע בתחילה רצון לשיתוף פעולה ושילוב בקשר טיפולי עם שירות המבחן, ואולם בהמשך לא הגיע לפגישות והקשר עמו נותק. </w:t>
      </w:r>
    </w:p>
    <w:p w14:paraId="4947F354" w14:textId="77777777" w:rsidR="00447B53" w:rsidRDefault="00447B53" w:rsidP="00447B53">
      <w:pPr>
        <w:pStyle w:val="aa"/>
        <w:spacing w:line="360" w:lineRule="auto"/>
        <w:jc w:val="both"/>
        <w:rPr>
          <w:rFonts w:ascii="David" w:hAnsi="David" w:cs="David"/>
          <w:sz w:val="24"/>
          <w:szCs w:val="24"/>
          <w:rtl/>
        </w:rPr>
      </w:pPr>
      <w:r>
        <w:rPr>
          <w:rFonts w:ascii="David" w:hAnsi="David" w:cs="David"/>
          <w:sz w:val="24"/>
          <w:szCs w:val="24"/>
          <w:rtl/>
        </w:rPr>
        <w:t>במכלול הנתונים שירות המבחן מתרשם מרמת סיכון גבוהה לביצוע עבירות נוספות בתחום הסמים. לאור ניתוק הקשר, והתרשמות ממוטיבציה מצומצמת לשיתוף פעולה, שירות המבחן לא בא בהמלצה.</w:t>
      </w:r>
    </w:p>
    <w:p w14:paraId="684EB27B" w14:textId="77777777" w:rsidR="00447B53" w:rsidRDefault="00447B53" w:rsidP="00447B53">
      <w:pPr>
        <w:pStyle w:val="aa"/>
        <w:spacing w:line="360" w:lineRule="auto"/>
        <w:jc w:val="both"/>
        <w:rPr>
          <w:rFonts w:ascii="David" w:hAnsi="David" w:cs="David"/>
          <w:sz w:val="24"/>
          <w:szCs w:val="24"/>
          <w:rtl/>
        </w:rPr>
      </w:pPr>
    </w:p>
    <w:p w14:paraId="2E221823"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sz w:val="24"/>
          <w:szCs w:val="24"/>
          <w:rtl/>
        </w:rPr>
        <w:t>בדיון מיום 19.2.2020 טען ב"כ הנאשם כי הנאשם עובד באופן יומיומי בתיקון אנטנות סלולאריות בגובה 40-50 מטר מחוץ לאשקלון ומשכך, מי שעובד בגבהים מעין אלה מוכרח להיות צלול ואינו יכול להיות נתון להשפעת חומרים  או משקאות, אשר עלולים למנוע ממנו את שיקול הדעת הנדרש ממנו בגבהים כאלה. ב"כ הנאשם הסביר, כי הנאשם פעל מאילוצים כלכליים וגיאוגרפיים. בנסיבות אלה, עתר ב"כ הנאשם לאפשר לנאשם לחזור לשירות המבחן ובחון השתלבותו בטיפול וזאת לאחר שהובהרה לנאשם חשיבות התייצבותו בשירות המבחן ומעסיקו אף התחייב לשלם לו את יום העבודה, כדי שיוכל להמשיך את ההליך בשירות המבחן.</w:t>
      </w:r>
    </w:p>
    <w:p w14:paraId="6D04CF6D" w14:textId="77777777" w:rsidR="00447B53" w:rsidRDefault="00447B53" w:rsidP="00447B53">
      <w:pPr>
        <w:pStyle w:val="aa"/>
        <w:spacing w:line="360" w:lineRule="auto"/>
        <w:jc w:val="both"/>
        <w:rPr>
          <w:rFonts w:ascii="David" w:hAnsi="David" w:cs="David"/>
          <w:sz w:val="24"/>
          <w:szCs w:val="24"/>
        </w:rPr>
      </w:pPr>
      <w:r>
        <w:rPr>
          <w:rFonts w:ascii="David" w:hAnsi="David" w:cs="David"/>
          <w:sz w:val="24"/>
          <w:szCs w:val="24"/>
          <w:rtl/>
        </w:rPr>
        <w:t xml:space="preserve">המאשימה לא התנגדה לקבלת תסקיר משלים. </w:t>
      </w:r>
    </w:p>
    <w:p w14:paraId="6C968B32" w14:textId="77777777" w:rsidR="00447B53" w:rsidRDefault="00447B53" w:rsidP="00447B53">
      <w:pPr>
        <w:pStyle w:val="aa"/>
        <w:spacing w:line="360" w:lineRule="auto"/>
        <w:jc w:val="both"/>
        <w:rPr>
          <w:rFonts w:ascii="David" w:hAnsi="David" w:cs="David"/>
          <w:sz w:val="24"/>
          <w:szCs w:val="24"/>
          <w:rtl/>
        </w:rPr>
      </w:pPr>
    </w:p>
    <w:p w14:paraId="6666EE14"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בתסקיר מיום 10.5.2020 שירות המבחן אינו בא בהמלצה. שירות המבחן ציין, כי במהלך תקופת הדחייה המשיך הנאשם לגלות חוסר יציבות בקשר עימם. הוא זומן למספר בדיקות שתן אליהן לא הגיע ולא תמיד נענה לשיחות טלפוניות של שירות המבחן. </w:t>
      </w:r>
    </w:p>
    <w:p w14:paraId="15C86B48" w14:textId="77777777" w:rsidR="00447B53" w:rsidRDefault="00447B53" w:rsidP="00447B53">
      <w:pPr>
        <w:pStyle w:val="aa"/>
        <w:spacing w:line="360" w:lineRule="auto"/>
        <w:jc w:val="both"/>
        <w:rPr>
          <w:rFonts w:ascii="David" w:hAnsi="David" w:cs="David"/>
          <w:sz w:val="24"/>
          <w:szCs w:val="24"/>
        </w:rPr>
      </w:pPr>
      <w:r>
        <w:rPr>
          <w:rFonts w:ascii="David" w:hAnsi="David" w:cs="David"/>
          <w:sz w:val="24"/>
          <w:szCs w:val="24"/>
          <w:rtl/>
        </w:rPr>
        <w:t xml:space="preserve">בשיחות טלפוניות שנעשו עמו, הנאשם ביטא אמביוולנטיות באשר לרצונו להשתלב בהליך טיפולי הדורש יציבות ואחריות בהגעה למפגשים השונים. הנאשם שב וציין כי יש לו חובות שונים ותעסוקה הכוללת נסיעות רבות ברחבי הארץ לאורך שעות רבות, בגינן יתקשה להשתלב בהליך טיפולי לאורך זמן ובסופו של דבר, שלל נכונותו להשתלב בהליך טיפולי. </w:t>
      </w:r>
    </w:p>
    <w:p w14:paraId="44C85FDB" w14:textId="77777777" w:rsidR="00447B53" w:rsidRDefault="00447B53" w:rsidP="00447B53">
      <w:pPr>
        <w:pStyle w:val="aa"/>
        <w:spacing w:line="360" w:lineRule="auto"/>
        <w:jc w:val="both"/>
        <w:rPr>
          <w:rFonts w:ascii="David" w:hAnsi="David" w:cs="David"/>
          <w:sz w:val="24"/>
          <w:szCs w:val="24"/>
          <w:rtl/>
        </w:rPr>
      </w:pPr>
      <w:r>
        <w:rPr>
          <w:rFonts w:ascii="David" w:hAnsi="David" w:cs="David"/>
          <w:sz w:val="24"/>
          <w:szCs w:val="24"/>
          <w:rtl/>
        </w:rPr>
        <w:lastRenderedPageBreak/>
        <w:t>לאור כל האמור, שירות המבחן התרשם, כי מדובר בצעיר שבשלב הנוכחי אינו בשל להשתלב בהליך טיפולי הדורש אחריות אישית, יכולת התמדה, רצון ומוטיבציה בסיסית לערוך שינוי בחייו, כאשר בשל מצבו הכלכלי והתעסוקתי אינו פנוי לכל הליך טיפולי או עונשי בשירות המבחן.</w:t>
      </w:r>
    </w:p>
    <w:p w14:paraId="56121EF6" w14:textId="77777777" w:rsidR="00447B53" w:rsidRDefault="00447B53" w:rsidP="00447B53">
      <w:pPr>
        <w:spacing w:line="360" w:lineRule="auto"/>
        <w:jc w:val="both"/>
        <w:rPr>
          <w:rFonts w:ascii="David" w:hAnsi="David"/>
          <w:b/>
          <w:bCs/>
          <w:u w:val="single"/>
        </w:rPr>
      </w:pPr>
      <w:r>
        <w:rPr>
          <w:rFonts w:ascii="David" w:hAnsi="David"/>
          <w:b/>
          <w:bCs/>
          <w:u w:val="single"/>
          <w:rtl/>
        </w:rPr>
        <w:t>טענות הצדדים</w:t>
      </w:r>
    </w:p>
    <w:p w14:paraId="103AAB5F" w14:textId="77777777" w:rsidR="00447B53" w:rsidRPr="00B37034" w:rsidRDefault="00447B53" w:rsidP="00447B53">
      <w:pPr>
        <w:pStyle w:val="aa"/>
        <w:numPr>
          <w:ilvl w:val="0"/>
          <w:numId w:val="1"/>
        </w:numPr>
        <w:spacing w:line="360" w:lineRule="auto"/>
        <w:jc w:val="both"/>
        <w:rPr>
          <w:rFonts w:ascii="David" w:hAnsi="David" w:cs="David"/>
          <w:b/>
          <w:bCs/>
          <w:sz w:val="24"/>
          <w:szCs w:val="24"/>
        </w:rPr>
      </w:pPr>
      <w:r>
        <w:rPr>
          <w:rFonts w:ascii="David" w:hAnsi="David" w:cs="David"/>
          <w:b/>
          <w:bCs/>
          <w:sz w:val="24"/>
          <w:szCs w:val="24"/>
          <w:rtl/>
        </w:rPr>
        <w:t>ב"כ המאשימה</w:t>
      </w:r>
      <w:r>
        <w:rPr>
          <w:rFonts w:ascii="David" w:hAnsi="David" w:cs="David" w:hint="cs"/>
          <w:b/>
          <w:bCs/>
          <w:sz w:val="24"/>
          <w:szCs w:val="24"/>
          <w:rtl/>
        </w:rPr>
        <w:t xml:space="preserve"> </w:t>
      </w:r>
      <w:r>
        <w:rPr>
          <w:rFonts w:ascii="David" w:hAnsi="David" w:cs="David" w:hint="cs"/>
          <w:sz w:val="24"/>
          <w:szCs w:val="24"/>
          <w:rtl/>
        </w:rPr>
        <w:t xml:space="preserve">בדיון היום ב"כ המאשימה טענה כי מתחם העונש ההולם </w:t>
      </w:r>
      <w:r>
        <w:rPr>
          <w:rFonts w:ascii="David" w:hAnsi="David" w:cs="David"/>
          <w:b/>
          <w:bCs/>
          <w:sz w:val="24"/>
          <w:szCs w:val="24"/>
          <w:rtl/>
        </w:rPr>
        <w:t xml:space="preserve"> </w:t>
      </w:r>
      <w:r w:rsidRPr="00B37034">
        <w:rPr>
          <w:rFonts w:ascii="David" w:hAnsi="David" w:cs="David" w:hint="cs"/>
          <w:sz w:val="24"/>
          <w:szCs w:val="24"/>
          <w:rtl/>
        </w:rPr>
        <w:t>במקרים אלה</w:t>
      </w:r>
      <w:r>
        <w:rPr>
          <w:rFonts w:ascii="David" w:hAnsi="David" w:cs="David" w:hint="cs"/>
          <w:b/>
          <w:bCs/>
          <w:sz w:val="24"/>
          <w:szCs w:val="24"/>
          <w:rtl/>
        </w:rPr>
        <w:t xml:space="preserve"> </w:t>
      </w:r>
      <w:r>
        <w:rPr>
          <w:rFonts w:ascii="David" w:hAnsi="David" w:cs="David" w:hint="cs"/>
          <w:sz w:val="24"/>
          <w:szCs w:val="24"/>
          <w:rtl/>
        </w:rPr>
        <w:t xml:space="preserve">נע בין 6-12 חודשי מאסר בפועל. המאשימה הפנתה לעברו הפלילי של הנאשם הכולל הרשעה מדצמבר 2017 בשני עבירות של החזקת מבית משפט צבאי בגינה נדון למאסר וכן קיים תנאי בתוקף בן 60 יום. ב"כ המאשימה סבורה כי אין במקרה זה כל נימוק המצדיק סטייה ממתחם העונש ההולם. לנאשם ניתנו הזדמנויות לשתף פעולה עם שירות המבחן אך הוא לא עשה כן, כמו כן, בהעדר אינדיקציה להפסקת שימוש בסמים ולאור חוסר שיתוף הפעולה אין כל מקום להפנות את הנאשם לממונה על עבודות השירות. המאשימה סבורה כי גם לאחר שקלול גילו של הנאשם והחיסכון בזמן השיפוטי יש להטיל עונש שהוא במרכז המתחם. לאור זאת המאשימה עותרת להטלת עונש מאסר בפועל במרכז המתחם, הפעלת התנאי במצטבר וכן הטלת תנאי ופסילה על תנאי כעונשים צופי פני עתיד ובנוסף פסילה בפועל לתקופה של מספר חודשים. </w:t>
      </w:r>
    </w:p>
    <w:p w14:paraId="35CD137C" w14:textId="77777777" w:rsidR="00447B53" w:rsidRDefault="00447B53" w:rsidP="00447B53">
      <w:pPr>
        <w:pStyle w:val="aa"/>
        <w:spacing w:line="360" w:lineRule="auto"/>
        <w:jc w:val="both"/>
        <w:rPr>
          <w:rFonts w:ascii="David" w:hAnsi="David" w:cs="David"/>
          <w:b/>
          <w:bCs/>
          <w:sz w:val="24"/>
          <w:szCs w:val="24"/>
          <w:rtl/>
        </w:rPr>
      </w:pPr>
    </w:p>
    <w:p w14:paraId="177149D3" w14:textId="77777777" w:rsidR="00447B53" w:rsidRDefault="00447B53" w:rsidP="00447B53">
      <w:pPr>
        <w:pStyle w:val="aa"/>
        <w:numPr>
          <w:ilvl w:val="0"/>
          <w:numId w:val="1"/>
        </w:numPr>
        <w:spacing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hint="cs"/>
          <w:sz w:val="24"/>
          <w:szCs w:val="24"/>
          <w:rtl/>
        </w:rPr>
        <w:t xml:space="preserve"> ביקש להסתפק בהטלת עונשים צופי בפני עתיד, לחילופין הפניית הנאשם לממונה על עבודות השירות. ב"כ הנאשם לא חלק למעשה לגבי מתחם העונש ההולם המקובל בפסיקה אלא שטען לאור הנסיבות האישיות של הנאשם מן הראוי במקרה זה לסטות מהמתחם לחלופין להסתפק בעבודות שירות. נטען כי הנאשם צעיר, אורך חייו איננו עבירייני. הנאשם עובד למחיתו ומתפרנס באופן מכובד מעבודה מסוכנת ומורכבת שאיננה מתיישבת עם המתמכרות לסמים. נטען כי הרקע לחוסר ההתגייסות בשירות המבחן הוא מחויבות לעבודה וכן קשיים כלכלים. יש לזקוף לזכות הנאשם שהחזיר את עצמו בכוחות עצמו לדרך הנכונה שנמצא בה ובכך לעודד אותו ולא לגרום לנסיגה במצבו. </w:t>
      </w:r>
    </w:p>
    <w:p w14:paraId="7029EBF5" w14:textId="77777777" w:rsidR="00447B53" w:rsidRDefault="00447B53" w:rsidP="00447B53">
      <w:pPr>
        <w:pStyle w:val="aa"/>
        <w:spacing w:line="360" w:lineRule="auto"/>
        <w:jc w:val="both"/>
        <w:rPr>
          <w:rFonts w:ascii="David" w:hAnsi="David" w:cs="David"/>
          <w:sz w:val="24"/>
          <w:szCs w:val="24"/>
        </w:rPr>
      </w:pPr>
    </w:p>
    <w:p w14:paraId="134DFAB6" w14:textId="77777777" w:rsidR="00447B53" w:rsidRDefault="00447B53" w:rsidP="00447B53">
      <w:pPr>
        <w:pStyle w:val="aa"/>
        <w:numPr>
          <w:ilvl w:val="0"/>
          <w:numId w:val="1"/>
        </w:numPr>
        <w:spacing w:line="360" w:lineRule="auto"/>
        <w:jc w:val="both"/>
        <w:rPr>
          <w:rFonts w:ascii="David" w:hAnsi="David" w:cs="David"/>
          <w:sz w:val="24"/>
          <w:szCs w:val="24"/>
        </w:rPr>
      </w:pPr>
      <w:r>
        <w:rPr>
          <w:rFonts w:ascii="David" w:hAnsi="David" w:cs="David" w:hint="cs"/>
          <w:sz w:val="24"/>
          <w:szCs w:val="24"/>
          <w:rtl/>
        </w:rPr>
        <w:t xml:space="preserve">הנאשם בעצמו טען כי לא סחר בסמים אך אישר את החזקת הכמות שבה הורשע. הנאשם הסביר שאיננו יכול להגיע לשירות המבחן פעמיים בשבוע </w:t>
      </w:r>
      <w:r>
        <w:rPr>
          <w:rFonts w:ascii="David" w:hAnsi="David" w:cs="David"/>
          <w:sz w:val="24"/>
          <w:szCs w:val="24"/>
          <w:rtl/>
        </w:rPr>
        <w:t>–</w:t>
      </w:r>
      <w:r>
        <w:rPr>
          <w:rFonts w:ascii="David" w:hAnsi="David" w:cs="David" w:hint="cs"/>
          <w:sz w:val="24"/>
          <w:szCs w:val="24"/>
          <w:rtl/>
        </w:rPr>
        <w:t xml:space="preserve"> פעם אחת לבדיקת שתן ופעם אחת לקבוצה טיפולית בשל אילוצי עבודות. לשאלת בית המשפט איך במצב דברים זה מתכוון לבצע עבודות שירות באופן יום יומי, הנאשם השיב שלא יוכל להתחייב שהוא מצוי בחובות כספיים ולא יכול שלא לעבוד. </w:t>
      </w:r>
    </w:p>
    <w:p w14:paraId="3197D064" w14:textId="77777777" w:rsidR="00447B53" w:rsidRDefault="00447B53" w:rsidP="00447B53">
      <w:pPr>
        <w:pStyle w:val="aa"/>
        <w:spacing w:line="360" w:lineRule="auto"/>
        <w:jc w:val="both"/>
        <w:rPr>
          <w:rFonts w:ascii="David" w:hAnsi="David" w:cs="David"/>
          <w:sz w:val="24"/>
          <w:szCs w:val="24"/>
        </w:rPr>
      </w:pPr>
    </w:p>
    <w:p w14:paraId="28224F9E"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יצוין כי תלוש משכורת שהוגש ע"י הנאשם (נ/1) הינו מחודש דצמבר 2019. כאשר בתלוש מצוין כי מדובר בחודש עבודה הראשון. למעשה אין בפני תמיכה לטענות הנאשם לעבודה רציפה וממושכת במקום עבודה שבו מבצע לטענתו פעילות בבעלת אופי ביטחוני ובתנאים מסוכנים כפי שנטען. אין כל התייחסות לסוג העבודה בפני וממילא כאמור הוגש תלוש משכורת בודד ויחיד. </w:t>
      </w:r>
    </w:p>
    <w:p w14:paraId="47551838" w14:textId="77777777" w:rsidR="00447B53" w:rsidRDefault="00447B53" w:rsidP="00447B53">
      <w:pPr>
        <w:spacing w:line="360" w:lineRule="auto"/>
        <w:jc w:val="both"/>
        <w:rPr>
          <w:rFonts w:ascii="David" w:hAnsi="David"/>
          <w:b/>
          <w:bCs/>
          <w:u w:val="single"/>
          <w:rtl/>
        </w:rPr>
      </w:pPr>
      <w:r>
        <w:rPr>
          <w:rFonts w:ascii="David" w:hAnsi="David"/>
          <w:b/>
          <w:bCs/>
          <w:u w:val="single"/>
          <w:rtl/>
        </w:rPr>
        <w:t>קביעת מתחם העונש ההולם:</w:t>
      </w:r>
    </w:p>
    <w:p w14:paraId="268F028C"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57618568" w14:textId="77777777" w:rsidR="00447B53" w:rsidRDefault="00447B53" w:rsidP="00447B53">
      <w:pPr>
        <w:pStyle w:val="aa"/>
        <w:spacing w:line="360" w:lineRule="auto"/>
        <w:jc w:val="both"/>
        <w:rPr>
          <w:rFonts w:ascii="David" w:hAnsi="David" w:cs="David"/>
          <w:sz w:val="24"/>
          <w:szCs w:val="24"/>
        </w:rPr>
      </w:pPr>
    </w:p>
    <w:p w14:paraId="5347CABC"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אין עוד צורך להכביר מילים בנוגע לערכים החברתיים העומדים בבסיס האיסור על החזקת סמים שלא לצריכה עצמית, בפרט בנסיבות המלמדות על הפצת הסמים. מעבר לצורך בהגנה על שלומו בריאותו ובטחונו של ציבור המשתמשים בסמים, יש לפעול גם למניעת הנזקים החברתיים והכלכליים, הישירים והעקיפים, הנגרמים כתוצאה משימוש בסמים ומפיתוח תלות בו. </w:t>
      </w:r>
    </w:p>
    <w:p w14:paraId="043973FB" w14:textId="77777777" w:rsidR="00447B53" w:rsidRDefault="00447B53" w:rsidP="00447B53">
      <w:pPr>
        <w:pStyle w:val="aa"/>
        <w:spacing w:line="360" w:lineRule="auto"/>
        <w:jc w:val="both"/>
        <w:rPr>
          <w:rFonts w:ascii="David" w:hAnsi="David" w:cs="David"/>
          <w:sz w:val="24"/>
          <w:szCs w:val="24"/>
        </w:rPr>
      </w:pPr>
    </w:p>
    <w:p w14:paraId="2B2303F4" w14:textId="77777777" w:rsidR="00447B53" w:rsidRDefault="00447B53" w:rsidP="00447B53">
      <w:pPr>
        <w:pStyle w:val="aa"/>
        <w:spacing w:line="360" w:lineRule="auto"/>
        <w:jc w:val="both"/>
        <w:rPr>
          <w:rFonts w:ascii="David" w:hAnsi="David" w:cs="David"/>
          <w:sz w:val="24"/>
          <w:szCs w:val="24"/>
          <w:rtl/>
        </w:rPr>
      </w:pPr>
      <w:r>
        <w:rPr>
          <w:rFonts w:ascii="David" w:hAnsi="David" w:cs="David"/>
          <w:sz w:val="24"/>
          <w:szCs w:val="24"/>
          <w:rtl/>
        </w:rPr>
        <w:t xml:space="preserve">בעניין זה ראו, למשל, </w:t>
      </w:r>
      <w:hyperlink r:id="rId14" w:history="1">
        <w:r w:rsidR="005354AB" w:rsidRPr="005354AB">
          <w:rPr>
            <w:rFonts w:ascii="David" w:hAnsi="David" w:cs="David"/>
            <w:color w:val="0000FF"/>
            <w:sz w:val="24"/>
            <w:szCs w:val="24"/>
            <w:u w:val="single"/>
            <w:rtl/>
          </w:rPr>
          <w:t>ע"פ 1345/08</w:t>
        </w:r>
      </w:hyperlink>
      <w:r>
        <w:rPr>
          <w:rFonts w:ascii="David" w:hAnsi="David" w:cs="David"/>
          <w:sz w:val="24"/>
          <w:szCs w:val="24"/>
          <w:rtl/>
        </w:rPr>
        <w:t xml:space="preserve">, </w:t>
      </w:r>
      <w:r>
        <w:rPr>
          <w:rFonts w:ascii="David" w:hAnsi="David" w:cs="David"/>
          <w:b/>
          <w:bCs/>
          <w:sz w:val="24"/>
          <w:szCs w:val="24"/>
          <w:rtl/>
        </w:rPr>
        <w:t>ארקדי איסטרחוב נ' מדינת ישראל</w:t>
      </w:r>
      <w:r>
        <w:rPr>
          <w:rFonts w:ascii="David" w:hAnsi="David" w:cs="David"/>
          <w:sz w:val="24"/>
          <w:szCs w:val="24"/>
          <w:rtl/>
        </w:rPr>
        <w:t>, דברי כב' השופט א. רובנשטיין:</w:t>
      </w:r>
    </w:p>
    <w:p w14:paraId="795B8213" w14:textId="77777777" w:rsidR="00447B53" w:rsidRDefault="00447B53" w:rsidP="00447B53">
      <w:pPr>
        <w:spacing w:line="360" w:lineRule="auto"/>
        <w:ind w:left="720" w:right="284"/>
        <w:jc w:val="both"/>
        <w:rPr>
          <w:rFonts w:ascii="David" w:hAnsi="David"/>
          <w:rtl/>
        </w:rPr>
      </w:pPr>
      <w:r>
        <w:rPr>
          <w:rFonts w:ascii="David" w:hAnsi="David"/>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15" w:history="1">
        <w:r w:rsidR="005354AB" w:rsidRPr="005354AB">
          <w:rPr>
            <w:rFonts w:ascii="David" w:hAnsi="David"/>
            <w:b/>
            <w:bCs/>
            <w:color w:val="0000FF"/>
            <w:u w:val="single"/>
            <w:rtl/>
          </w:rPr>
          <w:t>חוק העונשין</w:t>
        </w:r>
      </w:hyperlink>
      <w:r>
        <w:rPr>
          <w:rFonts w:ascii="David" w:hAnsi="David"/>
          <w:b/>
          <w:bCs/>
          <w:rtl/>
        </w:rPr>
        <w:t>, העומד כיום על 202,000 ₪... יידעו המעורבים בסמים שלא לצריכה עצמית, כי יד המשפט תכבד עליהם".</w:t>
      </w:r>
    </w:p>
    <w:p w14:paraId="469A1C52" w14:textId="77777777" w:rsidR="00447B53" w:rsidRDefault="00447B53" w:rsidP="00447B53">
      <w:pPr>
        <w:spacing w:line="360" w:lineRule="auto"/>
        <w:ind w:left="608" w:right="284"/>
        <w:jc w:val="both"/>
        <w:rPr>
          <w:rFonts w:ascii="David" w:hAnsi="David"/>
          <w:rtl/>
        </w:rPr>
      </w:pPr>
    </w:p>
    <w:p w14:paraId="213D54BA" w14:textId="77777777" w:rsidR="00447B53" w:rsidRDefault="00447B53" w:rsidP="00447B53">
      <w:pPr>
        <w:tabs>
          <w:tab w:val="left" w:pos="466"/>
        </w:tabs>
        <w:spacing w:line="360" w:lineRule="auto"/>
        <w:ind w:left="720" w:hanging="720"/>
        <w:jc w:val="both"/>
        <w:rPr>
          <w:rFonts w:ascii="David" w:hAnsi="David"/>
          <w:b/>
          <w:bCs/>
          <w:rtl/>
        </w:rPr>
      </w:pPr>
      <w:r>
        <w:rPr>
          <w:rFonts w:ascii="David" w:hAnsi="David"/>
          <w:rtl/>
        </w:rPr>
        <w:tab/>
      </w:r>
      <w:r>
        <w:rPr>
          <w:rFonts w:ascii="David" w:hAnsi="David"/>
          <w:rtl/>
        </w:rPr>
        <w:tab/>
        <w:t>ראו גם דברי כב' השופט א. שהם לעניין חומרת העבירה ב</w:t>
      </w:r>
      <w:hyperlink r:id="rId16" w:history="1">
        <w:r w:rsidR="005354AB" w:rsidRPr="005354AB">
          <w:rPr>
            <w:rFonts w:ascii="David" w:hAnsi="David"/>
            <w:color w:val="0000FF"/>
            <w:u w:val="single"/>
            <w:rtl/>
          </w:rPr>
          <w:t>רע"פ 4512/15</w:t>
        </w:r>
      </w:hyperlink>
      <w:r>
        <w:rPr>
          <w:rFonts w:ascii="David" w:hAnsi="David"/>
          <w:rtl/>
        </w:rPr>
        <w:t xml:space="preserve"> </w:t>
      </w:r>
      <w:r>
        <w:rPr>
          <w:rFonts w:ascii="David" w:hAnsi="David"/>
          <w:b/>
          <w:bCs/>
          <w:rtl/>
        </w:rPr>
        <w:t>אברהם הרוש נ' מדינת ישראל</w:t>
      </w:r>
      <w:r>
        <w:rPr>
          <w:rFonts w:ascii="David" w:hAnsi="David"/>
          <w:rtl/>
        </w:rPr>
        <w:t xml:space="preserve"> (6.7.2015):</w:t>
      </w:r>
    </w:p>
    <w:p w14:paraId="48E81C5E" w14:textId="77777777" w:rsidR="00447B53" w:rsidRDefault="00447B53" w:rsidP="00447B53">
      <w:pPr>
        <w:tabs>
          <w:tab w:val="left" w:pos="466"/>
        </w:tabs>
        <w:spacing w:line="360" w:lineRule="auto"/>
        <w:ind w:left="466" w:hanging="466"/>
        <w:jc w:val="both"/>
        <w:rPr>
          <w:rFonts w:ascii="David" w:hAnsi="David"/>
          <w:rtl/>
        </w:rPr>
      </w:pPr>
      <w:r>
        <w:rPr>
          <w:rFonts w:ascii="David" w:hAnsi="David"/>
          <w:rtl/>
        </w:rPr>
        <w:t xml:space="preserve"> </w:t>
      </w:r>
    </w:p>
    <w:p w14:paraId="0B950FDA" w14:textId="77777777" w:rsidR="00447B53" w:rsidRDefault="00447B53" w:rsidP="00447B53">
      <w:pPr>
        <w:spacing w:line="360" w:lineRule="auto"/>
        <w:ind w:left="720" w:right="284"/>
        <w:jc w:val="both"/>
        <w:rPr>
          <w:rFonts w:ascii="David" w:hAnsi="David"/>
          <w:b/>
          <w:bCs/>
          <w:rtl/>
        </w:rPr>
      </w:pPr>
      <w:r>
        <w:rPr>
          <w:rFonts w:ascii="David" w:hAnsi="David"/>
          <w:b/>
          <w:bCs/>
          <w:rtl/>
        </w:rPr>
        <w:t>"ראוי להזכיר, כי כאשר בעבירות סמים עסקינן, על בית המשפט לנקוט ביד קשה כדי להרתיע עבריינים פוטנציאליים מפני ביצוען. כפי שנאמר ב</w:t>
      </w:r>
      <w:hyperlink r:id="rId17" w:history="1">
        <w:r w:rsidR="005354AB" w:rsidRPr="005354AB">
          <w:rPr>
            <w:rFonts w:ascii="David" w:hAnsi="David"/>
            <w:b/>
            <w:bCs/>
            <w:color w:val="0000FF"/>
            <w:u w:val="single"/>
            <w:rtl/>
          </w:rPr>
          <w:t>ע"פ 211/09</w:t>
        </w:r>
      </w:hyperlink>
      <w:r>
        <w:rPr>
          <w:rFonts w:ascii="David" w:hAnsi="David"/>
          <w:b/>
          <w:bCs/>
          <w:rtl/>
        </w:rPr>
        <w:t xml:space="preserve"> אזולאי נ' מדינת ישראל (22.6.2010):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18" w:history="1">
        <w:r w:rsidR="005354AB" w:rsidRPr="005354AB">
          <w:rPr>
            <w:rFonts w:ascii="David" w:hAnsi="David"/>
            <w:b/>
            <w:bCs/>
            <w:color w:val="0000FF"/>
            <w:u w:val="single"/>
            <w:rtl/>
          </w:rPr>
          <w:t>ע"פ 3623/13</w:t>
        </w:r>
      </w:hyperlink>
      <w:r>
        <w:rPr>
          <w:rFonts w:ascii="David" w:hAnsi="David"/>
          <w:b/>
          <w:bCs/>
          <w:rtl/>
        </w:rPr>
        <w:t xml:space="preserve"> ברון נ' מדינת ישראל (26.11.2014); </w:t>
      </w:r>
      <w:hyperlink r:id="rId19" w:history="1">
        <w:r w:rsidR="005354AB" w:rsidRPr="005354AB">
          <w:rPr>
            <w:rFonts w:ascii="David" w:hAnsi="David"/>
            <w:b/>
            <w:bCs/>
            <w:color w:val="0000FF"/>
            <w:u w:val="single"/>
            <w:rtl/>
          </w:rPr>
          <w:t>ע"פ 4597/13</w:t>
        </w:r>
      </w:hyperlink>
      <w:r>
        <w:rPr>
          <w:rFonts w:ascii="David" w:hAnsi="David"/>
          <w:b/>
          <w:bCs/>
          <w:rtl/>
        </w:rPr>
        <w:t xml:space="preserve"> פיצו נ' מדינת ישראל (22.9.2014))".</w:t>
      </w:r>
    </w:p>
    <w:p w14:paraId="708DDF88" w14:textId="77777777" w:rsidR="00447B53" w:rsidRDefault="00447B53" w:rsidP="00447B53">
      <w:pPr>
        <w:spacing w:line="360" w:lineRule="auto"/>
        <w:ind w:left="720"/>
        <w:jc w:val="both"/>
        <w:rPr>
          <w:rFonts w:ascii="David" w:hAnsi="David"/>
          <w:rtl/>
        </w:rPr>
      </w:pPr>
    </w:p>
    <w:p w14:paraId="0DC54D3C" w14:textId="77777777" w:rsidR="00447B53" w:rsidRPr="00447B53" w:rsidRDefault="00447B53" w:rsidP="00447B53">
      <w:pPr>
        <w:spacing w:line="360" w:lineRule="auto"/>
        <w:ind w:left="720"/>
        <w:jc w:val="both"/>
        <w:rPr>
          <w:rFonts w:ascii="David" w:eastAsia="Calibri" w:hAnsi="David"/>
          <w:rtl/>
        </w:rPr>
      </w:pPr>
      <w:r>
        <w:rPr>
          <w:rFonts w:ascii="David" w:hAnsi="David"/>
          <w:rtl/>
        </w:rPr>
        <w:t>יש לציין כי בית המשפט העליון כבר קבע לא אחת כי אין להקל ראש בעבירות הנוגעות לסמים המוגדרים כסמים "קלים", וכי המאבק בסמים מחייב התייחסות מחמירה לכל החוליות בשרשרת הסמים, המסתיימת בהגעת הסם אל הציבור (</w:t>
      </w:r>
      <w:hyperlink r:id="rId20" w:history="1">
        <w:r w:rsidR="005354AB" w:rsidRPr="005354AB">
          <w:rPr>
            <w:rFonts w:ascii="David" w:hAnsi="David"/>
            <w:color w:val="0000FF"/>
            <w:u w:val="single"/>
            <w:rtl/>
          </w:rPr>
          <w:t>ע"פ 2000/06</w:t>
        </w:r>
      </w:hyperlink>
      <w:r>
        <w:rPr>
          <w:rFonts w:ascii="David" w:hAnsi="David"/>
          <w:rtl/>
        </w:rPr>
        <w:t xml:space="preserve"> </w:t>
      </w:r>
      <w:r>
        <w:rPr>
          <w:rFonts w:ascii="David" w:hAnsi="David" w:hint="cs"/>
          <w:b/>
          <w:bCs/>
          <w:rtl/>
        </w:rPr>
        <w:t>מדינת ישראל נגד ויצמן</w:t>
      </w:r>
      <w:r>
        <w:rPr>
          <w:rFonts w:ascii="David" w:hAnsi="David" w:hint="cs"/>
          <w:rtl/>
        </w:rPr>
        <w:t xml:space="preserve"> (20.7.06)).</w:t>
      </w:r>
    </w:p>
    <w:p w14:paraId="6530AEC4" w14:textId="77777777" w:rsidR="00447B53" w:rsidRPr="00447B53" w:rsidRDefault="00447B53" w:rsidP="00447B53">
      <w:pPr>
        <w:spacing w:line="360" w:lineRule="auto"/>
        <w:ind w:left="720"/>
        <w:jc w:val="both"/>
        <w:rPr>
          <w:rFonts w:ascii="David" w:eastAsia="Calibri" w:hAnsi="David"/>
          <w:rtl/>
        </w:rPr>
      </w:pPr>
    </w:p>
    <w:p w14:paraId="17AD8958" w14:textId="77777777" w:rsidR="00447B53" w:rsidRDefault="00447B53" w:rsidP="00447B53">
      <w:pPr>
        <w:pStyle w:val="aa"/>
        <w:numPr>
          <w:ilvl w:val="0"/>
          <w:numId w:val="1"/>
        </w:numPr>
        <w:tabs>
          <w:tab w:val="left" w:pos="466"/>
        </w:tabs>
        <w:spacing w:after="0" w:line="360" w:lineRule="auto"/>
        <w:jc w:val="both"/>
        <w:rPr>
          <w:rFonts w:ascii="David" w:hAnsi="David" w:cs="David"/>
          <w:sz w:val="24"/>
          <w:szCs w:val="24"/>
          <w:rtl/>
        </w:rPr>
      </w:pPr>
      <w:r>
        <w:rPr>
          <w:rFonts w:ascii="David" w:hAnsi="David" w:cs="David"/>
          <w:b/>
          <w:bCs/>
          <w:sz w:val="24"/>
          <w:szCs w:val="24"/>
          <w:rtl/>
        </w:rPr>
        <w:t>הערכים החברתיים שנפגעו</w:t>
      </w:r>
      <w:r>
        <w:rPr>
          <w:rFonts w:ascii="David" w:hAnsi="David" w:cs="David"/>
          <w:sz w:val="24"/>
          <w:szCs w:val="24"/>
          <w:rtl/>
        </w:rPr>
        <w:t xml:space="preserve">: עבירות סמים, ובכללן החזקת סמים מסוכנים שלא לצריכה עצמית והחזקת כלים, שלצדן קבע המחוקק עונש מרבי של 20 שנות מאסר, פוגעות בערכים החברתיים של הגנה על שלום הציבור, ביטחונו ובריאותו מפני הפגיעה ההרסנית הכרוכה בשימוש באותם סמים. בנוסף לכך, יש צורך לפעול למניעת אותם נזקים כלכליים וחברתיים עקיפים הנגרמים עקב השימוש בסמים.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(ראו למשל: </w:t>
      </w:r>
      <w:hyperlink r:id="rId21" w:history="1">
        <w:r w:rsidR="005354AB" w:rsidRPr="005354AB">
          <w:rPr>
            <w:rFonts w:ascii="David" w:hAnsi="David" w:cs="David"/>
            <w:color w:val="0000FF"/>
            <w:sz w:val="24"/>
            <w:szCs w:val="24"/>
            <w:u w:val="single"/>
            <w:rtl/>
          </w:rPr>
          <w:t>ע"פ 4998/95 מדינת ישראל נ' מיגל אוקטביו גומז-קרדוסו, פ"ד נא</w:t>
        </w:r>
      </w:hyperlink>
      <w:r>
        <w:rPr>
          <w:rFonts w:ascii="David" w:hAnsi="David" w:cs="David"/>
          <w:sz w:val="24"/>
          <w:szCs w:val="24"/>
          <w:rtl/>
        </w:rPr>
        <w:t xml:space="preserve">(3) 769; </w:t>
      </w:r>
      <w:hyperlink r:id="rId22" w:history="1">
        <w:r w:rsidR="005354AB" w:rsidRPr="005354AB">
          <w:rPr>
            <w:rFonts w:ascii="David" w:hAnsi="David" w:cs="David"/>
            <w:color w:val="0000FF"/>
            <w:sz w:val="24"/>
            <w:szCs w:val="24"/>
            <w:u w:val="single"/>
            <w:rtl/>
          </w:rPr>
          <w:t>ע"פ 6029/03 מדינת ישראל נ' גולן שמאי, פ"ד נח</w:t>
        </w:r>
      </w:hyperlink>
      <w:r>
        <w:rPr>
          <w:rFonts w:ascii="David" w:hAnsi="David" w:cs="David"/>
          <w:sz w:val="24"/>
          <w:szCs w:val="24"/>
          <w:rtl/>
        </w:rPr>
        <w:t xml:space="preserve">(2) 734, 738-739; </w:t>
      </w:r>
      <w:hyperlink r:id="rId23" w:history="1">
        <w:r w:rsidR="005354AB" w:rsidRPr="005354AB">
          <w:rPr>
            <w:rFonts w:ascii="David" w:hAnsi="David" w:cs="David"/>
            <w:color w:val="0000FF"/>
            <w:sz w:val="24"/>
            <w:szCs w:val="24"/>
            <w:u w:val="single"/>
            <w:rtl/>
          </w:rPr>
          <w:t>ע"פ 4381/05</w:t>
        </w:r>
      </w:hyperlink>
      <w:r>
        <w:rPr>
          <w:rFonts w:ascii="David" w:hAnsi="David" w:cs="David"/>
          <w:b/>
          <w:bCs/>
          <w:sz w:val="24"/>
          <w:szCs w:val="24"/>
          <w:rtl/>
        </w:rPr>
        <w:t xml:space="preserve"> אבו זקיקה נ' מדינת ישראל</w:t>
      </w:r>
      <w:r>
        <w:rPr>
          <w:rFonts w:ascii="David" w:hAnsi="David" w:cs="David"/>
          <w:sz w:val="24"/>
          <w:szCs w:val="24"/>
          <w:rtl/>
        </w:rPr>
        <w:t xml:space="preserve"> (ניתן ביום 12.7.2006); </w:t>
      </w:r>
      <w:hyperlink r:id="rId24" w:history="1">
        <w:r w:rsidR="005354AB" w:rsidRPr="005354AB">
          <w:rPr>
            <w:rFonts w:ascii="David" w:hAnsi="David" w:cs="David"/>
            <w:color w:val="0000FF"/>
            <w:sz w:val="24"/>
            <w:szCs w:val="24"/>
            <w:u w:val="single"/>
            <w:rtl/>
          </w:rPr>
          <w:t>ע"פ 211/09</w:t>
        </w:r>
      </w:hyperlink>
      <w:r>
        <w:rPr>
          <w:rFonts w:ascii="David" w:hAnsi="David" w:cs="David"/>
          <w:sz w:val="24"/>
          <w:szCs w:val="24"/>
          <w:rtl/>
        </w:rPr>
        <w:t xml:space="preserve"> </w:t>
      </w:r>
      <w:r>
        <w:rPr>
          <w:rFonts w:ascii="David" w:hAnsi="David" w:cs="David"/>
          <w:b/>
          <w:bCs/>
          <w:sz w:val="24"/>
          <w:szCs w:val="24"/>
          <w:rtl/>
        </w:rPr>
        <w:t>אזולאי נ' מדינת ישראל</w:t>
      </w:r>
      <w:r>
        <w:rPr>
          <w:rFonts w:ascii="David" w:hAnsi="David" w:cs="David"/>
          <w:sz w:val="24"/>
          <w:szCs w:val="24"/>
          <w:rtl/>
        </w:rPr>
        <w:t xml:space="preserve"> (22.6.2010))</w:t>
      </w:r>
    </w:p>
    <w:p w14:paraId="777ABD46" w14:textId="77777777" w:rsidR="00447B53" w:rsidRDefault="00447B53" w:rsidP="00447B53">
      <w:pPr>
        <w:tabs>
          <w:tab w:val="left" w:pos="466"/>
        </w:tabs>
        <w:spacing w:line="360" w:lineRule="auto"/>
        <w:ind w:left="466" w:hanging="466"/>
        <w:jc w:val="both"/>
        <w:rPr>
          <w:rFonts w:ascii="David" w:hAnsi="David"/>
          <w:rtl/>
        </w:rPr>
      </w:pPr>
    </w:p>
    <w:p w14:paraId="3ABC0B22" w14:textId="77777777" w:rsidR="00447B53" w:rsidRDefault="00447B53" w:rsidP="00447B53">
      <w:pPr>
        <w:tabs>
          <w:tab w:val="left" w:pos="466"/>
        </w:tabs>
        <w:spacing w:line="360" w:lineRule="auto"/>
        <w:ind w:left="720" w:hanging="720"/>
        <w:jc w:val="both"/>
        <w:rPr>
          <w:rFonts w:ascii="David" w:hAnsi="David"/>
          <w:rtl/>
        </w:rPr>
      </w:pPr>
      <w:r>
        <w:rPr>
          <w:rFonts w:ascii="David" w:hAnsi="David"/>
          <w:rtl/>
        </w:rPr>
        <w:tab/>
      </w:r>
      <w:r>
        <w:rPr>
          <w:rFonts w:ascii="David" w:hAnsi="David"/>
          <w:rtl/>
        </w:rPr>
        <w:tab/>
        <w:t>עבירות הסמים הן בגדר רעה חולה שפשה בחברתנו ומחובתו של בית המשפט לתרום חלקו למיגור נגע זה באמצעות הטלת עונשים מחמירים ומרתיעים.</w:t>
      </w:r>
    </w:p>
    <w:p w14:paraId="5B03F5FC" w14:textId="77777777" w:rsidR="00447B53" w:rsidRDefault="00447B53" w:rsidP="00447B53">
      <w:pPr>
        <w:tabs>
          <w:tab w:val="left" w:pos="466"/>
        </w:tabs>
        <w:spacing w:line="360" w:lineRule="auto"/>
        <w:ind w:left="720" w:hanging="720"/>
        <w:jc w:val="both"/>
        <w:rPr>
          <w:rFonts w:ascii="David" w:hAnsi="David"/>
          <w:rtl/>
        </w:rPr>
      </w:pPr>
    </w:p>
    <w:p w14:paraId="4200AE32" w14:textId="77777777" w:rsidR="00447B53" w:rsidRDefault="00447B53" w:rsidP="00447B53">
      <w:pPr>
        <w:pStyle w:val="aa"/>
        <w:numPr>
          <w:ilvl w:val="0"/>
          <w:numId w:val="1"/>
        </w:numPr>
        <w:tabs>
          <w:tab w:val="left" w:pos="466"/>
        </w:tabs>
        <w:spacing w:after="0" w:line="360" w:lineRule="auto"/>
        <w:jc w:val="both"/>
        <w:rPr>
          <w:rFonts w:ascii="David" w:hAnsi="David" w:cs="David"/>
          <w:sz w:val="24"/>
          <w:szCs w:val="24"/>
          <w:rtl/>
        </w:rPr>
      </w:pPr>
      <w:r>
        <w:rPr>
          <w:rFonts w:ascii="David" w:hAnsi="David" w:cs="David"/>
          <w:sz w:val="24"/>
          <w:szCs w:val="24"/>
          <w:rtl/>
        </w:rPr>
        <w:t xml:space="preserve">במקרה דנן, </w:t>
      </w:r>
      <w:r>
        <w:rPr>
          <w:rFonts w:ascii="David" w:hAnsi="David" w:cs="David"/>
          <w:b/>
          <w:bCs/>
          <w:sz w:val="24"/>
          <w:szCs w:val="24"/>
          <w:rtl/>
        </w:rPr>
        <w:t>מידת הפגיעה בערכים המוגנים</w:t>
      </w:r>
      <w:r>
        <w:rPr>
          <w:rFonts w:ascii="David" w:hAnsi="David" w:cs="David"/>
          <w:sz w:val="24"/>
          <w:szCs w:val="24"/>
          <w:rtl/>
        </w:rPr>
        <w:t xml:space="preserve"> הינה ברף </w:t>
      </w:r>
      <w:r>
        <w:rPr>
          <w:rFonts w:ascii="David" w:hAnsi="David" w:cs="David" w:hint="cs"/>
          <w:sz w:val="24"/>
          <w:szCs w:val="24"/>
          <w:rtl/>
        </w:rPr>
        <w:t>ה</w:t>
      </w:r>
      <w:r>
        <w:rPr>
          <w:rFonts w:ascii="David" w:hAnsi="David" w:cs="David"/>
          <w:sz w:val="24"/>
          <w:szCs w:val="24"/>
          <w:rtl/>
        </w:rPr>
        <w:t xml:space="preserve">בינוני. בעת קביעת מתחם העונש ההולם יש לתן את הדעת לסוג העבירות (החזקת סם שלא לצריכה עצמית והחזקת כלים – שני משקלים אלקטרוניים, ציוד המשמש לצריכת סמים מסוכנים וכן טלפון נייד שבו עשה הנאשם שימוש כדי לתקשר עם אחרים במטרה למכור להם סמים), סוג הסם (חשיש) וכמות הסם (67.1 גרם נטו חשיש). </w:t>
      </w:r>
    </w:p>
    <w:p w14:paraId="2F27925A" w14:textId="77777777" w:rsidR="00447B53" w:rsidRDefault="00447B53" w:rsidP="00447B53">
      <w:pPr>
        <w:tabs>
          <w:tab w:val="left" w:pos="466"/>
        </w:tabs>
        <w:spacing w:line="360" w:lineRule="auto"/>
        <w:ind w:left="466" w:hanging="466"/>
        <w:jc w:val="both"/>
        <w:rPr>
          <w:rFonts w:ascii="David" w:hAnsi="David"/>
          <w:rtl/>
        </w:rPr>
      </w:pPr>
      <w:r>
        <w:rPr>
          <w:rFonts w:ascii="David" w:hAnsi="David"/>
          <w:rtl/>
        </w:rPr>
        <w:tab/>
      </w:r>
    </w:p>
    <w:p w14:paraId="1C264689" w14:textId="77777777" w:rsidR="00447B53" w:rsidRDefault="00447B53" w:rsidP="00447B53">
      <w:pPr>
        <w:pStyle w:val="aa"/>
        <w:numPr>
          <w:ilvl w:val="0"/>
          <w:numId w:val="1"/>
        </w:numPr>
        <w:spacing w:line="360" w:lineRule="auto"/>
        <w:jc w:val="both"/>
        <w:rPr>
          <w:rFonts w:ascii="David" w:hAnsi="David" w:cs="David"/>
          <w:sz w:val="24"/>
          <w:szCs w:val="24"/>
        </w:rPr>
      </w:pPr>
      <w:r w:rsidRPr="00727857">
        <w:rPr>
          <w:rFonts w:ascii="David" w:hAnsi="David" w:cs="David"/>
          <w:b/>
          <w:bCs/>
          <w:sz w:val="24"/>
          <w:szCs w:val="24"/>
          <w:rtl/>
        </w:rPr>
        <w:t>בחינת מדיניות הענישה</w:t>
      </w:r>
      <w:r w:rsidRPr="00727857">
        <w:rPr>
          <w:rFonts w:ascii="David" w:hAnsi="David" w:cs="David"/>
          <w:sz w:val="24"/>
          <w:szCs w:val="24"/>
          <w:rtl/>
        </w:rPr>
        <w:t xml:space="preserve"> הנוהגת מלמדת, כי </w:t>
      </w:r>
      <w:r w:rsidRPr="00727857">
        <w:rPr>
          <w:rFonts w:ascii="David" w:hAnsi="David" w:cs="David" w:hint="cs"/>
          <w:sz w:val="24"/>
          <w:szCs w:val="24"/>
          <w:rtl/>
        </w:rPr>
        <w:t xml:space="preserve">בהתאם לטיעון המאשימה מתחם העונש ההולם נע בן 6-12 חודשי מאסר. למעשה גם ב"כ הנאשם לא חלק על כך </w:t>
      </w:r>
      <w:r>
        <w:rPr>
          <w:rFonts w:ascii="David" w:hAnsi="David" w:cs="David" w:hint="cs"/>
          <w:sz w:val="24"/>
          <w:szCs w:val="24"/>
          <w:rtl/>
        </w:rPr>
        <w:t>[</w:t>
      </w:r>
      <w:r w:rsidRPr="00727857">
        <w:rPr>
          <w:rFonts w:ascii="David" w:hAnsi="David" w:cs="David" w:hint="cs"/>
          <w:sz w:val="24"/>
          <w:szCs w:val="24"/>
          <w:rtl/>
        </w:rPr>
        <w:t xml:space="preserve">וראו למשל </w:t>
      </w:r>
      <w:r w:rsidRPr="00727857">
        <w:rPr>
          <w:rFonts w:ascii="David" w:hAnsi="David" w:cs="David"/>
          <w:sz w:val="24"/>
          <w:szCs w:val="24"/>
          <w:rtl/>
        </w:rPr>
        <w:t>ב</w:t>
      </w:r>
      <w:hyperlink r:id="rId25" w:history="1">
        <w:r w:rsidR="005354AB" w:rsidRPr="005354AB">
          <w:rPr>
            <w:rFonts w:ascii="David" w:hAnsi="David" w:cs="David"/>
            <w:color w:val="0000FF"/>
            <w:sz w:val="24"/>
            <w:szCs w:val="24"/>
            <w:u w:val="single"/>
            <w:rtl/>
          </w:rPr>
          <w:t>רע"פ 189/15</w:t>
        </w:r>
      </w:hyperlink>
      <w:r w:rsidRPr="00727857">
        <w:rPr>
          <w:rFonts w:ascii="David" w:hAnsi="David" w:cs="David"/>
          <w:sz w:val="24"/>
          <w:szCs w:val="24"/>
          <w:rtl/>
        </w:rPr>
        <w:t xml:space="preserve"> </w:t>
      </w:r>
      <w:r w:rsidRPr="00727857">
        <w:rPr>
          <w:rFonts w:ascii="David" w:hAnsi="David" w:cs="David"/>
          <w:b/>
          <w:bCs/>
          <w:sz w:val="24"/>
          <w:szCs w:val="24"/>
          <w:rtl/>
        </w:rPr>
        <w:t>כהן נ' מדינת ישראל</w:t>
      </w:r>
      <w:r>
        <w:rPr>
          <w:rFonts w:ascii="David" w:hAnsi="David" w:cs="David"/>
          <w:sz w:val="24"/>
          <w:szCs w:val="24"/>
          <w:rtl/>
        </w:rPr>
        <w:t xml:space="preserve"> (21.1.15)</w:t>
      </w:r>
      <w:r>
        <w:rPr>
          <w:rFonts w:ascii="David" w:hAnsi="David" w:cs="David" w:hint="cs"/>
          <w:sz w:val="24"/>
          <w:szCs w:val="24"/>
          <w:rtl/>
        </w:rPr>
        <w:t xml:space="preserve">, </w:t>
      </w:r>
      <w:hyperlink r:id="rId26" w:history="1">
        <w:r w:rsidR="005354AB" w:rsidRPr="005354AB">
          <w:rPr>
            <w:rFonts w:ascii="David" w:hAnsi="David" w:cs="David"/>
            <w:color w:val="0000FF"/>
            <w:sz w:val="24"/>
            <w:szCs w:val="24"/>
            <w:u w:val="single"/>
            <w:rtl/>
          </w:rPr>
          <w:t>רע"פ 2590/10</w:t>
        </w:r>
      </w:hyperlink>
      <w:r>
        <w:rPr>
          <w:rFonts w:ascii="David" w:hAnsi="David" w:cs="David"/>
          <w:sz w:val="24"/>
          <w:szCs w:val="24"/>
          <w:rtl/>
        </w:rPr>
        <w:t xml:space="preserve"> </w:t>
      </w:r>
      <w:r>
        <w:rPr>
          <w:rFonts w:ascii="David" w:hAnsi="David" w:cs="David"/>
          <w:b/>
          <w:bCs/>
          <w:sz w:val="24"/>
          <w:szCs w:val="24"/>
          <w:rtl/>
        </w:rPr>
        <w:t>שגיא נ' מדינת ישראל</w:t>
      </w:r>
      <w:r>
        <w:rPr>
          <w:rFonts w:ascii="David" w:hAnsi="David" w:cs="David"/>
          <w:sz w:val="24"/>
          <w:szCs w:val="24"/>
          <w:rtl/>
        </w:rPr>
        <w:t xml:space="preserve"> (8.4.10)</w:t>
      </w:r>
      <w:r>
        <w:rPr>
          <w:rFonts w:ascii="David" w:hAnsi="David" w:cs="David" w:hint="cs"/>
          <w:sz w:val="24"/>
          <w:szCs w:val="24"/>
          <w:rtl/>
        </w:rPr>
        <w:t>].</w:t>
      </w:r>
    </w:p>
    <w:p w14:paraId="036CC652" w14:textId="77777777" w:rsidR="00447B53" w:rsidRPr="00727857" w:rsidRDefault="00447B53" w:rsidP="00447B53">
      <w:pPr>
        <w:spacing w:line="360" w:lineRule="auto"/>
        <w:jc w:val="both"/>
        <w:rPr>
          <w:rFonts w:ascii="David" w:hAnsi="David"/>
          <w:rtl/>
        </w:rPr>
      </w:pPr>
    </w:p>
    <w:p w14:paraId="7F00F560" w14:textId="77777777" w:rsidR="00447B53" w:rsidRDefault="00447B53" w:rsidP="00447B53">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w:t>
      </w:r>
      <w:r>
        <w:rPr>
          <w:rFonts w:ascii="David" w:hAnsi="David" w:cs="David"/>
          <w:b/>
          <w:bCs/>
          <w:sz w:val="24"/>
          <w:szCs w:val="24"/>
          <w:rtl/>
        </w:rPr>
        <w:t xml:space="preserve">הנסיבות </w:t>
      </w:r>
      <w:r>
        <w:rPr>
          <w:rFonts w:ascii="David" w:hAnsi="David" w:cs="David"/>
          <w:sz w:val="24"/>
          <w:szCs w:val="24"/>
          <w:rtl/>
        </w:rPr>
        <w:t xml:space="preserve">הקשורות בביצוע העבירה (סעיף </w:t>
      </w:r>
      <w:hyperlink r:id="rId27" w:history="1">
        <w:r w:rsidR="00D340B1" w:rsidRPr="00D340B1">
          <w:rPr>
            <w:rStyle w:val="Hyperlink"/>
            <w:rFonts w:ascii="David" w:hAnsi="David" w:cs="David"/>
            <w:sz w:val="24"/>
            <w:szCs w:val="24"/>
            <w:rtl/>
          </w:rPr>
          <w:t>40 ט</w:t>
        </w:r>
      </w:hyperlink>
      <w:r>
        <w:rPr>
          <w:rFonts w:ascii="David" w:hAnsi="David" w:cs="David"/>
          <w:sz w:val="24"/>
          <w:szCs w:val="24"/>
          <w:rtl/>
        </w:rPr>
        <w:t xml:space="preserve"> לחוק) יש ליתן את הדעת לשיקולים הבאים:</w:t>
      </w:r>
    </w:p>
    <w:p w14:paraId="62D26FEA" w14:textId="77777777" w:rsidR="00447B53" w:rsidRDefault="00447B53" w:rsidP="00447B53">
      <w:pPr>
        <w:numPr>
          <w:ilvl w:val="0"/>
          <w:numId w:val="2"/>
        </w:numPr>
        <w:spacing w:after="160" w:line="360" w:lineRule="auto"/>
        <w:contextualSpacing/>
        <w:jc w:val="both"/>
        <w:rPr>
          <w:rFonts w:ascii="David" w:hAnsi="David"/>
        </w:rPr>
      </w:pPr>
      <w:r>
        <w:rPr>
          <w:rFonts w:ascii="David" w:hAnsi="David"/>
          <w:rtl/>
        </w:rPr>
        <w:t xml:space="preserve">סוג הסם </w:t>
      </w:r>
      <w:r>
        <w:rPr>
          <w:rFonts w:ascii="David" w:hAnsi="David" w:hint="cs"/>
          <w:rtl/>
        </w:rPr>
        <w:t xml:space="preserve">שבו מדובר וכן </w:t>
      </w:r>
      <w:r>
        <w:rPr>
          <w:rFonts w:ascii="David" w:hAnsi="David"/>
          <w:rtl/>
        </w:rPr>
        <w:t>כמות</w:t>
      </w:r>
      <w:r>
        <w:rPr>
          <w:rFonts w:ascii="David" w:hAnsi="David" w:hint="cs"/>
          <w:rtl/>
        </w:rPr>
        <w:t xml:space="preserve"> הסם והעובדה שהוחזקו גם משקלים אלקטרונים, בנוסף כזכור אודה הנאשם בהחזקת טלפון נייד לצורך תקשורת עם אחרים למטרת מכירה.</w:t>
      </w:r>
    </w:p>
    <w:p w14:paraId="3E1C5094" w14:textId="77777777" w:rsidR="00447B53" w:rsidRDefault="00447B53" w:rsidP="00447B53">
      <w:pPr>
        <w:numPr>
          <w:ilvl w:val="0"/>
          <w:numId w:val="2"/>
        </w:numPr>
        <w:spacing w:after="160" w:line="360" w:lineRule="auto"/>
        <w:contextualSpacing/>
        <w:jc w:val="both"/>
        <w:rPr>
          <w:rFonts w:ascii="David" w:hAnsi="David"/>
        </w:rPr>
      </w:pPr>
      <w:r>
        <w:rPr>
          <w:rFonts w:ascii="David" w:hAnsi="David"/>
          <w:rtl/>
        </w:rPr>
        <w:t xml:space="preserve">הנזק שהיה צפוי להיגרם מביצוע העבירות – מתבטא בפגיעה ביחיד ובחברה מעצם השימוש בסמים והפצתם, ההשלכות הבריאותיות והכלכליות הכרוכות בכך, לרבות הפוטנציאל לביצוע עבירות רכוש, כתוצאה מהתמכרות לסמים והצורך לממנם בכל דרך.  </w:t>
      </w:r>
    </w:p>
    <w:p w14:paraId="5F4C1F2C" w14:textId="77777777" w:rsidR="00447B53" w:rsidRDefault="00447B53" w:rsidP="00447B53">
      <w:pPr>
        <w:spacing w:line="360" w:lineRule="auto"/>
        <w:ind w:left="720"/>
        <w:jc w:val="both"/>
        <w:rPr>
          <w:rFonts w:ascii="David" w:hAnsi="David"/>
          <w:rtl/>
        </w:rPr>
      </w:pPr>
    </w:p>
    <w:p w14:paraId="0654B9EC" w14:textId="77777777" w:rsidR="00447B53" w:rsidRDefault="00447B53" w:rsidP="00447B53">
      <w:pPr>
        <w:spacing w:line="360" w:lineRule="auto"/>
        <w:ind w:left="720"/>
        <w:jc w:val="both"/>
        <w:rPr>
          <w:rFonts w:ascii="David" w:hAnsi="David"/>
          <w:b/>
          <w:bCs/>
          <w:rtl/>
        </w:rPr>
      </w:pPr>
      <w:r>
        <w:rPr>
          <w:rFonts w:ascii="David" w:hAnsi="David"/>
          <w:b/>
          <w:bCs/>
          <w:rtl/>
        </w:rPr>
        <w:t xml:space="preserve">בהינתן כל המפורט לעיל אני קובעת, כי מתחם העונש ההולם </w:t>
      </w:r>
      <w:r>
        <w:rPr>
          <w:rFonts w:ascii="David" w:hAnsi="David" w:hint="cs"/>
          <w:b/>
          <w:bCs/>
          <w:rtl/>
        </w:rPr>
        <w:t xml:space="preserve">נע בן 6-12 חודשי מאסר בפועל  כאשר המתחם מאפשר באופן עקרוני ריצוי בעבודות שירות. </w:t>
      </w:r>
    </w:p>
    <w:p w14:paraId="7B6D4B87" w14:textId="77777777" w:rsidR="00447B53" w:rsidRDefault="00447B53" w:rsidP="00447B53">
      <w:pPr>
        <w:spacing w:line="360" w:lineRule="auto"/>
        <w:ind w:left="720"/>
        <w:jc w:val="both"/>
        <w:rPr>
          <w:rFonts w:ascii="David" w:hAnsi="David"/>
          <w:b/>
          <w:bCs/>
          <w:rtl/>
        </w:rPr>
      </w:pPr>
    </w:p>
    <w:p w14:paraId="2AF76E1C" w14:textId="77777777" w:rsidR="00447B53" w:rsidRDefault="00447B53" w:rsidP="00447B53">
      <w:pPr>
        <w:spacing w:line="360" w:lineRule="auto"/>
        <w:ind w:left="720"/>
        <w:jc w:val="both"/>
        <w:rPr>
          <w:rFonts w:ascii="David" w:hAnsi="David"/>
          <w:b/>
          <w:bCs/>
        </w:rPr>
      </w:pPr>
    </w:p>
    <w:p w14:paraId="7147E995" w14:textId="77777777" w:rsidR="00447B53" w:rsidRDefault="00447B53" w:rsidP="00447B53">
      <w:pPr>
        <w:spacing w:line="360" w:lineRule="auto"/>
        <w:jc w:val="both"/>
        <w:rPr>
          <w:rFonts w:ascii="David" w:hAnsi="David"/>
          <w:b/>
          <w:bCs/>
          <w:u w:val="single"/>
          <w:rtl/>
        </w:rPr>
      </w:pPr>
      <w:r>
        <w:rPr>
          <w:rFonts w:ascii="David" w:hAnsi="David"/>
          <w:b/>
          <w:bCs/>
          <w:u w:val="single"/>
          <w:rtl/>
        </w:rPr>
        <w:t>סטייה ממתחם העונש ההולם משיקולי שיקום</w:t>
      </w:r>
      <w:r>
        <w:rPr>
          <w:rFonts w:ascii="David" w:hAnsi="David"/>
          <w:b/>
          <w:bCs/>
          <w:u w:val="single"/>
        </w:rPr>
        <w:t>:</w:t>
      </w:r>
    </w:p>
    <w:p w14:paraId="6ED8E8EB" w14:textId="77777777" w:rsidR="00447B53" w:rsidRPr="00572A85" w:rsidRDefault="00447B53" w:rsidP="00447B53">
      <w:pPr>
        <w:spacing w:line="360" w:lineRule="auto"/>
        <w:jc w:val="both"/>
        <w:rPr>
          <w:rFonts w:ascii="David" w:hAnsi="David"/>
        </w:rPr>
      </w:pPr>
      <w:r w:rsidRPr="00572A85">
        <w:rPr>
          <w:rFonts w:ascii="David" w:hAnsi="David" w:hint="cs"/>
          <w:rtl/>
        </w:rPr>
        <w:t>16.</w:t>
      </w:r>
      <w:r>
        <w:rPr>
          <w:rFonts w:ascii="David" w:hAnsi="David"/>
          <w:rtl/>
        </w:rPr>
        <w:tab/>
      </w:r>
      <w:r w:rsidRPr="00572A85">
        <w:rPr>
          <w:rFonts w:ascii="David" w:hAnsi="David"/>
          <w:rtl/>
        </w:rPr>
        <w:t>במקרה דנן, לא קיימים שיקולים אשר מצדיקים סטייה מהמתחם לקולא.</w:t>
      </w:r>
    </w:p>
    <w:p w14:paraId="126C7FE0" w14:textId="77777777" w:rsidR="00447B53" w:rsidRPr="00572A85" w:rsidRDefault="00447B53" w:rsidP="00447B53">
      <w:pPr>
        <w:spacing w:line="360" w:lineRule="auto"/>
        <w:ind w:left="720"/>
        <w:jc w:val="both"/>
        <w:rPr>
          <w:rFonts w:ascii="David" w:hAnsi="David"/>
          <w:rtl/>
        </w:rPr>
      </w:pPr>
      <w:r w:rsidRPr="00572A85">
        <w:rPr>
          <w:rFonts w:ascii="David" w:hAnsi="David"/>
          <w:rtl/>
        </w:rPr>
        <w:t>הנאשם נשלח לתסקיר ראשון, אשר לא בא בהמלצה ולמרות זאת, בדיון שהתקיים במעמד הצדדים, הובהרה לנאשם חשיבות ההתייצבות בשירות המבחן ומעסיקו הביע נכונות לתמוך בו כלכלית ולא לפגוע בשכרו וזאת על מנת שישלים את ההליך של שירות המבחן. למרות כל אלה, ניתנה לנאשם הזדמנות נוספת והוא לא ניצל אותה ולא התייצב לבדיקות שתן שנקבעו לו, לא נענה לשיחות טלפוניות ובסופו של דבר שלל נכונותו להשתלב בהליך הטיפולי.</w:t>
      </w:r>
    </w:p>
    <w:p w14:paraId="67727BA1" w14:textId="77777777" w:rsidR="00447B53" w:rsidRDefault="00447B53" w:rsidP="00447B53">
      <w:pPr>
        <w:spacing w:line="360" w:lineRule="auto"/>
        <w:ind w:left="720"/>
        <w:jc w:val="both"/>
        <w:rPr>
          <w:rFonts w:ascii="David" w:hAnsi="David"/>
          <w:rtl/>
        </w:rPr>
      </w:pPr>
      <w:r w:rsidRPr="00572A85">
        <w:rPr>
          <w:rFonts w:ascii="David" w:hAnsi="David"/>
          <w:rtl/>
        </w:rPr>
        <w:t>לאור כל האמור</w:t>
      </w:r>
      <w:r w:rsidRPr="00572A85">
        <w:rPr>
          <w:rFonts w:ascii="David" w:hAnsi="David" w:hint="cs"/>
          <w:rtl/>
        </w:rPr>
        <w:t xml:space="preserve"> לעיל, לא</w:t>
      </w:r>
      <w:r w:rsidRPr="00572A85">
        <w:rPr>
          <w:rFonts w:ascii="David" w:hAnsi="David"/>
          <w:rtl/>
        </w:rPr>
        <w:t xml:space="preserve"> מצאתי</w:t>
      </w:r>
      <w:r w:rsidRPr="00572A85">
        <w:rPr>
          <w:rFonts w:ascii="David" w:hAnsi="David" w:hint="cs"/>
          <w:rtl/>
        </w:rPr>
        <w:t xml:space="preserve"> כי מדובר בנאשם שהשתקם אף לא כי יש סיכוי של ממש שישתקם בעתיד</w:t>
      </w:r>
      <w:r w:rsidRPr="00572A85">
        <w:rPr>
          <w:rFonts w:ascii="David" w:hAnsi="David"/>
          <w:rtl/>
        </w:rPr>
        <w:t>,</w:t>
      </w:r>
      <w:r w:rsidRPr="00572A85">
        <w:rPr>
          <w:rFonts w:ascii="David" w:hAnsi="David" w:hint="cs"/>
          <w:rtl/>
        </w:rPr>
        <w:t xml:space="preserve"> באופן המצדיק</w:t>
      </w:r>
      <w:r w:rsidRPr="00572A85">
        <w:rPr>
          <w:rFonts w:ascii="David" w:hAnsi="David"/>
          <w:rtl/>
        </w:rPr>
        <w:t xml:space="preserve"> חריגה ממתחם העונש ההולם.</w:t>
      </w:r>
      <w:r w:rsidRPr="00572A85">
        <w:rPr>
          <w:rFonts w:ascii="David" w:hAnsi="David" w:hint="cs"/>
          <w:rtl/>
        </w:rPr>
        <w:t xml:space="preserve"> </w:t>
      </w:r>
    </w:p>
    <w:p w14:paraId="2DFDC5BA" w14:textId="77777777" w:rsidR="00447B53" w:rsidRDefault="00447B53" w:rsidP="00447B53">
      <w:pPr>
        <w:spacing w:line="360" w:lineRule="auto"/>
        <w:ind w:left="720"/>
        <w:jc w:val="both"/>
        <w:rPr>
          <w:rFonts w:ascii="David" w:hAnsi="David"/>
          <w:rtl/>
        </w:rPr>
      </w:pPr>
    </w:p>
    <w:p w14:paraId="7B973C2B" w14:textId="77777777" w:rsidR="00447B53" w:rsidRPr="00572A85" w:rsidRDefault="00447B53" w:rsidP="00447B53">
      <w:pPr>
        <w:spacing w:line="360" w:lineRule="auto"/>
        <w:ind w:left="720"/>
        <w:jc w:val="both"/>
        <w:rPr>
          <w:rFonts w:ascii="David" w:hAnsi="David"/>
          <w:rtl/>
        </w:rPr>
      </w:pPr>
      <w:r w:rsidRPr="00572A85">
        <w:rPr>
          <w:rFonts w:ascii="David" w:hAnsi="David" w:hint="cs"/>
          <w:rtl/>
        </w:rPr>
        <w:t xml:space="preserve">בהקשר זה יצוין כי גם בדברי הנאשם בפני הנאשם היה מרוכז כולו בצרכיו האישים ובמצבו הכלכלי, לא טען כי מבקש לעבור הליך טיפולי או כי עושה כן בדרך אחרת, למעשה עולה מהטיעון מדברי הנאשם בפני כי אין לו כל תובנה לגבי בעתיות באורך חייו והציפיה שלו כי בית המשפט פשוט "יוותר לו" מלמדת על רמת תובנה נמוכה מאוד מצידו למצבו. יצוין, כי גם כאשר בית המשפט הפנה שאלות לנאשם עצמו לאור עתירת ב"כ הנאשם לקבל חוות דעת של ממונה על עבודות השירות, הנאשם הודיע למעשה כי לא זו בלבד שלא מצא את הפנאי להגיע לשירות המבחן למסירת בדיקות שתן אלא שגם לא יהיה לו פנאי לבצע עבודות שירות. </w:t>
      </w:r>
    </w:p>
    <w:p w14:paraId="73EC4863" w14:textId="77777777" w:rsidR="00447B53" w:rsidRDefault="00447B53" w:rsidP="00447B53">
      <w:pPr>
        <w:spacing w:line="360" w:lineRule="auto"/>
        <w:jc w:val="both"/>
        <w:rPr>
          <w:rFonts w:ascii="David" w:hAnsi="David"/>
          <w:rtl/>
        </w:rPr>
      </w:pPr>
    </w:p>
    <w:p w14:paraId="4AA1E717" w14:textId="77777777" w:rsidR="00447B53" w:rsidRDefault="00447B53" w:rsidP="00447B53">
      <w:pPr>
        <w:spacing w:line="360" w:lineRule="auto"/>
        <w:jc w:val="both"/>
        <w:rPr>
          <w:rFonts w:ascii="David" w:hAnsi="David"/>
          <w:u w:val="single"/>
          <w:rtl/>
        </w:rPr>
      </w:pPr>
      <w:r>
        <w:rPr>
          <w:rFonts w:ascii="David" w:hAnsi="David"/>
          <w:b/>
          <w:bCs/>
          <w:u w:val="single"/>
          <w:rtl/>
        </w:rPr>
        <w:t>קביעת העונש המתאים בגדרי המתחם</w:t>
      </w:r>
    </w:p>
    <w:p w14:paraId="402B3133" w14:textId="77777777" w:rsidR="00447B53" w:rsidRPr="00DB159A" w:rsidRDefault="00447B53" w:rsidP="00447B53">
      <w:pPr>
        <w:spacing w:line="360" w:lineRule="auto"/>
        <w:ind w:left="720" w:hanging="360"/>
        <w:jc w:val="both"/>
        <w:rPr>
          <w:rFonts w:ascii="David" w:hAnsi="David"/>
        </w:rPr>
      </w:pPr>
      <w:r>
        <w:rPr>
          <w:rFonts w:ascii="David" w:hAnsi="David" w:hint="cs"/>
          <w:rtl/>
        </w:rPr>
        <w:t>17.</w:t>
      </w:r>
      <w:r>
        <w:rPr>
          <w:rFonts w:ascii="David" w:hAnsi="David" w:hint="cs"/>
          <w:rtl/>
        </w:rPr>
        <w:tab/>
      </w:r>
      <w:r w:rsidRPr="00DB159A">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540B552E" w14:textId="77777777" w:rsidR="00447B53" w:rsidRDefault="00447B53" w:rsidP="00447B53">
      <w:pPr>
        <w:pStyle w:val="aa"/>
        <w:spacing w:line="360" w:lineRule="auto"/>
        <w:jc w:val="both"/>
        <w:rPr>
          <w:rFonts w:ascii="David" w:hAnsi="David" w:cs="David"/>
          <w:sz w:val="24"/>
          <w:szCs w:val="24"/>
          <w:rtl/>
        </w:rPr>
      </w:pPr>
    </w:p>
    <w:p w14:paraId="51CFB5E1" w14:textId="77777777" w:rsidR="00447B53" w:rsidRDefault="00447B53" w:rsidP="00447B53">
      <w:pPr>
        <w:pStyle w:val="aa"/>
        <w:spacing w:line="360" w:lineRule="auto"/>
        <w:jc w:val="both"/>
        <w:rPr>
          <w:rFonts w:ascii="David" w:hAnsi="David" w:cs="David"/>
          <w:sz w:val="24"/>
          <w:szCs w:val="24"/>
          <w:rtl/>
        </w:rPr>
      </w:pPr>
      <w:r>
        <w:rPr>
          <w:rFonts w:ascii="David" w:hAnsi="David" w:cs="David" w:hint="cs"/>
          <w:sz w:val="24"/>
          <w:szCs w:val="24"/>
          <w:rtl/>
        </w:rPr>
        <w:t>מדובר בנאשם צעיר בתחילת חייו לחובתו שתי הרשעות קודמות מהשירות הצבאי ואין אינדיקצי</w:t>
      </w:r>
      <w:r>
        <w:rPr>
          <w:rFonts w:ascii="David" w:hAnsi="David" w:cs="David" w:hint="eastAsia"/>
          <w:sz w:val="24"/>
          <w:szCs w:val="24"/>
          <w:rtl/>
        </w:rPr>
        <w:t>ה</w:t>
      </w:r>
      <w:r>
        <w:rPr>
          <w:rFonts w:ascii="David" w:hAnsi="David" w:cs="David" w:hint="cs"/>
          <w:sz w:val="24"/>
          <w:szCs w:val="24"/>
          <w:rtl/>
        </w:rPr>
        <w:t xml:space="preserve"> למעורבות נוספת בפלילים. </w:t>
      </w:r>
    </w:p>
    <w:p w14:paraId="28814F5B" w14:textId="77777777" w:rsidR="00447B53" w:rsidRDefault="00447B53" w:rsidP="00447B53">
      <w:pPr>
        <w:pStyle w:val="aa"/>
        <w:spacing w:line="360" w:lineRule="auto"/>
        <w:jc w:val="both"/>
        <w:rPr>
          <w:rFonts w:ascii="David" w:hAnsi="David" w:cs="David"/>
          <w:sz w:val="24"/>
          <w:szCs w:val="24"/>
          <w:rtl/>
        </w:rPr>
      </w:pPr>
    </w:p>
    <w:p w14:paraId="03CE2F01" w14:textId="77777777" w:rsidR="00447B53" w:rsidRDefault="00447B53" w:rsidP="00447B53">
      <w:pPr>
        <w:pStyle w:val="aa"/>
        <w:spacing w:line="360" w:lineRule="auto"/>
        <w:jc w:val="both"/>
        <w:rPr>
          <w:rFonts w:ascii="David" w:hAnsi="David" w:cs="David"/>
          <w:b/>
          <w:bCs/>
          <w:sz w:val="24"/>
          <w:szCs w:val="24"/>
          <w:rtl/>
        </w:rPr>
      </w:pPr>
      <w:r>
        <w:rPr>
          <w:rFonts w:ascii="David" w:hAnsi="David" w:cs="David" w:hint="cs"/>
          <w:sz w:val="24"/>
          <w:szCs w:val="24"/>
          <w:rtl/>
        </w:rPr>
        <w:t xml:space="preserve">מאידך, הנאשם ביצע את העבירות המיוחסות לו בתקופת פנאי בגין עבירות דומות ועולה כי מעמד משפטי קודם לא הרתיע אותו מהמשך מעורבות בעבירות סמים. </w:t>
      </w:r>
    </w:p>
    <w:p w14:paraId="17EDDDC8" w14:textId="77777777" w:rsidR="00447B53" w:rsidRDefault="00447B53" w:rsidP="00447B53">
      <w:pPr>
        <w:pStyle w:val="aa"/>
        <w:spacing w:line="360" w:lineRule="auto"/>
        <w:jc w:val="both"/>
        <w:rPr>
          <w:rFonts w:ascii="David" w:hAnsi="David" w:cs="David"/>
          <w:b/>
          <w:bCs/>
          <w:sz w:val="24"/>
          <w:szCs w:val="24"/>
          <w:rtl/>
        </w:rPr>
      </w:pPr>
    </w:p>
    <w:p w14:paraId="1B61FFC6" w14:textId="77777777" w:rsidR="00447B53" w:rsidRDefault="00447B53" w:rsidP="00447B53">
      <w:pPr>
        <w:pStyle w:val="aa"/>
        <w:spacing w:line="360" w:lineRule="auto"/>
        <w:jc w:val="both"/>
        <w:rPr>
          <w:rFonts w:ascii="David" w:hAnsi="David" w:cs="David"/>
          <w:sz w:val="24"/>
          <w:szCs w:val="24"/>
          <w:rtl/>
        </w:rPr>
      </w:pPr>
      <w:r>
        <w:rPr>
          <w:rFonts w:ascii="David" w:hAnsi="David" w:cs="David"/>
          <w:b/>
          <w:bCs/>
          <w:sz w:val="24"/>
          <w:szCs w:val="24"/>
          <w:rtl/>
        </w:rPr>
        <w:t>נטילת האחריות של הנאשם על מעשיו וחזרתו למוטב</w:t>
      </w:r>
      <w:r>
        <w:rPr>
          <w:rFonts w:ascii="David" w:hAnsi="David" w:cs="David"/>
          <w:sz w:val="24"/>
          <w:szCs w:val="24"/>
          <w:rtl/>
        </w:rPr>
        <w:t xml:space="preserve"> או מאמציו לחזור למוטב – אמנם, הנאשם נטל אחריות על מעשיו והודה בביצוע העבירה בשלב מוקדם של ההליך ובכך חסך זמן שיפוטי יקר</w:t>
      </w:r>
      <w:r>
        <w:rPr>
          <w:rFonts w:ascii="David" w:hAnsi="David" w:cs="David" w:hint="cs"/>
          <w:sz w:val="24"/>
          <w:szCs w:val="24"/>
          <w:rtl/>
        </w:rPr>
        <w:t xml:space="preserve">, אך בהמשך לא שיתף פעולה עם שירות המבחן אף שניתנה לו הזדמנות חוזרת לכך וזאת לבקשתו ואין בפני כל אינדיקציה לחזרה למוטב בתחום הסמים. כאמור גם הטענות ליציבות תעסוקתית ואופי העבודה לא בוססו. </w:t>
      </w:r>
    </w:p>
    <w:p w14:paraId="199E18A9" w14:textId="77777777" w:rsidR="00447B53" w:rsidRDefault="00447B53" w:rsidP="00447B53">
      <w:pPr>
        <w:spacing w:line="360" w:lineRule="auto"/>
        <w:ind w:left="720"/>
        <w:jc w:val="both"/>
        <w:rPr>
          <w:rFonts w:ascii="David" w:hAnsi="David"/>
          <w:color w:val="000000"/>
          <w:rtl/>
        </w:rPr>
      </w:pPr>
      <w:r>
        <w:rPr>
          <w:rFonts w:ascii="David" w:hAnsi="David" w:hint="cs"/>
          <w:color w:val="000000"/>
          <w:rtl/>
        </w:rPr>
        <w:t>בנסיבות אלה, בהן אין אינדיקציה של ממש להפסקת שימוש בסמים דבר שהוא תנאי ראשוני לאפשרות ריצוי מאסר בעבודות שירות ולאור דברי הנאשם בפני באולם היום לאחר שאלות חוזרות כי איננו פנוי לא למסגרת טיפולית ולא לעבודות שירות רצופות לא מצאתי לנכון לשחת את זמנם של הצדדים, את זמנו של בית המשפט ואת הממונה לעבודות שירות בקבלת חוות דעת.</w:t>
      </w:r>
    </w:p>
    <w:p w14:paraId="6124DB0B" w14:textId="77777777" w:rsidR="00447B53" w:rsidRDefault="00447B53" w:rsidP="00447B53">
      <w:pPr>
        <w:spacing w:line="360" w:lineRule="auto"/>
        <w:jc w:val="both"/>
        <w:rPr>
          <w:rFonts w:ascii="David" w:hAnsi="David"/>
          <w:color w:val="000000"/>
          <w:rtl/>
        </w:rPr>
      </w:pPr>
    </w:p>
    <w:p w14:paraId="5DF4120E" w14:textId="77777777" w:rsidR="00447B53" w:rsidRDefault="00447B53" w:rsidP="00447B53">
      <w:pPr>
        <w:spacing w:line="360" w:lineRule="auto"/>
        <w:jc w:val="both"/>
        <w:rPr>
          <w:rFonts w:ascii="David" w:hAnsi="David"/>
          <w:b/>
          <w:bCs/>
          <w:color w:val="000000"/>
          <w:u w:val="single"/>
          <w:rtl/>
        </w:rPr>
      </w:pPr>
      <w:r w:rsidRPr="00843FD4">
        <w:rPr>
          <w:rFonts w:ascii="David" w:hAnsi="David"/>
          <w:b/>
          <w:bCs/>
          <w:color w:val="000000"/>
          <w:u w:val="single"/>
          <w:rtl/>
        </w:rPr>
        <w:t>סוף דבר:</w:t>
      </w:r>
    </w:p>
    <w:p w14:paraId="776593DA" w14:textId="77777777" w:rsidR="00447B53" w:rsidRPr="00C03E41" w:rsidRDefault="00447B53" w:rsidP="00447B53">
      <w:pPr>
        <w:spacing w:line="360" w:lineRule="auto"/>
        <w:ind w:left="720" w:hanging="437"/>
        <w:jc w:val="both"/>
        <w:rPr>
          <w:rFonts w:ascii="David" w:hAnsi="David"/>
          <w:b/>
          <w:bCs/>
          <w:color w:val="000000"/>
          <w:u w:val="single"/>
          <w:rtl/>
        </w:rPr>
      </w:pPr>
      <w:r>
        <w:rPr>
          <w:rFonts w:ascii="David" w:hAnsi="David" w:hint="cs"/>
          <w:color w:val="000000"/>
          <w:rtl/>
        </w:rPr>
        <w:t xml:space="preserve">18.  </w:t>
      </w:r>
      <w:r w:rsidRPr="00843FD4">
        <w:rPr>
          <w:rFonts w:ascii="David" w:hAnsi="David"/>
          <w:color w:val="000000"/>
          <w:rtl/>
        </w:rPr>
        <w:t xml:space="preserve">לאחר שבחנתי את מכלול הנסיבות ואת טיעוני הצדדים, סבורני, </w:t>
      </w:r>
      <w:r w:rsidRPr="00843FD4">
        <w:rPr>
          <w:rFonts w:ascii="David" w:hAnsi="David"/>
          <w:rtl/>
        </w:rPr>
        <w:t xml:space="preserve">אני מטילה על </w:t>
      </w:r>
      <w:r>
        <w:rPr>
          <w:rFonts w:ascii="David" w:hAnsi="David"/>
          <w:rtl/>
        </w:rPr>
        <w:t>הנאשם</w:t>
      </w:r>
      <w:r>
        <w:rPr>
          <w:rFonts w:ascii="David" w:hAnsi="David" w:hint="cs"/>
          <w:rtl/>
        </w:rPr>
        <w:t xml:space="preserve"> </w:t>
      </w:r>
      <w:r w:rsidRPr="00843FD4">
        <w:rPr>
          <w:rFonts w:ascii="David" w:hAnsi="David"/>
          <w:rtl/>
        </w:rPr>
        <w:t>את העונשים הבאים:</w:t>
      </w:r>
    </w:p>
    <w:p w14:paraId="0EE5FA33" w14:textId="77777777" w:rsidR="00447B53" w:rsidRDefault="00447B53" w:rsidP="00447B53">
      <w:pPr>
        <w:pStyle w:val="ab"/>
        <w:spacing w:line="360" w:lineRule="auto"/>
      </w:pPr>
    </w:p>
    <w:p w14:paraId="27BC2E80" w14:textId="77777777" w:rsidR="00447B53" w:rsidRPr="007D4BFA" w:rsidRDefault="00447B53" w:rsidP="00447B53">
      <w:pPr>
        <w:pStyle w:val="ab"/>
        <w:spacing w:line="360" w:lineRule="auto"/>
        <w:ind w:left="283"/>
        <w:rPr>
          <w:color w:val="000000"/>
        </w:rPr>
      </w:pPr>
      <w:r>
        <w:rPr>
          <w:rFonts w:hint="cs"/>
          <w:rtl/>
        </w:rPr>
        <w:t>א.</w:t>
      </w:r>
      <w:r>
        <w:rPr>
          <w:rFonts w:hint="cs"/>
          <w:rtl/>
        </w:rPr>
        <w:tab/>
      </w:r>
      <w:r w:rsidRPr="007D4BFA">
        <w:rPr>
          <w:rFonts w:hint="cs"/>
          <w:rtl/>
        </w:rPr>
        <w:t xml:space="preserve">שישה </w:t>
      </w:r>
      <w:r w:rsidRPr="007D4BFA">
        <w:rPr>
          <w:rtl/>
        </w:rPr>
        <w:t>חודשי</w:t>
      </w:r>
      <w:r w:rsidR="005354AB">
        <w:rPr>
          <w:rtl/>
        </w:rPr>
        <w:t xml:space="preserve"> </w:t>
      </w:r>
      <w:r w:rsidRPr="007D4BFA">
        <w:rPr>
          <w:rtl/>
        </w:rPr>
        <w:t xml:space="preserve">מאסר </w:t>
      </w:r>
      <w:r w:rsidRPr="007D4BFA">
        <w:rPr>
          <w:rFonts w:hint="cs"/>
          <w:rtl/>
        </w:rPr>
        <w:t>לריצוי בפועל .</w:t>
      </w:r>
    </w:p>
    <w:p w14:paraId="7950B246" w14:textId="77777777" w:rsidR="00447B53" w:rsidRDefault="00447B53" w:rsidP="00447B53">
      <w:pPr>
        <w:pStyle w:val="ab"/>
        <w:spacing w:line="360" w:lineRule="auto"/>
        <w:ind w:left="718" w:hanging="435"/>
        <w:rPr>
          <w:color w:val="000000"/>
          <w:rtl/>
        </w:rPr>
      </w:pPr>
      <w:r>
        <w:rPr>
          <w:rFonts w:hint="cs"/>
          <w:color w:val="000000"/>
          <w:rtl/>
        </w:rPr>
        <w:t>ב.</w:t>
      </w:r>
      <w:r>
        <w:rPr>
          <w:rFonts w:hint="cs"/>
          <w:color w:val="000000"/>
          <w:rtl/>
        </w:rPr>
        <w:tab/>
      </w:r>
      <w:r w:rsidRPr="007D4BFA">
        <w:rPr>
          <w:rFonts w:hint="cs"/>
          <w:color w:val="000000"/>
          <w:rtl/>
        </w:rPr>
        <w:t xml:space="preserve">הפעלת עונש מאסר מותנה מח"א (מחוזי 469/17 מיום 22.11.17) בן 60 ימים וזאת בחופף לעונש המאסר בתיק זה. </w:t>
      </w:r>
      <w:r>
        <w:rPr>
          <w:rFonts w:hint="cs"/>
          <w:color w:val="000000"/>
          <w:rtl/>
        </w:rPr>
        <w:t xml:space="preserve"> יובהר, כי מצאתי לנכון להפעיל את מלוא העונש באופן חופף לפנים משורת הדין.</w:t>
      </w:r>
    </w:p>
    <w:p w14:paraId="27D4161A" w14:textId="77777777" w:rsidR="00447B53" w:rsidRPr="007D4BFA" w:rsidRDefault="00447B53" w:rsidP="00447B53">
      <w:pPr>
        <w:pStyle w:val="ab"/>
        <w:spacing w:line="360" w:lineRule="auto"/>
        <w:ind w:left="283"/>
        <w:rPr>
          <w:color w:val="000000"/>
        </w:rPr>
      </w:pPr>
    </w:p>
    <w:p w14:paraId="0E60A1DD" w14:textId="77777777" w:rsidR="00447B53" w:rsidRDefault="00447B53" w:rsidP="00447B53">
      <w:pPr>
        <w:pStyle w:val="ab"/>
        <w:spacing w:line="360" w:lineRule="auto"/>
        <w:ind w:left="283" w:firstLine="435"/>
        <w:rPr>
          <w:b/>
          <w:bCs/>
          <w:color w:val="000000"/>
          <w:rtl/>
        </w:rPr>
      </w:pPr>
      <w:r>
        <w:rPr>
          <w:rFonts w:hint="cs"/>
          <w:b/>
          <w:bCs/>
          <w:color w:val="000000"/>
          <w:rtl/>
        </w:rPr>
        <w:t xml:space="preserve">בסה"כ ירצה הנאשם 6 חודשי מאסר. </w:t>
      </w:r>
    </w:p>
    <w:p w14:paraId="2C2E5A87" w14:textId="77777777" w:rsidR="00447B53" w:rsidRPr="007D4BFA" w:rsidRDefault="00447B53" w:rsidP="00447B53">
      <w:pPr>
        <w:pStyle w:val="ab"/>
        <w:spacing w:line="360" w:lineRule="auto"/>
        <w:ind w:left="283"/>
        <w:rPr>
          <w:b/>
          <w:bCs/>
          <w:color w:val="000000"/>
          <w:rtl/>
        </w:rPr>
      </w:pPr>
    </w:p>
    <w:p w14:paraId="0953AC36" w14:textId="77777777" w:rsidR="00447B53" w:rsidRPr="007D4BFA" w:rsidRDefault="00447B53" w:rsidP="00447B53">
      <w:pPr>
        <w:pStyle w:val="ab"/>
        <w:spacing w:line="360" w:lineRule="auto"/>
        <w:ind w:left="283"/>
        <w:rPr>
          <w:rtl/>
        </w:rPr>
      </w:pPr>
      <w:r>
        <w:rPr>
          <w:rFonts w:hint="cs"/>
          <w:rtl/>
        </w:rPr>
        <w:t>ג.</w:t>
      </w:r>
      <w:r>
        <w:rPr>
          <w:rFonts w:hint="cs"/>
          <w:rtl/>
        </w:rPr>
        <w:tab/>
      </w:r>
      <w:r w:rsidRPr="007D4BFA">
        <w:rPr>
          <w:rtl/>
        </w:rPr>
        <w:t xml:space="preserve">מאסר על תנאי לתקופה של </w:t>
      </w:r>
      <w:r>
        <w:rPr>
          <w:rFonts w:hint="cs"/>
          <w:rtl/>
        </w:rPr>
        <w:t xml:space="preserve">3 </w:t>
      </w:r>
      <w:r w:rsidRPr="007D4BFA">
        <w:rPr>
          <w:rtl/>
        </w:rPr>
        <w:t>חודשים.</w:t>
      </w:r>
    </w:p>
    <w:p w14:paraId="6A024BD0" w14:textId="77777777" w:rsidR="00447B53" w:rsidRDefault="00447B53" w:rsidP="00447B53">
      <w:pPr>
        <w:pStyle w:val="ab"/>
        <w:spacing w:line="360" w:lineRule="auto"/>
        <w:ind w:left="720"/>
        <w:jc w:val="both"/>
        <w:rPr>
          <w:rtl/>
        </w:rPr>
      </w:pPr>
      <w:r>
        <w:rPr>
          <w:rtl/>
        </w:rPr>
        <w:t xml:space="preserve">המאסר המותנה יופעל אם תוך תקופה של 3 שנים </w:t>
      </w:r>
      <w:r>
        <w:rPr>
          <w:rFonts w:hint="cs"/>
          <w:rtl/>
        </w:rPr>
        <w:t>מיום שחרורו</w:t>
      </w:r>
      <w:r>
        <w:rPr>
          <w:rtl/>
        </w:rPr>
        <w:t>, יעבור הנאשם עביר</w:t>
      </w:r>
      <w:r>
        <w:rPr>
          <w:rFonts w:hint="cs"/>
          <w:rtl/>
        </w:rPr>
        <w:t>ת סמים מסוג עוון.</w:t>
      </w:r>
    </w:p>
    <w:p w14:paraId="75234D3D" w14:textId="77777777" w:rsidR="00447B53" w:rsidRDefault="00447B53" w:rsidP="00447B53">
      <w:pPr>
        <w:pStyle w:val="ab"/>
        <w:spacing w:line="360" w:lineRule="auto"/>
        <w:ind w:left="283"/>
        <w:rPr>
          <w:rtl/>
        </w:rPr>
      </w:pPr>
      <w:r>
        <w:rPr>
          <w:rFonts w:hint="cs"/>
          <w:rtl/>
        </w:rPr>
        <w:t>ד.</w:t>
      </w:r>
      <w:r>
        <w:rPr>
          <w:rFonts w:hint="cs"/>
          <w:rtl/>
        </w:rPr>
        <w:tab/>
        <w:t xml:space="preserve">מאסר על תנאי לתקופה של </w:t>
      </w:r>
      <w:r>
        <w:rPr>
          <w:rtl/>
        </w:rPr>
        <w:t>–</w:t>
      </w:r>
      <w:r>
        <w:rPr>
          <w:rFonts w:hint="cs"/>
          <w:rtl/>
        </w:rPr>
        <w:t xml:space="preserve"> 6 חודשים. </w:t>
      </w:r>
    </w:p>
    <w:p w14:paraId="665725D4" w14:textId="77777777" w:rsidR="00447B53" w:rsidRDefault="00447B53" w:rsidP="00447B53">
      <w:pPr>
        <w:pStyle w:val="ab"/>
        <w:spacing w:line="360" w:lineRule="auto"/>
        <w:ind w:left="720"/>
        <w:jc w:val="both"/>
        <w:rPr>
          <w:rtl/>
        </w:rPr>
      </w:pPr>
      <w:r>
        <w:rPr>
          <w:rtl/>
        </w:rPr>
        <w:t xml:space="preserve">המאסר המותנה יופעל אם תוך תקופה של 3 שנים </w:t>
      </w:r>
      <w:r>
        <w:rPr>
          <w:rFonts w:hint="cs"/>
          <w:rtl/>
        </w:rPr>
        <w:t>מיום שחרורו</w:t>
      </w:r>
      <w:r>
        <w:rPr>
          <w:rtl/>
        </w:rPr>
        <w:t>, יעבור הנאשם עביר</w:t>
      </w:r>
      <w:r>
        <w:rPr>
          <w:rFonts w:hint="cs"/>
          <w:rtl/>
        </w:rPr>
        <w:t>ת סמים מסוג פשע.</w:t>
      </w:r>
    </w:p>
    <w:p w14:paraId="38531BD8" w14:textId="77777777" w:rsidR="00447B53" w:rsidRDefault="00447B53" w:rsidP="00447B53">
      <w:pPr>
        <w:pStyle w:val="ab"/>
        <w:spacing w:line="360" w:lineRule="auto"/>
        <w:ind w:left="718" w:hanging="435"/>
        <w:rPr>
          <w:rtl/>
        </w:rPr>
      </w:pPr>
      <w:r>
        <w:rPr>
          <w:rFonts w:hint="cs"/>
          <w:rtl/>
        </w:rPr>
        <w:t>ה.</w:t>
      </w:r>
      <w:r>
        <w:rPr>
          <w:rFonts w:hint="cs"/>
          <w:rtl/>
        </w:rPr>
        <w:tab/>
        <w:t xml:space="preserve">פסילת רישיון נהיגה למשך שלושה חודשים מיום שחרורו. הנאשם יפקיד את רישיון הנהיגה שלו. </w:t>
      </w:r>
    </w:p>
    <w:p w14:paraId="67600189" w14:textId="77777777" w:rsidR="00447B53" w:rsidRDefault="00447B53" w:rsidP="00447B53">
      <w:pPr>
        <w:pStyle w:val="ab"/>
        <w:spacing w:line="360" w:lineRule="auto"/>
        <w:ind w:left="718" w:hanging="435"/>
        <w:jc w:val="both"/>
        <w:rPr>
          <w:rtl/>
        </w:rPr>
      </w:pPr>
      <w:r>
        <w:rPr>
          <w:rFonts w:hint="cs"/>
          <w:rtl/>
        </w:rPr>
        <w:t>ו.</w:t>
      </w:r>
      <w:r>
        <w:rPr>
          <w:rFonts w:hint="cs"/>
          <w:rtl/>
        </w:rPr>
        <w:tab/>
        <w:t xml:space="preserve">פסילת רישיון על תנאי של -6 חודשים למשך שנתיים מיום שחרורו שלא יעבור עבירה בפקודת הסמים. </w:t>
      </w:r>
    </w:p>
    <w:p w14:paraId="6927DD54" w14:textId="77777777" w:rsidR="00447B53" w:rsidRDefault="00447B53" w:rsidP="00447B53">
      <w:pPr>
        <w:spacing w:line="360" w:lineRule="auto"/>
        <w:ind w:left="702" w:hanging="702"/>
        <w:jc w:val="both"/>
        <w:rPr>
          <w:rFonts w:ascii="David" w:hAnsi="David"/>
          <w:rtl/>
        </w:rPr>
      </w:pPr>
    </w:p>
    <w:p w14:paraId="3962C352" w14:textId="77777777" w:rsidR="00447B53" w:rsidRPr="00EA73C7" w:rsidRDefault="00447B53" w:rsidP="00447B53">
      <w:pPr>
        <w:overflowPunct w:val="0"/>
        <w:autoSpaceDE w:val="0"/>
        <w:autoSpaceDN w:val="0"/>
        <w:spacing w:line="360" w:lineRule="auto"/>
        <w:jc w:val="both"/>
        <w:rPr>
          <w:rFonts w:ascii="Arial TUR" w:hAnsi="Arial TUR"/>
          <w:rtl/>
        </w:rPr>
      </w:pPr>
      <w:r w:rsidRPr="00EA73C7">
        <w:rPr>
          <w:rFonts w:ascii="Arial TUR" w:hAnsi="Arial TUR"/>
          <w:rtl/>
        </w:rPr>
        <w:t xml:space="preserve">הנאשם יתייצב לריצוי עונש המאסר שנגזר עליו ביום </w:t>
      </w:r>
      <w:r>
        <w:rPr>
          <w:rFonts w:ascii="Arial TUR" w:hAnsi="Arial TUR" w:hint="cs"/>
          <w:rtl/>
        </w:rPr>
        <w:t>1.7.20</w:t>
      </w:r>
      <w:r>
        <w:rPr>
          <w:rFonts w:ascii="Arial TUR" w:hAnsi="Arial TUR"/>
          <w:rtl/>
        </w:rPr>
        <w:t xml:space="preserve"> עד לשעה 10:00,</w:t>
      </w:r>
      <w:r w:rsidRPr="00EA73C7">
        <w:rPr>
          <w:rFonts w:ascii="Arial TUR" w:hAnsi="Arial TUR"/>
          <w:rtl/>
        </w:rPr>
        <w:t xml:space="preserve"> כשברשותו תעודה מזהה. </w:t>
      </w:r>
    </w:p>
    <w:p w14:paraId="1CEBF888" w14:textId="77777777" w:rsidR="00447B53" w:rsidRPr="00EA73C7" w:rsidRDefault="00447B53" w:rsidP="00447B53">
      <w:pPr>
        <w:overflowPunct w:val="0"/>
        <w:autoSpaceDE w:val="0"/>
        <w:autoSpaceDN w:val="0"/>
        <w:spacing w:line="360" w:lineRule="auto"/>
        <w:jc w:val="both"/>
        <w:rPr>
          <w:rFonts w:ascii="Arial TUR" w:hAnsi="Arial TUR" w:cs="Arial TUR"/>
          <w:rtl/>
        </w:rPr>
      </w:pPr>
      <w:r w:rsidRPr="00EA73C7">
        <w:rPr>
          <w:rFonts w:ascii="Arial TUR" w:hAnsi="Arial TUR"/>
          <w:rtl/>
        </w:rPr>
        <w:t>על הנאשם או בא כוחו לתאם כניסת הנאשם למאסר, כולל האפשרות למיון מוקדם, עם ענף אבחון ומיון של שירות בתי הסוהר, טלפונים: 08-9787377 או</w:t>
      </w:r>
      <w:r w:rsidR="005354AB">
        <w:rPr>
          <w:rFonts w:ascii="Arial TUR" w:hAnsi="Arial TUR"/>
          <w:rtl/>
        </w:rPr>
        <w:t xml:space="preserve"> </w:t>
      </w:r>
      <w:r w:rsidRPr="00EA73C7">
        <w:rPr>
          <w:rFonts w:ascii="Arial TUR" w:hAnsi="Arial TUR"/>
          <w:rtl/>
        </w:rPr>
        <w:t xml:space="preserve"> 08-9787336. </w:t>
      </w:r>
    </w:p>
    <w:p w14:paraId="23AA47C9" w14:textId="77777777" w:rsidR="00447B53" w:rsidRPr="00EA73C7" w:rsidRDefault="00447B53" w:rsidP="00447B53">
      <w:pPr>
        <w:spacing w:line="360" w:lineRule="auto"/>
        <w:ind w:left="720"/>
        <w:jc w:val="both"/>
        <w:rPr>
          <w:rFonts w:ascii="Calibri" w:hAnsi="Calibri"/>
          <w:rtl/>
        </w:rPr>
      </w:pPr>
    </w:p>
    <w:p w14:paraId="56909D58" w14:textId="77777777" w:rsidR="00447B53" w:rsidRPr="00D3101E" w:rsidRDefault="00447B53" w:rsidP="00447B53">
      <w:pPr>
        <w:numPr>
          <w:ilvl w:val="1"/>
          <w:numId w:val="3"/>
        </w:numPr>
        <w:spacing w:line="360" w:lineRule="auto"/>
        <w:jc w:val="both"/>
        <w:rPr>
          <w:rFonts w:ascii="David" w:hAnsi="David"/>
        </w:rPr>
      </w:pPr>
      <w:r w:rsidRPr="00D3101E">
        <w:rPr>
          <w:rFonts w:ascii="David" w:hAnsi="David"/>
          <w:rtl/>
        </w:rPr>
        <w:t>מחוז צפון: בימ"ר קישון</w:t>
      </w:r>
    </w:p>
    <w:p w14:paraId="04F12312" w14:textId="77777777" w:rsidR="00447B53" w:rsidRPr="00D3101E" w:rsidRDefault="00447B53" w:rsidP="00447B53">
      <w:pPr>
        <w:numPr>
          <w:ilvl w:val="1"/>
          <w:numId w:val="3"/>
        </w:numPr>
        <w:spacing w:line="360" w:lineRule="auto"/>
        <w:jc w:val="both"/>
        <w:rPr>
          <w:rFonts w:ascii="David" w:hAnsi="David"/>
        </w:rPr>
      </w:pPr>
      <w:r w:rsidRPr="00D3101E">
        <w:rPr>
          <w:rFonts w:ascii="David" w:hAnsi="David"/>
          <w:rtl/>
        </w:rPr>
        <w:t>מחוז חיפה: בימ"ר קישון</w:t>
      </w:r>
    </w:p>
    <w:p w14:paraId="31DB24CF" w14:textId="77777777" w:rsidR="00447B53" w:rsidRPr="00D3101E" w:rsidRDefault="00447B53" w:rsidP="00447B53">
      <w:pPr>
        <w:numPr>
          <w:ilvl w:val="1"/>
          <w:numId w:val="3"/>
        </w:numPr>
        <w:spacing w:line="360" w:lineRule="auto"/>
        <w:jc w:val="both"/>
        <w:rPr>
          <w:rFonts w:ascii="David" w:hAnsi="David"/>
        </w:rPr>
      </w:pPr>
      <w:r w:rsidRPr="00D3101E">
        <w:rPr>
          <w:rFonts w:ascii="David" w:hAnsi="David"/>
          <w:rtl/>
        </w:rPr>
        <w:t>מחוז מרכז: בימ"ר הדרים</w:t>
      </w:r>
    </w:p>
    <w:p w14:paraId="3F1FE6AD" w14:textId="77777777" w:rsidR="00447B53" w:rsidRPr="00D3101E" w:rsidRDefault="00447B53" w:rsidP="00447B53">
      <w:pPr>
        <w:numPr>
          <w:ilvl w:val="1"/>
          <w:numId w:val="3"/>
        </w:numPr>
        <w:spacing w:line="360" w:lineRule="auto"/>
        <w:jc w:val="both"/>
        <w:rPr>
          <w:rFonts w:ascii="David" w:hAnsi="David"/>
          <w:rtl/>
        </w:rPr>
      </w:pPr>
      <w:r w:rsidRPr="00D3101E">
        <w:rPr>
          <w:rFonts w:ascii="David" w:hAnsi="David"/>
          <w:rtl/>
        </w:rPr>
        <w:t>מחוז ת"א: בימ"ר ניצן</w:t>
      </w:r>
    </w:p>
    <w:p w14:paraId="45E14DA5" w14:textId="77777777" w:rsidR="00447B53" w:rsidRPr="00D3101E" w:rsidRDefault="00447B53" w:rsidP="00447B53">
      <w:pPr>
        <w:numPr>
          <w:ilvl w:val="1"/>
          <w:numId w:val="3"/>
        </w:numPr>
        <w:spacing w:line="360" w:lineRule="auto"/>
        <w:jc w:val="both"/>
        <w:rPr>
          <w:rFonts w:ascii="David" w:hAnsi="David"/>
          <w:rtl/>
        </w:rPr>
      </w:pPr>
      <w:r w:rsidRPr="00D3101E">
        <w:rPr>
          <w:rFonts w:ascii="David" w:hAnsi="David"/>
          <w:rtl/>
        </w:rPr>
        <w:t>מחוז י-ם: בימ"ר ניצן</w:t>
      </w:r>
    </w:p>
    <w:p w14:paraId="6F6C81C3" w14:textId="77777777" w:rsidR="00447B53" w:rsidRPr="00D3101E" w:rsidRDefault="00447B53" w:rsidP="00447B53">
      <w:pPr>
        <w:numPr>
          <w:ilvl w:val="1"/>
          <w:numId w:val="3"/>
        </w:numPr>
        <w:spacing w:line="360" w:lineRule="auto"/>
        <w:jc w:val="both"/>
        <w:rPr>
          <w:rFonts w:ascii="David" w:hAnsi="David"/>
          <w:rtl/>
        </w:rPr>
      </w:pPr>
      <w:r w:rsidRPr="00D3101E">
        <w:rPr>
          <w:rFonts w:ascii="David" w:hAnsi="David"/>
          <w:rtl/>
        </w:rPr>
        <w:t>מחוז דרום: ביס"ר דקל</w:t>
      </w:r>
    </w:p>
    <w:p w14:paraId="30BB1957" w14:textId="77777777" w:rsidR="00447B53" w:rsidRPr="00D3101E" w:rsidRDefault="00447B53" w:rsidP="00447B53">
      <w:pPr>
        <w:numPr>
          <w:ilvl w:val="1"/>
          <w:numId w:val="3"/>
        </w:numPr>
        <w:spacing w:line="360" w:lineRule="auto"/>
        <w:jc w:val="both"/>
        <w:rPr>
          <w:rFonts w:ascii="David" w:hAnsi="David"/>
          <w:rtl/>
        </w:rPr>
      </w:pPr>
      <w:r w:rsidRPr="00D3101E">
        <w:rPr>
          <w:rFonts w:ascii="David" w:hAnsi="David"/>
          <w:rtl/>
        </w:rPr>
        <w:t>נשים (מכל הארץ): ביס"ר נווה תרצה</w:t>
      </w:r>
    </w:p>
    <w:p w14:paraId="14C7F00E" w14:textId="77777777" w:rsidR="00447B53" w:rsidRPr="00D3101E" w:rsidRDefault="00447B53" w:rsidP="00447B53">
      <w:pPr>
        <w:numPr>
          <w:ilvl w:val="1"/>
          <w:numId w:val="3"/>
        </w:numPr>
        <w:spacing w:line="360" w:lineRule="auto"/>
        <w:jc w:val="both"/>
        <w:rPr>
          <w:rFonts w:ascii="David" w:hAnsi="David"/>
          <w:rtl/>
        </w:rPr>
      </w:pPr>
      <w:r w:rsidRPr="00D3101E">
        <w:rPr>
          <w:rFonts w:ascii="David" w:hAnsi="David"/>
          <w:rtl/>
        </w:rPr>
        <w:t>קטינים (מכל הארץ): ביס"ר אופק</w:t>
      </w:r>
    </w:p>
    <w:p w14:paraId="55510D92" w14:textId="77777777" w:rsidR="00447B53" w:rsidRPr="00EA73C7" w:rsidRDefault="00447B53" w:rsidP="00447B53">
      <w:pPr>
        <w:spacing w:line="360" w:lineRule="auto"/>
        <w:jc w:val="both"/>
        <w:rPr>
          <w:rFonts w:ascii="Arial TUR" w:hAnsi="Arial TUR"/>
          <w:rtl/>
        </w:rPr>
      </w:pPr>
    </w:p>
    <w:p w14:paraId="218274A1" w14:textId="77777777" w:rsidR="00447B53" w:rsidRDefault="00447B53" w:rsidP="00447B53">
      <w:pPr>
        <w:spacing w:line="360" w:lineRule="auto"/>
        <w:jc w:val="both"/>
        <w:rPr>
          <w:rFonts w:ascii="Arial TUR" w:hAnsi="Arial TUR"/>
          <w:rtl/>
        </w:rPr>
      </w:pPr>
      <w:r>
        <w:rPr>
          <w:rFonts w:ascii="Arial TUR" w:hAnsi="Arial TUR" w:hint="cs"/>
          <w:rtl/>
        </w:rPr>
        <w:t>ניתן בזאת צו עיכוב יציאה מן הארץ להבטחת התייצבות הנאשם למאסר. הנאשם יפקיד את דרכונו בתחנת המשטרה בתוך 48 שעות.</w:t>
      </w:r>
    </w:p>
    <w:p w14:paraId="24C10F1E" w14:textId="77777777" w:rsidR="00447B53" w:rsidRPr="00EA73C7" w:rsidRDefault="00447B53" w:rsidP="00447B53">
      <w:pPr>
        <w:spacing w:line="360" w:lineRule="auto"/>
        <w:jc w:val="both"/>
        <w:rPr>
          <w:rFonts w:ascii="Arial TUR" w:hAnsi="Arial TUR"/>
          <w:rtl/>
        </w:rPr>
      </w:pPr>
      <w:r>
        <w:rPr>
          <w:rFonts w:ascii="Arial TUR" w:hAnsi="Arial TUR" w:hint="cs"/>
          <w:rtl/>
        </w:rPr>
        <w:t xml:space="preserve"> </w:t>
      </w:r>
    </w:p>
    <w:p w14:paraId="1D6DC871" w14:textId="77777777" w:rsidR="00447B53" w:rsidRDefault="00447B53" w:rsidP="00447B53">
      <w:pPr>
        <w:spacing w:line="360" w:lineRule="auto"/>
        <w:jc w:val="both"/>
        <w:rPr>
          <w:rFonts w:ascii="David" w:hAnsi="David"/>
          <w:b/>
          <w:bCs/>
          <w:rtl/>
        </w:rPr>
      </w:pPr>
      <w:r>
        <w:rPr>
          <w:rFonts w:ascii="David" w:hAnsi="David"/>
          <w:b/>
          <w:bCs/>
          <w:rtl/>
        </w:rPr>
        <w:t>ניתן בזאת צו להשמדת מוצג –</w:t>
      </w:r>
      <w:r>
        <w:rPr>
          <w:rFonts w:ascii="David" w:hAnsi="David" w:hint="cs"/>
          <w:b/>
          <w:bCs/>
          <w:rtl/>
        </w:rPr>
        <w:t xml:space="preserve"> סמים וכלים </w:t>
      </w:r>
      <w:r>
        <w:rPr>
          <w:rFonts w:ascii="David" w:hAnsi="David"/>
          <w:b/>
          <w:bCs/>
          <w:rtl/>
        </w:rPr>
        <w:t>בכפוף לחלוף תקופת הערעור.</w:t>
      </w:r>
    </w:p>
    <w:p w14:paraId="17AF6906" w14:textId="77777777" w:rsidR="00447B53" w:rsidRPr="00D3101E" w:rsidRDefault="00447B53" w:rsidP="00447B53">
      <w:pPr>
        <w:spacing w:line="360" w:lineRule="auto"/>
        <w:jc w:val="both"/>
        <w:rPr>
          <w:rFonts w:ascii="David" w:hAnsi="David"/>
          <w:b/>
          <w:bCs/>
          <w:u w:val="single"/>
          <w:rtl/>
        </w:rPr>
      </w:pPr>
      <w:r>
        <w:rPr>
          <w:rFonts w:ascii="David" w:hAnsi="David"/>
          <w:b/>
          <w:bCs/>
          <w:u w:val="single"/>
          <w:rtl/>
        </w:rPr>
        <w:t xml:space="preserve">זכות ערעור כחוק. </w:t>
      </w:r>
    </w:p>
    <w:p w14:paraId="3F5CDA14" w14:textId="77777777" w:rsidR="00447B53" w:rsidRPr="00B05847" w:rsidRDefault="00447B53" w:rsidP="00447B53">
      <w:pPr>
        <w:jc w:val="both"/>
        <w:rPr>
          <w:rtl/>
        </w:rPr>
      </w:pPr>
    </w:p>
    <w:p w14:paraId="6827155E" w14:textId="77777777" w:rsidR="00447B53" w:rsidRPr="005354AB" w:rsidRDefault="005354AB" w:rsidP="00447B53">
      <w:pPr>
        <w:jc w:val="both"/>
        <w:rPr>
          <w:color w:val="FFFFFF"/>
          <w:sz w:val="2"/>
          <w:szCs w:val="2"/>
          <w:rtl/>
        </w:rPr>
      </w:pPr>
      <w:r w:rsidRPr="005354AB">
        <w:rPr>
          <w:color w:val="FFFFFF"/>
          <w:sz w:val="2"/>
          <w:szCs w:val="2"/>
          <w:rtl/>
        </w:rPr>
        <w:t>5129371</w:t>
      </w:r>
    </w:p>
    <w:p w14:paraId="3E6BAAC3" w14:textId="77777777" w:rsidR="00447B53" w:rsidRDefault="005354AB" w:rsidP="00447B53">
      <w:pPr>
        <w:jc w:val="both"/>
        <w:rPr>
          <w:rFonts w:cs="FrankRuehl"/>
          <w:sz w:val="28"/>
          <w:szCs w:val="28"/>
          <w:rtl/>
        </w:rPr>
      </w:pPr>
      <w:bookmarkStart w:id="7" w:name="Nitan"/>
      <w:r w:rsidRPr="005354AB">
        <w:rPr>
          <w:rFonts w:ascii="Arial" w:hAnsi="Arial"/>
          <w:color w:val="FFFFFF"/>
          <w:sz w:val="2"/>
          <w:szCs w:val="2"/>
          <w:rtl/>
        </w:rPr>
        <w:t>54678313</w:t>
      </w:r>
      <w:r>
        <w:rPr>
          <w:rFonts w:ascii="Arial" w:hAnsi="Arial"/>
          <w:rtl/>
        </w:rPr>
        <w:t xml:space="preserve">ניתן היום,  כ"ה אייר תש"פ, 19 מאי 2020, במעמד הצדדים.  </w:t>
      </w:r>
      <w:bookmarkEnd w:id="7"/>
    </w:p>
    <w:p w14:paraId="4382DF18" w14:textId="77777777" w:rsidR="00447B53" w:rsidRDefault="00447B53" w:rsidP="005354AB">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EB576E9" w14:textId="77777777" w:rsidR="00447B53" w:rsidRDefault="00447B53" w:rsidP="00447B53">
      <w:pPr>
        <w:jc w:val="both"/>
        <w:rPr>
          <w:rFonts w:ascii="Arial" w:hAnsi="Arial" w:cs="FrankRuehl"/>
          <w:sz w:val="28"/>
          <w:szCs w:val="28"/>
          <w:rtl/>
        </w:rPr>
      </w:pPr>
    </w:p>
    <w:p w14:paraId="629F7E4B" w14:textId="77777777" w:rsidR="00447B53" w:rsidRDefault="00447B53" w:rsidP="00447B53">
      <w:pPr>
        <w:jc w:val="both"/>
        <w:rPr>
          <w:rFonts w:cs="FrankRuehl"/>
          <w:sz w:val="28"/>
          <w:szCs w:val="28"/>
          <w:rtl/>
        </w:rPr>
      </w:pPr>
    </w:p>
    <w:p w14:paraId="1BBCDF30" w14:textId="77777777" w:rsidR="00447B53" w:rsidRDefault="00447B53" w:rsidP="00447B53">
      <w:pPr>
        <w:pStyle w:val="a3"/>
        <w:jc w:val="both"/>
        <w:rPr>
          <w:rtl/>
        </w:rPr>
      </w:pPr>
    </w:p>
    <w:p w14:paraId="37CAE30B" w14:textId="77777777" w:rsidR="00AF0FC4" w:rsidRPr="005354AB" w:rsidRDefault="00AF0FC4" w:rsidP="005354AB">
      <w:pPr>
        <w:keepNext/>
        <w:rPr>
          <w:rFonts w:ascii="David" w:hAnsi="David"/>
          <w:color w:val="000000"/>
          <w:sz w:val="22"/>
          <w:szCs w:val="22"/>
          <w:rtl/>
        </w:rPr>
      </w:pPr>
    </w:p>
    <w:p w14:paraId="7D74F615" w14:textId="77777777" w:rsidR="005354AB" w:rsidRPr="005354AB" w:rsidRDefault="005354AB" w:rsidP="005354AB">
      <w:pPr>
        <w:keepNext/>
        <w:rPr>
          <w:rFonts w:ascii="David" w:hAnsi="David"/>
          <w:color w:val="000000"/>
          <w:sz w:val="22"/>
          <w:szCs w:val="22"/>
          <w:rtl/>
        </w:rPr>
      </w:pPr>
      <w:r w:rsidRPr="005354AB">
        <w:rPr>
          <w:rFonts w:ascii="David" w:hAnsi="David"/>
          <w:color w:val="000000"/>
          <w:sz w:val="22"/>
          <w:szCs w:val="22"/>
          <w:rtl/>
        </w:rPr>
        <w:t>ענת חולתא 54678313</w:t>
      </w:r>
    </w:p>
    <w:p w14:paraId="0B1182B6" w14:textId="77777777" w:rsidR="005354AB" w:rsidRDefault="005354AB" w:rsidP="005354AB">
      <w:r w:rsidRPr="005354AB">
        <w:rPr>
          <w:color w:val="000000"/>
          <w:rtl/>
        </w:rPr>
        <w:t>נוסח מסמך זה כפוף לשינויי ניסוח ועריכה</w:t>
      </w:r>
      <w:r w:rsidR="00603E86">
        <w:rPr>
          <w:rFonts w:hint="cs"/>
          <w:rtl/>
        </w:rPr>
        <w:t xml:space="preserve"> </w:t>
      </w:r>
    </w:p>
    <w:p w14:paraId="39D035FE" w14:textId="77777777" w:rsidR="005354AB" w:rsidRDefault="005354AB" w:rsidP="005354AB">
      <w:pPr>
        <w:rPr>
          <w:rtl/>
        </w:rPr>
      </w:pPr>
    </w:p>
    <w:p w14:paraId="03B41BC2" w14:textId="77777777" w:rsidR="005354AB" w:rsidRDefault="005354AB" w:rsidP="005354A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2F9983B8" w14:textId="77777777" w:rsidR="005354AB" w:rsidRPr="005354AB" w:rsidRDefault="005354AB" w:rsidP="005354AB">
      <w:pPr>
        <w:jc w:val="center"/>
        <w:rPr>
          <w:color w:val="0000FF"/>
          <w:u w:val="single"/>
        </w:rPr>
      </w:pPr>
    </w:p>
    <w:sectPr w:rsidR="005354AB" w:rsidRPr="005354AB" w:rsidSect="005354AB">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7E434" w14:textId="77777777" w:rsidR="002F72EB" w:rsidRDefault="002F72EB" w:rsidP="007570E5">
      <w:r>
        <w:separator/>
      </w:r>
    </w:p>
  </w:endnote>
  <w:endnote w:type="continuationSeparator" w:id="0">
    <w:p w14:paraId="753ADB51" w14:textId="77777777" w:rsidR="002F72EB" w:rsidRDefault="002F72EB" w:rsidP="0075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A162" w14:textId="77777777" w:rsidR="005354AB" w:rsidRDefault="005354AB" w:rsidP="00535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240C97" w14:textId="77777777" w:rsidR="00C33402" w:rsidRPr="005354AB" w:rsidRDefault="005354AB" w:rsidP="00535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F3A1" w14:textId="77777777" w:rsidR="005354AB" w:rsidRDefault="005354AB" w:rsidP="005354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7F6C">
      <w:rPr>
        <w:rFonts w:ascii="FrankRuehl" w:hAnsi="FrankRuehl" w:cs="FrankRuehl"/>
        <w:noProof/>
        <w:rtl/>
      </w:rPr>
      <w:t>1</w:t>
    </w:r>
    <w:r>
      <w:rPr>
        <w:rFonts w:ascii="FrankRuehl" w:hAnsi="FrankRuehl" w:cs="FrankRuehl"/>
        <w:rtl/>
      </w:rPr>
      <w:fldChar w:fldCharType="end"/>
    </w:r>
  </w:p>
  <w:p w14:paraId="6B7E546F" w14:textId="77777777" w:rsidR="00C33402" w:rsidRPr="005354AB" w:rsidRDefault="005354AB" w:rsidP="005354A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F0E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B8199" w14:textId="77777777" w:rsidR="002F72EB" w:rsidRDefault="002F72EB" w:rsidP="007570E5">
      <w:r>
        <w:separator/>
      </w:r>
    </w:p>
  </w:footnote>
  <w:footnote w:type="continuationSeparator" w:id="0">
    <w:p w14:paraId="4BA3972E" w14:textId="77777777" w:rsidR="002F72EB" w:rsidRDefault="002F72EB" w:rsidP="00757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CACC" w14:textId="77777777" w:rsidR="005354AB" w:rsidRPr="005354AB" w:rsidRDefault="005354AB" w:rsidP="00535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31276-05-19</w:t>
    </w:r>
    <w:r>
      <w:rPr>
        <w:rFonts w:ascii="David" w:hAnsi="David"/>
        <w:color w:val="000000"/>
        <w:sz w:val="22"/>
        <w:szCs w:val="22"/>
        <w:rtl/>
      </w:rPr>
      <w:tab/>
      <w:t xml:space="preserve"> מדינת ישראל נ' דימטרי סרי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0182" w14:textId="77777777" w:rsidR="005354AB" w:rsidRPr="005354AB" w:rsidRDefault="005354AB" w:rsidP="00535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31276-05-19</w:t>
    </w:r>
    <w:r>
      <w:rPr>
        <w:rFonts w:ascii="David" w:hAnsi="David"/>
        <w:color w:val="000000"/>
        <w:sz w:val="22"/>
        <w:szCs w:val="22"/>
        <w:rtl/>
      </w:rPr>
      <w:tab/>
      <w:t xml:space="preserve"> מדינת ישראל נ' דימטרי סרי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1816"/>
    <w:multiLevelType w:val="hybridMultilevel"/>
    <w:tmpl w:val="87EE2298"/>
    <w:lvl w:ilvl="0" w:tplc="FA2C22C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05327E"/>
    <w:multiLevelType w:val="hybridMultilevel"/>
    <w:tmpl w:val="A83A6428"/>
    <w:lvl w:ilvl="0" w:tplc="A8007F90">
      <w:start w:val="1"/>
      <w:numFmt w:val="decimal"/>
      <w:lvlText w:val="%1."/>
      <w:lvlJc w:val="left"/>
      <w:pPr>
        <w:ind w:left="1080" w:hanging="360"/>
      </w:pPr>
      <w:rPr>
        <w:rFonts w:ascii="David" w:eastAsia="Times New Roman" w:hAnsi="David"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6EFD2880"/>
    <w:multiLevelType w:val="hybridMultilevel"/>
    <w:tmpl w:val="12B615A2"/>
    <w:lvl w:ilvl="0" w:tplc="0409000F">
      <w:start w:val="1"/>
      <w:numFmt w:val="decimal"/>
      <w:lvlText w:val="%1."/>
      <w:lvlJc w:val="left"/>
      <w:pPr>
        <w:tabs>
          <w:tab w:val="num" w:pos="720"/>
        </w:tabs>
        <w:ind w:left="720" w:hanging="360"/>
      </w:pPr>
      <w:rPr>
        <w:rFonts w:cs="Times New Roman"/>
      </w:rPr>
    </w:lvl>
    <w:lvl w:ilvl="1" w:tplc="04090013">
      <w:start w:val="1"/>
      <w:numFmt w:val="hebrew1"/>
      <w:lvlText w:val="%2."/>
      <w:lvlJc w:val="center"/>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1994986110">
    <w:abstractNumId w:val="0"/>
  </w:num>
  <w:num w:numId="2" w16cid:durableId="254553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035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B53"/>
    <w:rsid w:val="0015668B"/>
    <w:rsid w:val="00163C15"/>
    <w:rsid w:val="002F72EB"/>
    <w:rsid w:val="00447B53"/>
    <w:rsid w:val="00507F6C"/>
    <w:rsid w:val="005354AB"/>
    <w:rsid w:val="00596F14"/>
    <w:rsid w:val="00603E86"/>
    <w:rsid w:val="006F5F15"/>
    <w:rsid w:val="007570E5"/>
    <w:rsid w:val="0077011B"/>
    <w:rsid w:val="00AF0FC4"/>
    <w:rsid w:val="00BC25F4"/>
    <w:rsid w:val="00C33402"/>
    <w:rsid w:val="00C501AB"/>
    <w:rsid w:val="00D340B1"/>
    <w:rsid w:val="00DE3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79151D"/>
  <w15:chartTrackingRefBased/>
  <w15:docId w15:val="{D4B96896-F8F5-4C37-8565-0210956B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B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B53"/>
    <w:pPr>
      <w:tabs>
        <w:tab w:val="center" w:pos="4153"/>
        <w:tab w:val="right" w:pos="8306"/>
      </w:tabs>
    </w:pPr>
    <w:rPr>
      <w:rFonts w:cs="Times New Roman"/>
      <w:lang w:val="x-none" w:eastAsia="x-none"/>
    </w:rPr>
  </w:style>
  <w:style w:type="character" w:customStyle="1" w:styleId="a4">
    <w:name w:val="כותרת עליונה תו"/>
    <w:link w:val="a3"/>
    <w:rsid w:val="00447B53"/>
    <w:rPr>
      <w:rFonts w:ascii="Times New Roman" w:eastAsia="Times New Roman" w:hAnsi="Times New Roman" w:cs="David"/>
      <w:sz w:val="24"/>
      <w:szCs w:val="24"/>
    </w:rPr>
  </w:style>
  <w:style w:type="paragraph" w:styleId="a5">
    <w:name w:val="footer"/>
    <w:basedOn w:val="a"/>
    <w:link w:val="a6"/>
    <w:rsid w:val="00447B53"/>
    <w:pPr>
      <w:tabs>
        <w:tab w:val="center" w:pos="4153"/>
        <w:tab w:val="right" w:pos="8306"/>
      </w:tabs>
    </w:pPr>
    <w:rPr>
      <w:rFonts w:cs="Times New Roman"/>
      <w:lang w:val="x-none" w:eastAsia="x-none"/>
    </w:rPr>
  </w:style>
  <w:style w:type="character" w:customStyle="1" w:styleId="a6">
    <w:name w:val="כותרת תחתונה תו"/>
    <w:link w:val="a5"/>
    <w:rsid w:val="00447B53"/>
    <w:rPr>
      <w:rFonts w:ascii="Times New Roman" w:eastAsia="Times New Roman" w:hAnsi="Times New Roman" w:cs="David"/>
      <w:sz w:val="24"/>
      <w:szCs w:val="24"/>
    </w:rPr>
  </w:style>
  <w:style w:type="table" w:styleId="a7">
    <w:name w:val="Table Grid"/>
    <w:basedOn w:val="a1"/>
    <w:rsid w:val="00447B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B53"/>
  </w:style>
  <w:style w:type="character" w:customStyle="1" w:styleId="a9">
    <w:name w:val="פיסקת רשימה תו"/>
    <w:link w:val="aa"/>
    <w:locked/>
    <w:rsid w:val="00447B53"/>
    <w:rPr>
      <w:rFonts w:cs="Arial"/>
    </w:rPr>
  </w:style>
  <w:style w:type="paragraph" w:styleId="aa">
    <w:name w:val="List Paragraph"/>
    <w:basedOn w:val="a"/>
    <w:link w:val="a9"/>
    <w:qFormat/>
    <w:rsid w:val="00447B53"/>
    <w:pPr>
      <w:spacing w:after="160" w:line="256" w:lineRule="auto"/>
      <w:ind w:left="720"/>
      <w:contextualSpacing/>
    </w:pPr>
    <w:rPr>
      <w:rFonts w:ascii="Calibri" w:eastAsia="Calibri" w:hAnsi="Calibri" w:cs="Times New Roman"/>
      <w:sz w:val="20"/>
      <w:szCs w:val="20"/>
      <w:lang w:val="x-none" w:eastAsia="x-none"/>
    </w:rPr>
  </w:style>
  <w:style w:type="character" w:styleId="Hyperlink">
    <w:name w:val="Hyperlink"/>
    <w:rsid w:val="00447B53"/>
    <w:rPr>
      <w:color w:val="0000FF"/>
      <w:u w:val="single"/>
    </w:rPr>
  </w:style>
  <w:style w:type="paragraph" w:styleId="ab">
    <w:name w:val="No Spacing"/>
    <w:qFormat/>
    <w:rsid w:val="00447B53"/>
    <w:pPr>
      <w:bidi/>
    </w:pPr>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7012289" TargetMode="External"/><Relationship Id="rId26" Type="http://schemas.openxmlformats.org/officeDocument/2006/relationships/hyperlink" Target="http://www.nevo.co.il/case/5844852" TargetMode="External"/><Relationship Id="rId3" Type="http://schemas.openxmlformats.org/officeDocument/2006/relationships/settings" Target="settings.xml"/><Relationship Id="rId21" Type="http://schemas.openxmlformats.org/officeDocument/2006/relationships/hyperlink" Target="http://www.nevo.co.il/case/5988308"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5698919" TargetMode="External"/><Relationship Id="rId25" Type="http://schemas.openxmlformats.org/officeDocument/2006/relationships/hyperlink" Target="http://www.nevo.co.il/case/1999471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0402486" TargetMode="External"/><Relationship Id="rId20" Type="http://schemas.openxmlformats.org/officeDocument/2006/relationships/hyperlink" Target="http://www.nevo.co.il/case/580597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69891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95382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769731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63166" TargetMode="External"/><Relationship Id="rId22" Type="http://schemas.openxmlformats.org/officeDocument/2006/relationships/hyperlink" Target="http://www.nevo.co.il/case/5786821" TargetMode="External"/><Relationship Id="rId27" Type="http://schemas.openxmlformats.org/officeDocument/2006/relationships/hyperlink" Target="http://www.nevo.co.il/law/70301/40i"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2406</Words>
  <Characters>12030</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14408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3866749</vt:i4>
      </vt:variant>
      <vt:variant>
        <vt:i4>57</vt:i4>
      </vt:variant>
      <vt:variant>
        <vt:i4>0</vt:i4>
      </vt:variant>
      <vt:variant>
        <vt:i4>5</vt:i4>
      </vt:variant>
      <vt:variant>
        <vt:lpwstr>http://www.nevo.co.il/case/5844852</vt:lpwstr>
      </vt:variant>
      <vt:variant>
        <vt:lpwstr/>
      </vt:variant>
      <vt:variant>
        <vt:i4>3997811</vt:i4>
      </vt:variant>
      <vt:variant>
        <vt:i4>54</vt:i4>
      </vt:variant>
      <vt:variant>
        <vt:i4>0</vt:i4>
      </vt:variant>
      <vt:variant>
        <vt:i4>5</vt:i4>
      </vt:variant>
      <vt:variant>
        <vt:lpwstr>http://www.nevo.co.il/case/19994719</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3801212</vt:i4>
      </vt:variant>
      <vt:variant>
        <vt:i4>48</vt:i4>
      </vt:variant>
      <vt:variant>
        <vt:i4>0</vt:i4>
      </vt:variant>
      <vt:variant>
        <vt:i4>5</vt:i4>
      </vt:variant>
      <vt:variant>
        <vt:lpwstr>http://www.nevo.co.il/case/5953822</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3539061</vt:i4>
      </vt:variant>
      <vt:variant>
        <vt:i4>42</vt:i4>
      </vt:variant>
      <vt:variant>
        <vt:i4>0</vt:i4>
      </vt:variant>
      <vt:variant>
        <vt:i4>5</vt:i4>
      </vt:variant>
      <vt:variant>
        <vt:lpwstr>http://www.nevo.co.il/case/5988308</vt:lpwstr>
      </vt:variant>
      <vt:variant>
        <vt:lpwstr/>
      </vt:variant>
      <vt:variant>
        <vt:i4>3801214</vt:i4>
      </vt:variant>
      <vt:variant>
        <vt:i4>39</vt:i4>
      </vt:variant>
      <vt:variant>
        <vt:i4>0</vt:i4>
      </vt:variant>
      <vt:variant>
        <vt:i4>5</vt:i4>
      </vt:variant>
      <vt:variant>
        <vt:lpwstr>http://www.nevo.co.il/case/5805976</vt:lpwstr>
      </vt:variant>
      <vt:variant>
        <vt:lpwstr/>
      </vt:variant>
      <vt:variant>
        <vt:i4>3670132</vt:i4>
      </vt:variant>
      <vt:variant>
        <vt:i4>36</vt:i4>
      </vt:variant>
      <vt:variant>
        <vt:i4>0</vt:i4>
      </vt:variant>
      <vt:variant>
        <vt:i4>5</vt:i4>
      </vt:variant>
      <vt:variant>
        <vt:lpwstr>http://www.nevo.co.il/case/7697315</vt:lpwstr>
      </vt:variant>
      <vt:variant>
        <vt:lpwstr/>
      </vt:variant>
      <vt:variant>
        <vt:i4>3997822</vt:i4>
      </vt:variant>
      <vt:variant>
        <vt:i4>33</vt:i4>
      </vt:variant>
      <vt:variant>
        <vt:i4>0</vt:i4>
      </vt:variant>
      <vt:variant>
        <vt:i4>5</vt:i4>
      </vt:variant>
      <vt:variant>
        <vt:lpwstr>http://www.nevo.co.il/case/7012289</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3932272</vt:i4>
      </vt:variant>
      <vt:variant>
        <vt:i4>27</vt:i4>
      </vt:variant>
      <vt:variant>
        <vt:i4>0</vt:i4>
      </vt:variant>
      <vt:variant>
        <vt:i4>5</vt:i4>
      </vt:variant>
      <vt:variant>
        <vt:lpwstr>http://www.nevo.co.il/case/20402486</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3407990</vt:i4>
      </vt:variant>
      <vt:variant>
        <vt:i4>21</vt:i4>
      </vt:variant>
      <vt:variant>
        <vt:i4>0</vt:i4>
      </vt:variant>
      <vt:variant>
        <vt:i4>5</vt:i4>
      </vt:variant>
      <vt:variant>
        <vt:lpwstr>http://www.nevo.co.il/case/5763166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31276</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דימטרי סרי</vt:lpwstr>
  </property>
  <property fmtid="{D5CDD505-2E9C-101B-9397-08002B2CF9AE}" pid="10" name="JUDGE">
    <vt:lpwstr>ענת חולתא</vt:lpwstr>
  </property>
  <property fmtid="{D5CDD505-2E9C-101B-9397-08002B2CF9AE}" pid="11" name="CITY">
    <vt:lpwstr>אש'</vt:lpwstr>
  </property>
  <property fmtid="{D5CDD505-2E9C-101B-9397-08002B2CF9AE}" pid="12" name="DATE">
    <vt:lpwstr>20200519</vt:lpwstr>
  </property>
  <property fmtid="{D5CDD505-2E9C-101B-9397-08002B2CF9AE}" pid="13" name="TYPE_N_DATE">
    <vt:lpwstr>38020200519</vt:lpwstr>
  </property>
  <property fmtid="{D5CDD505-2E9C-101B-9397-08002B2CF9AE}" pid="14" name="WORDNUMPAGES">
    <vt:lpwstr>8</vt:lpwstr>
  </property>
  <property fmtid="{D5CDD505-2E9C-101B-9397-08002B2CF9AE}" pid="15" name="TYPE_ABS_DATE">
    <vt:lpwstr>380020200519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5763166;20402486;5698919:2;7012289;7697315;5805976;5988308;5786821;5953822;19994719;5844852</vt:lpwstr>
  </property>
  <property fmtid="{D5CDD505-2E9C-101B-9397-08002B2CF9AE}" pid="36" name="LAWLISTTMP1">
    <vt:lpwstr>4216/007.a;007.c</vt:lpwstr>
  </property>
  <property fmtid="{D5CDD505-2E9C-101B-9397-08002B2CF9AE}" pid="37" name="LAWLISTTMP2">
    <vt:lpwstr>70301/040i</vt:lpwstr>
  </property>
</Properties>
</file>