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230" w:type="dxa"/>
        <w:jc w:val="center"/>
        <w:tblLook w:val="0000" w:firstRow="0" w:lastRow="0" w:firstColumn="0" w:lastColumn="0" w:noHBand="0" w:noVBand="0"/>
      </w:tblPr>
      <w:tblGrid>
        <w:gridCol w:w="5670"/>
        <w:gridCol w:w="3560"/>
      </w:tblGrid>
      <w:tr w:rsidR="00904EE7" w:rsidRPr="007B4BA1" w14:paraId="0A0921B7" w14:textId="77777777" w:rsidTr="005E73AD">
        <w:trPr>
          <w:trHeight w:hRule="exact" w:val="418"/>
          <w:jc w:val="center"/>
        </w:trPr>
        <w:tc>
          <w:tcPr>
            <w:tcW w:w="9230" w:type="dxa"/>
            <w:gridSpan w:val="2"/>
          </w:tcPr>
          <w:p w14:paraId="24C73A02" w14:textId="77777777" w:rsidR="00904EE7" w:rsidRPr="007B4BA1" w:rsidRDefault="00904EE7" w:rsidP="006028CA">
            <w:pPr>
              <w:pStyle w:val="a3"/>
              <w:jc w:val="center"/>
              <w:rPr>
                <w:rFonts w:ascii="Tahoma" w:hAnsi="Tahoma" w:cs="Tahoma"/>
                <w:color w:val="000080"/>
                <w:rtl/>
              </w:rPr>
            </w:pPr>
            <w:bookmarkStart w:id="0" w:name="LastJudge"/>
            <w:r w:rsidRPr="007B4BA1">
              <w:rPr>
                <w:rFonts w:ascii="Tahoma" w:hAnsi="Tahoma" w:cs="Tahoma"/>
                <w:b/>
                <w:bCs/>
                <w:color w:val="000080"/>
                <w:rtl/>
              </w:rPr>
              <w:t>בית משפט השלום בירושלים</w:t>
            </w:r>
          </w:p>
        </w:tc>
      </w:tr>
      <w:tr w:rsidR="00904EE7" w:rsidRPr="007B4BA1" w14:paraId="149D3C89" w14:textId="77777777" w:rsidTr="006028CA">
        <w:trPr>
          <w:trHeight w:val="337"/>
          <w:jc w:val="center"/>
        </w:trPr>
        <w:tc>
          <w:tcPr>
            <w:tcW w:w="5670" w:type="dxa"/>
          </w:tcPr>
          <w:p w14:paraId="1B5F2BCB" w14:textId="77777777" w:rsidR="00904EE7" w:rsidRPr="007B4BA1" w:rsidRDefault="00904EE7" w:rsidP="006028CA">
            <w:pPr>
              <w:rPr>
                <w:rFonts w:ascii="David" w:hAnsi="David"/>
                <w:b/>
                <w:bCs/>
                <w:sz w:val="26"/>
                <w:szCs w:val="26"/>
                <w:rtl/>
              </w:rPr>
            </w:pPr>
            <w:r w:rsidRPr="007B4BA1">
              <w:rPr>
                <w:rFonts w:ascii="David" w:hAnsi="David"/>
                <w:b/>
                <w:bCs/>
                <w:sz w:val="26"/>
                <w:szCs w:val="26"/>
                <w:rtl/>
              </w:rPr>
              <w:t xml:space="preserve">ת"פ </w:t>
            </w:r>
            <w:hyperlink r:id="rId7" w:history="1">
              <w:r w:rsidR="00F73407" w:rsidRPr="00F73407">
                <w:rPr>
                  <w:rFonts w:ascii="David" w:hAnsi="David"/>
                  <w:b/>
                  <w:bCs/>
                  <w:color w:val="0000FF"/>
                  <w:sz w:val="26"/>
                  <w:szCs w:val="26"/>
                  <w:u w:val="single"/>
                  <w:rtl/>
                </w:rPr>
                <w:t xml:space="preserve">4781-05-19 </w:t>
              </w:r>
            </w:hyperlink>
            <w:r w:rsidRPr="007B4BA1">
              <w:rPr>
                <w:rFonts w:ascii="David" w:hAnsi="David"/>
                <w:b/>
                <w:bCs/>
                <w:sz w:val="26"/>
                <w:szCs w:val="26"/>
                <w:rtl/>
              </w:rPr>
              <w:t xml:space="preserve"> מדינת ישראל נ' פהימה (אחר/נוסף)</w:t>
            </w:r>
            <w:r w:rsidRPr="007B4BA1">
              <w:rPr>
                <w:rFonts w:ascii="David" w:hAnsi="David"/>
                <w:b/>
                <w:bCs/>
                <w:sz w:val="26"/>
                <w:szCs w:val="26"/>
                <w:rtl/>
              </w:rPr>
              <w:br/>
              <w:t xml:space="preserve">ת"פ </w:t>
            </w:r>
            <w:hyperlink r:id="rId8" w:history="1">
              <w:r w:rsidR="00F73407" w:rsidRPr="00F73407">
                <w:rPr>
                  <w:rFonts w:ascii="David" w:hAnsi="David"/>
                  <w:b/>
                  <w:bCs/>
                  <w:color w:val="0000FF"/>
                  <w:sz w:val="26"/>
                  <w:szCs w:val="26"/>
                  <w:u w:val="single"/>
                  <w:rtl/>
                </w:rPr>
                <w:t xml:space="preserve">69138-11-18 </w:t>
              </w:r>
            </w:hyperlink>
            <w:r w:rsidRPr="007B4BA1">
              <w:rPr>
                <w:rFonts w:ascii="David" w:hAnsi="David"/>
                <w:b/>
                <w:bCs/>
                <w:sz w:val="26"/>
                <w:szCs w:val="26"/>
                <w:rtl/>
              </w:rPr>
              <w:t xml:space="preserve"> מדינת ישראל נ' פהימה</w:t>
            </w:r>
          </w:p>
          <w:p w14:paraId="2D1FDB12" w14:textId="77777777" w:rsidR="00904EE7" w:rsidRPr="007B4BA1" w:rsidRDefault="00904EE7" w:rsidP="006028CA">
            <w:pPr>
              <w:pStyle w:val="a3"/>
              <w:rPr>
                <w:rFonts w:cs="FrankRuehl"/>
                <w:sz w:val="28"/>
                <w:szCs w:val="28"/>
                <w:rtl/>
              </w:rPr>
            </w:pPr>
          </w:p>
        </w:tc>
        <w:tc>
          <w:tcPr>
            <w:tcW w:w="3560" w:type="dxa"/>
          </w:tcPr>
          <w:p w14:paraId="3A241097" w14:textId="77777777" w:rsidR="00904EE7" w:rsidRPr="007B4BA1" w:rsidRDefault="00904EE7" w:rsidP="006028CA">
            <w:pPr>
              <w:pStyle w:val="a3"/>
              <w:jc w:val="right"/>
              <w:rPr>
                <w:rFonts w:cs="FrankRuehl"/>
                <w:sz w:val="28"/>
                <w:szCs w:val="28"/>
                <w:rtl/>
              </w:rPr>
            </w:pPr>
          </w:p>
        </w:tc>
      </w:tr>
    </w:tbl>
    <w:p w14:paraId="6F2818C7" w14:textId="77777777" w:rsidR="00904EE7" w:rsidRPr="007B4BA1" w:rsidRDefault="00904EE7" w:rsidP="00904EE7">
      <w:pPr>
        <w:pStyle w:val="a3"/>
        <w:rPr>
          <w:rtl/>
        </w:rPr>
      </w:pPr>
      <w:r w:rsidRPr="007B4BA1">
        <w:rPr>
          <w:rFonts w:hint="cs"/>
          <w:rtl/>
        </w:rPr>
        <w:t xml:space="preserve"> </w:t>
      </w:r>
    </w:p>
    <w:p w14:paraId="704B6F4B" w14:textId="77777777" w:rsidR="00904EE7" w:rsidRPr="007B4BA1" w:rsidRDefault="00904EE7" w:rsidP="00904EE7">
      <w:pPr>
        <w:rPr>
          <w:rtl/>
        </w:rPr>
      </w:pPr>
    </w:p>
    <w:p w14:paraId="18F98AC2" w14:textId="77777777" w:rsidR="00904EE7" w:rsidRPr="007B4BA1" w:rsidRDefault="00904EE7" w:rsidP="00904E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04EE7" w:rsidRPr="007B4BA1" w14:paraId="2BECFDD2" w14:textId="77777777" w:rsidTr="00904EE7">
        <w:trPr>
          <w:trHeight w:val="295"/>
          <w:jc w:val="center"/>
        </w:trPr>
        <w:tc>
          <w:tcPr>
            <w:tcW w:w="923" w:type="dxa"/>
            <w:tcBorders>
              <w:top w:val="nil"/>
              <w:left w:val="nil"/>
              <w:bottom w:val="nil"/>
              <w:right w:val="nil"/>
            </w:tcBorders>
            <w:shd w:val="clear" w:color="auto" w:fill="auto"/>
          </w:tcPr>
          <w:p w14:paraId="384CE75B" w14:textId="77777777" w:rsidR="00904EE7" w:rsidRPr="007B4BA1" w:rsidRDefault="00904EE7" w:rsidP="00904EE7">
            <w:pPr>
              <w:jc w:val="both"/>
              <w:rPr>
                <w:rFonts w:ascii="David" w:hAnsi="David"/>
                <w:b/>
                <w:bCs/>
              </w:rPr>
            </w:pPr>
            <w:r w:rsidRPr="007B4BA1">
              <w:rPr>
                <w:rFonts w:ascii="David" w:hAnsi="David"/>
                <w:b/>
                <w:bCs/>
                <w:rtl/>
              </w:rPr>
              <w:t xml:space="preserve">בפני </w:t>
            </w:r>
          </w:p>
        </w:tc>
        <w:tc>
          <w:tcPr>
            <w:tcW w:w="7897" w:type="dxa"/>
            <w:gridSpan w:val="2"/>
            <w:tcBorders>
              <w:top w:val="nil"/>
              <w:left w:val="nil"/>
              <w:bottom w:val="nil"/>
              <w:right w:val="nil"/>
            </w:tcBorders>
            <w:shd w:val="clear" w:color="auto" w:fill="auto"/>
          </w:tcPr>
          <w:p w14:paraId="79544E58" w14:textId="77777777" w:rsidR="00904EE7" w:rsidRPr="007B4BA1" w:rsidRDefault="00904EE7" w:rsidP="006028CA">
            <w:pPr>
              <w:rPr>
                <w:rFonts w:ascii="David" w:hAnsi="David"/>
                <w:b/>
                <w:bCs/>
                <w:rtl/>
              </w:rPr>
            </w:pPr>
            <w:r w:rsidRPr="007B4BA1">
              <w:rPr>
                <w:rFonts w:ascii="David" w:hAnsi="David"/>
                <w:b/>
                <w:bCs/>
                <w:rtl/>
              </w:rPr>
              <w:t>כבוד השופט  ארנון איתן</w:t>
            </w:r>
          </w:p>
          <w:p w14:paraId="324E8054" w14:textId="77777777" w:rsidR="00904EE7" w:rsidRPr="007B4BA1" w:rsidRDefault="00904EE7" w:rsidP="006028CA">
            <w:pPr>
              <w:rPr>
                <w:rFonts w:ascii="David" w:hAnsi="David"/>
                <w:b/>
                <w:bCs/>
                <w:rtl/>
              </w:rPr>
            </w:pPr>
          </w:p>
          <w:p w14:paraId="089DE1D3" w14:textId="77777777" w:rsidR="00904EE7" w:rsidRPr="007B4BA1" w:rsidRDefault="00904EE7" w:rsidP="00904EE7">
            <w:pPr>
              <w:jc w:val="both"/>
              <w:rPr>
                <w:rFonts w:ascii="David" w:hAnsi="David"/>
                <w:b/>
                <w:bCs/>
              </w:rPr>
            </w:pPr>
          </w:p>
        </w:tc>
      </w:tr>
      <w:tr w:rsidR="00904EE7" w:rsidRPr="007B4BA1" w14:paraId="6F719966" w14:textId="77777777" w:rsidTr="00904EE7">
        <w:trPr>
          <w:trHeight w:val="355"/>
          <w:jc w:val="center"/>
        </w:trPr>
        <w:tc>
          <w:tcPr>
            <w:tcW w:w="923" w:type="dxa"/>
            <w:tcBorders>
              <w:top w:val="nil"/>
              <w:left w:val="nil"/>
              <w:bottom w:val="nil"/>
              <w:right w:val="nil"/>
            </w:tcBorders>
            <w:shd w:val="clear" w:color="auto" w:fill="auto"/>
          </w:tcPr>
          <w:p w14:paraId="3DD23489" w14:textId="77777777" w:rsidR="00904EE7" w:rsidRPr="007B4BA1" w:rsidRDefault="00904EE7" w:rsidP="00904EE7">
            <w:pPr>
              <w:jc w:val="both"/>
              <w:rPr>
                <w:rFonts w:ascii="David" w:hAnsi="David"/>
                <w:b/>
                <w:bCs/>
              </w:rPr>
            </w:pPr>
            <w:bookmarkStart w:id="1" w:name="FirstAppellant"/>
            <w:r w:rsidRPr="007B4BA1">
              <w:rPr>
                <w:rFonts w:ascii="David" w:hAnsi="David"/>
                <w:b/>
                <w:bCs/>
                <w:rtl/>
              </w:rPr>
              <w:t>בעניין:</w:t>
            </w:r>
          </w:p>
        </w:tc>
        <w:tc>
          <w:tcPr>
            <w:tcW w:w="4126" w:type="dxa"/>
            <w:tcBorders>
              <w:top w:val="nil"/>
              <w:left w:val="nil"/>
              <w:bottom w:val="nil"/>
              <w:right w:val="nil"/>
            </w:tcBorders>
            <w:shd w:val="clear" w:color="auto" w:fill="auto"/>
          </w:tcPr>
          <w:p w14:paraId="44363E0A" w14:textId="77777777" w:rsidR="00904EE7" w:rsidRPr="007B4BA1" w:rsidRDefault="00904EE7" w:rsidP="006028CA">
            <w:pPr>
              <w:rPr>
                <w:rFonts w:ascii="David" w:hAnsi="David"/>
                <w:b/>
                <w:bCs/>
              </w:rPr>
            </w:pPr>
            <w:r w:rsidRPr="007B4BA1">
              <w:rPr>
                <w:rFonts w:ascii="David" w:hAnsi="David" w:hint="cs"/>
                <w:b/>
                <w:bCs/>
                <w:rtl/>
              </w:rPr>
              <w:t xml:space="preserve">                                                   </w:t>
            </w:r>
            <w:r w:rsidRPr="007B4BA1">
              <w:rPr>
                <w:rFonts w:ascii="David" w:hAnsi="David"/>
                <w:b/>
                <w:bCs/>
                <w:rtl/>
              </w:rPr>
              <w:t>מדינת ישראל</w:t>
            </w:r>
          </w:p>
        </w:tc>
        <w:tc>
          <w:tcPr>
            <w:tcW w:w="3771" w:type="dxa"/>
            <w:tcBorders>
              <w:top w:val="nil"/>
              <w:left w:val="nil"/>
              <w:bottom w:val="nil"/>
              <w:right w:val="nil"/>
            </w:tcBorders>
            <w:shd w:val="clear" w:color="auto" w:fill="auto"/>
          </w:tcPr>
          <w:p w14:paraId="6FF6F067" w14:textId="77777777" w:rsidR="00904EE7" w:rsidRPr="007B4BA1" w:rsidRDefault="00904EE7" w:rsidP="00904EE7">
            <w:pPr>
              <w:jc w:val="both"/>
              <w:rPr>
                <w:rFonts w:ascii="David" w:hAnsi="David"/>
                <w:b/>
                <w:bCs/>
              </w:rPr>
            </w:pPr>
          </w:p>
        </w:tc>
      </w:tr>
      <w:bookmarkEnd w:id="1"/>
      <w:tr w:rsidR="00904EE7" w:rsidRPr="007B4BA1" w14:paraId="46D40EA4" w14:textId="77777777" w:rsidTr="00904EE7">
        <w:trPr>
          <w:trHeight w:val="355"/>
          <w:jc w:val="center"/>
        </w:trPr>
        <w:tc>
          <w:tcPr>
            <w:tcW w:w="923" w:type="dxa"/>
            <w:tcBorders>
              <w:top w:val="nil"/>
              <w:left w:val="nil"/>
              <w:bottom w:val="nil"/>
              <w:right w:val="nil"/>
            </w:tcBorders>
            <w:shd w:val="clear" w:color="auto" w:fill="auto"/>
          </w:tcPr>
          <w:p w14:paraId="7416D32A" w14:textId="77777777" w:rsidR="00904EE7" w:rsidRPr="007B4BA1" w:rsidRDefault="00904EE7" w:rsidP="00904EE7">
            <w:pPr>
              <w:jc w:val="both"/>
              <w:rPr>
                <w:rFonts w:ascii="David" w:hAnsi="David"/>
                <w:b/>
                <w:bCs/>
                <w:rtl/>
              </w:rPr>
            </w:pPr>
          </w:p>
        </w:tc>
        <w:tc>
          <w:tcPr>
            <w:tcW w:w="4126" w:type="dxa"/>
            <w:tcBorders>
              <w:top w:val="nil"/>
              <w:left w:val="nil"/>
              <w:bottom w:val="nil"/>
              <w:right w:val="nil"/>
            </w:tcBorders>
            <w:shd w:val="clear" w:color="auto" w:fill="auto"/>
          </w:tcPr>
          <w:p w14:paraId="2AAFEEDD" w14:textId="77777777" w:rsidR="00904EE7" w:rsidRPr="007B4BA1" w:rsidRDefault="00904EE7" w:rsidP="00904EE7">
            <w:pPr>
              <w:jc w:val="both"/>
              <w:rPr>
                <w:rFonts w:ascii="David" w:hAnsi="David"/>
                <w:b/>
                <w:bCs/>
                <w:rtl/>
              </w:rPr>
            </w:pPr>
          </w:p>
        </w:tc>
        <w:tc>
          <w:tcPr>
            <w:tcW w:w="3771" w:type="dxa"/>
            <w:tcBorders>
              <w:top w:val="nil"/>
              <w:left w:val="nil"/>
              <w:bottom w:val="nil"/>
              <w:right w:val="nil"/>
            </w:tcBorders>
            <w:shd w:val="clear" w:color="auto" w:fill="auto"/>
          </w:tcPr>
          <w:p w14:paraId="3A6B70D2" w14:textId="77777777" w:rsidR="00904EE7" w:rsidRPr="007B4BA1" w:rsidRDefault="00904EE7" w:rsidP="00904EE7">
            <w:pPr>
              <w:jc w:val="right"/>
              <w:rPr>
                <w:rFonts w:ascii="David" w:hAnsi="David"/>
                <w:b/>
                <w:bCs/>
                <w:rtl/>
              </w:rPr>
            </w:pPr>
            <w:r w:rsidRPr="007B4BA1">
              <w:rPr>
                <w:rFonts w:ascii="David" w:hAnsi="David"/>
                <w:b/>
                <w:bCs/>
                <w:rtl/>
              </w:rPr>
              <w:t>המאשימה</w:t>
            </w:r>
          </w:p>
        </w:tc>
      </w:tr>
      <w:tr w:rsidR="00904EE7" w:rsidRPr="007B4BA1" w14:paraId="2F55CEEF" w14:textId="77777777" w:rsidTr="00904EE7">
        <w:trPr>
          <w:trHeight w:val="355"/>
          <w:jc w:val="center"/>
        </w:trPr>
        <w:tc>
          <w:tcPr>
            <w:tcW w:w="923" w:type="dxa"/>
            <w:tcBorders>
              <w:top w:val="nil"/>
              <w:left w:val="nil"/>
              <w:bottom w:val="nil"/>
              <w:right w:val="nil"/>
            </w:tcBorders>
            <w:shd w:val="clear" w:color="auto" w:fill="auto"/>
          </w:tcPr>
          <w:p w14:paraId="50428810" w14:textId="77777777" w:rsidR="00904EE7" w:rsidRPr="007B4BA1" w:rsidRDefault="00904EE7" w:rsidP="00904EE7">
            <w:pPr>
              <w:jc w:val="both"/>
              <w:rPr>
                <w:rFonts w:ascii="David" w:hAnsi="David"/>
                <w:b/>
                <w:bCs/>
                <w:rtl/>
              </w:rPr>
            </w:pPr>
          </w:p>
        </w:tc>
        <w:tc>
          <w:tcPr>
            <w:tcW w:w="7897" w:type="dxa"/>
            <w:gridSpan w:val="2"/>
            <w:tcBorders>
              <w:top w:val="nil"/>
              <w:left w:val="nil"/>
              <w:bottom w:val="nil"/>
              <w:right w:val="nil"/>
            </w:tcBorders>
            <w:shd w:val="clear" w:color="auto" w:fill="auto"/>
          </w:tcPr>
          <w:p w14:paraId="236AA987" w14:textId="77777777" w:rsidR="00904EE7" w:rsidRPr="007B4BA1" w:rsidRDefault="00904EE7" w:rsidP="00904EE7">
            <w:pPr>
              <w:jc w:val="center"/>
              <w:rPr>
                <w:rFonts w:ascii="David" w:hAnsi="David"/>
                <w:b/>
                <w:bCs/>
                <w:rtl/>
              </w:rPr>
            </w:pPr>
          </w:p>
          <w:p w14:paraId="4DF6601B" w14:textId="77777777" w:rsidR="00904EE7" w:rsidRPr="007B4BA1" w:rsidRDefault="00904EE7" w:rsidP="006028CA">
            <w:pPr>
              <w:rPr>
                <w:rFonts w:ascii="David" w:hAnsi="David"/>
                <w:b/>
                <w:bCs/>
                <w:rtl/>
              </w:rPr>
            </w:pPr>
            <w:r w:rsidRPr="007B4BA1">
              <w:rPr>
                <w:rFonts w:ascii="David" w:hAnsi="David" w:hint="cs"/>
                <w:b/>
                <w:bCs/>
                <w:rtl/>
              </w:rPr>
              <w:t xml:space="preserve">                                                          </w:t>
            </w:r>
            <w:r w:rsidRPr="007B4BA1">
              <w:rPr>
                <w:rFonts w:ascii="David" w:hAnsi="David"/>
                <w:b/>
                <w:bCs/>
                <w:rtl/>
              </w:rPr>
              <w:t>נגד</w:t>
            </w:r>
          </w:p>
          <w:p w14:paraId="7FD1D142" w14:textId="77777777" w:rsidR="00904EE7" w:rsidRPr="007B4BA1" w:rsidRDefault="00904EE7" w:rsidP="00904EE7">
            <w:pPr>
              <w:jc w:val="both"/>
              <w:rPr>
                <w:rFonts w:ascii="David" w:hAnsi="David"/>
                <w:b/>
                <w:bCs/>
              </w:rPr>
            </w:pPr>
          </w:p>
        </w:tc>
      </w:tr>
      <w:tr w:rsidR="00904EE7" w:rsidRPr="007B4BA1" w14:paraId="15C0AA63" w14:textId="77777777" w:rsidTr="00904EE7">
        <w:trPr>
          <w:trHeight w:val="355"/>
          <w:jc w:val="center"/>
        </w:trPr>
        <w:tc>
          <w:tcPr>
            <w:tcW w:w="923" w:type="dxa"/>
            <w:tcBorders>
              <w:top w:val="nil"/>
              <w:left w:val="nil"/>
              <w:bottom w:val="nil"/>
              <w:right w:val="nil"/>
            </w:tcBorders>
            <w:shd w:val="clear" w:color="auto" w:fill="auto"/>
          </w:tcPr>
          <w:p w14:paraId="09F06757" w14:textId="77777777" w:rsidR="00904EE7" w:rsidRPr="007B4BA1" w:rsidRDefault="00904EE7" w:rsidP="006028CA">
            <w:pPr>
              <w:rPr>
                <w:rFonts w:ascii="David" w:hAnsi="David"/>
                <w:b/>
                <w:bCs/>
                <w:rtl/>
              </w:rPr>
            </w:pPr>
          </w:p>
        </w:tc>
        <w:tc>
          <w:tcPr>
            <w:tcW w:w="4126" w:type="dxa"/>
            <w:tcBorders>
              <w:top w:val="nil"/>
              <w:left w:val="nil"/>
              <w:bottom w:val="nil"/>
              <w:right w:val="nil"/>
            </w:tcBorders>
            <w:shd w:val="clear" w:color="auto" w:fill="auto"/>
          </w:tcPr>
          <w:p w14:paraId="66B93724" w14:textId="77777777" w:rsidR="00904EE7" w:rsidRPr="007B4BA1" w:rsidRDefault="00904EE7" w:rsidP="006028CA">
            <w:pPr>
              <w:rPr>
                <w:rFonts w:ascii="David" w:hAnsi="David"/>
                <w:b/>
                <w:bCs/>
                <w:rtl/>
              </w:rPr>
            </w:pPr>
            <w:r w:rsidRPr="007B4BA1">
              <w:rPr>
                <w:rFonts w:ascii="David" w:hAnsi="David" w:hint="cs"/>
                <w:b/>
                <w:bCs/>
                <w:rtl/>
              </w:rPr>
              <w:t xml:space="preserve">                                                    </w:t>
            </w:r>
            <w:r w:rsidRPr="007B4BA1">
              <w:rPr>
                <w:rFonts w:ascii="David" w:hAnsi="David"/>
                <w:b/>
                <w:bCs/>
                <w:rtl/>
              </w:rPr>
              <w:t xml:space="preserve">מאיר פהימה </w:t>
            </w:r>
          </w:p>
        </w:tc>
        <w:tc>
          <w:tcPr>
            <w:tcW w:w="3771" w:type="dxa"/>
            <w:tcBorders>
              <w:top w:val="nil"/>
              <w:left w:val="nil"/>
              <w:bottom w:val="nil"/>
              <w:right w:val="nil"/>
            </w:tcBorders>
            <w:shd w:val="clear" w:color="auto" w:fill="auto"/>
          </w:tcPr>
          <w:p w14:paraId="6A85454E" w14:textId="77777777" w:rsidR="00904EE7" w:rsidRPr="007B4BA1" w:rsidRDefault="00904EE7" w:rsidP="00904EE7">
            <w:pPr>
              <w:jc w:val="right"/>
              <w:rPr>
                <w:rFonts w:ascii="David" w:hAnsi="David"/>
                <w:b/>
                <w:bCs/>
              </w:rPr>
            </w:pPr>
          </w:p>
        </w:tc>
      </w:tr>
      <w:tr w:rsidR="00904EE7" w:rsidRPr="007B4BA1" w14:paraId="56ACE157" w14:textId="77777777" w:rsidTr="00904EE7">
        <w:trPr>
          <w:trHeight w:val="355"/>
          <w:jc w:val="center"/>
        </w:trPr>
        <w:tc>
          <w:tcPr>
            <w:tcW w:w="923" w:type="dxa"/>
            <w:tcBorders>
              <w:top w:val="nil"/>
              <w:left w:val="nil"/>
              <w:bottom w:val="nil"/>
              <w:right w:val="nil"/>
            </w:tcBorders>
            <w:shd w:val="clear" w:color="auto" w:fill="auto"/>
          </w:tcPr>
          <w:p w14:paraId="1B5564C5" w14:textId="77777777" w:rsidR="00904EE7" w:rsidRPr="007B4BA1" w:rsidRDefault="00904EE7" w:rsidP="00904EE7">
            <w:pPr>
              <w:jc w:val="both"/>
              <w:rPr>
                <w:rFonts w:ascii="David" w:hAnsi="David"/>
                <w:b/>
                <w:bCs/>
                <w:rtl/>
              </w:rPr>
            </w:pPr>
          </w:p>
        </w:tc>
        <w:tc>
          <w:tcPr>
            <w:tcW w:w="4126" w:type="dxa"/>
            <w:tcBorders>
              <w:top w:val="nil"/>
              <w:left w:val="nil"/>
              <w:bottom w:val="nil"/>
              <w:right w:val="nil"/>
            </w:tcBorders>
            <w:shd w:val="clear" w:color="auto" w:fill="auto"/>
          </w:tcPr>
          <w:p w14:paraId="36079403" w14:textId="77777777" w:rsidR="00904EE7" w:rsidRPr="007B4BA1" w:rsidRDefault="00904EE7" w:rsidP="00904EE7">
            <w:pPr>
              <w:jc w:val="both"/>
              <w:rPr>
                <w:rFonts w:ascii="David" w:hAnsi="David"/>
                <w:b/>
                <w:bCs/>
                <w:rtl/>
              </w:rPr>
            </w:pPr>
          </w:p>
        </w:tc>
        <w:tc>
          <w:tcPr>
            <w:tcW w:w="3771" w:type="dxa"/>
            <w:tcBorders>
              <w:top w:val="nil"/>
              <w:left w:val="nil"/>
              <w:bottom w:val="nil"/>
              <w:right w:val="nil"/>
            </w:tcBorders>
            <w:shd w:val="clear" w:color="auto" w:fill="auto"/>
          </w:tcPr>
          <w:p w14:paraId="5BC604A4" w14:textId="77777777" w:rsidR="00904EE7" w:rsidRPr="007B4BA1" w:rsidRDefault="00904EE7" w:rsidP="00904EE7">
            <w:pPr>
              <w:jc w:val="right"/>
              <w:rPr>
                <w:rFonts w:ascii="David" w:hAnsi="David"/>
                <w:b/>
                <w:bCs/>
              </w:rPr>
            </w:pPr>
            <w:r w:rsidRPr="007B4BA1">
              <w:rPr>
                <w:rFonts w:ascii="David" w:hAnsi="David"/>
                <w:b/>
                <w:bCs/>
                <w:rtl/>
              </w:rPr>
              <w:t>הנאשם</w:t>
            </w:r>
          </w:p>
        </w:tc>
      </w:tr>
    </w:tbl>
    <w:p w14:paraId="414DB7AC" w14:textId="77777777" w:rsidR="00904EE7" w:rsidRPr="007B4BA1" w:rsidRDefault="00904EE7" w:rsidP="00904EE7">
      <w:pPr>
        <w:rPr>
          <w:rFonts w:ascii="David" w:hAnsi="David"/>
          <w:b/>
          <w:bCs/>
        </w:rPr>
      </w:pPr>
    </w:p>
    <w:p w14:paraId="5D8C1EFE" w14:textId="77777777" w:rsidR="00F73407" w:rsidRPr="00F73407" w:rsidRDefault="00F73407" w:rsidP="00F73407">
      <w:pPr>
        <w:spacing w:before="120" w:after="120" w:line="240" w:lineRule="exact"/>
        <w:ind w:left="283" w:hanging="283"/>
        <w:jc w:val="both"/>
        <w:rPr>
          <w:rFonts w:ascii="FrankRuehl" w:hAnsi="FrankRuehl" w:cs="FrankRuehl"/>
          <w:rtl/>
        </w:rPr>
      </w:pPr>
    </w:p>
    <w:p w14:paraId="638DEA7C" w14:textId="77777777" w:rsidR="00E21041" w:rsidRDefault="00E21041" w:rsidP="00E21041">
      <w:pPr>
        <w:spacing w:before="120" w:after="120" w:line="240" w:lineRule="exact"/>
        <w:ind w:left="283" w:hanging="283"/>
        <w:jc w:val="both"/>
        <w:rPr>
          <w:rFonts w:ascii="FrankRuehl" w:hAnsi="FrankRuehl" w:cs="FrankRuehl"/>
          <w:rtl/>
        </w:rPr>
      </w:pPr>
      <w:bookmarkStart w:id="2" w:name="LawTable"/>
      <w:bookmarkEnd w:id="2"/>
    </w:p>
    <w:p w14:paraId="56698CAF" w14:textId="77777777" w:rsidR="00E21041" w:rsidRPr="00E21041" w:rsidRDefault="00E21041" w:rsidP="00E21041">
      <w:pPr>
        <w:spacing w:before="120" w:after="120" w:line="240" w:lineRule="exact"/>
        <w:ind w:left="283" w:hanging="283"/>
        <w:jc w:val="both"/>
        <w:rPr>
          <w:rFonts w:ascii="FrankRuehl" w:hAnsi="FrankRuehl" w:cs="FrankRuehl"/>
          <w:rtl/>
        </w:rPr>
      </w:pPr>
    </w:p>
    <w:p w14:paraId="2A46F629" w14:textId="77777777" w:rsidR="00E21041" w:rsidRPr="00E21041" w:rsidRDefault="00E21041" w:rsidP="00E21041">
      <w:pPr>
        <w:spacing w:before="120" w:after="120" w:line="240" w:lineRule="exact"/>
        <w:ind w:left="283" w:hanging="283"/>
        <w:jc w:val="both"/>
        <w:rPr>
          <w:rFonts w:ascii="FrankRuehl" w:hAnsi="FrankRuehl" w:cs="FrankRuehl"/>
          <w:rtl/>
        </w:rPr>
      </w:pPr>
    </w:p>
    <w:p w14:paraId="7F5E3B89" w14:textId="77777777" w:rsidR="00E21041" w:rsidRPr="00E21041" w:rsidRDefault="00E21041" w:rsidP="00E21041">
      <w:pPr>
        <w:spacing w:before="120" w:after="120" w:line="240" w:lineRule="exact"/>
        <w:ind w:left="283" w:hanging="283"/>
        <w:jc w:val="both"/>
        <w:rPr>
          <w:rFonts w:ascii="FrankRuehl" w:hAnsi="FrankRuehl" w:cs="FrankRuehl"/>
          <w:rtl/>
        </w:rPr>
      </w:pPr>
      <w:r w:rsidRPr="00E21041">
        <w:rPr>
          <w:rFonts w:ascii="FrankRuehl" w:hAnsi="FrankRuehl" w:cs="FrankRuehl"/>
          <w:rtl/>
        </w:rPr>
        <w:t xml:space="preserve">חקיקה שאוזכרה: </w:t>
      </w:r>
    </w:p>
    <w:p w14:paraId="5D1F0342" w14:textId="77777777" w:rsidR="00E21041" w:rsidRPr="00E21041" w:rsidRDefault="00E21041" w:rsidP="00E21041">
      <w:pPr>
        <w:spacing w:before="120" w:after="120" w:line="240" w:lineRule="exact"/>
        <w:ind w:left="283" w:hanging="283"/>
        <w:jc w:val="both"/>
        <w:rPr>
          <w:rFonts w:ascii="FrankRuehl" w:hAnsi="FrankRuehl" w:cs="FrankRuehl"/>
          <w:rtl/>
        </w:rPr>
      </w:pPr>
      <w:hyperlink r:id="rId9" w:history="1">
        <w:r w:rsidRPr="00E21041">
          <w:rPr>
            <w:rFonts w:ascii="FrankRuehl" w:hAnsi="FrankRuehl" w:cs="FrankRuehl"/>
            <w:color w:val="0000FF"/>
            <w:rtl/>
          </w:rPr>
          <w:t>פקודת הסמים המסוכנים [נוסח חדש], תשל"ג-1973</w:t>
        </w:r>
      </w:hyperlink>
      <w:r w:rsidRPr="00E21041">
        <w:rPr>
          <w:rFonts w:ascii="FrankRuehl" w:hAnsi="FrankRuehl" w:cs="FrankRuehl"/>
          <w:rtl/>
        </w:rPr>
        <w:t xml:space="preserve">: סע'  </w:t>
      </w:r>
      <w:hyperlink r:id="rId10" w:history="1">
        <w:r w:rsidRPr="00E21041">
          <w:rPr>
            <w:rFonts w:ascii="FrankRuehl" w:hAnsi="FrankRuehl" w:cs="FrankRuehl"/>
            <w:color w:val="0000FF"/>
            <w:rtl/>
          </w:rPr>
          <w:t>13</w:t>
        </w:r>
      </w:hyperlink>
      <w:r w:rsidRPr="00E21041">
        <w:rPr>
          <w:rFonts w:ascii="FrankRuehl" w:hAnsi="FrankRuehl" w:cs="FrankRuehl"/>
          <w:rtl/>
        </w:rPr>
        <w:t xml:space="preserve">, </w:t>
      </w:r>
      <w:hyperlink r:id="rId11" w:history="1">
        <w:r w:rsidRPr="00E21041">
          <w:rPr>
            <w:rFonts w:ascii="FrankRuehl" w:hAnsi="FrankRuehl" w:cs="FrankRuehl"/>
            <w:color w:val="0000FF"/>
            <w:rtl/>
          </w:rPr>
          <w:t>19(א)</w:t>
        </w:r>
      </w:hyperlink>
      <w:r w:rsidRPr="00E21041">
        <w:rPr>
          <w:rFonts w:ascii="FrankRuehl" w:hAnsi="FrankRuehl" w:cs="FrankRuehl"/>
          <w:rtl/>
        </w:rPr>
        <w:t xml:space="preserve">, </w:t>
      </w:r>
      <w:hyperlink r:id="rId12" w:history="1">
        <w:r w:rsidRPr="00E21041">
          <w:rPr>
            <w:rFonts w:ascii="FrankRuehl" w:hAnsi="FrankRuehl" w:cs="FrankRuehl"/>
            <w:color w:val="0000FF"/>
            <w:rtl/>
          </w:rPr>
          <w:t>19א</w:t>
        </w:r>
      </w:hyperlink>
    </w:p>
    <w:p w14:paraId="09CCEAFF" w14:textId="77777777" w:rsidR="00E21041" w:rsidRPr="00E21041" w:rsidRDefault="00E21041" w:rsidP="00E21041">
      <w:pPr>
        <w:spacing w:before="120" w:after="120" w:line="240" w:lineRule="exact"/>
        <w:ind w:left="283" w:hanging="283"/>
        <w:jc w:val="both"/>
        <w:rPr>
          <w:rFonts w:ascii="FrankRuehl" w:hAnsi="FrankRuehl" w:cs="FrankRuehl"/>
          <w:rtl/>
        </w:rPr>
      </w:pPr>
      <w:hyperlink r:id="rId13" w:history="1">
        <w:r w:rsidRPr="00E21041">
          <w:rPr>
            <w:rFonts w:ascii="FrankRuehl" w:hAnsi="FrankRuehl" w:cs="FrankRuehl"/>
            <w:color w:val="0000FF"/>
            <w:rtl/>
          </w:rPr>
          <w:t>חוק העונשין, תשל"ז-1977</w:t>
        </w:r>
      </w:hyperlink>
      <w:r w:rsidRPr="00E21041">
        <w:rPr>
          <w:rFonts w:ascii="FrankRuehl" w:hAnsi="FrankRuehl" w:cs="FrankRuehl"/>
          <w:rtl/>
        </w:rPr>
        <w:t xml:space="preserve">: סע'  </w:t>
      </w:r>
      <w:hyperlink r:id="rId14" w:history="1">
        <w:r w:rsidRPr="00E21041">
          <w:rPr>
            <w:rFonts w:ascii="FrankRuehl" w:hAnsi="FrankRuehl" w:cs="FrankRuehl"/>
            <w:color w:val="0000FF"/>
            <w:rtl/>
          </w:rPr>
          <w:t>40ט</w:t>
        </w:r>
      </w:hyperlink>
      <w:r w:rsidRPr="00E21041">
        <w:rPr>
          <w:rFonts w:ascii="FrankRuehl" w:hAnsi="FrankRuehl" w:cs="FrankRuehl"/>
          <w:rtl/>
        </w:rPr>
        <w:t xml:space="preserve">, </w:t>
      </w:r>
      <w:hyperlink r:id="rId15" w:history="1">
        <w:r w:rsidRPr="00E21041">
          <w:rPr>
            <w:rFonts w:ascii="FrankRuehl" w:hAnsi="FrankRuehl" w:cs="FrankRuehl"/>
            <w:color w:val="0000FF"/>
            <w:rtl/>
          </w:rPr>
          <w:t>380</w:t>
        </w:r>
      </w:hyperlink>
    </w:p>
    <w:p w14:paraId="15600152" w14:textId="77777777" w:rsidR="00E21041" w:rsidRPr="00E21041" w:rsidRDefault="00E21041" w:rsidP="00E21041">
      <w:pPr>
        <w:spacing w:before="120" w:after="120" w:line="240" w:lineRule="exact"/>
        <w:ind w:left="283" w:hanging="283"/>
        <w:jc w:val="both"/>
        <w:rPr>
          <w:rFonts w:ascii="FrankRuehl" w:hAnsi="FrankRuehl" w:cs="FrankRuehl"/>
          <w:rtl/>
        </w:rPr>
      </w:pPr>
      <w:bookmarkStart w:id="3" w:name="LawTable_End"/>
      <w:bookmarkEnd w:id="3"/>
    </w:p>
    <w:p w14:paraId="1F1F619C" w14:textId="77777777" w:rsidR="007B4BA1" w:rsidRPr="00F73407" w:rsidRDefault="007B4BA1" w:rsidP="00F73407">
      <w:pPr>
        <w:spacing w:before="120" w:after="120" w:line="240" w:lineRule="exact"/>
        <w:ind w:left="283" w:hanging="283"/>
        <w:jc w:val="both"/>
        <w:rPr>
          <w:rFonts w:ascii="FrankRuehl" w:hAnsi="FrankRuehl" w:cs="FrankRuehl"/>
          <w:rtl/>
        </w:rPr>
      </w:pPr>
    </w:p>
    <w:p w14:paraId="11F067B4" w14:textId="77777777" w:rsidR="007B4BA1" w:rsidRPr="007B4BA1" w:rsidRDefault="007B4BA1" w:rsidP="007B4BA1">
      <w:pPr>
        <w:spacing w:after="300" w:line="360" w:lineRule="auto"/>
        <w:ind w:left="85"/>
        <w:jc w:val="center"/>
        <w:rPr>
          <w:rFonts w:ascii="David" w:hAnsi="David"/>
          <w:b/>
          <w:bCs/>
          <w:sz w:val="28"/>
          <w:szCs w:val="28"/>
          <w:u w:val="single"/>
          <w:rtl/>
        </w:rPr>
      </w:pPr>
      <w:bookmarkStart w:id="4" w:name="PsakDin"/>
      <w:bookmarkEnd w:id="0"/>
      <w:r w:rsidRPr="007B4BA1">
        <w:rPr>
          <w:rFonts w:ascii="David" w:hAnsi="David"/>
          <w:b/>
          <w:bCs/>
          <w:sz w:val="28"/>
          <w:szCs w:val="28"/>
          <w:u w:val="single"/>
          <w:rtl/>
        </w:rPr>
        <w:t>גזר דין</w:t>
      </w:r>
    </w:p>
    <w:bookmarkEnd w:id="4"/>
    <w:p w14:paraId="4EC7298D" w14:textId="77777777" w:rsidR="00904EE7" w:rsidRPr="00B45381" w:rsidRDefault="00904EE7" w:rsidP="00904EE7">
      <w:pPr>
        <w:spacing w:after="300" w:line="360" w:lineRule="auto"/>
        <w:ind w:left="85"/>
        <w:jc w:val="both"/>
        <w:rPr>
          <w:rFonts w:ascii="David" w:hAnsi="David"/>
          <w:b/>
          <w:bCs/>
        </w:rPr>
      </w:pPr>
      <w:r w:rsidRPr="004876A8">
        <w:rPr>
          <w:rFonts w:ascii="David" w:hAnsi="David" w:hint="cs"/>
          <w:b/>
          <w:bCs/>
          <w:u w:val="single"/>
          <w:rtl/>
        </w:rPr>
        <w:t>רקע והליכים קודמים</w:t>
      </w:r>
      <w:r w:rsidRPr="00B45381">
        <w:rPr>
          <w:rFonts w:ascii="David" w:hAnsi="David" w:hint="cs"/>
          <w:b/>
          <w:bCs/>
          <w:rtl/>
        </w:rPr>
        <w:t>:</w:t>
      </w:r>
    </w:p>
    <w:p w14:paraId="4991D2CD" w14:textId="77777777" w:rsidR="00904EE7" w:rsidRDefault="00904EE7" w:rsidP="00904EE7">
      <w:pPr>
        <w:numPr>
          <w:ilvl w:val="0"/>
          <w:numId w:val="1"/>
        </w:numPr>
        <w:spacing w:after="300" w:line="360" w:lineRule="auto"/>
        <w:ind w:hanging="635"/>
        <w:jc w:val="both"/>
        <w:rPr>
          <w:rFonts w:ascii="David" w:hAnsi="David"/>
        </w:rPr>
      </w:pPr>
      <w:bookmarkStart w:id="5" w:name="ABSTRACT_START"/>
      <w:bookmarkEnd w:id="5"/>
      <w:r>
        <w:rPr>
          <w:rFonts w:ascii="David" w:hAnsi="David" w:hint="cs"/>
          <w:rtl/>
        </w:rPr>
        <w:t xml:space="preserve">הנאשם הורשע על פי הודאתו בעבירות של </w:t>
      </w:r>
      <w:r w:rsidRPr="00AF70BA">
        <w:rPr>
          <w:rFonts w:ascii="David" w:hAnsi="David"/>
          <w:rtl/>
        </w:rPr>
        <w:t xml:space="preserve">סחר בסם מסוכן לפי </w:t>
      </w:r>
      <w:hyperlink r:id="rId16" w:history="1">
        <w:r w:rsidR="005E73AD" w:rsidRPr="005E73AD">
          <w:rPr>
            <w:rStyle w:val="Hyperlink"/>
            <w:rFonts w:ascii="David" w:hAnsi="David"/>
            <w:rtl/>
          </w:rPr>
          <w:t>סעיפים 13</w:t>
        </w:r>
      </w:hyperlink>
      <w:r w:rsidRPr="00AF70BA">
        <w:rPr>
          <w:rFonts w:ascii="David" w:hAnsi="David"/>
          <w:rtl/>
        </w:rPr>
        <w:t xml:space="preserve"> + </w:t>
      </w:r>
      <w:hyperlink r:id="rId17" w:history="1">
        <w:r w:rsidR="005E73AD" w:rsidRPr="005E73AD">
          <w:rPr>
            <w:rStyle w:val="Hyperlink"/>
            <w:rFonts w:ascii="David" w:hAnsi="David"/>
            <w:rtl/>
          </w:rPr>
          <w:t>19(א)</w:t>
        </w:r>
      </w:hyperlink>
      <w:r w:rsidRPr="00AF70BA">
        <w:rPr>
          <w:rFonts w:ascii="David" w:hAnsi="David"/>
          <w:rtl/>
        </w:rPr>
        <w:t xml:space="preserve"> ל</w:t>
      </w:r>
      <w:hyperlink r:id="rId18" w:history="1">
        <w:r w:rsidR="007B4BA1" w:rsidRPr="007B4BA1">
          <w:rPr>
            <w:rFonts w:ascii="David" w:hAnsi="David"/>
            <w:color w:val="0000FF"/>
            <w:u w:val="single"/>
            <w:rtl/>
          </w:rPr>
          <w:t>פקודת הסמים המסוכנים</w:t>
        </w:r>
      </w:hyperlink>
      <w:r w:rsidRPr="00AF70BA">
        <w:rPr>
          <w:rFonts w:ascii="David" w:hAnsi="David"/>
          <w:rtl/>
        </w:rPr>
        <w:t xml:space="preserve"> (נוסח חדש), תשל"ג – 1973 (להלן: </w:t>
      </w:r>
      <w:r w:rsidRPr="00AF70BA">
        <w:rPr>
          <w:rFonts w:ascii="David" w:hAnsi="David"/>
          <w:b/>
          <w:bCs/>
          <w:rtl/>
        </w:rPr>
        <w:t>"פקודת הסמים"</w:t>
      </w:r>
      <w:r w:rsidRPr="00AF70BA">
        <w:rPr>
          <w:rFonts w:ascii="David" w:hAnsi="David"/>
          <w:rtl/>
        </w:rPr>
        <w:t xml:space="preserve">). </w:t>
      </w:r>
      <w:r>
        <w:rPr>
          <w:rFonts w:ascii="David" w:hAnsi="David" w:hint="cs"/>
          <w:rtl/>
        </w:rPr>
        <w:t xml:space="preserve">(שלוש עבירות). </w:t>
      </w:r>
    </w:p>
    <w:p w14:paraId="7A50CE5F" w14:textId="77777777" w:rsidR="00904EE7" w:rsidRPr="00AF70BA" w:rsidRDefault="00904EE7" w:rsidP="00904EE7">
      <w:pPr>
        <w:numPr>
          <w:ilvl w:val="0"/>
          <w:numId w:val="1"/>
        </w:numPr>
        <w:spacing w:after="300" w:line="360" w:lineRule="auto"/>
        <w:ind w:hanging="635"/>
        <w:jc w:val="both"/>
        <w:rPr>
          <w:rFonts w:ascii="David" w:hAnsi="David"/>
        </w:rPr>
      </w:pPr>
      <w:bookmarkStart w:id="6" w:name="ABSTRACT_END"/>
      <w:bookmarkEnd w:id="6"/>
      <w:r w:rsidRPr="00AF70BA">
        <w:rPr>
          <w:rFonts w:ascii="David" w:hAnsi="David"/>
          <w:rtl/>
        </w:rPr>
        <w:t xml:space="preserve">עפ"י המתואר בכתב האישום בימים 2.1.19, 15.1.19 ו- 31.1.19 התחבר סוכן משטרתי לאפליקציית טלגראס ורכש מהנאשם, ב-3 הזדמנויות שונות, סם מסוג קנאביס בכמויות של: </w:t>
      </w:r>
    </w:p>
    <w:p w14:paraId="090A12CB" w14:textId="77777777" w:rsidR="00904EE7" w:rsidRPr="00AF70BA" w:rsidRDefault="00904EE7" w:rsidP="00904EE7">
      <w:pPr>
        <w:numPr>
          <w:ilvl w:val="0"/>
          <w:numId w:val="2"/>
        </w:numPr>
        <w:spacing w:after="100" w:line="360" w:lineRule="auto"/>
        <w:jc w:val="both"/>
        <w:rPr>
          <w:rFonts w:ascii="David" w:hAnsi="David"/>
        </w:rPr>
      </w:pPr>
      <w:r w:rsidRPr="00AF70BA">
        <w:rPr>
          <w:rFonts w:ascii="David" w:hAnsi="David"/>
          <w:rtl/>
        </w:rPr>
        <w:t xml:space="preserve">19.9 גרם בעד 1,000 ₪. </w:t>
      </w:r>
    </w:p>
    <w:p w14:paraId="627FA805" w14:textId="77777777" w:rsidR="00904EE7" w:rsidRPr="00AF70BA" w:rsidRDefault="00904EE7" w:rsidP="00904EE7">
      <w:pPr>
        <w:numPr>
          <w:ilvl w:val="0"/>
          <w:numId w:val="2"/>
        </w:numPr>
        <w:spacing w:after="100" w:line="360" w:lineRule="auto"/>
        <w:jc w:val="both"/>
        <w:rPr>
          <w:rFonts w:ascii="David" w:hAnsi="David"/>
        </w:rPr>
      </w:pPr>
      <w:r w:rsidRPr="00AF70BA">
        <w:rPr>
          <w:rFonts w:ascii="David" w:hAnsi="David"/>
          <w:rtl/>
        </w:rPr>
        <w:t xml:space="preserve">26.4 גרם בעד 1,000 ₪. </w:t>
      </w:r>
    </w:p>
    <w:p w14:paraId="565DC372" w14:textId="77777777" w:rsidR="00904EE7" w:rsidRPr="00AF70BA" w:rsidRDefault="00904EE7" w:rsidP="00904EE7">
      <w:pPr>
        <w:numPr>
          <w:ilvl w:val="0"/>
          <w:numId w:val="2"/>
        </w:numPr>
        <w:spacing w:after="300" w:line="360" w:lineRule="auto"/>
        <w:jc w:val="both"/>
        <w:rPr>
          <w:rFonts w:ascii="David" w:hAnsi="David"/>
        </w:rPr>
      </w:pPr>
      <w:r w:rsidRPr="00AF70BA">
        <w:rPr>
          <w:rFonts w:ascii="David" w:hAnsi="David"/>
          <w:rtl/>
        </w:rPr>
        <w:lastRenderedPageBreak/>
        <w:t xml:space="preserve">35.7 גרם בעד 1,500 ₪. </w:t>
      </w:r>
    </w:p>
    <w:p w14:paraId="661FE160"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בכל המקרים נמכר הסם לסוכן כאשר את הנאשם מלווה </w:t>
      </w:r>
      <w:r>
        <w:rPr>
          <w:rFonts w:ascii="David" w:hAnsi="David" w:hint="cs"/>
          <w:rtl/>
        </w:rPr>
        <w:t xml:space="preserve">אדם </w:t>
      </w:r>
      <w:r w:rsidRPr="00AF70BA">
        <w:rPr>
          <w:rFonts w:ascii="David" w:hAnsi="David"/>
          <w:rtl/>
        </w:rPr>
        <w:t xml:space="preserve">אחר, יוחאי סטולרו, אשר נהג ברכב, בעוד הנאשם הוא שהעביר לידי הסוכן את הסם וקיבל לידיו את התשלום. </w:t>
      </w:r>
    </w:p>
    <w:p w14:paraId="70160E77" w14:textId="77777777" w:rsidR="00904EE7" w:rsidRDefault="00904EE7" w:rsidP="00904EE7">
      <w:pPr>
        <w:numPr>
          <w:ilvl w:val="0"/>
          <w:numId w:val="1"/>
        </w:numPr>
        <w:spacing w:after="300" w:line="360" w:lineRule="auto"/>
        <w:ind w:hanging="635"/>
        <w:jc w:val="both"/>
        <w:rPr>
          <w:rFonts w:ascii="David" w:hAnsi="David"/>
        </w:rPr>
      </w:pPr>
      <w:r w:rsidRPr="00AF70BA">
        <w:rPr>
          <w:rFonts w:ascii="David" w:hAnsi="David"/>
          <w:rtl/>
        </w:rPr>
        <w:t>ביום 12.12.19 צ</w:t>
      </w:r>
      <w:r>
        <w:rPr>
          <w:rFonts w:ascii="David" w:hAnsi="David" w:hint="cs"/>
          <w:rtl/>
        </w:rPr>
        <w:t xml:space="preserve">ירף הנאשם תיק מספר </w:t>
      </w:r>
      <w:r w:rsidRPr="00AF70BA">
        <w:rPr>
          <w:rFonts w:ascii="David" w:hAnsi="David"/>
          <w:rtl/>
        </w:rPr>
        <w:t xml:space="preserve">69138-11-18 </w:t>
      </w:r>
      <w:r>
        <w:rPr>
          <w:rFonts w:ascii="David" w:hAnsi="David" w:hint="cs"/>
          <w:rtl/>
        </w:rPr>
        <w:t>ו</w:t>
      </w:r>
      <w:r w:rsidRPr="00AF70BA">
        <w:rPr>
          <w:rFonts w:ascii="David" w:hAnsi="David"/>
          <w:rtl/>
        </w:rPr>
        <w:t>הודה בעביר</w:t>
      </w:r>
      <w:r>
        <w:rPr>
          <w:rFonts w:ascii="David" w:hAnsi="David" w:hint="cs"/>
          <w:rtl/>
        </w:rPr>
        <w:t xml:space="preserve">ה של </w:t>
      </w:r>
      <w:r w:rsidRPr="00AF70BA">
        <w:rPr>
          <w:rFonts w:ascii="David" w:hAnsi="David"/>
          <w:rtl/>
        </w:rPr>
        <w:t xml:space="preserve">תקיפה הגורמת חבלה של ממש לפי </w:t>
      </w:r>
      <w:hyperlink r:id="rId19" w:history="1">
        <w:r w:rsidR="005E73AD" w:rsidRPr="005E73AD">
          <w:rPr>
            <w:rStyle w:val="Hyperlink"/>
            <w:rFonts w:ascii="David" w:hAnsi="David"/>
            <w:rtl/>
          </w:rPr>
          <w:t>סעיף 380</w:t>
        </w:r>
      </w:hyperlink>
      <w:r w:rsidRPr="00AF70BA">
        <w:rPr>
          <w:rFonts w:ascii="David" w:hAnsi="David"/>
          <w:rtl/>
        </w:rPr>
        <w:t xml:space="preserve"> ל</w:t>
      </w:r>
      <w:hyperlink r:id="rId20" w:history="1">
        <w:r w:rsidR="007B4BA1" w:rsidRPr="007B4BA1">
          <w:rPr>
            <w:rFonts w:ascii="David" w:hAnsi="David"/>
            <w:color w:val="0000FF"/>
            <w:u w:val="single"/>
            <w:rtl/>
          </w:rPr>
          <w:t>חוק העונשין</w:t>
        </w:r>
      </w:hyperlink>
      <w:r w:rsidRPr="00AF70BA">
        <w:rPr>
          <w:rFonts w:ascii="David" w:hAnsi="David"/>
          <w:rtl/>
        </w:rPr>
        <w:t xml:space="preserve">, התשל"ז – 1977 (להלן: </w:t>
      </w:r>
      <w:r w:rsidRPr="00AF70BA">
        <w:rPr>
          <w:rFonts w:ascii="David" w:hAnsi="David"/>
          <w:b/>
          <w:bCs/>
          <w:rtl/>
        </w:rPr>
        <w:t>"חוק העונשין"</w:t>
      </w:r>
      <w:r w:rsidRPr="00AF70BA">
        <w:rPr>
          <w:rFonts w:ascii="David" w:hAnsi="David"/>
          <w:rtl/>
        </w:rPr>
        <w:t xml:space="preserve">). </w:t>
      </w:r>
    </w:p>
    <w:p w14:paraId="1935EF55" w14:textId="77777777" w:rsidR="00904EE7"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עפ"י המתואר בכתב האישום ביום 5.8.18 נכנס הנאשם לפיצרייה ובעקבות וויכוח עם מנהל הפיצרייה ביחס לנטילת קשים וכוסות ללא רשות, לפת את המתלונן בצווארו ואיים כי ירצח אותו. בהמשך הניף הנאשם כיסא והפנה אותו למתלונן באומרו כי ישליך אותו לעברו. במטרה להתגונן השליך המתלונן כיסא אחר </w:t>
      </w:r>
      <w:r>
        <w:rPr>
          <w:rFonts w:ascii="David" w:hAnsi="David" w:hint="cs"/>
          <w:rtl/>
        </w:rPr>
        <w:t xml:space="preserve">לעבר </w:t>
      </w:r>
      <w:r w:rsidRPr="00AF70BA">
        <w:rPr>
          <w:rFonts w:ascii="David" w:hAnsi="David"/>
          <w:rtl/>
        </w:rPr>
        <w:t xml:space="preserve">הנאשם, אז הכה הנאשם את המתלונן באמצעות הכיסא שהחזיק. במהלך התגרה נחבלה אשת המתלונן ונגרמו לה שריטות בצוואר וחבלות ביד. </w:t>
      </w:r>
    </w:p>
    <w:p w14:paraId="452B4C59" w14:textId="77777777" w:rsidR="00904EE7" w:rsidRPr="00392E57" w:rsidRDefault="00904EE7" w:rsidP="00904EE7">
      <w:pPr>
        <w:spacing w:after="300" w:line="360" w:lineRule="auto"/>
        <w:ind w:left="720" w:hanging="579"/>
        <w:jc w:val="both"/>
        <w:rPr>
          <w:rFonts w:ascii="David" w:hAnsi="David"/>
          <w:b/>
          <w:bCs/>
        </w:rPr>
      </w:pPr>
      <w:r w:rsidRPr="004876A8">
        <w:rPr>
          <w:rFonts w:ascii="David" w:hAnsi="David" w:hint="cs"/>
          <w:b/>
          <w:bCs/>
          <w:u w:val="single"/>
          <w:rtl/>
        </w:rPr>
        <w:t>חוות דעת הממונה על עבודות השירות</w:t>
      </w:r>
      <w:r>
        <w:rPr>
          <w:rFonts w:ascii="David" w:hAnsi="David" w:hint="cs"/>
          <w:b/>
          <w:bCs/>
          <w:rtl/>
        </w:rPr>
        <w:t>:</w:t>
      </w:r>
    </w:p>
    <w:p w14:paraId="291CBC37" w14:textId="77777777" w:rsidR="00904EE7" w:rsidRPr="00AF70BA" w:rsidRDefault="00904EE7" w:rsidP="00904EE7">
      <w:pPr>
        <w:numPr>
          <w:ilvl w:val="0"/>
          <w:numId w:val="1"/>
        </w:numPr>
        <w:spacing w:after="300" w:line="360" w:lineRule="auto"/>
        <w:ind w:hanging="635"/>
        <w:jc w:val="both"/>
        <w:rPr>
          <w:rFonts w:ascii="David" w:hAnsi="David"/>
        </w:rPr>
      </w:pPr>
      <w:r>
        <w:rPr>
          <w:rFonts w:ascii="David" w:hAnsi="David" w:hint="cs"/>
          <w:rtl/>
        </w:rPr>
        <w:t xml:space="preserve">ביום 21.6.21 הודיע הממונה על עבודות השירות כי מצא את הנאשם מתאים לביצוע עבודות שירות במרכז יום לקשיש בבית שמש. </w:t>
      </w:r>
    </w:p>
    <w:p w14:paraId="4E6D4134" w14:textId="77777777" w:rsidR="00904EE7" w:rsidRPr="00AF70BA" w:rsidRDefault="00904EE7" w:rsidP="00904EE7">
      <w:pPr>
        <w:spacing w:after="300" w:line="360" w:lineRule="auto"/>
        <w:ind w:left="85"/>
        <w:jc w:val="both"/>
        <w:rPr>
          <w:rFonts w:ascii="David" w:hAnsi="David"/>
          <w:b/>
          <w:bCs/>
        </w:rPr>
      </w:pPr>
      <w:r w:rsidRPr="004876A8">
        <w:rPr>
          <w:rFonts w:ascii="David" w:hAnsi="David"/>
          <w:b/>
          <w:bCs/>
          <w:u w:val="single"/>
          <w:rtl/>
        </w:rPr>
        <w:t>תסקירי שירות המבחן</w:t>
      </w:r>
      <w:r>
        <w:rPr>
          <w:rFonts w:ascii="David" w:hAnsi="David" w:hint="cs"/>
          <w:b/>
          <w:bCs/>
          <w:rtl/>
        </w:rPr>
        <w:t>:</w:t>
      </w:r>
    </w:p>
    <w:p w14:paraId="506B3CB5"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בעניינו של הנאשם הוגשו 2 תסקירים. אביא מתוכנם בתמצית. </w:t>
      </w:r>
    </w:p>
    <w:p w14:paraId="3D04DD45"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בתסקיר הראשון מיום 16.6.20 תואר הנאשם כבן 22, הבן השמיני מבין 11 אחיו, רווק, המתגורר בבית הוריו ועובד בעבודה חלקית בשיווק. הורי הנאשם תוארו על ידו כהורים מיטיבים ודואגים</w:t>
      </w:r>
      <w:r>
        <w:rPr>
          <w:rFonts w:ascii="David" w:hAnsi="David" w:hint="cs"/>
          <w:rtl/>
        </w:rPr>
        <w:t>,</w:t>
      </w:r>
      <w:r w:rsidRPr="00AF70BA">
        <w:rPr>
          <w:rFonts w:ascii="David" w:hAnsi="David"/>
          <w:rtl/>
        </w:rPr>
        <w:t xml:space="preserve"> הסובלים ממצוקה כלכלית. משיחה עם עו"ס המטפלת במשפחה עלה כי המדובר במשפחה קשת יום בה מתקשים ההורים לספק לילדים מענים נדרשים. תואר כי בילדותו התקשה הנאשם להשתלב במסגרות </w:t>
      </w:r>
      <w:r>
        <w:rPr>
          <w:rFonts w:ascii="David" w:hAnsi="David" w:hint="cs"/>
          <w:rtl/>
        </w:rPr>
        <w:t xml:space="preserve">החינוך, ועבר </w:t>
      </w:r>
      <w:r w:rsidRPr="00AF70BA">
        <w:rPr>
          <w:rFonts w:ascii="David" w:hAnsi="David"/>
          <w:rtl/>
        </w:rPr>
        <w:t xml:space="preserve">בין מסגרות שונות בהן לא הצליח להשתלב. בגיל 15 נשר ממסגרות החינוך והחל לעבוד בעבודות מזדמנות. בעבודתו האחרונה הוא מתמיד ומוערך.  </w:t>
      </w:r>
    </w:p>
    <w:p w14:paraId="7EA98105"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הנאשם שלל שימוש בחומרים ממכרים בשנה האחרונה</w:t>
      </w:r>
      <w:r>
        <w:rPr>
          <w:rFonts w:ascii="David" w:hAnsi="David" w:hint="cs"/>
          <w:rtl/>
        </w:rPr>
        <w:t>,</w:t>
      </w:r>
      <w:r w:rsidRPr="00AF70BA">
        <w:rPr>
          <w:rFonts w:ascii="David" w:hAnsi="David"/>
          <w:rtl/>
        </w:rPr>
        <w:t xml:space="preserve"> ובדיקת שתן שמסר שללה שימוש כאמור. עם זאת, בעת מעצרו, בשנת 2019, יצאו הבדיקות חיוביות לסם. </w:t>
      </w:r>
    </w:p>
    <w:p w14:paraId="47C79EAB"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בהתייחסו לעבירות הס</w:t>
      </w:r>
      <w:r>
        <w:rPr>
          <w:rFonts w:ascii="David" w:hAnsi="David" w:hint="cs"/>
          <w:rtl/>
        </w:rPr>
        <w:t>ם</w:t>
      </w:r>
      <w:r w:rsidRPr="00AF70BA">
        <w:rPr>
          <w:rFonts w:ascii="David" w:hAnsi="David"/>
          <w:rtl/>
        </w:rPr>
        <w:t xml:space="preserve"> ציין הנאשם</w:t>
      </w:r>
      <w:r>
        <w:rPr>
          <w:rFonts w:ascii="David" w:hAnsi="David" w:hint="cs"/>
          <w:rtl/>
        </w:rPr>
        <w:t>,</w:t>
      </w:r>
      <w:r w:rsidRPr="00AF70BA">
        <w:rPr>
          <w:rFonts w:ascii="David" w:hAnsi="David"/>
          <w:rtl/>
        </w:rPr>
        <w:t xml:space="preserve"> כי מכר הציע לו לבצע עבורו משלוחים </w:t>
      </w:r>
      <w:r>
        <w:rPr>
          <w:rFonts w:ascii="David" w:hAnsi="David" w:hint="cs"/>
          <w:rtl/>
        </w:rPr>
        <w:t xml:space="preserve">אך הוא </w:t>
      </w:r>
      <w:r w:rsidRPr="00AF70BA">
        <w:rPr>
          <w:rFonts w:ascii="David" w:hAnsi="David"/>
          <w:rtl/>
        </w:rPr>
        <w:t>לא ידע את תוכן המשלוח. עם זאת</w:t>
      </w:r>
      <w:r>
        <w:rPr>
          <w:rFonts w:ascii="David" w:hAnsi="David" w:hint="cs"/>
          <w:rtl/>
        </w:rPr>
        <w:t xml:space="preserve"> </w:t>
      </w:r>
      <w:r w:rsidRPr="00AF70BA">
        <w:rPr>
          <w:rFonts w:ascii="David" w:hAnsi="David"/>
          <w:rtl/>
        </w:rPr>
        <w:t>הבין</w:t>
      </w:r>
      <w:r>
        <w:rPr>
          <w:rFonts w:ascii="David" w:hAnsi="David" w:hint="cs"/>
          <w:rtl/>
        </w:rPr>
        <w:t xml:space="preserve">, כי </w:t>
      </w:r>
      <w:r w:rsidRPr="00AF70BA">
        <w:rPr>
          <w:rFonts w:ascii="David" w:hAnsi="David"/>
          <w:rtl/>
        </w:rPr>
        <w:t>המדובר בפעולה שאינ</w:t>
      </w:r>
      <w:r>
        <w:rPr>
          <w:rFonts w:ascii="David" w:hAnsi="David" w:hint="cs"/>
          <w:rtl/>
        </w:rPr>
        <w:t>נ</w:t>
      </w:r>
      <w:r w:rsidRPr="00AF70BA">
        <w:rPr>
          <w:rFonts w:ascii="David" w:hAnsi="David"/>
          <w:rtl/>
        </w:rPr>
        <w:t xml:space="preserve">ה חוקית נוכח הרווח הכספי הגבוה </w:t>
      </w:r>
      <w:r>
        <w:rPr>
          <w:rFonts w:ascii="David" w:hAnsi="David" w:hint="cs"/>
          <w:rtl/>
        </w:rPr>
        <w:t>אך בחר ל</w:t>
      </w:r>
      <w:r w:rsidRPr="00AF70BA">
        <w:rPr>
          <w:rFonts w:ascii="David" w:hAnsi="David"/>
          <w:rtl/>
        </w:rPr>
        <w:t xml:space="preserve">התעלם מכך. עוד הניעו הצורך בנראות ושייכות לחברה שולית. לטענתו מאז מעצרו התרחק </w:t>
      </w:r>
      <w:r>
        <w:rPr>
          <w:rFonts w:ascii="David" w:hAnsi="David" w:hint="cs"/>
          <w:rtl/>
        </w:rPr>
        <w:t>מ</w:t>
      </w:r>
      <w:r w:rsidRPr="00AF70BA">
        <w:rPr>
          <w:rFonts w:ascii="David" w:hAnsi="David"/>
          <w:rtl/>
        </w:rPr>
        <w:t xml:space="preserve">חברה זו וממעורבות בפלילים. בהתייחסו לעבירת התקיפה טען כי לא </w:t>
      </w:r>
      <w:r w:rsidRPr="00AF70BA">
        <w:rPr>
          <w:rFonts w:ascii="David" w:hAnsi="David"/>
          <w:rtl/>
        </w:rPr>
        <w:lastRenderedPageBreak/>
        <w:t>היה שותף לתגרה אלא נכנס למקום במטרה להפריד בתגרה בין בעל הפיצרייה לאדם נכה שהוא מכיר, וסייע לו להתגונן מפני בעל המקום. הנאשם התקשה ליטול אחריות בגין המקרה וטען שהודה בעבירה לשם סיום ההליך הפלילי ורצונו לפתוח דף חדש.</w:t>
      </w:r>
    </w:p>
    <w:p w14:paraId="501ED7B8"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שירות המבחן התרשם</w:t>
      </w:r>
      <w:r>
        <w:rPr>
          <w:rFonts w:ascii="David" w:hAnsi="David" w:hint="cs"/>
          <w:rtl/>
        </w:rPr>
        <w:t>,</w:t>
      </w:r>
      <w:r w:rsidRPr="00AF70BA">
        <w:rPr>
          <w:rFonts w:ascii="David" w:hAnsi="David"/>
          <w:rtl/>
        </w:rPr>
        <w:t xml:space="preserve"> כי ברקע ל</w:t>
      </w:r>
      <w:r>
        <w:rPr>
          <w:rFonts w:ascii="David" w:hAnsi="David" w:hint="cs"/>
          <w:rtl/>
        </w:rPr>
        <w:t>ביצוע ה</w:t>
      </w:r>
      <w:r w:rsidRPr="00AF70BA">
        <w:rPr>
          <w:rFonts w:ascii="David" w:hAnsi="David"/>
          <w:rtl/>
        </w:rPr>
        <w:t xml:space="preserve">עבירות קושי של הנאשם לשלוט במעשיו, גילו הצעיר, רצון להציג נראות מצליחנית וחומרית ויתרונות בשייכות לחברת שוליים. בגורמי הסיכון צוינו חוסר יציבות והסתגלות במסגרות, שלב התפתחותי מוקדם ובלתי מגובש, אימפולסיביות וקושי בדחיית סיפוקים, היעדר תמיכה משפחתית והצבת גבולות, ודימוי עצמי נמוך אשר עליו מפצה הנאשם בנסותו להציג סימני סטאטוס חיצוניים. בגורמי הסיכוי תואר היעדר עבר פלילי קודם, יכולת התבוננות פנימית, רצון כן לנהל אורח חיים נורמטיבי והבנת הצורך בתמיכה לשם כך, והסכמה ליטול חלק בטיפול. צוין שההליך הפלילי מהווה עבורו גורם מרתיע. </w:t>
      </w:r>
    </w:p>
    <w:p w14:paraId="4A468044"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ב</w:t>
      </w:r>
      <w:r>
        <w:rPr>
          <w:rFonts w:ascii="David" w:hAnsi="David" w:hint="cs"/>
          <w:rtl/>
        </w:rPr>
        <w:t xml:space="preserve">סיכומו של </w:t>
      </w:r>
      <w:r w:rsidRPr="00AF70BA">
        <w:rPr>
          <w:rFonts w:ascii="David" w:hAnsi="David"/>
          <w:rtl/>
        </w:rPr>
        <w:t>התסקיר ביקש שירות המבחן</w:t>
      </w:r>
      <w:r>
        <w:rPr>
          <w:rFonts w:ascii="David" w:hAnsi="David" w:hint="cs"/>
          <w:rtl/>
        </w:rPr>
        <w:t>,</w:t>
      </w:r>
      <w:r w:rsidRPr="00AF70BA">
        <w:rPr>
          <w:rFonts w:ascii="David" w:hAnsi="David"/>
          <w:rtl/>
        </w:rPr>
        <w:t xml:space="preserve"> כי תינתן </w:t>
      </w:r>
      <w:r>
        <w:rPr>
          <w:rFonts w:ascii="David" w:hAnsi="David" w:hint="cs"/>
          <w:rtl/>
        </w:rPr>
        <w:t xml:space="preserve">לו </w:t>
      </w:r>
      <w:r w:rsidRPr="00AF70BA">
        <w:rPr>
          <w:rFonts w:ascii="David" w:hAnsi="David"/>
          <w:rtl/>
        </w:rPr>
        <w:t>ארכה לצורך שילוב</w:t>
      </w:r>
      <w:r>
        <w:rPr>
          <w:rFonts w:ascii="David" w:hAnsi="David" w:hint="cs"/>
          <w:rtl/>
        </w:rPr>
        <w:t>ו של</w:t>
      </w:r>
      <w:r w:rsidRPr="00AF70BA">
        <w:rPr>
          <w:rFonts w:ascii="David" w:hAnsi="David"/>
          <w:rtl/>
        </w:rPr>
        <w:t xml:space="preserve"> הנאשם בקבוצה טיפולית מתאימה. </w:t>
      </w:r>
    </w:p>
    <w:p w14:paraId="0DB3830D"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בתסקיר משלים מיום 20.10.20 צוין כי הנאשם שולב בקבוצה לניהול כעסים אך נעדר מ</w:t>
      </w:r>
      <w:r>
        <w:rPr>
          <w:rFonts w:ascii="David" w:hAnsi="David" w:hint="cs"/>
          <w:rtl/>
        </w:rPr>
        <w:t>רוב</w:t>
      </w:r>
      <w:r w:rsidRPr="00AF70BA">
        <w:rPr>
          <w:rFonts w:ascii="David" w:hAnsi="David"/>
          <w:rtl/>
        </w:rPr>
        <w:t xml:space="preserve"> המפגשים למעט ארבעה</w:t>
      </w:r>
      <w:r>
        <w:rPr>
          <w:rFonts w:ascii="David" w:hAnsi="David" w:hint="cs"/>
          <w:rtl/>
        </w:rPr>
        <w:t xml:space="preserve"> מפגשים בהם נכח</w:t>
      </w:r>
      <w:r w:rsidRPr="00AF70BA">
        <w:rPr>
          <w:rFonts w:ascii="David" w:hAnsi="David"/>
          <w:rtl/>
        </w:rPr>
        <w:t>. התרשמות המטפלות הייתה מקושי בוויסות כעסים וחוסר יכולת לשמור על כללי הקבוצה. לצד התרשמות המטפלות מכך שהנאשם לא נ</w:t>
      </w:r>
      <w:r>
        <w:rPr>
          <w:rFonts w:ascii="David" w:hAnsi="David" w:hint="cs"/>
          <w:rtl/>
        </w:rPr>
        <w:t>תר</w:t>
      </w:r>
      <w:r w:rsidRPr="00AF70BA">
        <w:rPr>
          <w:rFonts w:ascii="David" w:hAnsi="David"/>
          <w:rtl/>
        </w:rPr>
        <w:t xml:space="preserve">ם מהקבוצה, הנאשם תיאר תחושת התקדמות ותהליך שינוי שעבר. </w:t>
      </w:r>
    </w:p>
    <w:p w14:paraId="3AB7551A"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שירות המבחן התרשם שחרף הצהרותיו, הנאשם אינו מגויס להליך טיפולי. הוא לא היה זמין לפניות השירות ולא פנה אליהם מיוזמתו. גם בקבוצה חיצונית לשיקום צעירים לא שולב הנאשם בשל משבר הקורונה וקושי ביצירת קשר עמו. </w:t>
      </w:r>
    </w:p>
    <w:p w14:paraId="264895F2"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מסקנת שירות המבחן הייתה כי לא צפוי אופק שיקומי לנאשם, ועל כן לא בא השירות בהמלצה בעניינו. עם זאת, בהתחשב בהיעדר רישום פלילי קודם, תנאים מגבילים שהוטלו על הנאשם </w:t>
      </w:r>
      <w:r>
        <w:rPr>
          <w:rFonts w:ascii="David" w:hAnsi="David" w:hint="cs"/>
          <w:rtl/>
        </w:rPr>
        <w:t xml:space="preserve">משך </w:t>
      </w:r>
      <w:r w:rsidRPr="00AF70BA">
        <w:rPr>
          <w:rFonts w:ascii="David" w:hAnsi="David"/>
          <w:rtl/>
        </w:rPr>
        <w:t>תקופה ממושכת, גילו הצעיר</w:t>
      </w:r>
      <w:r>
        <w:rPr>
          <w:rFonts w:ascii="David" w:hAnsi="David" w:hint="cs"/>
          <w:rtl/>
        </w:rPr>
        <w:t xml:space="preserve"> </w:t>
      </w:r>
      <w:r w:rsidRPr="00AF70BA">
        <w:rPr>
          <w:rFonts w:ascii="David" w:hAnsi="David"/>
          <w:rtl/>
        </w:rPr>
        <w:t xml:space="preserve">והשלכות </w:t>
      </w:r>
      <w:r>
        <w:rPr>
          <w:rFonts w:ascii="David" w:hAnsi="David" w:hint="cs"/>
          <w:rtl/>
        </w:rPr>
        <w:t>ה</w:t>
      </w:r>
      <w:r w:rsidRPr="00AF70BA">
        <w:rPr>
          <w:rFonts w:ascii="David" w:hAnsi="David"/>
          <w:rtl/>
        </w:rPr>
        <w:t>מאסר עליו, הומלץ שלא להטיל על הנאשם עונש מאסר בפועל</w:t>
      </w:r>
      <w:r>
        <w:rPr>
          <w:rFonts w:ascii="David" w:hAnsi="David" w:hint="cs"/>
          <w:rtl/>
        </w:rPr>
        <w:t>,</w:t>
      </w:r>
      <w:r w:rsidRPr="00AF70BA">
        <w:rPr>
          <w:rFonts w:ascii="David" w:hAnsi="David"/>
          <w:rtl/>
        </w:rPr>
        <w:t xml:space="preserve"> אלא מאסר שירוצה </w:t>
      </w:r>
      <w:r>
        <w:rPr>
          <w:rFonts w:ascii="David" w:hAnsi="David" w:hint="cs"/>
          <w:rtl/>
        </w:rPr>
        <w:t xml:space="preserve">על דרך </w:t>
      </w:r>
      <w:r w:rsidRPr="00AF70BA">
        <w:rPr>
          <w:rFonts w:ascii="David" w:hAnsi="David"/>
          <w:rtl/>
        </w:rPr>
        <w:t xml:space="preserve">עבודות שירות, לצד ענישה מותנית. </w:t>
      </w:r>
    </w:p>
    <w:p w14:paraId="49AD340A" w14:textId="77777777" w:rsidR="00904EE7" w:rsidRPr="00AF70BA" w:rsidRDefault="00904EE7" w:rsidP="00904EE7">
      <w:pPr>
        <w:spacing w:after="300" w:line="360" w:lineRule="auto"/>
        <w:ind w:left="85"/>
        <w:jc w:val="both"/>
        <w:rPr>
          <w:rFonts w:ascii="David" w:hAnsi="David"/>
          <w:b/>
          <w:bCs/>
        </w:rPr>
      </w:pPr>
      <w:r w:rsidRPr="004876A8">
        <w:rPr>
          <w:rFonts w:ascii="David" w:hAnsi="David" w:hint="cs"/>
          <w:b/>
          <w:bCs/>
          <w:u w:val="single"/>
          <w:rtl/>
        </w:rPr>
        <w:t xml:space="preserve">תמצית טיעוני </w:t>
      </w:r>
      <w:r w:rsidRPr="004876A8">
        <w:rPr>
          <w:rFonts w:ascii="David" w:hAnsi="David"/>
          <w:b/>
          <w:bCs/>
          <w:u w:val="single"/>
          <w:rtl/>
        </w:rPr>
        <w:t>הצדדים</w:t>
      </w:r>
      <w:r>
        <w:rPr>
          <w:rFonts w:ascii="David" w:hAnsi="David" w:hint="cs"/>
          <w:b/>
          <w:bCs/>
          <w:rtl/>
        </w:rPr>
        <w:t>:</w:t>
      </w:r>
    </w:p>
    <w:p w14:paraId="14B23648"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בט</w:t>
      </w:r>
      <w:r>
        <w:rPr>
          <w:rFonts w:ascii="David" w:hAnsi="David" w:hint="cs"/>
          <w:rtl/>
        </w:rPr>
        <w:t xml:space="preserve">יעוניה </w:t>
      </w:r>
      <w:r w:rsidRPr="00AF70BA">
        <w:rPr>
          <w:rFonts w:ascii="David" w:hAnsi="David"/>
          <w:rtl/>
        </w:rPr>
        <w:t xml:space="preserve">לעונש ציינה המאשימה ששותפו של הנאשם לעבירות הסחר נדון, בגין עבירות אלו בלבד, ל-10 חודשי מאסר. המאשימה טענה שהנאשם פגע במעשיו בבריאות ושלום הציבור, בשלטון החוק ובאינטרס הציבורי למלחמה בנגע הסמים. ערכים אלו נכונים במיוחד לאור נגישותה של עבירת הסחר באמצעות הרשת. באשר לעבירת התקיפה </w:t>
      </w:r>
      <w:r>
        <w:rPr>
          <w:rFonts w:ascii="David" w:hAnsi="David" w:hint="cs"/>
          <w:rtl/>
        </w:rPr>
        <w:t xml:space="preserve">נטען, כי </w:t>
      </w:r>
      <w:r w:rsidRPr="00AF70BA">
        <w:rPr>
          <w:rFonts w:ascii="David" w:hAnsi="David"/>
          <w:rtl/>
        </w:rPr>
        <w:t xml:space="preserve">הנאשם יכול היה להפסיק את העבירה בכל שלב אך לא עשה כן. במעשים אלו פגע הנאשם בביטחון המתלוננת ובכבודה, פיזית ונפשית. המאשימה הפנתה לפסיקה </w:t>
      </w:r>
      <w:r>
        <w:rPr>
          <w:rFonts w:ascii="David" w:hAnsi="David" w:hint="cs"/>
          <w:rtl/>
        </w:rPr>
        <w:t>ע</w:t>
      </w:r>
      <w:r w:rsidRPr="00AF70BA">
        <w:rPr>
          <w:rFonts w:ascii="David" w:hAnsi="David"/>
          <w:rtl/>
        </w:rPr>
        <w:t>ל</w:t>
      </w:r>
      <w:r>
        <w:rPr>
          <w:rFonts w:ascii="David" w:hAnsi="David" w:hint="cs"/>
          <w:rtl/>
        </w:rPr>
        <w:t xml:space="preserve"> </w:t>
      </w:r>
      <w:r w:rsidRPr="00AF70BA">
        <w:rPr>
          <w:rFonts w:ascii="David" w:hAnsi="David"/>
          <w:rtl/>
        </w:rPr>
        <w:t>פיה בעבירת התקיפה מתחם הע</w:t>
      </w:r>
      <w:r>
        <w:rPr>
          <w:rFonts w:ascii="David" w:hAnsi="David" w:hint="cs"/>
          <w:rtl/>
        </w:rPr>
        <w:t xml:space="preserve">ונש הינו החל מארבעה חודשי מאסר ועד 12 </w:t>
      </w:r>
      <w:r w:rsidRPr="00AF70BA">
        <w:rPr>
          <w:rFonts w:ascii="David" w:hAnsi="David"/>
          <w:rtl/>
        </w:rPr>
        <w:t>חודשי</w:t>
      </w:r>
      <w:r>
        <w:rPr>
          <w:rFonts w:ascii="David" w:hAnsi="David" w:hint="cs"/>
          <w:rtl/>
        </w:rPr>
        <w:t>ם</w:t>
      </w:r>
      <w:r w:rsidRPr="00AF70BA">
        <w:rPr>
          <w:rFonts w:ascii="David" w:hAnsi="David"/>
          <w:rtl/>
        </w:rPr>
        <w:t xml:space="preserve">. במקרה </w:t>
      </w:r>
      <w:r>
        <w:rPr>
          <w:rFonts w:ascii="David" w:hAnsi="David" w:hint="cs"/>
          <w:rtl/>
        </w:rPr>
        <w:t xml:space="preserve">דנן </w:t>
      </w:r>
      <w:r w:rsidRPr="00AF70BA">
        <w:rPr>
          <w:rFonts w:ascii="David" w:hAnsi="David"/>
          <w:rtl/>
        </w:rPr>
        <w:t>סברה המאשימה שמתחם הע</w:t>
      </w:r>
      <w:r>
        <w:rPr>
          <w:rFonts w:ascii="David" w:hAnsi="David" w:hint="cs"/>
          <w:rtl/>
        </w:rPr>
        <w:t xml:space="preserve">ונש </w:t>
      </w:r>
      <w:r w:rsidRPr="00AF70BA">
        <w:rPr>
          <w:rFonts w:ascii="David" w:hAnsi="David"/>
          <w:rtl/>
        </w:rPr>
        <w:t xml:space="preserve">בגין עבירות הסחר </w:t>
      </w:r>
      <w:r>
        <w:rPr>
          <w:rFonts w:ascii="David" w:hAnsi="David" w:hint="cs"/>
          <w:rtl/>
        </w:rPr>
        <w:t>הינו החל מ</w:t>
      </w:r>
      <w:r w:rsidRPr="00AF70BA">
        <w:rPr>
          <w:rFonts w:ascii="David" w:hAnsi="David"/>
          <w:rtl/>
        </w:rPr>
        <w:t xml:space="preserve">מאסר שירוצה בעבודות שירות ועד ל-18 חודשי מאסר ובעבירת התקיפה נע המתחם בין מע"ת ועד ל-6 חודשי מאסר בפועל. </w:t>
      </w:r>
    </w:p>
    <w:p w14:paraId="13D9290C"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המאשימה ציינה שהנאשם לא נטל אחריות למעשיו. התקשה להימנע מהתנהגות אימפולסיבית וסירב לנצל את ההזדמנות שניתנה לו וליטול חלק בהליך שיקומי. לדידה, ככל ונקבע שאין אופק שיקומי לנאשם, הרי שבית המשפט נדרש להטיל על הנאשם עונש מאסר משמעותי. באשר לעבירת הסמים ציינה המאשימה שיש להתחשב ברווח הכספי הגבוה שקיבל הנאשם ובחלק המשמעותי שמילא בשרשרת ההפצה. עוד ציינה שעל שותפו של הנאשם לעבירה, אשר הואשם רק בעבירות הסחר, נגזרו 10 חודשי מאסר בפועל, התחייבות, מאסר מותנה ורכבו חולט. אציין כי עניינו של השותף נדון לפני, אך דינו נ</w:t>
      </w:r>
      <w:r>
        <w:rPr>
          <w:rFonts w:ascii="David" w:hAnsi="David" w:hint="cs"/>
          <w:rtl/>
        </w:rPr>
        <w:t xml:space="preserve">גזר במסגרת הסדר עונשי סגור- במסגרתו עתרו </w:t>
      </w:r>
      <w:r w:rsidRPr="00AF70BA">
        <w:rPr>
          <w:rFonts w:ascii="David" w:hAnsi="David"/>
          <w:rtl/>
        </w:rPr>
        <w:t xml:space="preserve">הצדדים </w:t>
      </w:r>
      <w:r>
        <w:rPr>
          <w:rFonts w:ascii="David" w:hAnsi="David" w:hint="cs"/>
          <w:rtl/>
        </w:rPr>
        <w:t xml:space="preserve">במשותף </w:t>
      </w:r>
      <w:r w:rsidRPr="00AF70BA">
        <w:rPr>
          <w:rFonts w:ascii="David" w:hAnsi="David"/>
          <w:rtl/>
        </w:rPr>
        <w:t>לכבד</w:t>
      </w:r>
      <w:r>
        <w:rPr>
          <w:rFonts w:ascii="David" w:hAnsi="David" w:hint="cs"/>
          <w:rtl/>
        </w:rPr>
        <w:t>ו</w:t>
      </w:r>
      <w:r w:rsidRPr="00AF70BA">
        <w:rPr>
          <w:rFonts w:ascii="David" w:hAnsi="David"/>
          <w:rtl/>
        </w:rPr>
        <w:t xml:space="preserve">. </w:t>
      </w:r>
    </w:p>
    <w:p w14:paraId="0D087061" w14:textId="77777777" w:rsidR="00904EE7" w:rsidRPr="00AF70BA" w:rsidRDefault="00904EE7" w:rsidP="00904EE7">
      <w:pPr>
        <w:numPr>
          <w:ilvl w:val="0"/>
          <w:numId w:val="1"/>
        </w:numPr>
        <w:spacing w:after="300" w:line="360" w:lineRule="auto"/>
        <w:ind w:hanging="635"/>
        <w:jc w:val="both"/>
        <w:rPr>
          <w:rFonts w:ascii="David" w:hAnsi="David"/>
        </w:rPr>
      </w:pPr>
      <w:r>
        <w:rPr>
          <w:rFonts w:ascii="David" w:hAnsi="David" w:hint="cs"/>
          <w:rtl/>
        </w:rPr>
        <w:t>ב</w:t>
      </w:r>
      <w:r w:rsidRPr="00AF70BA">
        <w:rPr>
          <w:rFonts w:ascii="David" w:hAnsi="David"/>
          <w:rtl/>
        </w:rPr>
        <w:t xml:space="preserve">שים לב לשיקולים </w:t>
      </w:r>
      <w:r>
        <w:rPr>
          <w:rFonts w:ascii="David" w:hAnsi="David" w:hint="cs"/>
          <w:rtl/>
        </w:rPr>
        <w:t xml:space="preserve">אלו </w:t>
      </w:r>
      <w:r w:rsidRPr="00AF70BA">
        <w:rPr>
          <w:rFonts w:ascii="David" w:hAnsi="David"/>
          <w:rtl/>
        </w:rPr>
        <w:t>עתרה המאשימה ל</w:t>
      </w:r>
      <w:r>
        <w:rPr>
          <w:rFonts w:ascii="David" w:hAnsi="David" w:hint="cs"/>
          <w:rtl/>
        </w:rPr>
        <w:t xml:space="preserve">הטיל על הנאשם </w:t>
      </w:r>
      <w:r w:rsidRPr="00AF70BA">
        <w:rPr>
          <w:rFonts w:ascii="David" w:hAnsi="David"/>
          <w:rtl/>
        </w:rPr>
        <w:t>עונש מאסר בפועל למשך 18 חודשים, מאסר מותנה, פיצוי למתלוננת, קנס, התחייבות וה</w:t>
      </w:r>
      <w:r>
        <w:rPr>
          <w:rFonts w:ascii="David" w:hAnsi="David" w:hint="cs"/>
          <w:rtl/>
        </w:rPr>
        <w:t xml:space="preserve">כרזה </w:t>
      </w:r>
      <w:r w:rsidRPr="00AF70BA">
        <w:rPr>
          <w:rFonts w:ascii="David" w:hAnsi="David"/>
          <w:rtl/>
        </w:rPr>
        <w:t>על הנאשם כסוחר סמים וחילוטם</w:t>
      </w:r>
      <w:r>
        <w:rPr>
          <w:rFonts w:ascii="David" w:hAnsi="David" w:hint="cs"/>
          <w:rtl/>
        </w:rPr>
        <w:t xml:space="preserve"> של הסמים</w:t>
      </w:r>
      <w:r w:rsidRPr="00AF70BA">
        <w:rPr>
          <w:rFonts w:ascii="David" w:hAnsi="David"/>
          <w:rtl/>
        </w:rPr>
        <w:t xml:space="preserve">. </w:t>
      </w:r>
    </w:p>
    <w:p w14:paraId="17CBE380"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ההגנה </w:t>
      </w:r>
      <w:r>
        <w:rPr>
          <w:rFonts w:ascii="David" w:hAnsi="David" w:hint="cs"/>
          <w:rtl/>
        </w:rPr>
        <w:t>ציינה כי ה</w:t>
      </w:r>
      <w:r w:rsidRPr="00AF70BA">
        <w:rPr>
          <w:rFonts w:ascii="David" w:hAnsi="David"/>
          <w:rtl/>
        </w:rPr>
        <w:t xml:space="preserve">נאשם </w:t>
      </w:r>
      <w:r>
        <w:rPr>
          <w:rFonts w:ascii="David" w:hAnsi="David" w:hint="cs"/>
          <w:rtl/>
        </w:rPr>
        <w:t xml:space="preserve">נעדר </w:t>
      </w:r>
      <w:r w:rsidRPr="00AF70BA">
        <w:rPr>
          <w:rFonts w:ascii="David" w:hAnsi="David"/>
          <w:rtl/>
        </w:rPr>
        <w:t>עבר פלילי</w:t>
      </w:r>
      <w:r>
        <w:rPr>
          <w:rFonts w:ascii="David" w:hAnsi="David" w:hint="cs"/>
          <w:rtl/>
        </w:rPr>
        <w:t xml:space="preserve">. על פיה </w:t>
      </w:r>
      <w:r w:rsidRPr="00AF70BA">
        <w:rPr>
          <w:rFonts w:ascii="David" w:hAnsi="David"/>
          <w:rtl/>
        </w:rPr>
        <w:t>הנאשם אינו יכול לעתור לצו של"צ אך אין לתלות ב</w:t>
      </w:r>
      <w:r>
        <w:rPr>
          <w:rFonts w:ascii="David" w:hAnsi="David" w:hint="cs"/>
          <w:rtl/>
        </w:rPr>
        <w:t xml:space="preserve">ו </w:t>
      </w:r>
      <w:r w:rsidRPr="00AF70BA">
        <w:rPr>
          <w:rFonts w:ascii="David" w:hAnsi="David"/>
          <w:rtl/>
        </w:rPr>
        <w:t>את כישלון הטיפול</w:t>
      </w:r>
      <w:r>
        <w:rPr>
          <w:rFonts w:ascii="David" w:hAnsi="David" w:hint="cs"/>
          <w:rtl/>
        </w:rPr>
        <w:t xml:space="preserve">, שכן </w:t>
      </w:r>
      <w:r w:rsidRPr="00AF70BA">
        <w:rPr>
          <w:rFonts w:ascii="David" w:hAnsi="David"/>
          <w:rtl/>
        </w:rPr>
        <w:t xml:space="preserve">הייתה </w:t>
      </w:r>
      <w:r>
        <w:rPr>
          <w:rFonts w:ascii="David" w:hAnsi="David" w:hint="cs"/>
          <w:rtl/>
        </w:rPr>
        <w:t xml:space="preserve">בו </w:t>
      </w:r>
      <w:r w:rsidRPr="00AF70BA">
        <w:rPr>
          <w:rFonts w:ascii="David" w:hAnsi="David"/>
          <w:rtl/>
        </w:rPr>
        <w:t>מוטיבציה רבה להשתתף בטיפול</w:t>
      </w:r>
      <w:r>
        <w:rPr>
          <w:rFonts w:ascii="David" w:hAnsi="David" w:hint="cs"/>
          <w:rtl/>
        </w:rPr>
        <w:t>,</w:t>
      </w:r>
      <w:r w:rsidRPr="00AF70BA">
        <w:rPr>
          <w:rFonts w:ascii="David" w:hAnsi="David"/>
          <w:rtl/>
        </w:rPr>
        <w:t xml:space="preserve"> אך באותה </w:t>
      </w:r>
      <w:r>
        <w:rPr>
          <w:rFonts w:ascii="David" w:hAnsi="David" w:hint="cs"/>
          <w:rtl/>
        </w:rPr>
        <w:t xml:space="preserve">עת </w:t>
      </w:r>
      <w:r w:rsidRPr="00AF70BA">
        <w:rPr>
          <w:rFonts w:ascii="David" w:hAnsi="David"/>
          <w:rtl/>
        </w:rPr>
        <w:t xml:space="preserve">הוא נכנס פעמיים לבידוד. </w:t>
      </w:r>
    </w:p>
    <w:p w14:paraId="03E36A10"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באשר לעבירות הסחר טענה ההגנה כי חומרתן אינה גבוהה במיוחד. המדובר בכמויות קטנות ובסכומים קטנים. גם חלקו של הנאשם בביצוע </w:t>
      </w:r>
      <w:r>
        <w:rPr>
          <w:rFonts w:ascii="David" w:hAnsi="David" w:hint="cs"/>
          <w:rtl/>
        </w:rPr>
        <w:t xml:space="preserve">אותן עבירות </w:t>
      </w:r>
      <w:r w:rsidRPr="00AF70BA">
        <w:rPr>
          <w:rFonts w:ascii="David" w:hAnsi="David"/>
          <w:rtl/>
        </w:rPr>
        <w:t>לא היה רב. שותפו של הנאשם לעבירה היה זה שנטל את החלק המשמעותי בעבירה</w:t>
      </w:r>
      <w:r>
        <w:rPr>
          <w:rFonts w:ascii="David" w:hAnsi="David" w:hint="cs"/>
          <w:rtl/>
        </w:rPr>
        <w:t xml:space="preserve">, </w:t>
      </w:r>
      <w:r w:rsidRPr="00AF70BA">
        <w:rPr>
          <w:rFonts w:ascii="David" w:hAnsi="David"/>
          <w:rtl/>
        </w:rPr>
        <w:t xml:space="preserve">יזם אותה והציע לנאשם להצטרף אליו לשם עשיית רווח. ראייה לאמור יש למצוא ברקע העברייני של שותף העבירה. לעומת זאת, עבור הנאשם יהא זה מאסר ראשון ועל בית המשפט לשקול היטב </w:t>
      </w:r>
      <w:r>
        <w:rPr>
          <w:rFonts w:ascii="David" w:hAnsi="David" w:hint="cs"/>
          <w:rtl/>
        </w:rPr>
        <w:t xml:space="preserve">נתון זה </w:t>
      </w:r>
      <w:r w:rsidRPr="00AF70BA">
        <w:rPr>
          <w:rFonts w:ascii="David" w:hAnsi="David"/>
          <w:rtl/>
        </w:rPr>
        <w:t>טרם י</w:t>
      </w:r>
      <w:r>
        <w:rPr>
          <w:rFonts w:ascii="David" w:hAnsi="David" w:hint="cs"/>
          <w:rtl/>
        </w:rPr>
        <w:t xml:space="preserve">בחר להטיל </w:t>
      </w:r>
      <w:r w:rsidRPr="00AF70BA">
        <w:rPr>
          <w:rFonts w:ascii="David" w:hAnsi="David"/>
          <w:rtl/>
        </w:rPr>
        <w:t xml:space="preserve">עליו עונש זה. עוד </w:t>
      </w:r>
      <w:r>
        <w:rPr>
          <w:rFonts w:ascii="David" w:hAnsi="David" w:hint="cs"/>
          <w:rtl/>
        </w:rPr>
        <w:t xml:space="preserve">צוין, כי </w:t>
      </w:r>
      <w:r w:rsidRPr="00AF70BA">
        <w:rPr>
          <w:rFonts w:ascii="David" w:hAnsi="David"/>
          <w:rtl/>
        </w:rPr>
        <w:t xml:space="preserve">יש לקחת בחשבון את העובדה שהנאשם שהה במעצר בית </w:t>
      </w:r>
      <w:r>
        <w:rPr>
          <w:rFonts w:ascii="David" w:hAnsi="David" w:hint="cs"/>
          <w:rtl/>
        </w:rPr>
        <w:t xml:space="preserve">משך כשנה </w:t>
      </w:r>
      <w:r w:rsidRPr="00AF70BA">
        <w:rPr>
          <w:rFonts w:ascii="David" w:hAnsi="David"/>
          <w:rtl/>
        </w:rPr>
        <w:t xml:space="preserve">כמעט. זאת ועוד- מאז </w:t>
      </w:r>
      <w:r>
        <w:rPr>
          <w:rFonts w:ascii="David" w:hAnsi="David" w:hint="cs"/>
          <w:rtl/>
        </w:rPr>
        <w:t xml:space="preserve">אותם אירועים </w:t>
      </w:r>
      <w:r w:rsidRPr="00AF70BA">
        <w:rPr>
          <w:rFonts w:ascii="David" w:hAnsi="David"/>
          <w:rtl/>
        </w:rPr>
        <w:t xml:space="preserve">לא עבר הנאשם עבירות אלימות או סמים נוספות. באשר לתיק שנפתח כנגד הנאשם – המקרה אירע בעת שהנאשם הפר לכאורה את תנאי מעצר הבית שלו, אך הדבר נעשה עקב צורך בבדיקה רפואית. </w:t>
      </w:r>
    </w:p>
    <w:p w14:paraId="4668A301"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עוד צוין כי חרף נסיבותיו הקשות של הנאשם, ה</w:t>
      </w:r>
      <w:r>
        <w:rPr>
          <w:rFonts w:ascii="David" w:hAnsi="David" w:hint="cs"/>
          <w:rtl/>
        </w:rPr>
        <w:t>נאשם ה</w:t>
      </w:r>
      <w:r w:rsidRPr="00AF70BA">
        <w:rPr>
          <w:rFonts w:ascii="David" w:hAnsi="David"/>
          <w:rtl/>
        </w:rPr>
        <w:t xml:space="preserve">חל לשקם עצמו, לעבוד, מעסיקו של הנאשם אף התייצב לדיון ואמר שהמדובר בעובד חרוץ. </w:t>
      </w:r>
    </w:p>
    <w:p w14:paraId="37424A3C"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נטען כי אין ללמוד מגזר דינו של שותף העבירה שכן הוא ישב במעצר חודשים ארוכים ועל כן הוחמר עונשו – כדי שיהלום את תקופת המעצר. </w:t>
      </w:r>
    </w:p>
    <w:p w14:paraId="0526B6B8"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צוינו לזכות הנאשם גילו הצעיר, היעדר עבר קודם, הודאתו בשלב מוקדם בכל שיוחס לו. עוד טען שהנאשם עודנו כופר באישום התקיפה וכי הסכים להודות באירוע לשם סיום ההליכים נגדו. </w:t>
      </w:r>
    </w:p>
    <w:p w14:paraId="393C58EE" w14:textId="77777777" w:rsidR="00904EE7" w:rsidRDefault="00904EE7" w:rsidP="00904EE7">
      <w:pPr>
        <w:numPr>
          <w:ilvl w:val="0"/>
          <w:numId w:val="1"/>
        </w:numPr>
        <w:spacing w:after="300" w:line="360" w:lineRule="auto"/>
        <w:ind w:hanging="635"/>
        <w:jc w:val="both"/>
        <w:rPr>
          <w:rFonts w:ascii="David" w:hAnsi="David"/>
        </w:rPr>
      </w:pPr>
      <w:r w:rsidRPr="00AF70BA">
        <w:rPr>
          <w:rFonts w:ascii="David" w:hAnsi="David"/>
          <w:rtl/>
        </w:rPr>
        <w:t>בתום הדברים ציין הנאשם כי הוא נוטל אחריות מלאה למעשים</w:t>
      </w:r>
      <w:r>
        <w:rPr>
          <w:rFonts w:ascii="David" w:hAnsi="David"/>
          <w:rtl/>
        </w:rPr>
        <w:t xml:space="preserve"> וכן כי הוא משתתף בתכנית "יתד".</w:t>
      </w:r>
    </w:p>
    <w:p w14:paraId="5B2C831E" w14:textId="77777777" w:rsidR="00904EE7" w:rsidRPr="00FF7CF3" w:rsidRDefault="00904EE7" w:rsidP="00904EE7">
      <w:pPr>
        <w:numPr>
          <w:ilvl w:val="0"/>
          <w:numId w:val="1"/>
        </w:numPr>
        <w:spacing w:after="300" w:line="360" w:lineRule="auto"/>
        <w:ind w:hanging="635"/>
        <w:jc w:val="both"/>
        <w:rPr>
          <w:rFonts w:ascii="David" w:hAnsi="David"/>
          <w:rtl/>
        </w:rPr>
      </w:pPr>
      <w:r w:rsidRPr="00FF7CF3">
        <w:rPr>
          <w:rFonts w:ascii="David" w:hAnsi="David" w:hint="cs"/>
          <w:rtl/>
        </w:rPr>
        <w:t xml:space="preserve">בדיון השלמת הטיעון ביום 24.6.21 </w:t>
      </w:r>
      <w:r>
        <w:rPr>
          <w:rFonts w:ascii="David" w:hAnsi="David" w:hint="cs"/>
          <w:rtl/>
        </w:rPr>
        <w:t>ביקש</w:t>
      </w:r>
      <w:r w:rsidRPr="00FF7CF3">
        <w:rPr>
          <w:rFonts w:ascii="David" w:hAnsi="David" w:hint="cs"/>
          <w:rtl/>
        </w:rPr>
        <w:t xml:space="preserve"> הסנגור </w:t>
      </w:r>
      <w:r>
        <w:rPr>
          <w:rFonts w:ascii="David" w:hAnsi="David" w:hint="cs"/>
          <w:rtl/>
        </w:rPr>
        <w:t>מ</w:t>
      </w:r>
      <w:r>
        <w:rPr>
          <w:rFonts w:ascii="David" w:hAnsi="David"/>
          <w:rtl/>
        </w:rPr>
        <w:t xml:space="preserve">בית המשפט </w:t>
      </w:r>
      <w:r>
        <w:rPr>
          <w:rFonts w:ascii="David" w:hAnsi="David" w:hint="cs"/>
          <w:rtl/>
        </w:rPr>
        <w:t>לשקול את העובדה ש</w:t>
      </w:r>
      <w:r w:rsidRPr="00FF7CF3">
        <w:rPr>
          <w:rFonts w:ascii="David" w:hAnsi="David"/>
          <w:rtl/>
        </w:rPr>
        <w:t>לא נפתחו תיקים נוספים</w:t>
      </w:r>
      <w:r>
        <w:rPr>
          <w:rFonts w:ascii="David" w:hAnsi="David" w:hint="cs"/>
          <w:rtl/>
        </w:rPr>
        <w:t xml:space="preserve"> נגד הנאשם למעט התיק בו הואשם ב</w:t>
      </w:r>
      <w:r w:rsidRPr="00FF7CF3">
        <w:rPr>
          <w:rFonts w:ascii="David" w:hAnsi="David"/>
          <w:rtl/>
        </w:rPr>
        <w:t>הפר</w:t>
      </w:r>
      <w:r>
        <w:rPr>
          <w:rFonts w:ascii="David" w:hAnsi="David" w:hint="cs"/>
          <w:rtl/>
        </w:rPr>
        <w:t>ת</w:t>
      </w:r>
      <w:r w:rsidRPr="00FF7CF3">
        <w:rPr>
          <w:rFonts w:ascii="David" w:hAnsi="David"/>
          <w:rtl/>
        </w:rPr>
        <w:t xml:space="preserve"> תנאי</w:t>
      </w:r>
      <w:r>
        <w:rPr>
          <w:rFonts w:ascii="David" w:hAnsi="David" w:hint="cs"/>
          <w:rtl/>
        </w:rPr>
        <w:t xml:space="preserve"> במקרה חד פעמי</w:t>
      </w:r>
      <w:r w:rsidRPr="00FF7CF3">
        <w:rPr>
          <w:rFonts w:ascii="David" w:hAnsi="David"/>
          <w:rtl/>
        </w:rPr>
        <w:t xml:space="preserve">.  </w:t>
      </w:r>
      <w:r>
        <w:rPr>
          <w:rFonts w:ascii="David" w:hAnsi="David" w:hint="cs"/>
          <w:rtl/>
        </w:rPr>
        <w:t xml:space="preserve">הסנגור ביקש שככל ויוטל על הנאשם </w:t>
      </w:r>
      <w:r w:rsidRPr="00FF7CF3">
        <w:rPr>
          <w:rFonts w:ascii="David" w:hAnsi="David"/>
          <w:rtl/>
        </w:rPr>
        <w:t>עונש מוחשי</w:t>
      </w:r>
      <w:r>
        <w:rPr>
          <w:rFonts w:ascii="David" w:hAnsi="David" w:hint="cs"/>
          <w:rtl/>
        </w:rPr>
        <w:t>, הרי ש</w:t>
      </w:r>
      <w:r w:rsidRPr="00FF7CF3">
        <w:rPr>
          <w:rFonts w:ascii="David" w:hAnsi="David"/>
          <w:rtl/>
        </w:rPr>
        <w:t>יהי</w:t>
      </w:r>
      <w:r>
        <w:rPr>
          <w:rFonts w:ascii="David" w:hAnsi="David" w:hint="cs"/>
          <w:rtl/>
        </w:rPr>
        <w:t>ה זה</w:t>
      </w:r>
      <w:r w:rsidRPr="00FF7CF3">
        <w:rPr>
          <w:rFonts w:ascii="David" w:hAnsi="David"/>
          <w:rtl/>
        </w:rPr>
        <w:t xml:space="preserve"> </w:t>
      </w:r>
      <w:r>
        <w:rPr>
          <w:rFonts w:ascii="David" w:hAnsi="David" w:hint="cs"/>
          <w:rtl/>
        </w:rPr>
        <w:t>ב</w:t>
      </w:r>
      <w:r w:rsidRPr="00FF7CF3">
        <w:rPr>
          <w:rFonts w:ascii="David" w:hAnsi="David"/>
          <w:rtl/>
        </w:rPr>
        <w:t>עבודות שירות לתקופה קצרה.</w:t>
      </w:r>
    </w:p>
    <w:p w14:paraId="55AEFBE0" w14:textId="77777777" w:rsidR="00904EE7" w:rsidRPr="00AF70BA" w:rsidRDefault="00904EE7" w:rsidP="00904EE7">
      <w:pPr>
        <w:spacing w:after="300" w:line="360" w:lineRule="auto"/>
        <w:ind w:left="85"/>
        <w:jc w:val="both"/>
        <w:rPr>
          <w:rFonts w:ascii="David" w:hAnsi="David"/>
          <w:b/>
          <w:bCs/>
        </w:rPr>
      </w:pPr>
      <w:r w:rsidRPr="008863C4">
        <w:rPr>
          <w:rFonts w:ascii="David" w:hAnsi="David"/>
          <w:b/>
          <w:bCs/>
          <w:u w:val="single"/>
          <w:rtl/>
        </w:rPr>
        <w:t>דיון והכרעה</w:t>
      </w:r>
      <w:r>
        <w:rPr>
          <w:rFonts w:ascii="David" w:hAnsi="David" w:hint="cs"/>
          <w:b/>
          <w:bCs/>
          <w:rtl/>
        </w:rPr>
        <w:t>:</w:t>
      </w:r>
    </w:p>
    <w:p w14:paraId="3501A262" w14:textId="77777777" w:rsidR="00904EE7" w:rsidRPr="00AF70BA" w:rsidRDefault="00904EE7" w:rsidP="00904EE7">
      <w:pPr>
        <w:numPr>
          <w:ilvl w:val="0"/>
          <w:numId w:val="1"/>
        </w:numPr>
        <w:spacing w:after="400" w:line="360" w:lineRule="auto"/>
        <w:ind w:hanging="635"/>
        <w:jc w:val="both"/>
        <w:rPr>
          <w:rFonts w:ascii="David" w:hAnsi="David"/>
        </w:rPr>
      </w:pPr>
      <w:r w:rsidRPr="00AF70BA">
        <w:rPr>
          <w:rFonts w:ascii="David" w:hAnsi="David"/>
          <w:rtl/>
        </w:rPr>
        <w:t xml:space="preserve">סבורני כי במקרה </w:t>
      </w:r>
      <w:r>
        <w:rPr>
          <w:rFonts w:ascii="David" w:hAnsi="David" w:hint="cs"/>
          <w:rtl/>
        </w:rPr>
        <w:t>דנן</w:t>
      </w:r>
      <w:r w:rsidRPr="00AF70BA">
        <w:rPr>
          <w:rFonts w:ascii="David" w:hAnsi="David"/>
          <w:rtl/>
        </w:rPr>
        <w:t>,</w:t>
      </w:r>
      <w:r>
        <w:rPr>
          <w:rFonts w:ascii="David" w:hAnsi="David" w:hint="cs"/>
          <w:rtl/>
        </w:rPr>
        <w:t xml:space="preserve"> </w:t>
      </w:r>
      <w:r w:rsidRPr="00AF70BA">
        <w:rPr>
          <w:rFonts w:ascii="David" w:hAnsi="David"/>
          <w:rtl/>
        </w:rPr>
        <w:t xml:space="preserve">יש לקבוע מתחם אחד לעבירות הסחר, שכן הנאשם הורשע ב-3 עבירות שנעברו באותו חודש, באותם אמצעים, בהשתתפות אותו אדם, ובנסיבות דומות. ביחס לעבירת התקיפה החבלנית יש לקבוע מתחם </w:t>
      </w:r>
      <w:r>
        <w:rPr>
          <w:rFonts w:ascii="David" w:hAnsi="David" w:hint="cs"/>
          <w:rtl/>
        </w:rPr>
        <w:t xml:space="preserve">נפרד </w:t>
      </w:r>
      <w:r w:rsidRPr="00AF70BA">
        <w:rPr>
          <w:rFonts w:ascii="David" w:hAnsi="David"/>
          <w:rtl/>
        </w:rPr>
        <w:t>שכן המדובר באירוע שונה במהותו, הן בסוג העבירה והן ביחס למעורבים ב</w:t>
      </w:r>
      <w:r>
        <w:rPr>
          <w:rFonts w:ascii="David" w:hAnsi="David" w:hint="cs"/>
          <w:rtl/>
        </w:rPr>
        <w:t>ו</w:t>
      </w:r>
      <w:r w:rsidRPr="00AF70BA">
        <w:rPr>
          <w:rFonts w:ascii="David" w:hAnsi="David"/>
          <w:rtl/>
        </w:rPr>
        <w:t>.</w:t>
      </w:r>
    </w:p>
    <w:p w14:paraId="1ABF538F" w14:textId="77777777" w:rsidR="00904EE7" w:rsidRPr="00AF70BA" w:rsidRDefault="00904EE7" w:rsidP="00904EE7">
      <w:pPr>
        <w:spacing w:after="400" w:line="360" w:lineRule="auto"/>
        <w:ind w:left="85"/>
        <w:jc w:val="both"/>
        <w:rPr>
          <w:rFonts w:ascii="David" w:hAnsi="David"/>
          <w:b/>
          <w:bCs/>
        </w:rPr>
      </w:pPr>
      <w:r w:rsidRPr="008863C4">
        <w:rPr>
          <w:rFonts w:ascii="David" w:hAnsi="David"/>
          <w:b/>
          <w:bCs/>
          <w:u w:val="single"/>
          <w:rtl/>
        </w:rPr>
        <w:t>מת</w:t>
      </w:r>
      <w:r w:rsidRPr="008863C4">
        <w:rPr>
          <w:rFonts w:ascii="David" w:hAnsi="David" w:hint="cs"/>
          <w:b/>
          <w:bCs/>
          <w:u w:val="single"/>
          <w:rtl/>
        </w:rPr>
        <w:t>ח</w:t>
      </w:r>
      <w:r w:rsidRPr="008863C4">
        <w:rPr>
          <w:rFonts w:ascii="David" w:hAnsi="David"/>
          <w:b/>
          <w:bCs/>
          <w:u w:val="single"/>
          <w:rtl/>
        </w:rPr>
        <w:t>ם הע</w:t>
      </w:r>
      <w:r w:rsidRPr="008863C4">
        <w:rPr>
          <w:rFonts w:ascii="David" w:hAnsi="David" w:hint="cs"/>
          <w:b/>
          <w:bCs/>
          <w:u w:val="single"/>
          <w:rtl/>
        </w:rPr>
        <w:t xml:space="preserve">ונש </w:t>
      </w:r>
      <w:r w:rsidRPr="008863C4">
        <w:rPr>
          <w:rFonts w:ascii="David" w:hAnsi="David"/>
          <w:b/>
          <w:bCs/>
          <w:u w:val="single"/>
          <w:rtl/>
        </w:rPr>
        <w:t>ההולם בגין עבירת התקיפה</w:t>
      </w:r>
      <w:r>
        <w:rPr>
          <w:rFonts w:ascii="David" w:hAnsi="David" w:hint="cs"/>
          <w:b/>
          <w:bCs/>
          <w:rtl/>
        </w:rPr>
        <w:t>:</w:t>
      </w:r>
      <w:r w:rsidRPr="00AF70BA">
        <w:rPr>
          <w:rFonts w:ascii="David" w:hAnsi="David"/>
          <w:b/>
          <w:bCs/>
          <w:rtl/>
        </w:rPr>
        <w:t xml:space="preserve"> </w:t>
      </w:r>
    </w:p>
    <w:p w14:paraId="38F55324" w14:textId="77777777" w:rsidR="00904EE7" w:rsidRPr="00AF70BA" w:rsidRDefault="00904EE7" w:rsidP="00904EE7">
      <w:pPr>
        <w:numPr>
          <w:ilvl w:val="0"/>
          <w:numId w:val="1"/>
        </w:numPr>
        <w:spacing w:after="400" w:line="360" w:lineRule="auto"/>
        <w:ind w:hanging="635"/>
        <w:jc w:val="both"/>
        <w:rPr>
          <w:rFonts w:ascii="David" w:hAnsi="David"/>
        </w:rPr>
      </w:pPr>
      <w:r w:rsidRPr="00AF70BA">
        <w:rPr>
          <w:rFonts w:ascii="David" w:hAnsi="David"/>
          <w:rtl/>
        </w:rPr>
        <w:t>בפסיקה נקבע כי ב</w:t>
      </w:r>
      <w:r>
        <w:rPr>
          <w:rFonts w:ascii="David" w:hAnsi="David" w:hint="cs"/>
          <w:rtl/>
        </w:rPr>
        <w:t>בואו של בית המשפט לדון ב</w:t>
      </w:r>
      <w:r w:rsidRPr="00AF70BA">
        <w:rPr>
          <w:rFonts w:ascii="David" w:hAnsi="David"/>
          <w:rtl/>
        </w:rPr>
        <w:t>עבירות אלימות</w:t>
      </w:r>
      <w:r>
        <w:rPr>
          <w:rFonts w:ascii="David" w:hAnsi="David" w:hint="cs"/>
          <w:rtl/>
        </w:rPr>
        <w:t xml:space="preserve">, עליו </w:t>
      </w:r>
      <w:r w:rsidRPr="00AF70BA">
        <w:rPr>
          <w:rFonts w:ascii="David" w:hAnsi="David"/>
          <w:rtl/>
        </w:rPr>
        <w:t xml:space="preserve">להבהיר שהשימוש באלימות כאמצעי לפתרון בעיות, הינו אמצעי כוחני והרסני, ומצווה עליו לשרשו ולמגרו. ראו: </w:t>
      </w:r>
      <w:hyperlink r:id="rId21" w:history="1">
        <w:r w:rsidR="007B4BA1" w:rsidRPr="007B4BA1">
          <w:rPr>
            <w:rFonts w:ascii="David" w:hAnsi="David"/>
            <w:color w:val="0000FF"/>
            <w:u w:val="single"/>
            <w:rtl/>
          </w:rPr>
          <w:t>ע"פ 6560/15</w:t>
        </w:r>
      </w:hyperlink>
      <w:r w:rsidRPr="00AF70BA">
        <w:rPr>
          <w:rFonts w:ascii="David" w:hAnsi="David"/>
          <w:rtl/>
        </w:rPr>
        <w:t xml:space="preserve"> </w:t>
      </w:r>
      <w:r w:rsidRPr="00AF70BA">
        <w:rPr>
          <w:rFonts w:ascii="David" w:hAnsi="David"/>
          <w:b/>
          <w:bCs/>
          <w:rtl/>
        </w:rPr>
        <w:t>סריס נ' מדינת ישראל</w:t>
      </w:r>
      <w:r w:rsidRPr="00AF70BA">
        <w:rPr>
          <w:rFonts w:ascii="David" w:hAnsi="David"/>
          <w:rtl/>
        </w:rPr>
        <w:t xml:space="preserve"> (2.5.16); </w:t>
      </w:r>
      <w:hyperlink r:id="rId22" w:history="1">
        <w:r w:rsidR="007B4BA1" w:rsidRPr="007B4BA1">
          <w:rPr>
            <w:rFonts w:ascii="David" w:hAnsi="David"/>
            <w:color w:val="0000FF"/>
            <w:u w:val="single"/>
            <w:rtl/>
          </w:rPr>
          <w:t>ע"פ 1554/13</w:t>
        </w:r>
      </w:hyperlink>
      <w:r w:rsidRPr="00AF70BA">
        <w:rPr>
          <w:rFonts w:ascii="David" w:hAnsi="David"/>
          <w:rtl/>
        </w:rPr>
        <w:t xml:space="preserve"> </w:t>
      </w:r>
      <w:r w:rsidRPr="00AF70BA">
        <w:rPr>
          <w:rFonts w:ascii="David" w:hAnsi="David"/>
          <w:b/>
          <w:bCs/>
          <w:rtl/>
        </w:rPr>
        <w:t>פלוני נ' מדינת ישראל</w:t>
      </w:r>
      <w:r w:rsidRPr="00AF70BA">
        <w:rPr>
          <w:rFonts w:ascii="David" w:hAnsi="David"/>
          <w:rtl/>
        </w:rPr>
        <w:t xml:space="preserve"> (19.5.15); </w:t>
      </w:r>
      <w:hyperlink r:id="rId23" w:history="1">
        <w:r w:rsidR="007B4BA1" w:rsidRPr="007B4BA1">
          <w:rPr>
            <w:rFonts w:ascii="David" w:hAnsi="David"/>
            <w:color w:val="0000FF"/>
            <w:u w:val="single"/>
            <w:rtl/>
          </w:rPr>
          <w:t>ע"פ 5794/13</w:t>
        </w:r>
      </w:hyperlink>
      <w:r w:rsidRPr="00AF70BA">
        <w:rPr>
          <w:rFonts w:ascii="David" w:hAnsi="David"/>
          <w:rtl/>
        </w:rPr>
        <w:t xml:space="preserve"> </w:t>
      </w:r>
      <w:r w:rsidRPr="00AF70BA">
        <w:rPr>
          <w:rFonts w:ascii="David" w:hAnsi="David"/>
          <w:b/>
          <w:bCs/>
          <w:rtl/>
        </w:rPr>
        <w:t>מדינת ישראל נ' שיכה</w:t>
      </w:r>
      <w:r w:rsidRPr="00AF70BA">
        <w:rPr>
          <w:rFonts w:ascii="David" w:hAnsi="David"/>
          <w:rtl/>
        </w:rPr>
        <w:t xml:space="preserve"> (2.4.14).</w:t>
      </w:r>
    </w:p>
    <w:p w14:paraId="36835CC7" w14:textId="77777777" w:rsidR="00904EE7" w:rsidRPr="00AF70BA" w:rsidRDefault="00904EE7" w:rsidP="00904EE7">
      <w:pPr>
        <w:numPr>
          <w:ilvl w:val="0"/>
          <w:numId w:val="1"/>
        </w:numPr>
        <w:spacing w:after="400" w:line="360" w:lineRule="auto"/>
        <w:ind w:hanging="635"/>
        <w:jc w:val="both"/>
        <w:rPr>
          <w:rFonts w:ascii="David" w:hAnsi="David"/>
        </w:rPr>
      </w:pPr>
      <w:r>
        <w:rPr>
          <w:rFonts w:ascii="David" w:hAnsi="David" w:hint="cs"/>
          <w:rtl/>
        </w:rPr>
        <w:t>מ</w:t>
      </w:r>
      <w:r w:rsidRPr="00AF70BA">
        <w:rPr>
          <w:rFonts w:ascii="David" w:hAnsi="David"/>
          <w:rtl/>
        </w:rPr>
        <w:t xml:space="preserve">עיון בפסיקה העוסקת בעבירת תקיפה הגורמת חבלה ממשית </w:t>
      </w:r>
      <w:r>
        <w:rPr>
          <w:rFonts w:ascii="David" w:hAnsi="David" w:hint="cs"/>
          <w:rtl/>
        </w:rPr>
        <w:t>עולה כי מתחם העונש הינו ר</w:t>
      </w:r>
      <w:r w:rsidRPr="00AF70BA">
        <w:rPr>
          <w:rFonts w:ascii="David" w:hAnsi="David"/>
          <w:rtl/>
        </w:rPr>
        <w:t xml:space="preserve">חב </w:t>
      </w:r>
      <w:r>
        <w:rPr>
          <w:rFonts w:ascii="David" w:hAnsi="David" w:hint="cs"/>
          <w:rtl/>
        </w:rPr>
        <w:t>ו</w:t>
      </w:r>
      <w:r w:rsidRPr="00AF70BA">
        <w:rPr>
          <w:rFonts w:ascii="David" w:hAnsi="David"/>
          <w:rtl/>
        </w:rPr>
        <w:t xml:space="preserve">מושפע מנסיבות המקרה, חומרת התקיפה, הנזקים שנגרמו ממנה והשאלה האם התקיפה נבעה מהתגרות מוקדמת. </w:t>
      </w:r>
    </w:p>
    <w:p w14:paraId="688B09D2" w14:textId="77777777" w:rsidR="00904EE7" w:rsidRPr="00AF70BA" w:rsidRDefault="00904EE7" w:rsidP="00904EE7">
      <w:pPr>
        <w:numPr>
          <w:ilvl w:val="0"/>
          <w:numId w:val="1"/>
        </w:numPr>
        <w:spacing w:after="400" w:line="360" w:lineRule="auto"/>
        <w:ind w:hanging="635"/>
        <w:jc w:val="both"/>
        <w:rPr>
          <w:rFonts w:ascii="David" w:hAnsi="David"/>
        </w:rPr>
      </w:pPr>
      <w:r w:rsidRPr="00AF70BA">
        <w:rPr>
          <w:rFonts w:ascii="David" w:hAnsi="David"/>
          <w:rtl/>
        </w:rPr>
        <w:t>להלן גזרי דין רלוונטיים לקביעת מתחם הע</w:t>
      </w:r>
      <w:r>
        <w:rPr>
          <w:rFonts w:ascii="David" w:hAnsi="David" w:hint="cs"/>
          <w:rtl/>
        </w:rPr>
        <w:t xml:space="preserve">ונש </w:t>
      </w:r>
      <w:r w:rsidRPr="00AF70BA">
        <w:rPr>
          <w:rFonts w:ascii="David" w:hAnsi="David"/>
          <w:rtl/>
        </w:rPr>
        <w:t xml:space="preserve">ההולם במקרה </w:t>
      </w:r>
      <w:r>
        <w:rPr>
          <w:rFonts w:ascii="David" w:hAnsi="David" w:hint="cs"/>
          <w:rtl/>
        </w:rPr>
        <w:t>הנדון</w:t>
      </w:r>
      <w:r w:rsidRPr="00AF70BA">
        <w:rPr>
          <w:rFonts w:ascii="David" w:hAnsi="David"/>
          <w:rtl/>
        </w:rPr>
        <w:t xml:space="preserve">: </w:t>
      </w:r>
    </w:p>
    <w:p w14:paraId="39049ABA" w14:textId="77777777" w:rsidR="00904EE7" w:rsidRPr="00AF70BA" w:rsidRDefault="00904EE7" w:rsidP="00904EE7">
      <w:pPr>
        <w:numPr>
          <w:ilvl w:val="0"/>
          <w:numId w:val="3"/>
        </w:numPr>
        <w:spacing w:after="400" w:line="360" w:lineRule="auto"/>
        <w:ind w:left="992" w:hanging="284"/>
        <w:jc w:val="both"/>
        <w:rPr>
          <w:rFonts w:ascii="David" w:hAnsi="David"/>
        </w:rPr>
      </w:pPr>
      <w:r w:rsidRPr="00AF70BA">
        <w:rPr>
          <w:rFonts w:ascii="David" w:hAnsi="David"/>
          <w:rtl/>
        </w:rPr>
        <w:t>ב</w:t>
      </w:r>
      <w:hyperlink r:id="rId24" w:history="1">
        <w:r w:rsidR="007B4BA1" w:rsidRPr="007B4BA1">
          <w:rPr>
            <w:rFonts w:ascii="David" w:hAnsi="David"/>
            <w:color w:val="0000FF"/>
            <w:u w:val="single"/>
            <w:rtl/>
          </w:rPr>
          <w:t>רע"פ 3555/16</w:t>
        </w:r>
      </w:hyperlink>
      <w:r w:rsidRPr="00AF70BA">
        <w:rPr>
          <w:rFonts w:ascii="David" w:hAnsi="David"/>
          <w:rtl/>
        </w:rPr>
        <w:t xml:space="preserve"> </w:t>
      </w:r>
      <w:r w:rsidRPr="00AF70BA">
        <w:rPr>
          <w:rFonts w:ascii="David" w:hAnsi="David"/>
          <w:b/>
          <w:bCs/>
          <w:rtl/>
        </w:rPr>
        <w:t>אילן יחיה סברי נ' מדינת ישראל</w:t>
      </w:r>
      <w:r w:rsidRPr="00AF70BA">
        <w:rPr>
          <w:rFonts w:ascii="David" w:hAnsi="David"/>
          <w:rtl/>
        </w:rPr>
        <w:t xml:space="preserve"> (4.5.16) אישר בימ"ש העליון את גזר דינו של בימ"ש השלום אשר קבע מתחם שונה לשני אחים שהואשמו בתקיפה אלימה במרכול שכונתי כנגד מי שחשבו שבכוונתו לגזול מהמרכול. התקיפה כללה הכאה במקל עץ, סטירות, הפלה לרצפה, אגרופים ובעיטות. ביחס לנאשם שמעורבותו גדולה יותר, והכה את המתלונן במקל, נקבע מתחם ענישה הנע בין 4-12 חודשי מאסר לצד ענישה נלווית וביחס לנאשם השני נקבע מתחם הנע בין מאסר מותנה ל-10 חודשי מאסר בפועל לצד ענישה נלווית. בשים לב לנתוניהם האישיים של הנאשמים נגזר עונשו של הנאשם הראשון ל- 4 חודשי מאסר ואילו הנאשם השני נדון ל-2 חודשי מאסר שרוצו </w:t>
      </w:r>
      <w:r>
        <w:rPr>
          <w:rFonts w:ascii="David" w:hAnsi="David" w:hint="cs"/>
          <w:rtl/>
        </w:rPr>
        <w:t xml:space="preserve">על דרך </w:t>
      </w:r>
      <w:r w:rsidRPr="00AF70BA">
        <w:rPr>
          <w:rFonts w:ascii="David" w:hAnsi="David"/>
          <w:rtl/>
        </w:rPr>
        <w:t xml:space="preserve">עבודות </w:t>
      </w:r>
      <w:r>
        <w:rPr>
          <w:rFonts w:ascii="David" w:hAnsi="David" w:hint="cs"/>
          <w:rtl/>
        </w:rPr>
        <w:t>ה</w:t>
      </w:r>
      <w:r w:rsidRPr="00AF70BA">
        <w:rPr>
          <w:rFonts w:ascii="David" w:hAnsi="David"/>
          <w:rtl/>
        </w:rPr>
        <w:t xml:space="preserve">שירות. </w:t>
      </w:r>
    </w:p>
    <w:p w14:paraId="00B09875" w14:textId="77777777" w:rsidR="00904EE7" w:rsidRPr="00AF70BA" w:rsidRDefault="00904EE7" w:rsidP="00904EE7">
      <w:pPr>
        <w:numPr>
          <w:ilvl w:val="0"/>
          <w:numId w:val="3"/>
        </w:numPr>
        <w:spacing w:after="400" w:line="360" w:lineRule="auto"/>
        <w:ind w:left="992" w:hanging="284"/>
        <w:jc w:val="both"/>
        <w:rPr>
          <w:rFonts w:ascii="David" w:hAnsi="David"/>
        </w:rPr>
      </w:pPr>
      <w:r w:rsidRPr="00AF70BA">
        <w:rPr>
          <w:rFonts w:ascii="David" w:hAnsi="David"/>
          <w:rtl/>
        </w:rPr>
        <w:t>ב</w:t>
      </w:r>
      <w:hyperlink r:id="rId25" w:history="1">
        <w:r w:rsidR="007B4BA1" w:rsidRPr="007B4BA1">
          <w:rPr>
            <w:rFonts w:ascii="David" w:hAnsi="David"/>
            <w:color w:val="0000FF"/>
            <w:u w:val="single"/>
            <w:rtl/>
          </w:rPr>
          <w:t>רע"פ 3158/18</w:t>
        </w:r>
      </w:hyperlink>
      <w:r w:rsidRPr="00AF70BA">
        <w:rPr>
          <w:rFonts w:ascii="David" w:hAnsi="David"/>
          <w:rtl/>
        </w:rPr>
        <w:t xml:space="preserve"> </w:t>
      </w:r>
      <w:r w:rsidRPr="00AF70BA">
        <w:rPr>
          <w:rFonts w:ascii="David" w:hAnsi="David"/>
          <w:b/>
          <w:bCs/>
          <w:rtl/>
        </w:rPr>
        <w:t>פלוני נ' מדינת ישראל</w:t>
      </w:r>
      <w:r w:rsidRPr="00AF70BA">
        <w:rPr>
          <w:rFonts w:ascii="David" w:hAnsi="David"/>
          <w:rtl/>
        </w:rPr>
        <w:t xml:space="preserve"> (26.6.18) אושר גזר דינו של בית משפט השלום אשר הטיל על נאשם במעשה תקיפה של בן זוגה של זוגתו לשעבר, במכות אגרוף ובקריעת חולצתו, מאסר מותנה, פיצוי וקנס. </w:t>
      </w:r>
    </w:p>
    <w:p w14:paraId="11D56D8A" w14:textId="77777777" w:rsidR="00904EE7" w:rsidRPr="00AF70BA" w:rsidRDefault="00904EE7" w:rsidP="00904EE7">
      <w:pPr>
        <w:numPr>
          <w:ilvl w:val="0"/>
          <w:numId w:val="3"/>
        </w:numPr>
        <w:spacing w:after="400" w:line="360" w:lineRule="auto"/>
        <w:ind w:left="992" w:hanging="284"/>
        <w:jc w:val="both"/>
        <w:rPr>
          <w:rFonts w:ascii="David" w:hAnsi="David"/>
        </w:rPr>
      </w:pPr>
      <w:r w:rsidRPr="00AF70BA">
        <w:rPr>
          <w:rFonts w:ascii="David" w:hAnsi="David"/>
          <w:rtl/>
        </w:rPr>
        <w:t>ב</w:t>
      </w:r>
      <w:hyperlink r:id="rId26" w:history="1">
        <w:r w:rsidR="007B4BA1" w:rsidRPr="007B4BA1">
          <w:rPr>
            <w:rFonts w:ascii="David" w:hAnsi="David"/>
            <w:color w:val="0000FF"/>
            <w:u w:val="single"/>
            <w:rtl/>
          </w:rPr>
          <w:t>רע"פ 8388/19</w:t>
        </w:r>
      </w:hyperlink>
      <w:r w:rsidRPr="00AF70BA">
        <w:rPr>
          <w:rFonts w:ascii="David" w:hAnsi="David"/>
          <w:rtl/>
        </w:rPr>
        <w:t xml:space="preserve"> </w:t>
      </w:r>
      <w:r w:rsidRPr="00AF70BA">
        <w:rPr>
          <w:rFonts w:ascii="David" w:hAnsi="David"/>
          <w:b/>
          <w:bCs/>
          <w:rtl/>
        </w:rPr>
        <w:t>עומר שלאעטה נ' מדינת ישראל</w:t>
      </w:r>
      <w:r w:rsidRPr="00AF70BA">
        <w:rPr>
          <w:rFonts w:ascii="David" w:hAnsi="David"/>
          <w:rtl/>
        </w:rPr>
        <w:t xml:space="preserve"> (18.12.19) נדון ערעור בעניינו של נאשם אשר בעת תגרה בכביש הכה במתלונן באמצעות מכות אגרוף, הפילו לרצפה ובעט בו. בבימ"ש השלום נקבע כי מתחם הענישה נע בין 6 ל-12 חודשי מאסר, ובשים לב למאסר מותנה שהיה תלוי כנגד הנאשם, וחומרת המעשים, נגזר עונשו ל-8 חודשי מאסר בפועל (בתוספת 2 חודשי מאסר מותנה שהופעל</w:t>
      </w:r>
      <w:r>
        <w:rPr>
          <w:rFonts w:ascii="David" w:hAnsi="David" w:hint="cs"/>
          <w:rtl/>
        </w:rPr>
        <w:t>ו</w:t>
      </w:r>
      <w:r w:rsidRPr="00AF70BA">
        <w:rPr>
          <w:rFonts w:ascii="David" w:hAnsi="David"/>
          <w:rtl/>
        </w:rPr>
        <w:t xml:space="preserve">) לצד ענישה נלווית. </w:t>
      </w:r>
    </w:p>
    <w:p w14:paraId="43D800FB" w14:textId="77777777" w:rsidR="00904EE7" w:rsidRPr="00AF70BA" w:rsidRDefault="00904EE7" w:rsidP="00904EE7">
      <w:pPr>
        <w:numPr>
          <w:ilvl w:val="0"/>
          <w:numId w:val="3"/>
        </w:numPr>
        <w:spacing w:after="400" w:line="360" w:lineRule="auto"/>
        <w:ind w:left="992" w:hanging="284"/>
        <w:jc w:val="both"/>
        <w:rPr>
          <w:rFonts w:ascii="David" w:hAnsi="David"/>
        </w:rPr>
      </w:pPr>
      <w:r w:rsidRPr="00AF70BA">
        <w:rPr>
          <w:rFonts w:ascii="David" w:hAnsi="David"/>
          <w:rtl/>
        </w:rPr>
        <w:t>ב</w:t>
      </w:r>
      <w:hyperlink r:id="rId27" w:history="1">
        <w:r w:rsidR="007B4BA1" w:rsidRPr="007B4BA1">
          <w:rPr>
            <w:rFonts w:ascii="David" w:hAnsi="David"/>
            <w:color w:val="0000FF"/>
            <w:u w:val="single"/>
            <w:rtl/>
          </w:rPr>
          <w:t>רע"פ 6756/14</w:t>
        </w:r>
      </w:hyperlink>
      <w:r w:rsidRPr="00AF70BA">
        <w:rPr>
          <w:rFonts w:ascii="David" w:hAnsi="David"/>
          <w:rtl/>
        </w:rPr>
        <w:t xml:space="preserve"> </w:t>
      </w:r>
      <w:r w:rsidRPr="00AF70BA">
        <w:rPr>
          <w:rFonts w:ascii="David" w:hAnsi="David"/>
          <w:b/>
          <w:bCs/>
          <w:rtl/>
        </w:rPr>
        <w:t>יצחק בן חמו נ' מדינת ישראל</w:t>
      </w:r>
      <w:r w:rsidRPr="00AF70BA">
        <w:rPr>
          <w:rFonts w:ascii="David" w:hAnsi="David"/>
          <w:rtl/>
        </w:rPr>
        <w:t xml:space="preserve"> (15.1.15) נדון עניינו של נאשם בכך שתקף את אחותו בסטירה, בבעיטה ובהכאה במקל אשר בימ"ש השלום קבע בעניינו כי מתחם הענישה נע בין צו לשל"צ ועד למספר חודשי מאסר. בשל הסכמת הצדדים הוטל על הנאשם מאסר מותנה וקנס. העונש המופחת נבע מן העובדה שגם האחות תקפה את אחיה ובכפוף ל</w:t>
      </w:r>
      <w:r>
        <w:rPr>
          <w:rFonts w:ascii="David" w:hAnsi="David" w:hint="cs"/>
          <w:rtl/>
        </w:rPr>
        <w:t xml:space="preserve">חתימה על </w:t>
      </w:r>
      <w:r w:rsidRPr="00AF70BA">
        <w:rPr>
          <w:rFonts w:ascii="David" w:hAnsi="David"/>
          <w:rtl/>
        </w:rPr>
        <w:t xml:space="preserve">התחייבות בוטלה הרשעתה. המערער פנה לבימ"ש העליון בבקשה לביטול הרשעתו ולחייבו בביצוע צו של"צ, אך בקשת הערעור נדחתה.  </w:t>
      </w:r>
    </w:p>
    <w:p w14:paraId="50AA64DA" w14:textId="77777777" w:rsidR="00904EE7" w:rsidRPr="00AF70BA" w:rsidRDefault="00904EE7" w:rsidP="00904EE7">
      <w:pPr>
        <w:numPr>
          <w:ilvl w:val="0"/>
          <w:numId w:val="3"/>
        </w:numPr>
        <w:spacing w:after="400" w:line="360" w:lineRule="auto"/>
        <w:ind w:left="992" w:hanging="284"/>
        <w:jc w:val="both"/>
        <w:rPr>
          <w:rFonts w:ascii="David" w:hAnsi="David"/>
        </w:rPr>
      </w:pPr>
      <w:r w:rsidRPr="00AF70BA">
        <w:rPr>
          <w:rFonts w:ascii="David" w:hAnsi="David"/>
          <w:rtl/>
        </w:rPr>
        <w:t>ב</w:t>
      </w:r>
      <w:hyperlink r:id="rId28" w:history="1">
        <w:r w:rsidR="007B4BA1" w:rsidRPr="007B4BA1">
          <w:rPr>
            <w:rFonts w:ascii="David" w:hAnsi="David"/>
            <w:color w:val="0000FF"/>
            <w:u w:val="single"/>
            <w:rtl/>
          </w:rPr>
          <w:t>רע"פ 3589/14</w:t>
        </w:r>
      </w:hyperlink>
      <w:r w:rsidRPr="00AF70BA">
        <w:rPr>
          <w:rFonts w:ascii="David" w:hAnsi="David"/>
          <w:rtl/>
        </w:rPr>
        <w:t xml:space="preserve"> </w:t>
      </w:r>
      <w:r w:rsidRPr="00AF70BA">
        <w:rPr>
          <w:rFonts w:ascii="David" w:hAnsi="David"/>
          <w:b/>
          <w:bCs/>
          <w:rtl/>
        </w:rPr>
        <w:t>שרון לוזון נ' מדינת ישראל</w:t>
      </w:r>
      <w:r w:rsidRPr="00AF70BA">
        <w:rPr>
          <w:rFonts w:ascii="David" w:hAnsi="David"/>
          <w:rtl/>
        </w:rPr>
        <w:t xml:space="preserve"> (10.6.14) נדון ערעור בעניינו של נאשם שבימ"ש השלום החליט לבטל את הרשעתו באישום לפיו תקף מאבטח בכך שהכהו באגרוף בפניו וגרם לפגיעה באחת משיניו. על הנאשם הוטל צו של"צ בהיקף 150 שעות ופיצוי למתלונן בסך 4,000 ₪. ביהמ"ש המחוזי קיבל </w:t>
      </w:r>
      <w:r>
        <w:rPr>
          <w:rFonts w:ascii="David" w:hAnsi="David" w:hint="cs"/>
          <w:rtl/>
        </w:rPr>
        <w:t>את ה</w:t>
      </w:r>
      <w:r w:rsidRPr="00AF70BA">
        <w:rPr>
          <w:rFonts w:ascii="David" w:hAnsi="David"/>
          <w:rtl/>
        </w:rPr>
        <w:t xml:space="preserve">ערעור על קולת העונש וביטל את אי ההרשעה תוך שיתר פרטי גזה"ד נותרו על כנם. ביהמ"ש ציין את חומרת עבירת התקיפה וציין שאין בעברו הנקי של הנאשם כדי לסייע </w:t>
      </w:r>
      <w:r>
        <w:rPr>
          <w:rFonts w:ascii="David" w:hAnsi="David" w:hint="cs"/>
          <w:rtl/>
        </w:rPr>
        <w:t>ב</w:t>
      </w:r>
      <w:r w:rsidRPr="00AF70BA">
        <w:rPr>
          <w:rFonts w:ascii="David" w:hAnsi="David"/>
          <w:rtl/>
        </w:rPr>
        <w:t xml:space="preserve">ביטול ההרשעה. בימ"ש העליון קיבל את החלטת ביהמ"ש המחוזי וקבע כי המדובר בהחלטה סבירה בנסיבות העניין. </w:t>
      </w:r>
    </w:p>
    <w:p w14:paraId="33EBE240" w14:textId="77777777" w:rsidR="00904EE7" w:rsidRPr="00AF70BA" w:rsidRDefault="00904EE7" w:rsidP="00904EE7">
      <w:pPr>
        <w:numPr>
          <w:ilvl w:val="0"/>
          <w:numId w:val="3"/>
        </w:numPr>
        <w:spacing w:after="400" w:line="360" w:lineRule="auto"/>
        <w:ind w:left="992" w:hanging="284"/>
        <w:jc w:val="both"/>
        <w:rPr>
          <w:rFonts w:ascii="David" w:hAnsi="David"/>
        </w:rPr>
      </w:pPr>
      <w:r w:rsidRPr="00AF70BA">
        <w:rPr>
          <w:rFonts w:ascii="David" w:hAnsi="David"/>
          <w:rtl/>
        </w:rPr>
        <w:t>ב</w:t>
      </w:r>
      <w:hyperlink r:id="rId29" w:history="1">
        <w:r w:rsidR="007B4BA1" w:rsidRPr="007B4BA1">
          <w:rPr>
            <w:rFonts w:ascii="David" w:hAnsi="David"/>
            <w:color w:val="0000FF"/>
            <w:u w:val="single"/>
            <w:rtl/>
          </w:rPr>
          <w:t>רע"פ 558/17</w:t>
        </w:r>
      </w:hyperlink>
      <w:r w:rsidRPr="00AF70BA">
        <w:rPr>
          <w:rFonts w:ascii="David" w:hAnsi="David"/>
          <w:rtl/>
        </w:rPr>
        <w:t xml:space="preserve"> </w:t>
      </w:r>
      <w:r w:rsidRPr="00AF70BA">
        <w:rPr>
          <w:rFonts w:ascii="David" w:hAnsi="David"/>
          <w:b/>
          <w:bCs/>
          <w:rtl/>
        </w:rPr>
        <w:t xml:space="preserve">דניאל בן עמי נ' מדינת ישראל </w:t>
      </w:r>
      <w:r w:rsidRPr="00AF70BA">
        <w:rPr>
          <w:rFonts w:ascii="David" w:hAnsi="David"/>
          <w:rtl/>
        </w:rPr>
        <w:t xml:space="preserve">(18.1.17) אושר גזר דינו של בימ"ש השלום אשר הטיל על נאשם בעבירת תקיפת 3 אנשים באמצעות חפץ קשיח 8 חודשי מאסר בפועל לצד ענישה נלווית.  </w:t>
      </w:r>
    </w:p>
    <w:p w14:paraId="7B539008" w14:textId="77777777" w:rsidR="00904EE7" w:rsidRPr="00AF70BA" w:rsidRDefault="00904EE7" w:rsidP="00904EE7">
      <w:pPr>
        <w:numPr>
          <w:ilvl w:val="0"/>
          <w:numId w:val="1"/>
        </w:numPr>
        <w:spacing w:after="400" w:line="360" w:lineRule="auto"/>
        <w:ind w:hanging="635"/>
        <w:jc w:val="both"/>
        <w:rPr>
          <w:rFonts w:ascii="David" w:hAnsi="David"/>
        </w:rPr>
      </w:pPr>
      <w:r w:rsidRPr="00AF70BA">
        <w:rPr>
          <w:rFonts w:ascii="David" w:hAnsi="David"/>
          <w:rtl/>
        </w:rPr>
        <w:t xml:space="preserve">עולה אם כן מסקירת הפסיקה </w:t>
      </w:r>
      <w:r>
        <w:rPr>
          <w:rFonts w:ascii="David" w:hAnsi="David" w:hint="cs"/>
          <w:rtl/>
        </w:rPr>
        <w:t xml:space="preserve">כי </w:t>
      </w:r>
      <w:r w:rsidRPr="00AF70BA">
        <w:rPr>
          <w:rFonts w:ascii="David" w:hAnsi="David"/>
          <w:rtl/>
        </w:rPr>
        <w:t xml:space="preserve">טווח הענישה </w:t>
      </w:r>
      <w:r>
        <w:rPr>
          <w:rFonts w:ascii="David" w:hAnsi="David" w:hint="cs"/>
          <w:rtl/>
        </w:rPr>
        <w:t xml:space="preserve">הינו החל </w:t>
      </w:r>
      <w:r w:rsidRPr="00AF70BA">
        <w:rPr>
          <w:rFonts w:ascii="David" w:hAnsi="David"/>
          <w:rtl/>
        </w:rPr>
        <w:t>מ</w:t>
      </w:r>
      <w:r>
        <w:rPr>
          <w:rFonts w:ascii="David" w:hAnsi="David" w:hint="cs"/>
          <w:rtl/>
        </w:rPr>
        <w:t xml:space="preserve">מאסר על תנאי ו/או </w:t>
      </w:r>
      <w:r w:rsidRPr="00AF70BA">
        <w:rPr>
          <w:rFonts w:ascii="David" w:hAnsi="David"/>
          <w:rtl/>
        </w:rPr>
        <w:t>צו של"צ</w:t>
      </w:r>
      <w:r>
        <w:rPr>
          <w:rFonts w:ascii="David" w:hAnsi="David" w:hint="cs"/>
          <w:rtl/>
        </w:rPr>
        <w:t xml:space="preserve"> וענישה נלווית</w:t>
      </w:r>
      <w:r w:rsidRPr="00AF70BA">
        <w:rPr>
          <w:rFonts w:ascii="David" w:hAnsi="David"/>
          <w:rtl/>
        </w:rPr>
        <w:t>, ו</w:t>
      </w:r>
      <w:r>
        <w:rPr>
          <w:rFonts w:ascii="David" w:hAnsi="David" w:hint="cs"/>
          <w:rtl/>
        </w:rPr>
        <w:t xml:space="preserve">עד מאסר </w:t>
      </w:r>
      <w:r w:rsidRPr="00AF70BA">
        <w:rPr>
          <w:rFonts w:ascii="David" w:hAnsi="David"/>
          <w:rtl/>
        </w:rPr>
        <w:t xml:space="preserve">למשך 12 חודשים. </w:t>
      </w:r>
    </w:p>
    <w:p w14:paraId="4FC97A7E" w14:textId="77777777" w:rsidR="00904EE7" w:rsidRPr="00AF70BA" w:rsidRDefault="005E73AD" w:rsidP="00904EE7">
      <w:pPr>
        <w:numPr>
          <w:ilvl w:val="0"/>
          <w:numId w:val="1"/>
        </w:numPr>
        <w:spacing w:after="400" w:line="360" w:lineRule="auto"/>
        <w:ind w:hanging="635"/>
        <w:jc w:val="both"/>
        <w:rPr>
          <w:rFonts w:ascii="David" w:hAnsi="David"/>
          <w:rtl/>
        </w:rPr>
      </w:pPr>
      <w:hyperlink r:id="rId30" w:history="1">
        <w:r w:rsidRPr="005E73AD">
          <w:rPr>
            <w:rStyle w:val="Hyperlink"/>
            <w:rFonts w:ascii="David" w:hAnsi="David"/>
            <w:rtl/>
          </w:rPr>
          <w:t>בסעיף 40ט</w:t>
        </w:r>
      </w:hyperlink>
      <w:r w:rsidR="00904EE7" w:rsidRPr="00AF70BA">
        <w:rPr>
          <w:rFonts w:ascii="David" w:hAnsi="David"/>
          <w:rtl/>
        </w:rPr>
        <w:t xml:space="preserve"> ל</w:t>
      </w:r>
      <w:hyperlink r:id="rId31" w:history="1">
        <w:r w:rsidR="007B4BA1" w:rsidRPr="007B4BA1">
          <w:rPr>
            <w:rFonts w:ascii="David" w:hAnsi="David"/>
            <w:color w:val="0000FF"/>
            <w:u w:val="single"/>
            <w:rtl/>
          </w:rPr>
          <w:t>חוק העונשין</w:t>
        </w:r>
      </w:hyperlink>
      <w:r w:rsidR="00904EE7" w:rsidRPr="00AF70BA">
        <w:rPr>
          <w:rFonts w:ascii="David" w:hAnsi="David"/>
          <w:rtl/>
        </w:rPr>
        <w:t xml:space="preserve"> פורטו שיקולים שיש בהם להשפיע על קביעת מתחם העונש ההולם את אירוע העבירה הנדון. בין היתר צוינו שיקולים אלו: הנזק שהיה צפוי להיגרם מביצוע העבירה, הסיבות שהביאו את הנאשם לבצע את העבירה, יכולתו של הנאשם להבין את אשר הוא עושה, את הפסול שבמעשהו או את משמעות מעשהו, לרבות בשל גילו, יכולתו של הנאשם להימנע מהמעשה ומידת השליטה שלו על מעשהו, לרבות עקב התגרות של נפגע העבירה. </w:t>
      </w:r>
    </w:p>
    <w:p w14:paraId="7F6D09B6" w14:textId="77777777" w:rsidR="00904EE7" w:rsidRPr="00AF70BA" w:rsidRDefault="00904EE7" w:rsidP="00904EE7">
      <w:pPr>
        <w:numPr>
          <w:ilvl w:val="0"/>
          <w:numId w:val="1"/>
        </w:numPr>
        <w:spacing w:after="400" w:line="360" w:lineRule="auto"/>
        <w:ind w:hanging="635"/>
        <w:jc w:val="both"/>
        <w:rPr>
          <w:rFonts w:ascii="David" w:hAnsi="David"/>
        </w:rPr>
      </w:pPr>
      <w:r w:rsidRPr="00AF70BA">
        <w:rPr>
          <w:rFonts w:ascii="David" w:hAnsi="David"/>
          <w:rtl/>
        </w:rPr>
        <w:t>במקרה</w:t>
      </w:r>
      <w:r>
        <w:rPr>
          <w:rFonts w:ascii="David" w:hAnsi="David" w:hint="cs"/>
          <w:rtl/>
        </w:rPr>
        <w:t xml:space="preserve"> דנן </w:t>
      </w:r>
      <w:r w:rsidRPr="00AF70BA">
        <w:rPr>
          <w:rFonts w:ascii="David" w:hAnsi="David"/>
          <w:rtl/>
        </w:rPr>
        <w:t xml:space="preserve">יש לשקול לחובת הנאשם את חומרת </w:t>
      </w:r>
      <w:r>
        <w:rPr>
          <w:rFonts w:ascii="David" w:hAnsi="David" w:hint="cs"/>
          <w:rtl/>
        </w:rPr>
        <w:t>מעשיו</w:t>
      </w:r>
      <w:r w:rsidRPr="00AF70BA">
        <w:rPr>
          <w:rFonts w:ascii="David" w:hAnsi="David"/>
          <w:rtl/>
        </w:rPr>
        <w:t xml:space="preserve"> – תקיפה באמצעות כיסא עץ, דבר העלול לגרום נזק רב לנפגע ה</w:t>
      </w:r>
      <w:r>
        <w:rPr>
          <w:rFonts w:ascii="David" w:hAnsi="David" w:hint="cs"/>
          <w:rtl/>
        </w:rPr>
        <w:t>עבירה</w:t>
      </w:r>
      <w:r w:rsidRPr="00AF70BA">
        <w:rPr>
          <w:rFonts w:ascii="David" w:hAnsi="David"/>
          <w:rtl/>
        </w:rPr>
        <w:t xml:space="preserve">, ואכן – אשת המתלונן נחבלה באירוע. בנוסף, המדובר באירוע אלימות חמור ובלתי מוסבר אשר אין זה ברור מדוע הנאשם </w:t>
      </w:r>
      <w:r>
        <w:rPr>
          <w:rFonts w:ascii="David" w:hAnsi="David" w:hint="cs"/>
          <w:rtl/>
        </w:rPr>
        <w:t xml:space="preserve">מלכתחילה </w:t>
      </w:r>
      <w:r w:rsidRPr="00AF70BA">
        <w:rPr>
          <w:rFonts w:ascii="David" w:hAnsi="David"/>
          <w:rtl/>
        </w:rPr>
        <w:t xml:space="preserve">נקלע לתוכו. </w:t>
      </w:r>
    </w:p>
    <w:p w14:paraId="151A986F" w14:textId="77777777" w:rsidR="00904EE7" w:rsidRPr="00AF70BA" w:rsidRDefault="00904EE7" w:rsidP="00904EE7">
      <w:pPr>
        <w:numPr>
          <w:ilvl w:val="0"/>
          <w:numId w:val="1"/>
        </w:numPr>
        <w:spacing w:after="400" w:line="360" w:lineRule="auto"/>
        <w:ind w:hanging="635"/>
        <w:jc w:val="both"/>
        <w:rPr>
          <w:rFonts w:ascii="David" w:hAnsi="David"/>
        </w:rPr>
      </w:pPr>
      <w:r>
        <w:rPr>
          <w:rFonts w:ascii="David" w:hAnsi="David" w:hint="cs"/>
          <w:rtl/>
        </w:rPr>
        <w:t>נוכח האמור, סבורני כי לקבוע את מתחם הע</w:t>
      </w:r>
      <w:r w:rsidRPr="00AF70BA">
        <w:rPr>
          <w:rFonts w:ascii="David" w:hAnsi="David"/>
          <w:rtl/>
        </w:rPr>
        <w:t xml:space="preserve">נישה </w:t>
      </w:r>
      <w:r>
        <w:rPr>
          <w:rFonts w:ascii="David" w:hAnsi="David" w:hint="cs"/>
          <w:rtl/>
        </w:rPr>
        <w:t xml:space="preserve">בגין עבירת התקיפה הינו החל ממאסר על תנאי וצו של"צ ועד 12 </w:t>
      </w:r>
      <w:r w:rsidRPr="00AF70BA">
        <w:rPr>
          <w:rFonts w:ascii="David" w:hAnsi="David"/>
          <w:rtl/>
        </w:rPr>
        <w:t>חודשי</w:t>
      </w:r>
      <w:r>
        <w:rPr>
          <w:rFonts w:ascii="David" w:hAnsi="David" w:hint="cs"/>
          <w:rtl/>
        </w:rPr>
        <w:t>ם, ב</w:t>
      </w:r>
      <w:r w:rsidRPr="00AF70BA">
        <w:rPr>
          <w:rFonts w:ascii="David" w:hAnsi="David"/>
          <w:rtl/>
        </w:rPr>
        <w:t xml:space="preserve">גין עבירת התקיפה. </w:t>
      </w:r>
    </w:p>
    <w:p w14:paraId="3856A3FB" w14:textId="77777777" w:rsidR="00904EE7" w:rsidRPr="00AF70BA" w:rsidRDefault="00904EE7" w:rsidP="00904EE7">
      <w:pPr>
        <w:spacing w:after="400" w:line="360" w:lineRule="auto"/>
        <w:ind w:left="85"/>
        <w:jc w:val="both"/>
        <w:rPr>
          <w:rFonts w:ascii="David" w:hAnsi="David"/>
          <w:b/>
          <w:bCs/>
        </w:rPr>
      </w:pPr>
      <w:r>
        <w:rPr>
          <w:rFonts w:ascii="David" w:hAnsi="David" w:hint="cs"/>
          <w:b/>
          <w:bCs/>
          <w:u w:val="single"/>
          <w:rtl/>
        </w:rPr>
        <w:t>ביחס לעבירות הסם</w:t>
      </w:r>
      <w:r>
        <w:rPr>
          <w:rFonts w:ascii="David" w:hAnsi="David" w:hint="cs"/>
          <w:b/>
          <w:bCs/>
          <w:rtl/>
        </w:rPr>
        <w:t xml:space="preserve">: </w:t>
      </w:r>
    </w:p>
    <w:p w14:paraId="6EDD9CDD" w14:textId="77777777" w:rsidR="00904EE7" w:rsidRPr="00AF70BA" w:rsidRDefault="00904EE7" w:rsidP="00904EE7">
      <w:pPr>
        <w:numPr>
          <w:ilvl w:val="0"/>
          <w:numId w:val="1"/>
        </w:numPr>
        <w:spacing w:after="300" w:line="360" w:lineRule="auto"/>
        <w:ind w:hanging="635"/>
        <w:jc w:val="both"/>
        <w:rPr>
          <w:rFonts w:ascii="David" w:hAnsi="David"/>
        </w:rPr>
      </w:pPr>
      <w:r>
        <w:rPr>
          <w:rFonts w:ascii="David" w:hAnsi="David" w:hint="cs"/>
          <w:rtl/>
        </w:rPr>
        <w:t xml:space="preserve">חומרתן של </w:t>
      </w:r>
      <w:r w:rsidRPr="00AF70BA">
        <w:rPr>
          <w:rFonts w:ascii="David" w:hAnsi="David"/>
          <w:rtl/>
        </w:rPr>
        <w:t xml:space="preserve">עבירות </w:t>
      </w:r>
      <w:r>
        <w:rPr>
          <w:rFonts w:ascii="David" w:hAnsi="David" w:hint="cs"/>
          <w:rtl/>
        </w:rPr>
        <w:t>ה</w:t>
      </w:r>
      <w:r w:rsidRPr="00AF70BA">
        <w:rPr>
          <w:rFonts w:ascii="David" w:hAnsi="David"/>
          <w:rtl/>
        </w:rPr>
        <w:t xml:space="preserve">סחר ושימוש בסם </w:t>
      </w:r>
      <w:r>
        <w:rPr>
          <w:rFonts w:ascii="David" w:hAnsi="David" w:hint="cs"/>
          <w:rtl/>
        </w:rPr>
        <w:t xml:space="preserve">מסוכן הינה </w:t>
      </w:r>
      <w:r w:rsidRPr="00AF70BA">
        <w:rPr>
          <w:rFonts w:ascii="David" w:hAnsi="David"/>
          <w:rtl/>
        </w:rPr>
        <w:t xml:space="preserve">רבה, והן פוגעות בערכים המוגנים של הגנה על שלום הציבור וביטחונו מפני הנזקים החמורים הנגרמים כתוצאה משימוש והפצה של סמים. ואכן, לא לחינם קבע המחוקק </w:t>
      </w:r>
      <w:hyperlink r:id="rId32" w:history="1">
        <w:r w:rsidR="005E73AD" w:rsidRPr="005E73AD">
          <w:rPr>
            <w:rStyle w:val="Hyperlink"/>
            <w:rFonts w:ascii="David" w:hAnsi="David"/>
            <w:rtl/>
          </w:rPr>
          <w:t>בסעיף 19א</w:t>
        </w:r>
      </w:hyperlink>
      <w:r w:rsidRPr="00AF70BA">
        <w:rPr>
          <w:rFonts w:ascii="David" w:hAnsi="David"/>
          <w:rtl/>
        </w:rPr>
        <w:t xml:space="preserve"> לפקודת הסמים כי כל הלוקח חלק בסחר בסם</w:t>
      </w:r>
      <w:r>
        <w:rPr>
          <w:rFonts w:ascii="David" w:hAnsi="David" w:hint="cs"/>
          <w:rtl/>
        </w:rPr>
        <w:t xml:space="preserve"> והפצתו</w:t>
      </w:r>
      <w:r w:rsidRPr="00AF70BA">
        <w:rPr>
          <w:rFonts w:ascii="David" w:hAnsi="David"/>
          <w:rtl/>
        </w:rPr>
        <w:t>, דינו עד 20 שנות מאסר בפועל. ב</w:t>
      </w:r>
      <w:hyperlink r:id="rId33" w:history="1">
        <w:r w:rsidR="007B4BA1" w:rsidRPr="007B4BA1">
          <w:rPr>
            <w:rFonts w:ascii="David" w:hAnsi="David"/>
            <w:color w:val="0000FF"/>
            <w:u w:val="single"/>
            <w:rtl/>
          </w:rPr>
          <w:t>ע"פ 6029/03</w:t>
        </w:r>
      </w:hyperlink>
      <w:r w:rsidRPr="00AF70BA">
        <w:rPr>
          <w:rFonts w:ascii="David" w:hAnsi="David"/>
          <w:rtl/>
        </w:rPr>
        <w:t xml:space="preserve"> </w:t>
      </w:r>
      <w:r w:rsidRPr="00AF70BA">
        <w:rPr>
          <w:rFonts w:ascii="David" w:hAnsi="David"/>
          <w:b/>
          <w:bCs/>
          <w:rtl/>
        </w:rPr>
        <w:t>מדינת ישראל נ' גולן שמאי</w:t>
      </w:r>
      <w:r w:rsidRPr="00AF70BA">
        <w:rPr>
          <w:rFonts w:ascii="David" w:hAnsi="David"/>
          <w:rtl/>
        </w:rPr>
        <w:t xml:space="preserve"> (9.2.04) קבע בית המשפט העליון כי: </w:t>
      </w:r>
      <w:r w:rsidRPr="00904EE7">
        <w:rPr>
          <w:rFonts w:cs="Times New Roman"/>
          <w:rtl/>
        </w:rPr>
        <w:t>"נגע הסמים אוכל</w:t>
      </w:r>
      <w:r w:rsidRPr="00904EE7">
        <w:rPr>
          <w:rFonts w:cs="Times New Roman"/>
          <w:b/>
          <w:bCs/>
          <w:rtl/>
        </w:rPr>
        <w:t xml:space="preserve"> </w:t>
      </w:r>
      <w:r w:rsidRPr="00904EE7">
        <w:rPr>
          <w:rFonts w:cs="Times New Roman"/>
          <w:rtl/>
        </w:rPr>
        <w:t>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w:t>
      </w:r>
      <w:r w:rsidRPr="00904EE7">
        <w:rPr>
          <w:rFonts w:cs="Times New Roman"/>
        </w:rPr>
        <w:t xml:space="preserve"> -</w:t>
      </w:r>
      <w:r w:rsidRPr="00904EE7">
        <w:rPr>
          <w:rFonts w:cs="Times New Roman"/>
          <w:rtl/>
        </w:rPr>
        <w:t>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sidRPr="00904EE7">
        <w:rPr>
          <w:rFonts w:cs="Times New Roman"/>
        </w:rPr>
        <w:t xml:space="preserve"> </w:t>
      </w:r>
      <w:r w:rsidRPr="00904EE7">
        <w:rPr>
          <w:rFonts w:cs="Times New Roman"/>
          <w:rtl/>
        </w:rPr>
        <w:t>הטלת עונשים חמורים".</w:t>
      </w:r>
    </w:p>
    <w:p w14:paraId="46D7AB78" w14:textId="77777777" w:rsidR="00904EE7" w:rsidRPr="00AF70BA" w:rsidRDefault="00904EE7" w:rsidP="00904EE7">
      <w:pPr>
        <w:numPr>
          <w:ilvl w:val="0"/>
          <w:numId w:val="1"/>
        </w:numPr>
        <w:spacing w:after="300" w:line="360" w:lineRule="auto"/>
        <w:ind w:hanging="635"/>
        <w:jc w:val="both"/>
        <w:rPr>
          <w:rFonts w:ascii="David" w:hAnsi="David"/>
        </w:rPr>
      </w:pPr>
      <w:r>
        <w:rPr>
          <w:rFonts w:ascii="David" w:hAnsi="David" w:hint="cs"/>
          <w:rtl/>
        </w:rPr>
        <w:t xml:space="preserve">על פי </w:t>
      </w:r>
      <w:r w:rsidRPr="00AF70BA">
        <w:rPr>
          <w:rFonts w:ascii="David" w:hAnsi="David"/>
          <w:rtl/>
        </w:rPr>
        <w:t xml:space="preserve">רוב נהוג לגזור בגין עבירות סחר בסמים עונשי מאסר בפועל. בית המשפט קבע כי נוכח הצורך החשוב שבמאבק בעבירות הסחר בסמים, על בית המשפט לתת משקל ממשי לשיקול ההרתעתי אל מול השיקולים האישיים. </w:t>
      </w:r>
      <w:hyperlink r:id="rId34" w:history="1">
        <w:r w:rsidR="007B4BA1" w:rsidRPr="007B4BA1">
          <w:rPr>
            <w:rFonts w:ascii="David" w:hAnsi="David"/>
            <w:color w:val="0000FF"/>
            <w:u w:val="single"/>
            <w:rtl/>
          </w:rPr>
          <w:t>ע"פ 9482/09</w:t>
        </w:r>
      </w:hyperlink>
      <w:r w:rsidRPr="00AF70BA">
        <w:rPr>
          <w:rFonts w:ascii="David" w:hAnsi="David"/>
          <w:rtl/>
        </w:rPr>
        <w:t xml:space="preserve"> </w:t>
      </w:r>
      <w:r w:rsidRPr="00AF70BA">
        <w:rPr>
          <w:rFonts w:ascii="David" w:hAnsi="David"/>
          <w:b/>
          <w:bCs/>
          <w:rtl/>
        </w:rPr>
        <w:t>ביטון נ' מדינת ישראל</w:t>
      </w:r>
      <w:r w:rsidRPr="00AF70BA">
        <w:rPr>
          <w:rFonts w:ascii="David" w:hAnsi="David"/>
          <w:rtl/>
        </w:rPr>
        <w:t xml:space="preserve"> (24.7.11).</w:t>
      </w:r>
    </w:p>
    <w:p w14:paraId="5AD9E4B2"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ב</w:t>
      </w:r>
      <w:hyperlink r:id="rId35" w:history="1">
        <w:r w:rsidR="007B4BA1" w:rsidRPr="007B4BA1">
          <w:rPr>
            <w:rFonts w:ascii="David" w:hAnsi="David"/>
            <w:color w:val="0000FF"/>
            <w:u w:val="single"/>
            <w:rtl/>
          </w:rPr>
          <w:t>ע"פ 2596/18</w:t>
        </w:r>
      </w:hyperlink>
      <w:r w:rsidRPr="00AF70BA">
        <w:rPr>
          <w:rFonts w:ascii="David" w:hAnsi="David"/>
          <w:rtl/>
        </w:rPr>
        <w:t xml:space="preserve"> </w:t>
      </w:r>
      <w:r w:rsidRPr="00AF70BA">
        <w:rPr>
          <w:rFonts w:ascii="David" w:hAnsi="David"/>
          <w:b/>
          <w:bCs/>
          <w:rtl/>
        </w:rPr>
        <w:t>זנזורי נ' מדינת ישראל</w:t>
      </w:r>
      <w:r w:rsidRPr="00AF70BA">
        <w:rPr>
          <w:rFonts w:ascii="David" w:hAnsi="David"/>
          <w:rtl/>
        </w:rPr>
        <w:t xml:space="preserve"> (12.8.18)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36" w:history="1">
        <w:r w:rsidR="007B4BA1" w:rsidRPr="007B4BA1">
          <w:rPr>
            <w:rFonts w:ascii="David" w:hAnsi="David"/>
            <w:color w:val="0000FF"/>
            <w:u w:val="single"/>
            <w:rtl/>
          </w:rPr>
          <w:t>ת"פ 42189-08-19</w:t>
        </w:r>
      </w:hyperlink>
      <w:r w:rsidRPr="00AF70BA">
        <w:rPr>
          <w:rFonts w:ascii="David" w:hAnsi="David"/>
          <w:rtl/>
        </w:rPr>
        <w:t xml:space="preserve"> </w:t>
      </w:r>
      <w:r w:rsidRPr="00AF70BA">
        <w:rPr>
          <w:rFonts w:ascii="David" w:hAnsi="David"/>
          <w:b/>
          <w:bCs/>
          <w:rtl/>
        </w:rPr>
        <w:t>מדינת ישראל נ' נני מזוז</w:t>
      </w:r>
      <w:r w:rsidRPr="00AF70BA">
        <w:rPr>
          <w:rFonts w:ascii="David" w:hAnsi="David"/>
          <w:rtl/>
        </w:rPr>
        <w:t xml:space="preserve"> (06.04.20). </w:t>
      </w:r>
    </w:p>
    <w:p w14:paraId="74277327"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במקרה </w:t>
      </w:r>
      <w:r>
        <w:rPr>
          <w:rFonts w:ascii="David" w:hAnsi="David" w:hint="cs"/>
          <w:rtl/>
        </w:rPr>
        <w:t xml:space="preserve">דנן, </w:t>
      </w:r>
      <w:r w:rsidRPr="00AF70BA">
        <w:rPr>
          <w:rFonts w:ascii="David" w:hAnsi="David"/>
          <w:rtl/>
        </w:rPr>
        <w:t xml:space="preserve">המדובר ב-3 עבירות </w:t>
      </w:r>
      <w:r>
        <w:rPr>
          <w:rFonts w:ascii="David" w:hAnsi="David" w:hint="cs"/>
          <w:rtl/>
        </w:rPr>
        <w:t xml:space="preserve">של </w:t>
      </w:r>
      <w:r w:rsidRPr="00AF70BA">
        <w:rPr>
          <w:rFonts w:ascii="David" w:hAnsi="David"/>
          <w:rtl/>
        </w:rPr>
        <w:t xml:space="preserve">סחר בקנאביס בכמות </w:t>
      </w:r>
      <w:r>
        <w:rPr>
          <w:rFonts w:ascii="David" w:hAnsi="David" w:hint="cs"/>
          <w:rtl/>
        </w:rPr>
        <w:t xml:space="preserve">כוללת </w:t>
      </w:r>
      <w:r w:rsidRPr="00AF70BA">
        <w:rPr>
          <w:rFonts w:ascii="David" w:hAnsi="David"/>
          <w:rtl/>
        </w:rPr>
        <w:t xml:space="preserve">של כ-82 גרם. אמנם, המדובר בסם </w:t>
      </w:r>
      <w:r>
        <w:rPr>
          <w:rFonts w:ascii="David" w:hAnsi="David" w:hint="cs"/>
          <w:rtl/>
        </w:rPr>
        <w:t xml:space="preserve">המוגדר על פי הפסיקה כסם קל יחסית, </w:t>
      </w:r>
      <w:r w:rsidRPr="00AF70BA">
        <w:rPr>
          <w:rFonts w:ascii="David" w:hAnsi="David"/>
          <w:rtl/>
        </w:rPr>
        <w:t>ואשר הענישה בעניינו פחותה יותר ביחס לסמים אחרים. עם זאת, אין להתעלם מהנזק ומהסיכון הרב הטמון בעבירות הסחר והחזקת הסמים, וכפי שציינתי לעיל – הפסיקה מייחסת לעבירות אלו חומרה יתרה. כך נקבע ב</w:t>
      </w:r>
      <w:hyperlink r:id="rId37" w:history="1">
        <w:r w:rsidR="007B4BA1" w:rsidRPr="007B4BA1">
          <w:rPr>
            <w:rFonts w:ascii="David" w:hAnsi="David"/>
            <w:color w:val="0000FF"/>
            <w:u w:val="single"/>
            <w:rtl/>
          </w:rPr>
          <w:t>ע"פ 170/07</w:t>
        </w:r>
      </w:hyperlink>
      <w:r w:rsidRPr="00AF70BA">
        <w:rPr>
          <w:rFonts w:ascii="David" w:hAnsi="David"/>
          <w:rtl/>
        </w:rPr>
        <w:t xml:space="preserve"> </w:t>
      </w:r>
      <w:r w:rsidRPr="00AF70BA">
        <w:rPr>
          <w:rFonts w:ascii="David" w:hAnsi="David"/>
          <w:b/>
          <w:bCs/>
          <w:rtl/>
        </w:rPr>
        <w:t>מטיס נ' מדינת ישראל</w:t>
      </w:r>
      <w:r w:rsidRPr="00AF70BA">
        <w:rPr>
          <w:rFonts w:ascii="David" w:hAnsi="David"/>
          <w:rtl/>
        </w:rPr>
        <w:t xml:space="preserve"> (2007), ביחס לסם הקנאביס, כי גם סמים קלים מהווים לעיתים קרובות את יריית הפתיחה להתמכרות לסמים קשים יותר וכי גם בשימוש בהם עצמם טמונה סכנה.</w:t>
      </w:r>
    </w:p>
    <w:p w14:paraId="28798DFD"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באשר למתחם הענישה שנקבע בפסיקה בגין עבירות סחר </w:t>
      </w:r>
      <w:r>
        <w:rPr>
          <w:rFonts w:ascii="David" w:hAnsi="David" w:hint="cs"/>
          <w:rtl/>
        </w:rPr>
        <w:t xml:space="preserve">בנסיבות </w:t>
      </w:r>
      <w:r w:rsidRPr="00AF70BA">
        <w:rPr>
          <w:rFonts w:ascii="David" w:hAnsi="David"/>
          <w:rtl/>
        </w:rPr>
        <w:t xml:space="preserve">דומות אפנה לפסקי דין אלו: </w:t>
      </w:r>
    </w:p>
    <w:p w14:paraId="5A48EF43" w14:textId="77777777" w:rsidR="00904EE7" w:rsidRPr="00AF70BA" w:rsidRDefault="00904EE7" w:rsidP="00904EE7">
      <w:pPr>
        <w:numPr>
          <w:ilvl w:val="0"/>
          <w:numId w:val="4"/>
        </w:numPr>
        <w:spacing w:after="300" w:line="360" w:lineRule="auto"/>
        <w:ind w:left="992" w:hanging="284"/>
        <w:jc w:val="both"/>
        <w:rPr>
          <w:rFonts w:ascii="David" w:hAnsi="David"/>
        </w:rPr>
      </w:pPr>
      <w:r w:rsidRPr="00AF70BA">
        <w:rPr>
          <w:rFonts w:ascii="David" w:hAnsi="David"/>
          <w:rtl/>
        </w:rPr>
        <w:t>ב</w:t>
      </w:r>
      <w:hyperlink r:id="rId38" w:history="1">
        <w:r w:rsidR="007B4BA1" w:rsidRPr="007B4BA1">
          <w:rPr>
            <w:rFonts w:ascii="David" w:hAnsi="David"/>
            <w:color w:val="0000FF"/>
            <w:u w:val="single"/>
            <w:rtl/>
          </w:rPr>
          <w:t>רע"פ 1720/11</w:t>
        </w:r>
      </w:hyperlink>
      <w:r w:rsidRPr="00AF70BA">
        <w:rPr>
          <w:rFonts w:ascii="David" w:hAnsi="David"/>
          <w:rtl/>
        </w:rPr>
        <w:t xml:space="preserve"> </w:t>
      </w:r>
      <w:r w:rsidRPr="00AF70BA">
        <w:rPr>
          <w:rFonts w:ascii="David" w:hAnsi="David"/>
          <w:b/>
          <w:bCs/>
          <w:rtl/>
        </w:rPr>
        <w:t>מיכאל גליק נגד מדינת ישראל</w:t>
      </w:r>
      <w:r w:rsidRPr="00AF70BA">
        <w:rPr>
          <w:rFonts w:ascii="David" w:hAnsi="David"/>
          <w:rtl/>
        </w:rPr>
        <w:t xml:space="preserve"> (07.03.11), אושר גזר דינו של בית משפט השלום בו הוטלו על נאשם ב-3 עבירות סחר בסם מסוג חשיש (בסה"כ 110 גרם) ובעבירה של תיווך בחשיש (בכמות של כ- 95 גרם) 8 חודשי מאסר לריצוי בפועל בתוספת ענישה נלווית. </w:t>
      </w:r>
    </w:p>
    <w:p w14:paraId="3B0FBAB3" w14:textId="77777777" w:rsidR="00904EE7" w:rsidRPr="00AF70BA" w:rsidRDefault="00904EE7" w:rsidP="00904EE7">
      <w:pPr>
        <w:numPr>
          <w:ilvl w:val="0"/>
          <w:numId w:val="4"/>
        </w:numPr>
        <w:spacing w:after="300" w:line="360" w:lineRule="auto"/>
        <w:ind w:left="992" w:hanging="284"/>
        <w:jc w:val="both"/>
        <w:rPr>
          <w:rFonts w:ascii="David" w:hAnsi="David"/>
        </w:rPr>
      </w:pPr>
      <w:r w:rsidRPr="00AF70BA">
        <w:rPr>
          <w:rFonts w:ascii="David" w:hAnsi="David"/>
          <w:rtl/>
        </w:rPr>
        <w:t>ב</w:t>
      </w:r>
      <w:hyperlink r:id="rId39" w:history="1">
        <w:r w:rsidR="007B4BA1" w:rsidRPr="007B4BA1">
          <w:rPr>
            <w:rFonts w:ascii="David" w:hAnsi="David"/>
            <w:color w:val="0000FF"/>
            <w:u w:val="single"/>
            <w:rtl/>
          </w:rPr>
          <w:t>רע"פ 5712/16</w:t>
        </w:r>
      </w:hyperlink>
      <w:r w:rsidRPr="00AF70BA">
        <w:rPr>
          <w:rFonts w:ascii="David" w:hAnsi="David"/>
          <w:rtl/>
        </w:rPr>
        <w:t xml:space="preserve"> </w:t>
      </w:r>
      <w:r w:rsidRPr="00AF70BA">
        <w:rPr>
          <w:rFonts w:ascii="David" w:hAnsi="David"/>
          <w:b/>
          <w:bCs/>
          <w:rtl/>
        </w:rPr>
        <w:t>יצחק אייזנבאך נ' מדינת ישראל</w:t>
      </w:r>
      <w:r w:rsidRPr="00AF70BA">
        <w:rPr>
          <w:rFonts w:ascii="David" w:hAnsi="David"/>
          <w:rtl/>
        </w:rPr>
        <w:t xml:space="preserve">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657A4B4D" w14:textId="77777777" w:rsidR="00904EE7" w:rsidRPr="00AF70BA" w:rsidRDefault="00904EE7" w:rsidP="00904EE7">
      <w:pPr>
        <w:numPr>
          <w:ilvl w:val="0"/>
          <w:numId w:val="4"/>
        </w:numPr>
        <w:spacing w:after="300" w:line="360" w:lineRule="auto"/>
        <w:ind w:left="992" w:hanging="284"/>
        <w:jc w:val="both"/>
        <w:rPr>
          <w:rFonts w:ascii="David" w:hAnsi="David"/>
        </w:rPr>
      </w:pPr>
      <w:r w:rsidRPr="00AF70BA">
        <w:rPr>
          <w:rFonts w:ascii="David" w:hAnsi="David"/>
          <w:rtl/>
        </w:rPr>
        <w:t>ב</w:t>
      </w:r>
      <w:hyperlink r:id="rId40" w:history="1">
        <w:r w:rsidR="007B4BA1" w:rsidRPr="007B4BA1">
          <w:rPr>
            <w:rFonts w:ascii="David" w:hAnsi="David"/>
            <w:color w:val="0000FF"/>
            <w:u w:val="single"/>
            <w:rtl/>
          </w:rPr>
          <w:t>רע"פ 3627/13</w:t>
        </w:r>
      </w:hyperlink>
      <w:r w:rsidRPr="00AF70BA">
        <w:rPr>
          <w:rFonts w:ascii="David" w:hAnsi="David"/>
          <w:rtl/>
        </w:rPr>
        <w:t xml:space="preserve"> </w:t>
      </w:r>
      <w:r w:rsidRPr="00AF70BA">
        <w:rPr>
          <w:rFonts w:ascii="David" w:hAnsi="David"/>
          <w:b/>
          <w:bCs/>
          <w:rtl/>
        </w:rPr>
        <w:t>שדה נגד מדינת ישראל</w:t>
      </w:r>
      <w:r w:rsidRPr="00AF70BA">
        <w:rPr>
          <w:rFonts w:ascii="David" w:hAnsi="David"/>
          <w:rtl/>
        </w:rPr>
        <w:t xml:space="preserve"> (22.5.13) אושר גזר דין בו הוטל על  נאשם שהורשע על יסוד הודאתו ב-2 עבירות של סחר בסם מסוג קנביס, בכמויות קטנות מאוד (0.8 גרם ו-1 גרם), עונש של 7 חודשי מאסר בפועל, אך זאת בשל עבר פלילי עשיר וחוסר שת"פ עם שירות המבחן. </w:t>
      </w:r>
    </w:p>
    <w:p w14:paraId="1FA7C6DB" w14:textId="77777777" w:rsidR="00904EE7" w:rsidRPr="00AF70BA" w:rsidRDefault="00904EE7" w:rsidP="00904EE7">
      <w:pPr>
        <w:numPr>
          <w:ilvl w:val="0"/>
          <w:numId w:val="4"/>
        </w:numPr>
        <w:spacing w:after="300" w:line="360" w:lineRule="auto"/>
        <w:ind w:left="992" w:hanging="284"/>
        <w:jc w:val="both"/>
        <w:rPr>
          <w:rFonts w:ascii="David" w:hAnsi="David"/>
        </w:rPr>
      </w:pPr>
      <w:r w:rsidRPr="00AF70BA">
        <w:rPr>
          <w:rFonts w:ascii="David" w:hAnsi="David"/>
          <w:rtl/>
        </w:rPr>
        <w:t>ב</w:t>
      </w:r>
      <w:hyperlink r:id="rId41" w:history="1">
        <w:r w:rsidR="007B4BA1" w:rsidRPr="007B4BA1">
          <w:rPr>
            <w:rFonts w:ascii="David" w:hAnsi="David"/>
            <w:color w:val="0000FF"/>
            <w:u w:val="single"/>
            <w:rtl/>
          </w:rPr>
          <w:t>עפ"ג 31347-08-14</w:t>
        </w:r>
      </w:hyperlink>
      <w:r w:rsidRPr="00AF70BA">
        <w:rPr>
          <w:rFonts w:ascii="David" w:hAnsi="David"/>
          <w:rtl/>
        </w:rPr>
        <w:t xml:space="preserve"> </w:t>
      </w:r>
      <w:r w:rsidRPr="00AF70BA">
        <w:rPr>
          <w:rFonts w:ascii="David" w:hAnsi="David"/>
          <w:b/>
          <w:bCs/>
          <w:rtl/>
        </w:rPr>
        <w:t xml:space="preserve">מדינת ישראל נגד אברהים בשיטי </w:t>
      </w:r>
      <w:r w:rsidRPr="00AF70BA">
        <w:rPr>
          <w:rFonts w:ascii="David" w:hAnsi="David"/>
          <w:rtl/>
        </w:rPr>
        <w:t xml:space="preserve">(10.12.14) נגזרו על נאשם שהורשע ב-2 עבירות סחר בקנאביס (במשקל 97 גרם ו-47 גרם) ובמכירת 5 טבליות </w:t>
      </w:r>
      <w:r w:rsidRPr="00AF70BA">
        <w:rPr>
          <w:rFonts w:ascii="David" w:hAnsi="David"/>
        </w:rPr>
        <w:t>MDMA</w:t>
      </w:r>
      <w:r w:rsidRPr="00AF70BA">
        <w:rPr>
          <w:rFonts w:ascii="David" w:hAnsi="David"/>
          <w:rtl/>
        </w:rPr>
        <w:t>, נעדר עבר פלילי, 6 חודשי עבודות שרות, מאסר על תנאי וקנס.</w:t>
      </w:r>
    </w:p>
    <w:p w14:paraId="02847908" w14:textId="77777777" w:rsidR="00904EE7" w:rsidRPr="00AF70BA" w:rsidRDefault="00904EE7" w:rsidP="00904EE7">
      <w:pPr>
        <w:numPr>
          <w:ilvl w:val="0"/>
          <w:numId w:val="4"/>
        </w:numPr>
        <w:spacing w:after="300" w:line="360" w:lineRule="auto"/>
        <w:ind w:left="992" w:hanging="284"/>
        <w:jc w:val="both"/>
        <w:rPr>
          <w:rFonts w:ascii="David" w:hAnsi="David"/>
        </w:rPr>
      </w:pPr>
      <w:r w:rsidRPr="00AF70BA">
        <w:rPr>
          <w:rFonts w:ascii="David" w:hAnsi="David"/>
          <w:rtl/>
        </w:rPr>
        <w:t>ב</w:t>
      </w:r>
      <w:hyperlink r:id="rId42" w:history="1">
        <w:r w:rsidR="007B4BA1" w:rsidRPr="007B4BA1">
          <w:rPr>
            <w:rFonts w:ascii="David" w:hAnsi="David"/>
            <w:color w:val="0000FF"/>
            <w:u w:val="single"/>
            <w:rtl/>
          </w:rPr>
          <w:t>ע"פ 7319-08-12</w:t>
        </w:r>
      </w:hyperlink>
      <w:r w:rsidRPr="00AF70BA">
        <w:rPr>
          <w:rFonts w:ascii="David" w:hAnsi="David"/>
          <w:rtl/>
        </w:rPr>
        <w:t xml:space="preserve"> </w:t>
      </w:r>
      <w:r w:rsidRPr="00AF70BA">
        <w:rPr>
          <w:rFonts w:ascii="David" w:hAnsi="David"/>
          <w:b/>
          <w:bCs/>
          <w:rtl/>
        </w:rPr>
        <w:t>אבישי סבח נגד מדינת ישראל</w:t>
      </w:r>
      <w:r w:rsidRPr="00AF70BA">
        <w:rPr>
          <w:rFonts w:ascii="David" w:hAnsi="David"/>
          <w:rtl/>
        </w:rPr>
        <w:t xml:space="preserve"> (25.10.12), נדחה ערעורו של נאשם שהורשע ב-2 עבירות סחר בחשיש בכמויות קטנות (5.3 גרם ו-2.9 גרם) ובעבירה אחת לתיווך לרכישת סם והוטל עליו עונש מאסר של 18 חודשי מאסר לריצוי בפועל.</w:t>
      </w:r>
    </w:p>
    <w:p w14:paraId="2F23E799" w14:textId="77777777" w:rsidR="00904EE7" w:rsidRPr="00AF70BA" w:rsidRDefault="00904EE7" w:rsidP="00904EE7">
      <w:pPr>
        <w:numPr>
          <w:ilvl w:val="0"/>
          <w:numId w:val="4"/>
        </w:numPr>
        <w:spacing w:after="300" w:line="360" w:lineRule="auto"/>
        <w:ind w:left="992" w:hanging="284"/>
        <w:jc w:val="both"/>
        <w:rPr>
          <w:rFonts w:ascii="David" w:hAnsi="David"/>
        </w:rPr>
      </w:pPr>
      <w:r w:rsidRPr="00AF70BA">
        <w:rPr>
          <w:rFonts w:ascii="David" w:hAnsi="David"/>
          <w:rtl/>
        </w:rPr>
        <w:t>ב</w:t>
      </w:r>
      <w:hyperlink r:id="rId43" w:history="1">
        <w:r w:rsidR="007B4BA1" w:rsidRPr="007B4BA1">
          <w:rPr>
            <w:rFonts w:ascii="David" w:hAnsi="David"/>
            <w:color w:val="0000FF"/>
            <w:u w:val="single"/>
            <w:rtl/>
          </w:rPr>
          <w:t>ת"פ 726-01-14</w:t>
        </w:r>
      </w:hyperlink>
      <w:r w:rsidRPr="00AF70BA">
        <w:rPr>
          <w:rFonts w:ascii="David" w:hAnsi="David"/>
          <w:rtl/>
        </w:rPr>
        <w:t xml:space="preserve"> </w:t>
      </w:r>
      <w:r w:rsidRPr="00AF70BA">
        <w:rPr>
          <w:rFonts w:ascii="David" w:hAnsi="David"/>
          <w:b/>
          <w:bCs/>
          <w:rtl/>
        </w:rPr>
        <w:t>מדינת ישראל נ' עבד אל חלים זיתון</w:t>
      </w:r>
      <w:r w:rsidRPr="00AF70BA">
        <w:rPr>
          <w:rFonts w:ascii="David" w:hAnsi="David"/>
          <w:rtl/>
        </w:rPr>
        <w:t xml:space="preserve"> (21.07.14) נקבע ביחס לנאשם ב- 3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 </w:t>
      </w:r>
    </w:p>
    <w:p w14:paraId="0F789B33" w14:textId="77777777" w:rsidR="00904EE7" w:rsidRPr="00AF70BA" w:rsidRDefault="00904EE7" w:rsidP="00904EE7">
      <w:pPr>
        <w:numPr>
          <w:ilvl w:val="0"/>
          <w:numId w:val="4"/>
        </w:numPr>
        <w:spacing w:after="300" w:line="360" w:lineRule="auto"/>
        <w:ind w:left="992" w:hanging="284"/>
        <w:jc w:val="both"/>
        <w:rPr>
          <w:rFonts w:ascii="David" w:hAnsi="David"/>
          <w:rtl/>
        </w:rPr>
      </w:pPr>
      <w:r w:rsidRPr="00AF70BA">
        <w:rPr>
          <w:rFonts w:ascii="David" w:hAnsi="David"/>
          <w:rtl/>
        </w:rPr>
        <w:t>ב</w:t>
      </w:r>
      <w:hyperlink r:id="rId44" w:history="1">
        <w:r w:rsidR="007B4BA1" w:rsidRPr="007B4BA1">
          <w:rPr>
            <w:rFonts w:ascii="David" w:hAnsi="David"/>
            <w:color w:val="0000FF"/>
            <w:u w:val="single"/>
            <w:rtl/>
          </w:rPr>
          <w:t>ת"פ 56059-07-17</w:t>
        </w:r>
      </w:hyperlink>
      <w:r w:rsidRPr="00AF70BA">
        <w:rPr>
          <w:rFonts w:ascii="David" w:hAnsi="David"/>
          <w:rtl/>
        </w:rPr>
        <w:t xml:space="preserve"> </w:t>
      </w:r>
      <w:r w:rsidRPr="00AF70BA">
        <w:rPr>
          <w:rFonts w:ascii="David" w:hAnsi="David"/>
          <w:b/>
          <w:bCs/>
          <w:rtl/>
        </w:rPr>
        <w:t>מדינת ישראל נגד מתן רווח</w:t>
      </w:r>
      <w:r w:rsidRPr="00AF70BA">
        <w:rPr>
          <w:rFonts w:ascii="David" w:hAnsi="David"/>
          <w:rtl/>
        </w:rPr>
        <w:t xml:space="preserve"> (12.03.18), נגזרו על נאשם שהורשע ב-3 עבירות סחר בקנאביס באמצעות טלגראס (9.8 גרם, 12.7 גרם ו-2.9 גרם) 5 חודשי מאסר בפועל בתוספת ענישה נלווית.</w:t>
      </w:r>
    </w:p>
    <w:p w14:paraId="20E6AA01"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עם זאת, ישנם מקרים בהם קיבל בית המשפט את המלצת שירות המבחן וגזר את עונשו של הנאשם על דרך עבודות של"צ, תוך התחשבות בשיקול השיקומי. </w:t>
      </w:r>
    </w:p>
    <w:p w14:paraId="4C149DDD" w14:textId="77777777" w:rsidR="00904EE7" w:rsidRPr="00AF70BA" w:rsidRDefault="00904EE7" w:rsidP="00904EE7">
      <w:pPr>
        <w:numPr>
          <w:ilvl w:val="0"/>
          <w:numId w:val="5"/>
        </w:numPr>
        <w:spacing w:after="300" w:line="360" w:lineRule="auto"/>
        <w:ind w:left="992" w:hanging="284"/>
        <w:jc w:val="both"/>
        <w:rPr>
          <w:rFonts w:ascii="David" w:hAnsi="David"/>
        </w:rPr>
      </w:pPr>
      <w:r w:rsidRPr="00AF70BA">
        <w:rPr>
          <w:rFonts w:ascii="David" w:hAnsi="David"/>
          <w:rtl/>
        </w:rPr>
        <w:t>כך לדוגמה ב</w:t>
      </w:r>
      <w:hyperlink r:id="rId45" w:history="1">
        <w:r w:rsidR="007B4BA1" w:rsidRPr="007B4BA1">
          <w:rPr>
            <w:rFonts w:ascii="David" w:hAnsi="David"/>
            <w:color w:val="0000FF"/>
            <w:u w:val="single"/>
            <w:rtl/>
          </w:rPr>
          <w:t>ת"פ 46914-06-18</w:t>
        </w:r>
      </w:hyperlink>
      <w:r w:rsidRPr="00AF70BA">
        <w:rPr>
          <w:rFonts w:ascii="David" w:hAnsi="David"/>
          <w:rtl/>
        </w:rPr>
        <w:t xml:space="preserve"> </w:t>
      </w:r>
      <w:r w:rsidRPr="00AF70BA">
        <w:rPr>
          <w:rFonts w:ascii="David" w:hAnsi="David"/>
          <w:b/>
          <w:bCs/>
          <w:rtl/>
        </w:rPr>
        <w:t>מדינת ישראל נ' רבאב חג'אזי</w:t>
      </w:r>
      <w:r w:rsidRPr="00AF70BA">
        <w:rPr>
          <w:rFonts w:ascii="David" w:hAnsi="David"/>
          <w:rtl/>
        </w:rPr>
        <w:t xml:space="preserve"> (23.09.19) התחשב בית המשפט בגילה הצעיר של הנאשמת, מצבה הנפשי הקרוב לסייג האחריות הפלילית, נטילת אחריות, היעדר עבר פלילי ועוד, וגזר את עונשה בצו מבחן, של"צ בהיקף 300 שעות ומאסר מותנה, זאת על אף שביצעה עבירות סחר רבות באמצעות אפליקציית הטלגראס. </w:t>
      </w:r>
    </w:p>
    <w:p w14:paraId="4DF8F549" w14:textId="77777777" w:rsidR="00904EE7" w:rsidRPr="00AF70BA" w:rsidRDefault="00904EE7" w:rsidP="00904EE7">
      <w:pPr>
        <w:numPr>
          <w:ilvl w:val="0"/>
          <w:numId w:val="5"/>
        </w:numPr>
        <w:spacing w:after="300" w:line="360" w:lineRule="auto"/>
        <w:ind w:left="992" w:hanging="284"/>
        <w:jc w:val="both"/>
        <w:rPr>
          <w:rFonts w:ascii="David" w:hAnsi="David"/>
        </w:rPr>
      </w:pPr>
      <w:r w:rsidRPr="00AF70BA">
        <w:rPr>
          <w:rFonts w:ascii="David" w:hAnsi="David"/>
          <w:rtl/>
        </w:rPr>
        <w:t>ב</w:t>
      </w:r>
      <w:hyperlink r:id="rId46" w:history="1">
        <w:r w:rsidR="007B4BA1" w:rsidRPr="007B4BA1">
          <w:rPr>
            <w:rFonts w:ascii="David" w:hAnsi="David"/>
            <w:color w:val="0000FF"/>
            <w:u w:val="single"/>
            <w:rtl/>
          </w:rPr>
          <w:t>ת"פ 34271-10-18</w:t>
        </w:r>
      </w:hyperlink>
      <w:r w:rsidRPr="00AF70BA">
        <w:rPr>
          <w:rFonts w:ascii="David" w:hAnsi="David"/>
          <w:rtl/>
        </w:rPr>
        <w:t xml:space="preserve"> </w:t>
      </w:r>
      <w:r w:rsidRPr="00AF70BA">
        <w:rPr>
          <w:rFonts w:ascii="David" w:hAnsi="David"/>
          <w:b/>
          <w:bCs/>
          <w:rtl/>
        </w:rPr>
        <w:t>מדינת ישראל נ' אור שמואל דהן</w:t>
      </w:r>
      <w:r w:rsidRPr="00AF70BA">
        <w:rPr>
          <w:rFonts w:ascii="David" w:hAnsi="David"/>
          <w:rtl/>
        </w:rPr>
        <w:t xml:space="preserve"> (23.03.19) אף הסתיים ההליך נגד נאשם ב-2 עבירות סחר בקנאביס באמצעות טלגראס ובהחזקה לשימוש עצמי ללא הרשעה וזאת תוך התחשבות בגילו הצעיר של הנאשם (בן 18), היעדר עבר פלילי ושיקום מרשים. על הנאשם הוטל צו מבחן למשך שנה. </w:t>
      </w:r>
    </w:p>
    <w:p w14:paraId="62E6CEBB" w14:textId="77777777" w:rsidR="00904EE7" w:rsidRPr="00AF70BA" w:rsidRDefault="00904EE7" w:rsidP="00904EE7">
      <w:pPr>
        <w:numPr>
          <w:ilvl w:val="0"/>
          <w:numId w:val="5"/>
        </w:numPr>
        <w:spacing w:after="300" w:line="360" w:lineRule="auto"/>
        <w:ind w:left="992" w:hanging="284"/>
        <w:jc w:val="both"/>
        <w:rPr>
          <w:rFonts w:ascii="David" w:hAnsi="David"/>
        </w:rPr>
      </w:pPr>
      <w:r w:rsidRPr="00AF70BA">
        <w:rPr>
          <w:rFonts w:ascii="David" w:hAnsi="David"/>
          <w:rtl/>
        </w:rPr>
        <w:t>ב</w:t>
      </w:r>
      <w:hyperlink r:id="rId47" w:history="1">
        <w:r w:rsidR="007B4BA1" w:rsidRPr="007B4BA1">
          <w:rPr>
            <w:rFonts w:ascii="David" w:hAnsi="David"/>
            <w:color w:val="0000FF"/>
            <w:u w:val="single"/>
            <w:rtl/>
          </w:rPr>
          <w:t>ת"פ 21679-04-15</w:t>
        </w:r>
      </w:hyperlink>
      <w:r w:rsidRPr="00AF70BA">
        <w:rPr>
          <w:rFonts w:ascii="David" w:hAnsi="David"/>
          <w:rtl/>
        </w:rPr>
        <w:t xml:space="preserve"> </w:t>
      </w:r>
      <w:r w:rsidRPr="00AF70BA">
        <w:rPr>
          <w:rFonts w:ascii="David" w:hAnsi="David"/>
          <w:b/>
          <w:bCs/>
          <w:rtl/>
        </w:rPr>
        <w:t>מדינת ישראל נ' שאול</w:t>
      </w:r>
      <w:r w:rsidRPr="00AF70BA">
        <w:rPr>
          <w:rFonts w:ascii="David" w:hAnsi="David"/>
          <w:rtl/>
        </w:rPr>
        <w:t xml:space="preserve"> </w:t>
      </w:r>
      <w:r w:rsidRPr="00AF70BA">
        <w:rPr>
          <w:rFonts w:ascii="David" w:hAnsi="David"/>
          <w:b/>
          <w:bCs/>
          <w:rtl/>
        </w:rPr>
        <w:t xml:space="preserve">בראנץ </w:t>
      </w:r>
      <w:r w:rsidRPr="00AF70BA">
        <w:rPr>
          <w:rFonts w:ascii="David" w:hAnsi="David"/>
          <w:rtl/>
        </w:rPr>
        <w:t xml:space="preserve">(24.02.16) התחשב בית המשפט בגילו המבוגר של הנאשם ובמצבו הרפואי החמור והטיל על הנאשם עונש של"צ. </w:t>
      </w:r>
    </w:p>
    <w:p w14:paraId="4B95B446"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כאמור, בעת קביעת מתחם הענישה ההולם את האירוע שלפני יש להתחשב בשיקולים שיש בהם להשפיע על קביעת מתחם העונש, כמפורט </w:t>
      </w:r>
      <w:hyperlink r:id="rId48" w:history="1">
        <w:r w:rsidR="005E73AD" w:rsidRPr="005E73AD">
          <w:rPr>
            <w:rStyle w:val="Hyperlink"/>
            <w:rFonts w:ascii="David" w:hAnsi="David"/>
            <w:rtl/>
          </w:rPr>
          <w:t>בסעיף 40ט</w:t>
        </w:r>
      </w:hyperlink>
      <w:r w:rsidRPr="00AF70BA">
        <w:rPr>
          <w:rFonts w:ascii="David" w:hAnsi="David"/>
          <w:rtl/>
        </w:rPr>
        <w:t xml:space="preserve"> ל</w:t>
      </w:r>
      <w:hyperlink r:id="rId49" w:history="1">
        <w:r w:rsidR="007B4BA1" w:rsidRPr="007B4BA1">
          <w:rPr>
            <w:rFonts w:ascii="David" w:hAnsi="David"/>
            <w:color w:val="0000FF"/>
            <w:u w:val="single"/>
            <w:rtl/>
          </w:rPr>
          <w:t>חוק העונשין</w:t>
        </w:r>
      </w:hyperlink>
      <w:r w:rsidRPr="00AF70BA">
        <w:rPr>
          <w:rFonts w:ascii="David" w:hAnsi="David"/>
          <w:rtl/>
        </w:rPr>
        <w:t xml:space="preserve">. במקרה שלפני אתחשב מצד אחד בחומרת העבירה – כפי שציינתי לעיל המדובר בעבירה שחומרתה רבה ביותר, בגינה מושת לרוב עונש מאסר בפועל. עוד יש לציין את הכמויות הגדולות יחסית בהן סחר הנאשם, כ-20 גרם בכל אישום, ובעד תמורה </w:t>
      </w:r>
      <w:r>
        <w:rPr>
          <w:rFonts w:ascii="David" w:hAnsi="David" w:hint="cs"/>
          <w:rtl/>
        </w:rPr>
        <w:t>שאינה מבוטלת</w:t>
      </w:r>
      <w:r w:rsidRPr="00AF70BA">
        <w:rPr>
          <w:rFonts w:ascii="David" w:hAnsi="David"/>
          <w:rtl/>
        </w:rPr>
        <w:t xml:space="preserve">.     </w:t>
      </w:r>
    </w:p>
    <w:p w14:paraId="4931C130"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בשים לב לשיקולים </w:t>
      </w:r>
      <w:r>
        <w:rPr>
          <w:rFonts w:ascii="David" w:hAnsi="David" w:hint="cs"/>
          <w:rtl/>
        </w:rPr>
        <w:t xml:space="preserve">אלו- סבורני, כי </w:t>
      </w:r>
      <w:r w:rsidRPr="00AF70BA">
        <w:rPr>
          <w:rFonts w:ascii="David" w:hAnsi="David"/>
          <w:rtl/>
        </w:rPr>
        <w:t>מתחם ה</w:t>
      </w:r>
      <w:r>
        <w:rPr>
          <w:rFonts w:ascii="David" w:hAnsi="David" w:hint="cs"/>
          <w:rtl/>
        </w:rPr>
        <w:t>עונש ההולם הינו החל מ-5</w:t>
      </w:r>
      <w:r w:rsidRPr="00AF70BA">
        <w:rPr>
          <w:rFonts w:ascii="David" w:hAnsi="David"/>
          <w:rtl/>
        </w:rPr>
        <w:t xml:space="preserve"> חודשי מאסר שיכול וירוצו </w:t>
      </w:r>
      <w:r>
        <w:rPr>
          <w:rFonts w:ascii="David" w:hAnsi="David" w:hint="cs"/>
          <w:rtl/>
        </w:rPr>
        <w:t xml:space="preserve">על דרך </w:t>
      </w:r>
      <w:r w:rsidRPr="00AF70BA">
        <w:rPr>
          <w:rFonts w:ascii="David" w:hAnsi="David"/>
          <w:rtl/>
        </w:rPr>
        <w:t xml:space="preserve">עבודות </w:t>
      </w:r>
      <w:r>
        <w:rPr>
          <w:rFonts w:ascii="David" w:hAnsi="David" w:hint="cs"/>
          <w:rtl/>
        </w:rPr>
        <w:t>ה</w:t>
      </w:r>
      <w:r w:rsidRPr="00AF70BA">
        <w:rPr>
          <w:rFonts w:ascii="David" w:hAnsi="David"/>
          <w:rtl/>
        </w:rPr>
        <w:t>שירות ועד ל-18 חודשי מאסר בפועל לצד ענישה נלווית.</w:t>
      </w:r>
    </w:p>
    <w:p w14:paraId="14CD2D86" w14:textId="77777777" w:rsidR="00904EE7" w:rsidRPr="00AF70BA" w:rsidRDefault="00904EE7" w:rsidP="00904EE7">
      <w:pPr>
        <w:spacing w:after="300" w:line="360" w:lineRule="auto"/>
        <w:ind w:left="85"/>
        <w:jc w:val="both"/>
        <w:rPr>
          <w:rFonts w:ascii="David" w:hAnsi="David"/>
          <w:b/>
          <w:bCs/>
        </w:rPr>
      </w:pPr>
      <w:r w:rsidRPr="000E5DA7">
        <w:rPr>
          <w:rFonts w:ascii="David" w:hAnsi="David" w:hint="cs"/>
          <w:b/>
          <w:bCs/>
          <w:u w:val="single"/>
          <w:rtl/>
        </w:rPr>
        <w:t>העונש המתאים לנאשם</w:t>
      </w:r>
      <w:r>
        <w:rPr>
          <w:rFonts w:ascii="David" w:hAnsi="David" w:hint="cs"/>
          <w:b/>
          <w:bCs/>
          <w:rtl/>
        </w:rPr>
        <w:t xml:space="preserve">: </w:t>
      </w:r>
    </w:p>
    <w:p w14:paraId="1E58346A" w14:textId="77777777" w:rsidR="00904EE7" w:rsidRPr="00AF70BA" w:rsidRDefault="00904EE7" w:rsidP="00904EE7">
      <w:pPr>
        <w:numPr>
          <w:ilvl w:val="0"/>
          <w:numId w:val="1"/>
        </w:numPr>
        <w:spacing w:after="300" w:line="360" w:lineRule="auto"/>
        <w:ind w:hanging="635"/>
        <w:jc w:val="both"/>
        <w:rPr>
          <w:rFonts w:ascii="David" w:hAnsi="David"/>
          <w:rtl/>
        </w:rPr>
      </w:pPr>
      <w:r w:rsidRPr="00AF70BA">
        <w:rPr>
          <w:rFonts w:ascii="David" w:hAnsi="David"/>
          <w:rtl/>
        </w:rPr>
        <w:t>לאחר קביעת מתחם הענישה יש לקבוע את עונשו של הנאשם שלפני בטווח הענישה שנקבע. במסגרת קביעה זו ישקול בית שיקולים אישיים הנוגעים לנאשם כגון מצבו האישי, שיקולי שיקום, קבלת אחריות על מעשיו ועוד. בפסיקה נקבע כי במסגרת קביעה זו רשאי בית המשפט להתחשב בנסיבות שאינן קשורות בביצוע העבירה, ועליו לשקול את נסיבותיו האישיות של הנאשם לקולה ולחומרה, כמו גם נסיבות אחרות ככל שמצא שהן רלוונטיות. עוד יתחשב בית המשפט במסגרת שיקולים אלו בשיקולי ההרתעה, ובכללם הרתעת הרבים (</w:t>
      </w:r>
      <w:hyperlink r:id="rId50" w:history="1">
        <w:r w:rsidR="007B4BA1" w:rsidRPr="007B4BA1">
          <w:rPr>
            <w:rFonts w:ascii="David" w:hAnsi="David"/>
            <w:color w:val="0000FF"/>
            <w:u w:val="single"/>
            <w:rtl/>
          </w:rPr>
          <w:t>ת"פ 19163-11-12</w:t>
        </w:r>
      </w:hyperlink>
      <w:r w:rsidRPr="00AF70BA">
        <w:rPr>
          <w:rFonts w:ascii="David" w:hAnsi="David"/>
          <w:rtl/>
        </w:rPr>
        <w:t xml:space="preserve"> </w:t>
      </w:r>
      <w:r w:rsidRPr="00AF70BA">
        <w:rPr>
          <w:rFonts w:ascii="David" w:hAnsi="David"/>
          <w:b/>
          <w:bCs/>
          <w:rtl/>
        </w:rPr>
        <w:t>מדינת ישראל נ' מתתיהו הירשמן</w:t>
      </w:r>
      <w:r w:rsidRPr="00AF70BA">
        <w:rPr>
          <w:rFonts w:ascii="David" w:hAnsi="David"/>
          <w:rtl/>
        </w:rPr>
        <w:t xml:space="preserve"> (24.01.19)). </w:t>
      </w:r>
    </w:p>
    <w:p w14:paraId="38DF8BF8"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 xml:space="preserve">במקרה שלפני אין חולק שהנאשם לא עבר הליך טיפולי. הוא אמנם הצהיר כי בכוונתו לעשות כן אך הגיע רק ל-4 מפגשים מתוך המפגשים שנקבעו. אמנם, אין להטיל את מלוא האחריות על הנאשם לבדו, שכן בגין תקופת הקורונה בוטלו מפגשים רבים, אך ממילא התחושה הייתה שגם במפגשים שהתקיימו לא נתרם הנאשם ולא עבר הליך משמעותי. </w:t>
      </w:r>
    </w:p>
    <w:p w14:paraId="73096B2D" w14:textId="77777777" w:rsidR="00904EE7" w:rsidRPr="00AF70BA" w:rsidRDefault="00904EE7" w:rsidP="00904EE7">
      <w:pPr>
        <w:numPr>
          <w:ilvl w:val="0"/>
          <w:numId w:val="1"/>
        </w:numPr>
        <w:spacing w:after="300" w:line="360" w:lineRule="auto"/>
        <w:ind w:hanging="635"/>
        <w:jc w:val="both"/>
        <w:rPr>
          <w:rFonts w:ascii="David" w:hAnsi="David"/>
        </w:rPr>
      </w:pPr>
      <w:r w:rsidRPr="00AF70BA">
        <w:rPr>
          <w:rFonts w:ascii="David" w:hAnsi="David"/>
          <w:rtl/>
        </w:rPr>
        <w:t>מן העבר השני אין באפשרותי להתעלם מעברו הקשה של הנאשם ומכן שהנאשם עבר מסכת חיים בלתי פשוטה. משפחתו היא משפחה קשת יום, הוא אחד מבין ילדים רבים אשר בשל מצוקתם, הוריו לא הצליחו לספק לו את המענים הנדרשים</w:t>
      </w:r>
      <w:r>
        <w:rPr>
          <w:rFonts w:ascii="David" w:hAnsi="David" w:hint="cs"/>
          <w:rtl/>
        </w:rPr>
        <w:t xml:space="preserve">. </w:t>
      </w:r>
      <w:r w:rsidRPr="00AF70BA">
        <w:rPr>
          <w:rFonts w:ascii="David" w:hAnsi="David"/>
          <w:rtl/>
        </w:rPr>
        <w:t>נסיבות חייו הובילו לכך שנשר ממסגרות הלימוד בגיל צעיר ונחשף בגיל צעיר ביותר לחברת שוליים. כל חבירתו לגורמי השוליים נבעה ממצוקתו ומהצורך בתחושת שייכות.</w:t>
      </w:r>
    </w:p>
    <w:p w14:paraId="4B61A57E" w14:textId="77777777" w:rsidR="00904EE7" w:rsidRPr="00AF70BA" w:rsidRDefault="00904EE7" w:rsidP="00904EE7">
      <w:pPr>
        <w:numPr>
          <w:ilvl w:val="0"/>
          <w:numId w:val="1"/>
        </w:numPr>
        <w:spacing w:after="300" w:line="360" w:lineRule="auto"/>
        <w:ind w:hanging="635"/>
        <w:jc w:val="both"/>
        <w:rPr>
          <w:rFonts w:ascii="David" w:hAnsi="David"/>
        </w:rPr>
      </w:pPr>
      <w:r>
        <w:rPr>
          <w:rFonts w:ascii="David" w:hAnsi="David" w:hint="cs"/>
          <w:rtl/>
        </w:rPr>
        <w:t xml:space="preserve">בנוסף לקחתי בחשבון את הודאתו, </w:t>
      </w:r>
      <w:r w:rsidRPr="00AF70BA">
        <w:rPr>
          <w:rFonts w:ascii="David" w:hAnsi="David"/>
          <w:rtl/>
        </w:rPr>
        <w:t>גילו הצעיר של הנאשם</w:t>
      </w:r>
      <w:r>
        <w:rPr>
          <w:rFonts w:ascii="David" w:hAnsi="David" w:hint="cs"/>
          <w:rtl/>
        </w:rPr>
        <w:t xml:space="preserve"> בעת ביצוען של העבירות</w:t>
      </w:r>
      <w:r w:rsidRPr="00AF70BA">
        <w:rPr>
          <w:rFonts w:ascii="David" w:hAnsi="David"/>
          <w:rtl/>
        </w:rPr>
        <w:t xml:space="preserve">, וכן את היותו, במועד </w:t>
      </w:r>
      <w:r>
        <w:rPr>
          <w:rFonts w:ascii="David" w:hAnsi="David" w:hint="cs"/>
          <w:rtl/>
        </w:rPr>
        <w:t>ביצוען</w:t>
      </w:r>
      <w:r w:rsidRPr="00AF70BA">
        <w:rPr>
          <w:rFonts w:ascii="David" w:hAnsi="David"/>
          <w:rtl/>
        </w:rPr>
        <w:t xml:space="preserve"> נעדר עבר פלילי. </w:t>
      </w:r>
      <w:r>
        <w:rPr>
          <w:rFonts w:ascii="David" w:hAnsi="David" w:hint="cs"/>
          <w:rtl/>
        </w:rPr>
        <w:t>בנוסף יש ליתן משקל לחלוף הזמן, וכן ה</w:t>
      </w:r>
      <w:r w:rsidRPr="00AF70BA">
        <w:rPr>
          <w:rFonts w:ascii="David" w:hAnsi="David"/>
          <w:rtl/>
        </w:rPr>
        <w:t xml:space="preserve">תנאים המגבילים שהוטלו עליו </w:t>
      </w:r>
      <w:r>
        <w:rPr>
          <w:rFonts w:ascii="David" w:hAnsi="David" w:hint="cs"/>
          <w:rtl/>
        </w:rPr>
        <w:t xml:space="preserve">משך תקופה ארוכה- </w:t>
      </w:r>
      <w:r w:rsidRPr="00AF70BA">
        <w:rPr>
          <w:rFonts w:ascii="David" w:hAnsi="David"/>
          <w:rtl/>
        </w:rPr>
        <w:t xml:space="preserve"> מאז חודש מאי 2019 ועד ליום זה. </w:t>
      </w:r>
    </w:p>
    <w:p w14:paraId="7C16AE42" w14:textId="77777777" w:rsidR="00904EE7" w:rsidRDefault="00904EE7" w:rsidP="00904EE7">
      <w:pPr>
        <w:numPr>
          <w:ilvl w:val="0"/>
          <w:numId w:val="1"/>
        </w:numPr>
        <w:spacing w:after="300" w:line="360" w:lineRule="auto"/>
        <w:ind w:hanging="635"/>
        <w:jc w:val="both"/>
        <w:rPr>
          <w:rFonts w:ascii="David" w:hAnsi="David"/>
        </w:rPr>
      </w:pPr>
      <w:r>
        <w:rPr>
          <w:rFonts w:ascii="David" w:hAnsi="David" w:hint="cs"/>
          <w:rtl/>
        </w:rPr>
        <w:t xml:space="preserve">בנסיבות אלו גם מקובלת עליי המלצת שרות המבחן, כי אין מקום </w:t>
      </w:r>
      <w:r w:rsidRPr="00AF70BA">
        <w:rPr>
          <w:rFonts w:ascii="David" w:hAnsi="David"/>
          <w:rtl/>
        </w:rPr>
        <w:t>להורות על מאסר</w:t>
      </w:r>
      <w:r>
        <w:rPr>
          <w:rFonts w:ascii="David" w:hAnsi="David" w:hint="cs"/>
          <w:rtl/>
        </w:rPr>
        <w:t xml:space="preserve">ו של הנאשם בפועל, נוכח גילו הצעיר וכן השלכות המאסר עליו. </w:t>
      </w:r>
      <w:r w:rsidRPr="00AF70BA">
        <w:rPr>
          <w:rFonts w:ascii="David" w:hAnsi="David"/>
          <w:rtl/>
        </w:rPr>
        <w:t xml:space="preserve"> </w:t>
      </w:r>
    </w:p>
    <w:p w14:paraId="0D2811DE" w14:textId="77777777" w:rsidR="00904EE7" w:rsidRPr="00AF70BA" w:rsidRDefault="00904EE7" w:rsidP="00904EE7">
      <w:pPr>
        <w:numPr>
          <w:ilvl w:val="0"/>
          <w:numId w:val="1"/>
        </w:numPr>
        <w:spacing w:after="300" w:line="360" w:lineRule="auto"/>
        <w:ind w:hanging="635"/>
        <w:jc w:val="both"/>
        <w:rPr>
          <w:rFonts w:ascii="David" w:hAnsi="David"/>
        </w:rPr>
      </w:pPr>
      <w:r>
        <w:rPr>
          <w:rFonts w:ascii="David" w:hAnsi="David" w:hint="cs"/>
          <w:rtl/>
        </w:rPr>
        <w:t xml:space="preserve">במכלול הדברים </w:t>
      </w:r>
      <w:r w:rsidRPr="00AF70BA">
        <w:rPr>
          <w:rFonts w:ascii="David" w:hAnsi="David"/>
          <w:rtl/>
        </w:rPr>
        <w:t>חלטתי לגזור את עונשו של הנאשם כ</w:t>
      </w:r>
      <w:r>
        <w:rPr>
          <w:rFonts w:ascii="David" w:hAnsi="David" w:hint="cs"/>
          <w:rtl/>
        </w:rPr>
        <w:t>דלקמן</w:t>
      </w:r>
      <w:r w:rsidRPr="00AF70BA">
        <w:rPr>
          <w:rFonts w:ascii="David" w:hAnsi="David"/>
          <w:rtl/>
        </w:rPr>
        <w:t>:</w:t>
      </w:r>
    </w:p>
    <w:p w14:paraId="554216BD" w14:textId="77777777" w:rsidR="00904EE7" w:rsidRPr="00507C1C" w:rsidRDefault="00904EE7" w:rsidP="00904EE7">
      <w:pPr>
        <w:numPr>
          <w:ilvl w:val="0"/>
          <w:numId w:val="6"/>
        </w:numPr>
        <w:spacing w:after="300" w:line="360" w:lineRule="auto"/>
        <w:jc w:val="both"/>
        <w:rPr>
          <w:rFonts w:ascii="David" w:hAnsi="David"/>
        </w:rPr>
      </w:pPr>
      <w:r>
        <w:rPr>
          <w:rFonts w:ascii="David" w:hAnsi="David" w:hint="cs"/>
          <w:rtl/>
        </w:rPr>
        <w:t>מאסר למשך 7 חודשים אשר ירוצו על דרך עבודות השירות. תחילת עבודות ביום 29.7.2021.</w:t>
      </w:r>
      <w:r w:rsidRPr="00507C1C">
        <w:rPr>
          <w:rFonts w:ascii="David" w:hAnsi="David"/>
          <w:rtl/>
        </w:rPr>
        <w:t xml:space="preserve"> </w:t>
      </w:r>
    </w:p>
    <w:p w14:paraId="636F2720" w14:textId="77777777" w:rsidR="00904EE7" w:rsidRDefault="00904EE7" w:rsidP="00904EE7">
      <w:pPr>
        <w:numPr>
          <w:ilvl w:val="0"/>
          <w:numId w:val="6"/>
        </w:numPr>
        <w:spacing w:after="300" w:line="360" w:lineRule="auto"/>
        <w:jc w:val="both"/>
        <w:rPr>
          <w:rFonts w:ascii="David" w:hAnsi="David"/>
        </w:rPr>
      </w:pPr>
      <w:r w:rsidRPr="00AF70BA">
        <w:rPr>
          <w:rFonts w:ascii="David" w:hAnsi="David"/>
          <w:rtl/>
        </w:rPr>
        <w:t xml:space="preserve">מאסר למשך 3 חודשים </w:t>
      </w:r>
      <w:r>
        <w:rPr>
          <w:rFonts w:ascii="David" w:hAnsi="David" w:hint="cs"/>
          <w:rtl/>
        </w:rPr>
        <w:t>וזאת על תנאי למשך 3 שנים שלא יעבור עבירת אלימות.</w:t>
      </w:r>
    </w:p>
    <w:p w14:paraId="3A3CE7FE" w14:textId="77777777" w:rsidR="00904EE7" w:rsidRDefault="00904EE7" w:rsidP="00904EE7">
      <w:pPr>
        <w:numPr>
          <w:ilvl w:val="0"/>
          <w:numId w:val="6"/>
        </w:numPr>
        <w:spacing w:after="300" w:line="360" w:lineRule="auto"/>
        <w:jc w:val="both"/>
        <w:rPr>
          <w:rFonts w:ascii="David" w:hAnsi="David"/>
        </w:rPr>
      </w:pPr>
      <w:r>
        <w:rPr>
          <w:rFonts w:ascii="David" w:hAnsi="David" w:hint="cs"/>
          <w:rtl/>
        </w:rPr>
        <w:t>מאסר למשך 6 חודשים וזאת על תנאי למשך 3 שנים שלא יעבור עבירת פשע מ</w:t>
      </w:r>
      <w:hyperlink r:id="rId51" w:history="1">
        <w:r w:rsidR="007B4BA1" w:rsidRPr="007B4BA1">
          <w:rPr>
            <w:rFonts w:ascii="David" w:hAnsi="David"/>
            <w:color w:val="0000FF"/>
            <w:u w:val="single"/>
            <w:rtl/>
          </w:rPr>
          <w:t>פקודת הסמים המסוכנים</w:t>
        </w:r>
      </w:hyperlink>
      <w:r>
        <w:rPr>
          <w:rFonts w:ascii="David" w:hAnsi="David" w:hint="cs"/>
          <w:rtl/>
        </w:rPr>
        <w:t>.</w:t>
      </w:r>
    </w:p>
    <w:p w14:paraId="4D9CCE4B" w14:textId="77777777" w:rsidR="00904EE7" w:rsidRDefault="00904EE7" w:rsidP="00904EE7">
      <w:pPr>
        <w:numPr>
          <w:ilvl w:val="0"/>
          <w:numId w:val="6"/>
        </w:numPr>
        <w:spacing w:after="300" w:line="360" w:lineRule="auto"/>
        <w:jc w:val="both"/>
        <w:rPr>
          <w:rFonts w:ascii="David" w:hAnsi="David"/>
        </w:rPr>
      </w:pPr>
      <w:r>
        <w:rPr>
          <w:rFonts w:ascii="David" w:hAnsi="David" w:hint="cs"/>
          <w:rtl/>
        </w:rPr>
        <w:t>מאסר למשך 2 חודשים וזאת על תנאי למשך שלוש שנים שלא יעבור עבירת עוון מ</w:t>
      </w:r>
      <w:hyperlink r:id="rId52" w:history="1">
        <w:r w:rsidR="007B4BA1" w:rsidRPr="007B4BA1">
          <w:rPr>
            <w:rFonts w:ascii="David" w:hAnsi="David"/>
            <w:color w:val="0000FF"/>
            <w:u w:val="single"/>
            <w:rtl/>
          </w:rPr>
          <w:t>פקודת הסמים המסוכנים</w:t>
        </w:r>
      </w:hyperlink>
      <w:r>
        <w:rPr>
          <w:rFonts w:ascii="David" w:hAnsi="David" w:hint="cs"/>
          <w:rtl/>
        </w:rPr>
        <w:t>.</w:t>
      </w:r>
    </w:p>
    <w:p w14:paraId="13A2F6FB" w14:textId="77777777" w:rsidR="00904EE7" w:rsidRDefault="00904EE7" w:rsidP="00904EE7">
      <w:pPr>
        <w:numPr>
          <w:ilvl w:val="0"/>
          <w:numId w:val="6"/>
        </w:numPr>
        <w:spacing w:after="300" w:line="360" w:lineRule="auto"/>
        <w:jc w:val="both"/>
        <w:rPr>
          <w:rFonts w:ascii="David" w:hAnsi="David"/>
        </w:rPr>
      </w:pPr>
      <w:r w:rsidRPr="00AF70BA">
        <w:rPr>
          <w:rFonts w:ascii="David" w:hAnsi="David"/>
          <w:rtl/>
        </w:rPr>
        <w:t>פיצוי בסך</w:t>
      </w:r>
      <w:r>
        <w:rPr>
          <w:rFonts w:ascii="David" w:hAnsi="David" w:hint="cs"/>
          <w:rtl/>
        </w:rPr>
        <w:t xml:space="preserve"> 750 </w:t>
      </w:r>
      <w:r w:rsidRPr="00AF70BA">
        <w:rPr>
          <w:rFonts w:ascii="David" w:hAnsi="David"/>
          <w:rtl/>
        </w:rPr>
        <w:t>₪ למתלוננת</w:t>
      </w:r>
      <w:r>
        <w:rPr>
          <w:rFonts w:ascii="David" w:hAnsi="David" w:hint="cs"/>
          <w:rtl/>
        </w:rPr>
        <w:t>. הפיצוי יופרד במזכירות בית המשפט עד ליום 1.11.2021.</w:t>
      </w:r>
    </w:p>
    <w:p w14:paraId="6DE9A597" w14:textId="77777777" w:rsidR="00904EE7" w:rsidRDefault="00904EE7" w:rsidP="00904EE7">
      <w:pPr>
        <w:numPr>
          <w:ilvl w:val="0"/>
          <w:numId w:val="6"/>
        </w:numPr>
        <w:spacing w:after="300" w:line="360" w:lineRule="auto"/>
        <w:jc w:val="both"/>
        <w:rPr>
          <w:rFonts w:ascii="David" w:hAnsi="David"/>
        </w:rPr>
      </w:pPr>
      <w:r>
        <w:rPr>
          <w:rFonts w:ascii="David" w:hAnsi="David" w:hint="cs"/>
          <w:rtl/>
        </w:rPr>
        <w:t>התחייבות על סך 3500 ₪ להימנע במשך 3 שנים ממועד מתן גזר הדין מביצוע עבירת אלימות ו/או עבירה בניגוד ל</w:t>
      </w:r>
      <w:hyperlink r:id="rId53" w:history="1">
        <w:r w:rsidR="007B4BA1" w:rsidRPr="007B4BA1">
          <w:rPr>
            <w:rFonts w:ascii="David" w:hAnsi="David"/>
            <w:color w:val="0000FF"/>
            <w:u w:val="single"/>
            <w:rtl/>
          </w:rPr>
          <w:t>פקודת הסמים המסוכנים</w:t>
        </w:r>
      </w:hyperlink>
      <w:r>
        <w:rPr>
          <w:rFonts w:ascii="David" w:hAnsi="David" w:hint="cs"/>
          <w:rtl/>
        </w:rPr>
        <w:t xml:space="preserve">. </w:t>
      </w:r>
    </w:p>
    <w:p w14:paraId="37828AB7" w14:textId="77777777" w:rsidR="00904EE7" w:rsidRPr="00AF70BA" w:rsidRDefault="00904EE7" w:rsidP="00904EE7">
      <w:pPr>
        <w:numPr>
          <w:ilvl w:val="0"/>
          <w:numId w:val="6"/>
        </w:numPr>
        <w:spacing w:after="300" w:line="360" w:lineRule="auto"/>
        <w:jc w:val="both"/>
        <w:rPr>
          <w:rFonts w:ascii="David" w:hAnsi="David"/>
        </w:rPr>
      </w:pPr>
      <w:r>
        <w:rPr>
          <w:rFonts w:ascii="David" w:hAnsi="David" w:hint="cs"/>
          <w:rtl/>
        </w:rPr>
        <w:t>הסם יושמד.</w:t>
      </w:r>
      <w:r w:rsidRPr="00AF70BA">
        <w:rPr>
          <w:rFonts w:ascii="David" w:hAnsi="David"/>
          <w:rtl/>
        </w:rPr>
        <w:t xml:space="preserve"> </w:t>
      </w:r>
    </w:p>
    <w:p w14:paraId="261067DF" w14:textId="77777777" w:rsidR="00904EE7" w:rsidRDefault="00904EE7" w:rsidP="00904EE7">
      <w:pPr>
        <w:numPr>
          <w:ilvl w:val="0"/>
          <w:numId w:val="1"/>
        </w:numPr>
        <w:spacing w:after="300" w:line="360" w:lineRule="auto"/>
        <w:ind w:hanging="635"/>
        <w:jc w:val="both"/>
        <w:rPr>
          <w:rFonts w:ascii="David" w:hAnsi="David"/>
        </w:rPr>
      </w:pPr>
      <w:r w:rsidRPr="002C2B8E">
        <w:rPr>
          <w:rFonts w:ascii="David" w:hAnsi="David" w:hint="cs"/>
          <w:b/>
          <w:bCs/>
          <w:u w:val="single"/>
          <w:rtl/>
        </w:rPr>
        <w:t>המזכירות תעביר העתק לשרות המבחן וכן לממונה על עבודות השירות</w:t>
      </w:r>
      <w:r>
        <w:rPr>
          <w:rFonts w:ascii="David" w:hAnsi="David" w:hint="cs"/>
          <w:rtl/>
        </w:rPr>
        <w:t xml:space="preserve">. </w:t>
      </w:r>
    </w:p>
    <w:p w14:paraId="5E6DA43C" w14:textId="77777777" w:rsidR="00904EE7" w:rsidRPr="00AF70BA" w:rsidRDefault="00904EE7" w:rsidP="00904EE7">
      <w:pPr>
        <w:spacing w:after="300" w:line="360" w:lineRule="auto"/>
        <w:ind w:left="720" w:hanging="579"/>
        <w:jc w:val="both"/>
        <w:rPr>
          <w:b/>
          <w:bCs/>
          <w:rtl/>
        </w:rPr>
      </w:pPr>
      <w:r w:rsidRPr="00AF70BA">
        <w:rPr>
          <w:rFonts w:ascii="David" w:hAnsi="David" w:hint="cs"/>
          <w:b/>
          <w:bCs/>
          <w:rtl/>
        </w:rPr>
        <w:t>זכות ערעור</w:t>
      </w:r>
      <w:r>
        <w:rPr>
          <w:rFonts w:ascii="David" w:hAnsi="David" w:hint="cs"/>
          <w:b/>
          <w:bCs/>
          <w:rtl/>
        </w:rPr>
        <w:t xml:space="preserve"> לבית המשפט המחוזי </w:t>
      </w:r>
      <w:r w:rsidRPr="00AF70BA">
        <w:rPr>
          <w:rFonts w:ascii="David" w:hAnsi="David" w:hint="cs"/>
          <w:b/>
          <w:bCs/>
          <w:rtl/>
        </w:rPr>
        <w:t>בתוך 45 ימים.</w:t>
      </w:r>
    </w:p>
    <w:p w14:paraId="2F4283EA" w14:textId="77777777" w:rsidR="00904EE7" w:rsidRPr="007B4BA1" w:rsidRDefault="007B4BA1" w:rsidP="00904EE7">
      <w:pPr>
        <w:rPr>
          <w:color w:val="FFFFFF"/>
          <w:sz w:val="2"/>
          <w:szCs w:val="2"/>
          <w:rtl/>
        </w:rPr>
      </w:pPr>
      <w:r w:rsidRPr="007B4BA1">
        <w:rPr>
          <w:color w:val="FFFFFF"/>
          <w:sz w:val="2"/>
          <w:szCs w:val="2"/>
          <w:rtl/>
        </w:rPr>
        <w:t>5129371</w:t>
      </w:r>
    </w:p>
    <w:p w14:paraId="25CB73FD" w14:textId="77777777" w:rsidR="00904EE7" w:rsidRDefault="007B4BA1" w:rsidP="00904EE7">
      <w:pPr>
        <w:rPr>
          <w:rFonts w:cs="FrankRuehl"/>
          <w:sz w:val="28"/>
          <w:szCs w:val="28"/>
          <w:rtl/>
        </w:rPr>
      </w:pPr>
      <w:bookmarkStart w:id="7" w:name="Nitan"/>
      <w:r w:rsidRPr="007B4BA1">
        <w:rPr>
          <w:rFonts w:ascii="Arial" w:hAnsi="Arial"/>
          <w:color w:val="FFFFFF"/>
          <w:sz w:val="2"/>
          <w:szCs w:val="2"/>
          <w:rtl/>
        </w:rPr>
        <w:t>54678313</w:t>
      </w:r>
      <w:r>
        <w:rPr>
          <w:rFonts w:ascii="Arial" w:hAnsi="Arial"/>
          <w:rtl/>
        </w:rPr>
        <w:t xml:space="preserve">ניתן היום,  י"ב אב תשפ"א, 21 יולי 2021, בנוכחות המאשימה הנאשם ובא כוחו. </w:t>
      </w:r>
      <w:bookmarkEnd w:id="7"/>
    </w:p>
    <w:p w14:paraId="092D6B6F" w14:textId="77777777" w:rsidR="00904EE7" w:rsidRDefault="00904EE7" w:rsidP="007B4BA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E7F2F7B" w14:textId="77777777" w:rsidR="00904EE7" w:rsidRDefault="00904EE7" w:rsidP="00904EE7">
      <w:pPr>
        <w:jc w:val="center"/>
        <w:rPr>
          <w:rFonts w:ascii="Arial" w:hAnsi="Arial" w:cs="FrankRuehl"/>
          <w:sz w:val="28"/>
          <w:szCs w:val="28"/>
          <w:rtl/>
        </w:rPr>
      </w:pPr>
    </w:p>
    <w:p w14:paraId="604D5753" w14:textId="77777777" w:rsidR="00904EE7" w:rsidRDefault="00904EE7" w:rsidP="00904EE7">
      <w:pPr>
        <w:rPr>
          <w:rFonts w:cs="FrankRuehl"/>
          <w:sz w:val="28"/>
          <w:szCs w:val="28"/>
          <w:rtl/>
        </w:rPr>
      </w:pPr>
    </w:p>
    <w:p w14:paraId="121BFC99" w14:textId="77777777" w:rsidR="00904EE7" w:rsidRDefault="00904EE7" w:rsidP="00904EE7">
      <w:pPr>
        <w:pStyle w:val="a3"/>
        <w:jc w:val="center"/>
        <w:rPr>
          <w:rtl/>
        </w:rPr>
      </w:pPr>
    </w:p>
    <w:p w14:paraId="56B62D35" w14:textId="77777777" w:rsidR="0008491D" w:rsidRPr="007B4BA1" w:rsidRDefault="0008491D" w:rsidP="007B4BA1">
      <w:pPr>
        <w:keepNext/>
        <w:rPr>
          <w:rFonts w:ascii="David" w:hAnsi="David"/>
          <w:color w:val="000000"/>
          <w:sz w:val="22"/>
          <w:szCs w:val="22"/>
          <w:rtl/>
        </w:rPr>
      </w:pPr>
    </w:p>
    <w:p w14:paraId="25F129DD" w14:textId="77777777" w:rsidR="007B4BA1" w:rsidRPr="007B4BA1" w:rsidRDefault="007B4BA1" w:rsidP="007B4BA1">
      <w:pPr>
        <w:keepNext/>
        <w:rPr>
          <w:rFonts w:ascii="David" w:hAnsi="David"/>
          <w:color w:val="000000"/>
          <w:sz w:val="22"/>
          <w:szCs w:val="22"/>
          <w:rtl/>
        </w:rPr>
      </w:pPr>
      <w:r w:rsidRPr="007B4BA1">
        <w:rPr>
          <w:rFonts w:ascii="David" w:hAnsi="David"/>
          <w:color w:val="000000"/>
          <w:sz w:val="22"/>
          <w:szCs w:val="22"/>
          <w:rtl/>
        </w:rPr>
        <w:t>ארנון איתן 54678313</w:t>
      </w:r>
    </w:p>
    <w:p w14:paraId="2FDFD46F" w14:textId="77777777" w:rsidR="007B4BA1" w:rsidRDefault="007B4BA1" w:rsidP="007B4BA1">
      <w:r w:rsidRPr="007B4BA1">
        <w:rPr>
          <w:color w:val="000000"/>
          <w:rtl/>
        </w:rPr>
        <w:t>נוסח מסמך זה כפוף לשינויי ניסוח ועריכה</w:t>
      </w:r>
    </w:p>
    <w:p w14:paraId="38E5754D" w14:textId="77777777" w:rsidR="007B4BA1" w:rsidRDefault="007B4BA1" w:rsidP="007B4BA1">
      <w:pPr>
        <w:rPr>
          <w:rtl/>
        </w:rPr>
      </w:pPr>
    </w:p>
    <w:p w14:paraId="55D1CFAE" w14:textId="77777777" w:rsidR="007B4BA1" w:rsidRDefault="007B4BA1" w:rsidP="007B4BA1">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6D1935B4" w14:textId="77777777" w:rsidR="007B4BA1" w:rsidRPr="007B4BA1" w:rsidRDefault="007B4BA1" w:rsidP="007B4BA1">
      <w:pPr>
        <w:jc w:val="center"/>
        <w:rPr>
          <w:color w:val="0000FF"/>
          <w:u w:val="single"/>
        </w:rPr>
      </w:pPr>
    </w:p>
    <w:sectPr w:rsidR="007B4BA1" w:rsidRPr="007B4BA1" w:rsidSect="007B4BA1">
      <w:headerReference w:type="even" r:id="rId55"/>
      <w:headerReference w:type="default" r:id="rId56"/>
      <w:footerReference w:type="even" r:id="rId57"/>
      <w:footerReference w:type="default" r:id="rId58"/>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CCDCD" w14:textId="77777777" w:rsidR="00FD7219" w:rsidRDefault="00FD7219" w:rsidP="00F50B0D">
      <w:r>
        <w:separator/>
      </w:r>
    </w:p>
  </w:endnote>
  <w:endnote w:type="continuationSeparator" w:id="0">
    <w:p w14:paraId="2808BD20" w14:textId="77777777" w:rsidR="00FD7219" w:rsidRDefault="00FD7219" w:rsidP="00F5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82337" w14:textId="77777777" w:rsidR="007B4BA1" w:rsidRDefault="007B4BA1" w:rsidP="007B4B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4BB75E" w14:textId="77777777" w:rsidR="006028CA" w:rsidRPr="007B4BA1" w:rsidRDefault="007B4BA1" w:rsidP="007B4B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181FC" w14:textId="77777777" w:rsidR="007B4BA1" w:rsidRDefault="007B4BA1" w:rsidP="007B4B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3474">
      <w:rPr>
        <w:rFonts w:ascii="FrankRuehl" w:hAnsi="FrankRuehl" w:cs="FrankRuehl"/>
        <w:noProof/>
        <w:rtl/>
      </w:rPr>
      <w:t>1</w:t>
    </w:r>
    <w:r>
      <w:rPr>
        <w:rFonts w:ascii="FrankRuehl" w:hAnsi="FrankRuehl" w:cs="FrankRuehl"/>
        <w:rtl/>
      </w:rPr>
      <w:fldChar w:fldCharType="end"/>
    </w:r>
  </w:p>
  <w:p w14:paraId="6604463C" w14:textId="77777777" w:rsidR="006028CA" w:rsidRPr="007B4BA1" w:rsidRDefault="007B4BA1" w:rsidP="007B4B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FFE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8DA8F" w14:textId="77777777" w:rsidR="00FD7219" w:rsidRDefault="00FD7219" w:rsidP="00F50B0D">
      <w:r>
        <w:separator/>
      </w:r>
    </w:p>
  </w:footnote>
  <w:footnote w:type="continuationSeparator" w:id="0">
    <w:p w14:paraId="77B91FB6" w14:textId="77777777" w:rsidR="00FD7219" w:rsidRDefault="00FD7219" w:rsidP="00F50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AAC08" w14:textId="77777777" w:rsidR="007B4BA1" w:rsidRPr="007B4BA1" w:rsidRDefault="007B4BA1" w:rsidP="007B4B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4781-05-19</w:t>
    </w:r>
    <w:r>
      <w:rPr>
        <w:rFonts w:ascii="David" w:hAnsi="David"/>
        <w:color w:val="000000"/>
        <w:sz w:val="22"/>
        <w:szCs w:val="22"/>
        <w:rtl/>
      </w:rPr>
      <w:tab/>
      <w:t xml:space="preserve"> מדינת ישראל נ' מאיר פהימה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EF425" w14:textId="77777777" w:rsidR="007B4BA1" w:rsidRPr="007B4BA1" w:rsidRDefault="007B4BA1" w:rsidP="007B4B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4781-05-19</w:t>
    </w:r>
    <w:r>
      <w:rPr>
        <w:rFonts w:ascii="David" w:hAnsi="David"/>
        <w:color w:val="000000"/>
        <w:sz w:val="22"/>
        <w:szCs w:val="22"/>
        <w:rtl/>
      </w:rPr>
      <w:tab/>
      <w:t xml:space="preserve"> מדינת ישראל נ' מאיר פהימה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51EAA"/>
    <w:multiLevelType w:val="hybridMultilevel"/>
    <w:tmpl w:val="4F583614"/>
    <w:lvl w:ilvl="0" w:tplc="21CCE048">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1E31070D"/>
    <w:multiLevelType w:val="hybridMultilevel"/>
    <w:tmpl w:val="ABF68F60"/>
    <w:lvl w:ilvl="0" w:tplc="BC3025FE">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2B2E3D02"/>
    <w:multiLevelType w:val="hybridMultilevel"/>
    <w:tmpl w:val="B2B4532E"/>
    <w:lvl w:ilvl="0" w:tplc="5E58B1E2">
      <w:start w:val="1"/>
      <w:numFmt w:val="decimal"/>
      <w:lvlText w:val="%1."/>
      <w:lvlJc w:val="left"/>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95B0F26"/>
    <w:multiLevelType w:val="hybridMultilevel"/>
    <w:tmpl w:val="70E6857A"/>
    <w:lvl w:ilvl="0" w:tplc="3EDC10AE">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5ED85A63"/>
    <w:multiLevelType w:val="hybridMultilevel"/>
    <w:tmpl w:val="BBCAEB38"/>
    <w:lvl w:ilvl="0" w:tplc="4596DF3E">
      <w:start w:val="1"/>
      <w:numFmt w:val="hebrew1"/>
      <w:lvlText w:val="%1."/>
      <w:lvlJc w:val="center"/>
      <w:pPr>
        <w:ind w:left="1440" w:hanging="360"/>
      </w:pPr>
      <w:rPr>
        <w:rFonts w:cs="David"/>
        <w:lang w:val="en-US"/>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6A953106"/>
    <w:multiLevelType w:val="hybridMultilevel"/>
    <w:tmpl w:val="07A0CC92"/>
    <w:lvl w:ilvl="0" w:tplc="B38A3916">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373848247">
    <w:abstractNumId w:val="2"/>
  </w:num>
  <w:num w:numId="2" w16cid:durableId="1376664789">
    <w:abstractNumId w:val="3"/>
  </w:num>
  <w:num w:numId="3" w16cid:durableId="1716857029">
    <w:abstractNumId w:val="5"/>
  </w:num>
  <w:num w:numId="4" w16cid:durableId="1025405027">
    <w:abstractNumId w:val="1"/>
  </w:num>
  <w:num w:numId="5" w16cid:durableId="1306861905">
    <w:abstractNumId w:val="0"/>
  </w:num>
  <w:num w:numId="6" w16cid:durableId="1206873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4EE7"/>
    <w:rsid w:val="0008491D"/>
    <w:rsid w:val="001B5A3B"/>
    <w:rsid w:val="005C7FD0"/>
    <w:rsid w:val="005E73AD"/>
    <w:rsid w:val="006028CA"/>
    <w:rsid w:val="007B4BA1"/>
    <w:rsid w:val="007E7A8B"/>
    <w:rsid w:val="00904EE7"/>
    <w:rsid w:val="00B362C0"/>
    <w:rsid w:val="00B67C08"/>
    <w:rsid w:val="00BF3474"/>
    <w:rsid w:val="00DE301D"/>
    <w:rsid w:val="00E21041"/>
    <w:rsid w:val="00E47B19"/>
    <w:rsid w:val="00F50B0D"/>
    <w:rsid w:val="00F73407"/>
    <w:rsid w:val="00FD72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A60FC7"/>
  <w15:chartTrackingRefBased/>
  <w15:docId w15:val="{B7900297-9721-4314-9D84-032E4A5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4E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4EE7"/>
    <w:pPr>
      <w:tabs>
        <w:tab w:val="center" w:pos="4153"/>
        <w:tab w:val="right" w:pos="8306"/>
      </w:tabs>
    </w:pPr>
  </w:style>
  <w:style w:type="character" w:customStyle="1" w:styleId="a4">
    <w:name w:val="כותרת עליונה תו"/>
    <w:link w:val="a3"/>
    <w:rsid w:val="00904EE7"/>
    <w:rPr>
      <w:rFonts w:ascii="Times New Roman" w:eastAsia="Times New Roman" w:hAnsi="Times New Roman" w:cs="David"/>
      <w:sz w:val="24"/>
      <w:szCs w:val="24"/>
    </w:rPr>
  </w:style>
  <w:style w:type="paragraph" w:styleId="a5">
    <w:name w:val="footer"/>
    <w:basedOn w:val="a"/>
    <w:link w:val="a6"/>
    <w:rsid w:val="00904EE7"/>
    <w:pPr>
      <w:tabs>
        <w:tab w:val="center" w:pos="4153"/>
        <w:tab w:val="right" w:pos="8306"/>
      </w:tabs>
    </w:pPr>
  </w:style>
  <w:style w:type="character" w:customStyle="1" w:styleId="a6">
    <w:name w:val="כותרת תחתונה תו"/>
    <w:link w:val="a5"/>
    <w:rsid w:val="00904EE7"/>
    <w:rPr>
      <w:rFonts w:ascii="Times New Roman" w:eastAsia="Times New Roman" w:hAnsi="Times New Roman" w:cs="David"/>
      <w:sz w:val="24"/>
      <w:szCs w:val="24"/>
    </w:rPr>
  </w:style>
  <w:style w:type="table" w:styleId="a7">
    <w:name w:val="Table Grid"/>
    <w:basedOn w:val="a1"/>
    <w:rsid w:val="00904E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4EE7"/>
  </w:style>
  <w:style w:type="character" w:styleId="Hyperlink">
    <w:name w:val="Hyperlink"/>
    <w:rsid w:val="007B4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6284047" TargetMode="External"/><Relationship Id="rId39" Type="http://schemas.openxmlformats.org/officeDocument/2006/relationships/hyperlink" Target="http://www.nevo.co.il/case/21477472" TargetMode="External"/><Relationship Id="rId21" Type="http://schemas.openxmlformats.org/officeDocument/2006/relationships/hyperlink" Target="http://www.nevo.co.il/case/20622819" TargetMode="External"/><Relationship Id="rId34" Type="http://schemas.openxmlformats.org/officeDocument/2006/relationships/hyperlink" Target="http://www.nevo.co.il/case/5726579" TargetMode="External"/><Relationship Id="rId42" Type="http://schemas.openxmlformats.org/officeDocument/2006/relationships/hyperlink" Target="http://www.nevo.co.il/case/3892678" TargetMode="External"/><Relationship Id="rId47" Type="http://schemas.openxmlformats.org/officeDocument/2006/relationships/hyperlink" Target="http://www.nevo.co.il/case/20199517" TargetMode="External"/><Relationship Id="rId50" Type="http://schemas.openxmlformats.org/officeDocument/2006/relationships/hyperlink" Target="http://www.nevo.co.il/case/4034619" TargetMode="External"/><Relationship Id="rId55" Type="http://schemas.openxmlformats.org/officeDocument/2006/relationships/header" Target="header1.xml"/><Relationship Id="rId7" Type="http://schemas.openxmlformats.org/officeDocument/2006/relationships/hyperlink" Target="http://www.nevo.co.il/case/25661091"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2173635"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1473703" TargetMode="External"/><Relationship Id="rId32" Type="http://schemas.openxmlformats.org/officeDocument/2006/relationships/hyperlink" Target="http://www.nevo.co.il/law/4216/19a" TargetMode="External"/><Relationship Id="rId37" Type="http://schemas.openxmlformats.org/officeDocument/2006/relationships/hyperlink" Target="http://www.nevo.co.il/case/5681787" TargetMode="External"/><Relationship Id="rId40" Type="http://schemas.openxmlformats.org/officeDocument/2006/relationships/hyperlink" Target="http://www.nevo.co.il/case/7012287" TargetMode="External"/><Relationship Id="rId45" Type="http://schemas.openxmlformats.org/officeDocument/2006/relationships/hyperlink" Target="http://www.nevo.co.il/case/24319534"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380"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0000750" TargetMode="External"/><Relationship Id="rId27" Type="http://schemas.openxmlformats.org/officeDocument/2006/relationships/hyperlink" Target="http://www.nevo.co.il/case/18082261" TargetMode="External"/><Relationship Id="rId30" Type="http://schemas.openxmlformats.org/officeDocument/2006/relationships/hyperlink" Target="http://www.nevo.co.il/law/70301/40i" TargetMode="External"/><Relationship Id="rId35" Type="http://schemas.openxmlformats.org/officeDocument/2006/relationships/hyperlink" Target="http://www.nevo.co.il/case/23827604" TargetMode="External"/><Relationship Id="rId43" Type="http://schemas.openxmlformats.org/officeDocument/2006/relationships/hyperlink" Target="http://www.nevo.co.il/case/11213700" TargetMode="External"/><Relationship Id="rId48" Type="http://schemas.openxmlformats.org/officeDocument/2006/relationships/hyperlink" Target="http://www.nevo.co.il/law/70301/40i" TargetMode="External"/><Relationship Id="rId56" Type="http://schemas.openxmlformats.org/officeDocument/2006/relationships/header" Target="header2.xml"/><Relationship Id="rId8" Type="http://schemas.openxmlformats.org/officeDocument/2006/relationships/hyperlink" Target="http://www.nevo.co.il/case/25188333%09"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4140543"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5787128" TargetMode="External"/><Relationship Id="rId46" Type="http://schemas.openxmlformats.org/officeDocument/2006/relationships/hyperlink" Target="http://www.nevo.co.il/case/25053162"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case/17978777"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0" TargetMode="External"/><Relationship Id="rId23" Type="http://schemas.openxmlformats.org/officeDocument/2006/relationships/hyperlink" Target="http://www.nevo.co.il/case/7977368" TargetMode="External"/><Relationship Id="rId28" Type="http://schemas.openxmlformats.org/officeDocument/2006/relationships/hyperlink" Target="http://www.nevo.co.il/case/16941543" TargetMode="External"/><Relationship Id="rId36" Type="http://schemas.openxmlformats.org/officeDocument/2006/relationships/hyperlink" Target="http://www.nevo.co.il/case/25973238" TargetMode="External"/><Relationship Id="rId49" Type="http://schemas.openxmlformats.org/officeDocument/2006/relationships/hyperlink" Target="http://www.nevo.co.il/law/70301" TargetMode="External"/><Relationship Id="rId57" Type="http://schemas.openxmlformats.org/officeDocument/2006/relationships/footer" Target="footer1.xm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856999" TargetMode="External"/><Relationship Id="rId52" Type="http://schemas.openxmlformats.org/officeDocument/2006/relationships/hyperlink" Target="http://www.nevo.co.il/law/421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3568</Words>
  <Characters>17845</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21371</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3670129</vt:i4>
      </vt:variant>
      <vt:variant>
        <vt:i4>129</vt:i4>
      </vt:variant>
      <vt:variant>
        <vt:i4>0</vt:i4>
      </vt:variant>
      <vt:variant>
        <vt:i4>5</vt:i4>
      </vt:variant>
      <vt:variant>
        <vt:lpwstr>http://www.nevo.co.il/case/4034619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3866744</vt:i4>
      </vt:variant>
      <vt:variant>
        <vt:i4>120</vt:i4>
      </vt:variant>
      <vt:variant>
        <vt:i4>0</vt:i4>
      </vt:variant>
      <vt:variant>
        <vt:i4>5</vt:i4>
      </vt:variant>
      <vt:variant>
        <vt:lpwstr>http://www.nevo.co.il/case/20199517</vt:lpwstr>
      </vt:variant>
      <vt:variant>
        <vt:lpwstr/>
      </vt:variant>
      <vt:variant>
        <vt:i4>3604597</vt:i4>
      </vt:variant>
      <vt:variant>
        <vt:i4>117</vt:i4>
      </vt:variant>
      <vt:variant>
        <vt:i4>0</vt:i4>
      </vt:variant>
      <vt:variant>
        <vt:i4>5</vt:i4>
      </vt:variant>
      <vt:variant>
        <vt:lpwstr>http://www.nevo.co.il/case/25053162</vt:lpwstr>
      </vt:variant>
      <vt:variant>
        <vt:lpwstr/>
      </vt:variant>
      <vt:variant>
        <vt:i4>3866740</vt:i4>
      </vt:variant>
      <vt:variant>
        <vt:i4>114</vt:i4>
      </vt:variant>
      <vt:variant>
        <vt:i4>0</vt:i4>
      </vt:variant>
      <vt:variant>
        <vt:i4>5</vt:i4>
      </vt:variant>
      <vt:variant>
        <vt:lpwstr>http://www.nevo.co.il/case/24319534</vt:lpwstr>
      </vt:variant>
      <vt:variant>
        <vt:lpwstr/>
      </vt:variant>
      <vt:variant>
        <vt:i4>3473530</vt:i4>
      </vt:variant>
      <vt:variant>
        <vt:i4>111</vt:i4>
      </vt:variant>
      <vt:variant>
        <vt:i4>0</vt:i4>
      </vt:variant>
      <vt:variant>
        <vt:i4>5</vt:i4>
      </vt:variant>
      <vt:variant>
        <vt:lpwstr>http://www.nevo.co.il/case/22856999</vt:lpwstr>
      </vt:variant>
      <vt:variant>
        <vt:lpwstr/>
      </vt:variant>
      <vt:variant>
        <vt:i4>3145843</vt:i4>
      </vt:variant>
      <vt:variant>
        <vt:i4>108</vt:i4>
      </vt:variant>
      <vt:variant>
        <vt:i4>0</vt:i4>
      </vt:variant>
      <vt:variant>
        <vt:i4>5</vt:i4>
      </vt:variant>
      <vt:variant>
        <vt:lpwstr>http://www.nevo.co.il/case/11213700</vt:lpwstr>
      </vt:variant>
      <vt:variant>
        <vt:lpwstr/>
      </vt:variant>
      <vt:variant>
        <vt:i4>3407993</vt:i4>
      </vt:variant>
      <vt:variant>
        <vt:i4>105</vt:i4>
      </vt:variant>
      <vt:variant>
        <vt:i4>0</vt:i4>
      </vt:variant>
      <vt:variant>
        <vt:i4>5</vt:i4>
      </vt:variant>
      <vt:variant>
        <vt:lpwstr>http://www.nevo.co.il/case/3892678</vt:lpwstr>
      </vt:variant>
      <vt:variant>
        <vt:lpwstr/>
      </vt:variant>
      <vt:variant>
        <vt:i4>3604595</vt:i4>
      </vt:variant>
      <vt:variant>
        <vt:i4>102</vt:i4>
      </vt:variant>
      <vt:variant>
        <vt:i4>0</vt:i4>
      </vt:variant>
      <vt:variant>
        <vt:i4>5</vt:i4>
      </vt:variant>
      <vt:variant>
        <vt:lpwstr>http://www.nevo.co.il/case/17978777</vt:lpwstr>
      </vt:variant>
      <vt:variant>
        <vt:lpwstr/>
      </vt:variant>
      <vt:variant>
        <vt:i4>3342462</vt:i4>
      </vt:variant>
      <vt:variant>
        <vt:i4>99</vt:i4>
      </vt:variant>
      <vt:variant>
        <vt:i4>0</vt:i4>
      </vt:variant>
      <vt:variant>
        <vt:i4>5</vt:i4>
      </vt:variant>
      <vt:variant>
        <vt:lpwstr>http://www.nevo.co.il/case/7012287</vt:lpwstr>
      </vt:variant>
      <vt:variant>
        <vt:lpwstr/>
      </vt:variant>
      <vt:variant>
        <vt:i4>3539062</vt:i4>
      </vt:variant>
      <vt:variant>
        <vt:i4>96</vt:i4>
      </vt:variant>
      <vt:variant>
        <vt:i4>0</vt:i4>
      </vt:variant>
      <vt:variant>
        <vt:i4>5</vt:i4>
      </vt:variant>
      <vt:variant>
        <vt:lpwstr>http://www.nevo.co.il/case/21477472</vt:lpwstr>
      </vt:variant>
      <vt:variant>
        <vt:lpwstr/>
      </vt:variant>
      <vt:variant>
        <vt:i4>3407990</vt:i4>
      </vt:variant>
      <vt:variant>
        <vt:i4>93</vt:i4>
      </vt:variant>
      <vt:variant>
        <vt:i4>0</vt:i4>
      </vt:variant>
      <vt:variant>
        <vt:i4>5</vt:i4>
      </vt:variant>
      <vt:variant>
        <vt:lpwstr>http://www.nevo.co.il/case/5787128</vt:lpwstr>
      </vt:variant>
      <vt:variant>
        <vt:lpwstr/>
      </vt:variant>
      <vt:variant>
        <vt:i4>3997819</vt:i4>
      </vt:variant>
      <vt:variant>
        <vt:i4>90</vt:i4>
      </vt:variant>
      <vt:variant>
        <vt:i4>0</vt:i4>
      </vt:variant>
      <vt:variant>
        <vt:i4>5</vt:i4>
      </vt:variant>
      <vt:variant>
        <vt:lpwstr>http://www.nevo.co.il/case/5681787</vt:lpwstr>
      </vt:variant>
      <vt:variant>
        <vt:lpwstr/>
      </vt:variant>
      <vt:variant>
        <vt:i4>3866740</vt:i4>
      </vt:variant>
      <vt:variant>
        <vt:i4>87</vt:i4>
      </vt:variant>
      <vt:variant>
        <vt:i4>0</vt:i4>
      </vt:variant>
      <vt:variant>
        <vt:i4>5</vt:i4>
      </vt:variant>
      <vt:variant>
        <vt:lpwstr>http://www.nevo.co.il/case/25973238</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3866738</vt:i4>
      </vt:variant>
      <vt:variant>
        <vt:i4>81</vt:i4>
      </vt:variant>
      <vt:variant>
        <vt:i4>0</vt:i4>
      </vt:variant>
      <vt:variant>
        <vt:i4>5</vt:i4>
      </vt:variant>
      <vt:variant>
        <vt:lpwstr>http://www.nevo.co.il/case/5726579</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3342455</vt:i4>
      </vt:variant>
      <vt:variant>
        <vt:i4>66</vt:i4>
      </vt:variant>
      <vt:variant>
        <vt:i4>0</vt:i4>
      </vt:variant>
      <vt:variant>
        <vt:i4>5</vt:i4>
      </vt:variant>
      <vt:variant>
        <vt:lpwstr>http://www.nevo.co.il/case/22173635</vt:lpwstr>
      </vt:variant>
      <vt:variant>
        <vt:lpwstr/>
      </vt:variant>
      <vt:variant>
        <vt:i4>3997811</vt:i4>
      </vt:variant>
      <vt:variant>
        <vt:i4>63</vt:i4>
      </vt:variant>
      <vt:variant>
        <vt:i4>0</vt:i4>
      </vt:variant>
      <vt:variant>
        <vt:i4>5</vt:i4>
      </vt:variant>
      <vt:variant>
        <vt:lpwstr>http://www.nevo.co.il/case/16941543</vt:lpwstr>
      </vt:variant>
      <vt:variant>
        <vt:lpwstr/>
      </vt:variant>
      <vt:variant>
        <vt:i4>3473526</vt:i4>
      </vt:variant>
      <vt:variant>
        <vt:i4>60</vt:i4>
      </vt:variant>
      <vt:variant>
        <vt:i4>0</vt:i4>
      </vt:variant>
      <vt:variant>
        <vt:i4>5</vt:i4>
      </vt:variant>
      <vt:variant>
        <vt:lpwstr>http://www.nevo.co.il/case/18082261</vt:lpwstr>
      </vt:variant>
      <vt:variant>
        <vt:lpwstr/>
      </vt:variant>
      <vt:variant>
        <vt:i4>3145850</vt:i4>
      </vt:variant>
      <vt:variant>
        <vt:i4>57</vt:i4>
      </vt:variant>
      <vt:variant>
        <vt:i4>0</vt:i4>
      </vt:variant>
      <vt:variant>
        <vt:i4>5</vt:i4>
      </vt:variant>
      <vt:variant>
        <vt:lpwstr>http://www.nevo.co.il/case/26284047</vt:lpwstr>
      </vt:variant>
      <vt:variant>
        <vt:lpwstr/>
      </vt:variant>
      <vt:variant>
        <vt:i4>3604593</vt:i4>
      </vt:variant>
      <vt:variant>
        <vt:i4>54</vt:i4>
      </vt:variant>
      <vt:variant>
        <vt:i4>0</vt:i4>
      </vt:variant>
      <vt:variant>
        <vt:i4>5</vt:i4>
      </vt:variant>
      <vt:variant>
        <vt:lpwstr>http://www.nevo.co.il/case/24140543</vt:lpwstr>
      </vt:variant>
      <vt:variant>
        <vt:lpwstr/>
      </vt:variant>
      <vt:variant>
        <vt:i4>3473525</vt:i4>
      </vt:variant>
      <vt:variant>
        <vt:i4>51</vt:i4>
      </vt:variant>
      <vt:variant>
        <vt:i4>0</vt:i4>
      </vt:variant>
      <vt:variant>
        <vt:i4>5</vt:i4>
      </vt:variant>
      <vt:variant>
        <vt:lpwstr>http://www.nevo.co.il/case/21473703</vt:lpwstr>
      </vt:variant>
      <vt:variant>
        <vt:lpwstr/>
      </vt:variant>
      <vt:variant>
        <vt:i4>3866748</vt:i4>
      </vt:variant>
      <vt:variant>
        <vt:i4>48</vt:i4>
      </vt:variant>
      <vt:variant>
        <vt:i4>0</vt:i4>
      </vt:variant>
      <vt:variant>
        <vt:i4>5</vt:i4>
      </vt:variant>
      <vt:variant>
        <vt:lpwstr>http://www.nevo.co.il/case/7977368</vt:lpwstr>
      </vt:variant>
      <vt:variant>
        <vt:lpwstr/>
      </vt:variant>
      <vt:variant>
        <vt:i4>3604595</vt:i4>
      </vt:variant>
      <vt:variant>
        <vt:i4>45</vt:i4>
      </vt:variant>
      <vt:variant>
        <vt:i4>0</vt:i4>
      </vt:variant>
      <vt:variant>
        <vt:i4>5</vt:i4>
      </vt:variant>
      <vt:variant>
        <vt:lpwstr>http://www.nevo.co.il/case/20000750</vt:lpwstr>
      </vt:variant>
      <vt:variant>
        <vt:lpwstr/>
      </vt:variant>
      <vt:variant>
        <vt:i4>3604606</vt:i4>
      </vt:variant>
      <vt:variant>
        <vt:i4>42</vt:i4>
      </vt:variant>
      <vt:variant>
        <vt:i4>0</vt:i4>
      </vt:variant>
      <vt:variant>
        <vt:i4>5</vt:i4>
      </vt:variant>
      <vt:variant>
        <vt:lpwstr>http://www.nevo.co.il/case/20622819</vt:lpwstr>
      </vt:variant>
      <vt:variant>
        <vt:lpwstr/>
      </vt:variant>
      <vt:variant>
        <vt:i4>7995492</vt:i4>
      </vt:variant>
      <vt:variant>
        <vt:i4>39</vt:i4>
      </vt:variant>
      <vt:variant>
        <vt:i4>0</vt:i4>
      </vt:variant>
      <vt:variant>
        <vt:i4>5</vt:i4>
      </vt:variant>
      <vt:variant>
        <vt:lpwstr>http://www.nevo.co.il/law/70301</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8257637</vt:i4>
      </vt:variant>
      <vt:variant>
        <vt:i4>33</vt:i4>
      </vt:variant>
      <vt:variant>
        <vt:i4>0</vt:i4>
      </vt:variant>
      <vt:variant>
        <vt:i4>5</vt:i4>
      </vt:variant>
      <vt:variant>
        <vt:lpwstr>http://www.nevo.co.il/law/4216</vt:lpwstr>
      </vt:variant>
      <vt:variant>
        <vt:lpwstr/>
      </vt:variant>
      <vt:variant>
        <vt:i4>6357107</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3670138</vt:i4>
      </vt:variant>
      <vt:variant>
        <vt:i4>3</vt:i4>
      </vt:variant>
      <vt:variant>
        <vt:i4>0</vt:i4>
      </vt:variant>
      <vt:variant>
        <vt:i4>5</vt:i4>
      </vt:variant>
      <vt:variant>
        <vt:lpwstr>http://www.nevo.co.il/case/25188333</vt:lpwstr>
      </vt:variant>
      <vt:variant>
        <vt:lpwstr/>
      </vt:variant>
      <vt:variant>
        <vt:i4>3932279</vt:i4>
      </vt:variant>
      <vt:variant>
        <vt:i4>0</vt:i4>
      </vt:variant>
      <vt:variant>
        <vt:i4>0</vt:i4>
      </vt:variant>
      <vt:variant>
        <vt:i4>5</vt:i4>
      </vt:variant>
      <vt:variant>
        <vt:lpwstr>http://www.nevo.co.il/case/25661091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4781;69138</vt:lpwstr>
  </property>
  <property fmtid="{D5CDD505-2E9C-101B-9397-08002B2CF9AE}" pid="6" name="NEWPARTB">
    <vt:lpwstr>05;11</vt:lpwstr>
  </property>
  <property fmtid="{D5CDD505-2E9C-101B-9397-08002B2CF9AE}" pid="7" name="NEWPARTC">
    <vt:lpwstr>19;18</vt:lpwstr>
  </property>
  <property fmtid="{D5CDD505-2E9C-101B-9397-08002B2CF9AE}" pid="8" name="APPELLANT">
    <vt:lpwstr>מדינת ישראל</vt:lpwstr>
  </property>
  <property fmtid="{D5CDD505-2E9C-101B-9397-08002B2CF9AE}" pid="9" name="APPELLEE">
    <vt:lpwstr>מאיר פהימה</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20210721</vt:lpwstr>
  </property>
  <property fmtid="{D5CDD505-2E9C-101B-9397-08002B2CF9AE}" pid="13" name="TYPE_N_DATE">
    <vt:lpwstr>38020210721</vt:lpwstr>
  </property>
  <property fmtid="{D5CDD505-2E9C-101B-9397-08002B2CF9AE}" pid="14" name="WORDNUMPAGES">
    <vt:lpwstr>11</vt:lpwstr>
  </property>
  <property fmtid="{D5CDD505-2E9C-101B-9397-08002B2CF9AE}" pid="15" name="TYPE_ABS_DATE">
    <vt:lpwstr>380020210721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25661091;25188333;20622819;20000750;7977368;21473703;24140543;26284047;18082261;16941543;22173635;5786821;5726579;23827604;25973238;5681787;5787128;21477472;7012287;17978777;3892678;11213700;22856999;24319534;25053162;20199517;4034619</vt:lpwstr>
  </property>
  <property fmtid="{D5CDD505-2E9C-101B-9397-08002B2CF9AE}" pid="36" name="LAWLISTTMP1">
    <vt:lpwstr>4216/013;019.a;019a</vt:lpwstr>
  </property>
  <property fmtid="{D5CDD505-2E9C-101B-9397-08002B2CF9AE}" pid="37" name="LAWLISTTMP2">
    <vt:lpwstr>70301/380;040i:2</vt:lpwstr>
  </property>
</Properties>
</file>