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63032A" w:rsidRPr="00FC580D" w14:paraId="17B0C6A6" w14:textId="77777777" w:rsidTr="00FC580D">
        <w:trPr>
          <w:trHeight w:hRule="exact" w:val="418"/>
          <w:jc w:val="center"/>
        </w:trPr>
        <w:tc>
          <w:tcPr>
            <w:tcW w:w="8721" w:type="dxa"/>
            <w:gridSpan w:val="2"/>
          </w:tcPr>
          <w:p w14:paraId="7AB548A4" w14:textId="77777777" w:rsidR="0063032A" w:rsidRPr="00FC580D" w:rsidRDefault="0063032A" w:rsidP="00CD3209">
            <w:pPr>
              <w:pStyle w:val="a4"/>
              <w:jc w:val="center"/>
              <w:rPr>
                <w:rFonts w:ascii="Tahoma" w:hAnsi="Tahoma"/>
                <w:color w:val="000080"/>
                <w:rtl/>
              </w:rPr>
            </w:pPr>
            <w:bookmarkStart w:id="0" w:name="LastJudge"/>
            <w:r w:rsidRPr="00FC580D">
              <w:rPr>
                <w:rFonts w:ascii="Tahoma" w:hAnsi="Tahoma"/>
                <w:b/>
                <w:bCs/>
                <w:color w:val="000080"/>
                <w:rtl/>
              </w:rPr>
              <w:t>בית משפט השלום בבאר שבע</w:t>
            </w:r>
          </w:p>
        </w:tc>
      </w:tr>
      <w:tr w:rsidR="0063032A" w:rsidRPr="00FC580D" w14:paraId="714AD139" w14:textId="77777777" w:rsidTr="00FC580D">
        <w:trPr>
          <w:trHeight w:val="337"/>
          <w:jc w:val="center"/>
        </w:trPr>
        <w:tc>
          <w:tcPr>
            <w:tcW w:w="5054" w:type="dxa"/>
          </w:tcPr>
          <w:p w14:paraId="73C18693" w14:textId="77777777" w:rsidR="0063032A" w:rsidRPr="00FC580D" w:rsidRDefault="0063032A" w:rsidP="00CD3209">
            <w:pPr>
              <w:rPr>
                <w:sz w:val="28"/>
                <w:szCs w:val="28"/>
                <w:rtl/>
              </w:rPr>
            </w:pPr>
            <w:r w:rsidRPr="00FC580D">
              <w:rPr>
                <w:sz w:val="28"/>
                <w:szCs w:val="28"/>
                <w:rtl/>
              </w:rPr>
              <w:t>ת"פ</w:t>
            </w:r>
            <w:r w:rsidRPr="00FC580D">
              <w:rPr>
                <w:rFonts w:hint="cs"/>
                <w:sz w:val="28"/>
                <w:szCs w:val="28"/>
                <w:rtl/>
              </w:rPr>
              <w:t xml:space="preserve"> </w:t>
            </w:r>
            <w:r w:rsidRPr="00FC580D">
              <w:rPr>
                <w:sz w:val="28"/>
                <w:szCs w:val="28"/>
                <w:rtl/>
              </w:rPr>
              <w:t>61989-05-19</w:t>
            </w:r>
            <w:r w:rsidRPr="00FC580D">
              <w:rPr>
                <w:rFonts w:hint="cs"/>
                <w:sz w:val="28"/>
                <w:szCs w:val="28"/>
                <w:rtl/>
              </w:rPr>
              <w:t xml:space="preserve"> </w:t>
            </w:r>
            <w:r w:rsidRPr="00FC580D">
              <w:rPr>
                <w:sz w:val="28"/>
                <w:szCs w:val="28"/>
                <w:rtl/>
              </w:rPr>
              <w:t>מדינת ישראל נ' צהיבאן</w:t>
            </w:r>
          </w:p>
          <w:p w14:paraId="62549F0D" w14:textId="77777777" w:rsidR="0063032A" w:rsidRPr="00FC580D" w:rsidRDefault="0063032A" w:rsidP="00CD3209">
            <w:pPr>
              <w:pStyle w:val="a4"/>
              <w:rPr>
                <w:sz w:val="28"/>
                <w:szCs w:val="28"/>
                <w:rtl/>
              </w:rPr>
            </w:pPr>
          </w:p>
        </w:tc>
        <w:tc>
          <w:tcPr>
            <w:tcW w:w="3667" w:type="dxa"/>
          </w:tcPr>
          <w:p w14:paraId="6366940E" w14:textId="77777777" w:rsidR="0063032A" w:rsidRPr="00FC580D" w:rsidRDefault="0063032A" w:rsidP="00CD3209">
            <w:pPr>
              <w:pStyle w:val="a4"/>
              <w:jc w:val="right"/>
              <w:rPr>
                <w:sz w:val="28"/>
                <w:szCs w:val="28"/>
                <w:rtl/>
              </w:rPr>
            </w:pPr>
          </w:p>
        </w:tc>
      </w:tr>
    </w:tbl>
    <w:p w14:paraId="5E496660" w14:textId="77777777" w:rsidR="0063032A" w:rsidRPr="00FC580D" w:rsidRDefault="0063032A" w:rsidP="00FC580D">
      <w:pPr>
        <w:pStyle w:val="a4"/>
        <w:rPr>
          <w:sz w:val="26"/>
          <w:szCs w:val="26"/>
          <w:rtl/>
        </w:rPr>
      </w:pPr>
      <w:r w:rsidRPr="00FC580D">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63032A" w:rsidRPr="00FC580D" w14:paraId="1DF4C2FA" w14:textId="77777777" w:rsidTr="0063032A">
        <w:trPr>
          <w:trHeight w:val="295"/>
          <w:jc w:val="center"/>
        </w:trPr>
        <w:tc>
          <w:tcPr>
            <w:tcW w:w="923" w:type="dxa"/>
            <w:tcBorders>
              <w:top w:val="nil"/>
              <w:left w:val="nil"/>
              <w:bottom w:val="nil"/>
              <w:right w:val="nil"/>
            </w:tcBorders>
            <w:shd w:val="clear" w:color="auto" w:fill="auto"/>
          </w:tcPr>
          <w:p w14:paraId="40E955A7" w14:textId="77777777" w:rsidR="0063032A" w:rsidRPr="00FC580D" w:rsidRDefault="0063032A" w:rsidP="0063032A">
            <w:pPr>
              <w:jc w:val="both"/>
              <w:rPr>
                <w:rFonts w:ascii="David" w:hAnsi="David"/>
                <w:sz w:val="26"/>
                <w:szCs w:val="26"/>
              </w:rPr>
            </w:pPr>
            <w:r w:rsidRPr="00FC580D">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5287CD45" w14:textId="77777777" w:rsidR="0063032A" w:rsidRPr="00FC580D" w:rsidRDefault="0063032A" w:rsidP="00CD3209">
            <w:pPr>
              <w:rPr>
                <w:rFonts w:ascii="David" w:hAnsi="David"/>
                <w:b/>
                <w:bCs/>
                <w:sz w:val="26"/>
                <w:szCs w:val="26"/>
                <w:rtl/>
              </w:rPr>
            </w:pPr>
            <w:r w:rsidRPr="00FC580D">
              <w:rPr>
                <w:rFonts w:ascii="David" w:hAnsi="David"/>
                <w:b/>
                <w:bCs/>
                <w:sz w:val="26"/>
                <w:szCs w:val="26"/>
                <w:rtl/>
              </w:rPr>
              <w:t>כבוד השופט  יניב בן הרוש</w:t>
            </w:r>
          </w:p>
          <w:p w14:paraId="3EDAB598" w14:textId="77777777" w:rsidR="0063032A" w:rsidRPr="00FC580D" w:rsidRDefault="0063032A" w:rsidP="00CD3209">
            <w:pPr>
              <w:rPr>
                <w:rFonts w:ascii="David" w:hAnsi="David"/>
                <w:sz w:val="26"/>
                <w:szCs w:val="26"/>
                <w:rtl/>
              </w:rPr>
            </w:pPr>
          </w:p>
          <w:p w14:paraId="677566C7" w14:textId="77777777" w:rsidR="0063032A" w:rsidRPr="00FC580D" w:rsidRDefault="0063032A" w:rsidP="0063032A">
            <w:pPr>
              <w:jc w:val="both"/>
              <w:rPr>
                <w:rFonts w:ascii="David" w:hAnsi="David"/>
                <w:sz w:val="26"/>
                <w:szCs w:val="26"/>
              </w:rPr>
            </w:pPr>
          </w:p>
        </w:tc>
      </w:tr>
      <w:tr w:rsidR="0063032A" w:rsidRPr="00FC580D" w14:paraId="70ADA51E" w14:textId="77777777" w:rsidTr="0063032A">
        <w:trPr>
          <w:trHeight w:val="355"/>
          <w:jc w:val="center"/>
        </w:trPr>
        <w:tc>
          <w:tcPr>
            <w:tcW w:w="923" w:type="dxa"/>
            <w:tcBorders>
              <w:top w:val="nil"/>
              <w:left w:val="nil"/>
              <w:bottom w:val="nil"/>
              <w:right w:val="nil"/>
            </w:tcBorders>
            <w:shd w:val="clear" w:color="auto" w:fill="auto"/>
          </w:tcPr>
          <w:p w14:paraId="51E8ACC3" w14:textId="77777777" w:rsidR="0063032A" w:rsidRPr="00FC580D" w:rsidRDefault="0063032A" w:rsidP="0063032A">
            <w:pPr>
              <w:jc w:val="both"/>
              <w:rPr>
                <w:rFonts w:ascii="David" w:hAnsi="David"/>
                <w:sz w:val="26"/>
                <w:szCs w:val="26"/>
              </w:rPr>
            </w:pPr>
            <w:bookmarkStart w:id="1" w:name="FirstAppellant"/>
            <w:bookmarkStart w:id="2" w:name="FirstLawyer"/>
            <w:r w:rsidRPr="00FC580D">
              <w:rPr>
                <w:rFonts w:ascii="David" w:hAnsi="David"/>
                <w:sz w:val="26"/>
                <w:szCs w:val="26"/>
                <w:rtl/>
              </w:rPr>
              <w:t>בעניין:</w:t>
            </w:r>
          </w:p>
        </w:tc>
        <w:tc>
          <w:tcPr>
            <w:tcW w:w="3219" w:type="dxa"/>
            <w:tcBorders>
              <w:top w:val="nil"/>
              <w:left w:val="nil"/>
              <w:bottom w:val="nil"/>
              <w:right w:val="nil"/>
            </w:tcBorders>
            <w:shd w:val="clear" w:color="auto" w:fill="auto"/>
          </w:tcPr>
          <w:p w14:paraId="66389AAA" w14:textId="77777777" w:rsidR="0063032A" w:rsidRPr="00FC580D" w:rsidRDefault="0063032A" w:rsidP="0063032A">
            <w:pPr>
              <w:suppressLineNumbers/>
            </w:pPr>
            <w:r w:rsidRPr="00FC580D">
              <w:rPr>
                <w:rFonts w:ascii="Arial" w:hAnsi="Arial" w:hint="cs"/>
                <w:b/>
                <w:bCs/>
                <w:sz w:val="26"/>
                <w:szCs w:val="26"/>
                <w:rtl/>
              </w:rPr>
              <w:t>ה</w:t>
            </w:r>
            <w:r w:rsidRPr="00FC580D">
              <w:rPr>
                <w:rFonts w:ascii="Arial" w:hAnsi="Arial"/>
                <w:b/>
                <w:bCs/>
                <w:sz w:val="26"/>
                <w:szCs w:val="26"/>
                <w:rtl/>
              </w:rPr>
              <w:t>מאשימה</w:t>
            </w:r>
          </w:p>
          <w:p w14:paraId="24926631" w14:textId="77777777" w:rsidR="0063032A" w:rsidRPr="00FC580D" w:rsidRDefault="0063032A" w:rsidP="00CD3209">
            <w:pPr>
              <w:rPr>
                <w:rFonts w:ascii="David" w:hAnsi="David"/>
                <w:sz w:val="26"/>
                <w:szCs w:val="26"/>
              </w:rPr>
            </w:pPr>
          </w:p>
        </w:tc>
        <w:tc>
          <w:tcPr>
            <w:tcW w:w="4678" w:type="dxa"/>
            <w:tcBorders>
              <w:top w:val="nil"/>
              <w:left w:val="nil"/>
              <w:bottom w:val="nil"/>
              <w:right w:val="nil"/>
            </w:tcBorders>
            <w:shd w:val="clear" w:color="auto" w:fill="auto"/>
            <w:vAlign w:val="center"/>
          </w:tcPr>
          <w:p w14:paraId="1F673800" w14:textId="77777777" w:rsidR="0063032A" w:rsidRPr="00FC580D" w:rsidRDefault="0063032A" w:rsidP="0063032A">
            <w:pPr>
              <w:suppressLineNumbers/>
              <w:rPr>
                <w:rFonts w:ascii="Arial" w:hAnsi="Arial"/>
                <w:b/>
                <w:bCs/>
                <w:sz w:val="26"/>
                <w:szCs w:val="26"/>
                <w:rtl/>
              </w:rPr>
            </w:pPr>
            <w:r w:rsidRPr="00FC580D">
              <w:rPr>
                <w:rFonts w:ascii="Arial" w:hAnsi="Arial"/>
                <w:b/>
                <w:bCs/>
                <w:sz w:val="26"/>
                <w:szCs w:val="26"/>
                <w:rtl/>
              </w:rPr>
              <w:t>מדינת ישראל</w:t>
            </w:r>
            <w:r w:rsidRPr="00FC580D">
              <w:rPr>
                <w:rFonts w:ascii="Arial" w:hAnsi="Arial" w:hint="cs"/>
                <w:b/>
                <w:bCs/>
                <w:sz w:val="26"/>
                <w:szCs w:val="26"/>
                <w:rtl/>
              </w:rPr>
              <w:t xml:space="preserve"> </w:t>
            </w:r>
          </w:p>
          <w:p w14:paraId="55DC1571" w14:textId="77777777" w:rsidR="0063032A" w:rsidRPr="00FC580D" w:rsidRDefault="0063032A" w:rsidP="0063032A">
            <w:pPr>
              <w:suppressLineNumbers/>
            </w:pPr>
            <w:r w:rsidRPr="00FC580D">
              <w:rPr>
                <w:rFonts w:ascii="Arial" w:hAnsi="Arial"/>
                <w:b/>
                <w:bCs/>
                <w:sz w:val="26"/>
                <w:szCs w:val="26"/>
                <w:rtl/>
              </w:rPr>
              <w:t>ע"י ב"כ עוה"ד</w:t>
            </w:r>
            <w:r w:rsidRPr="00FC580D">
              <w:rPr>
                <w:rFonts w:ascii="Arial" w:hAnsi="Arial" w:hint="cs"/>
                <w:b/>
                <w:bCs/>
                <w:sz w:val="26"/>
                <w:szCs w:val="26"/>
                <w:rtl/>
              </w:rPr>
              <w:t xml:space="preserve"> דוד ז'נבה</w:t>
            </w:r>
          </w:p>
          <w:p w14:paraId="772F67CA" w14:textId="77777777" w:rsidR="0063032A" w:rsidRPr="00FC580D" w:rsidRDefault="0063032A" w:rsidP="00CD3209">
            <w:pPr>
              <w:rPr>
                <w:rFonts w:ascii="David" w:hAnsi="David"/>
                <w:sz w:val="26"/>
                <w:szCs w:val="26"/>
              </w:rPr>
            </w:pPr>
          </w:p>
        </w:tc>
      </w:tr>
      <w:bookmarkEnd w:id="1"/>
      <w:bookmarkEnd w:id="2"/>
      <w:tr w:rsidR="0063032A" w:rsidRPr="00FC580D" w14:paraId="233A9A21" w14:textId="77777777" w:rsidTr="0063032A">
        <w:trPr>
          <w:trHeight w:val="355"/>
          <w:jc w:val="center"/>
        </w:trPr>
        <w:tc>
          <w:tcPr>
            <w:tcW w:w="923" w:type="dxa"/>
            <w:tcBorders>
              <w:top w:val="nil"/>
              <w:left w:val="nil"/>
              <w:bottom w:val="nil"/>
              <w:right w:val="nil"/>
            </w:tcBorders>
            <w:shd w:val="clear" w:color="auto" w:fill="auto"/>
          </w:tcPr>
          <w:p w14:paraId="50A4701A" w14:textId="77777777" w:rsidR="0063032A" w:rsidRPr="00FC580D" w:rsidRDefault="0063032A" w:rsidP="0063032A">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4F6D6731" w14:textId="77777777" w:rsidR="0063032A" w:rsidRPr="00FC580D" w:rsidRDefault="0063032A" w:rsidP="0063032A">
            <w:pPr>
              <w:jc w:val="center"/>
              <w:rPr>
                <w:rFonts w:ascii="David" w:hAnsi="David"/>
                <w:b/>
                <w:bCs/>
                <w:sz w:val="26"/>
                <w:szCs w:val="26"/>
                <w:rtl/>
              </w:rPr>
            </w:pPr>
          </w:p>
          <w:p w14:paraId="331CA329" w14:textId="77777777" w:rsidR="0063032A" w:rsidRPr="00FC580D" w:rsidRDefault="0063032A" w:rsidP="0063032A">
            <w:pPr>
              <w:jc w:val="center"/>
              <w:rPr>
                <w:rFonts w:ascii="David" w:hAnsi="David"/>
                <w:b/>
                <w:bCs/>
                <w:sz w:val="26"/>
                <w:szCs w:val="26"/>
                <w:rtl/>
              </w:rPr>
            </w:pPr>
            <w:r w:rsidRPr="00FC580D">
              <w:rPr>
                <w:rFonts w:ascii="David" w:hAnsi="David"/>
                <w:b/>
                <w:bCs/>
                <w:sz w:val="26"/>
                <w:szCs w:val="26"/>
                <w:rtl/>
              </w:rPr>
              <w:t>נגד</w:t>
            </w:r>
          </w:p>
          <w:p w14:paraId="6CAC25FF" w14:textId="77777777" w:rsidR="0063032A" w:rsidRPr="00FC580D" w:rsidRDefault="0063032A" w:rsidP="0063032A">
            <w:pPr>
              <w:jc w:val="both"/>
              <w:rPr>
                <w:rFonts w:ascii="David" w:hAnsi="David"/>
                <w:sz w:val="26"/>
                <w:szCs w:val="26"/>
              </w:rPr>
            </w:pPr>
          </w:p>
        </w:tc>
      </w:tr>
      <w:tr w:rsidR="0063032A" w:rsidRPr="00FC580D" w14:paraId="77F3672A" w14:textId="77777777" w:rsidTr="0063032A">
        <w:trPr>
          <w:trHeight w:val="355"/>
          <w:jc w:val="center"/>
        </w:trPr>
        <w:tc>
          <w:tcPr>
            <w:tcW w:w="923" w:type="dxa"/>
            <w:tcBorders>
              <w:top w:val="nil"/>
              <w:left w:val="nil"/>
              <w:bottom w:val="nil"/>
              <w:right w:val="nil"/>
            </w:tcBorders>
            <w:shd w:val="clear" w:color="auto" w:fill="auto"/>
          </w:tcPr>
          <w:p w14:paraId="1A37AC72" w14:textId="77777777" w:rsidR="0063032A" w:rsidRPr="00FC580D" w:rsidRDefault="0063032A" w:rsidP="00CD3209">
            <w:pPr>
              <w:rPr>
                <w:rFonts w:ascii="David" w:hAnsi="David"/>
                <w:sz w:val="26"/>
                <w:szCs w:val="26"/>
                <w:rtl/>
              </w:rPr>
            </w:pPr>
          </w:p>
        </w:tc>
        <w:tc>
          <w:tcPr>
            <w:tcW w:w="3219" w:type="dxa"/>
            <w:tcBorders>
              <w:top w:val="nil"/>
              <w:left w:val="nil"/>
              <w:bottom w:val="nil"/>
              <w:right w:val="nil"/>
            </w:tcBorders>
            <w:shd w:val="clear" w:color="auto" w:fill="auto"/>
          </w:tcPr>
          <w:p w14:paraId="64DF5DB0" w14:textId="77777777" w:rsidR="0063032A" w:rsidRPr="00FC580D" w:rsidRDefault="0063032A" w:rsidP="00CD3209">
            <w:pPr>
              <w:rPr>
                <w:rFonts w:ascii="Arial" w:hAnsi="Arial"/>
                <w:b/>
                <w:bCs/>
                <w:sz w:val="26"/>
                <w:szCs w:val="26"/>
                <w:rtl/>
              </w:rPr>
            </w:pPr>
            <w:r w:rsidRPr="00FC580D">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681A25B1" w14:textId="77777777" w:rsidR="0063032A" w:rsidRPr="00FC580D" w:rsidRDefault="0063032A" w:rsidP="0063032A">
            <w:pPr>
              <w:suppressLineNumbers/>
              <w:rPr>
                <w:rFonts w:ascii="Arial" w:hAnsi="Arial"/>
                <w:b/>
                <w:bCs/>
                <w:sz w:val="26"/>
                <w:szCs w:val="26"/>
                <w:rtl/>
              </w:rPr>
            </w:pPr>
            <w:r w:rsidRPr="00FC580D">
              <w:rPr>
                <w:rFonts w:ascii="Arial" w:hAnsi="Arial"/>
                <w:b/>
                <w:bCs/>
                <w:sz w:val="26"/>
                <w:szCs w:val="26"/>
                <w:rtl/>
              </w:rPr>
              <w:t>וגיה צהיבאן</w:t>
            </w:r>
            <w:r w:rsidRPr="00FC580D">
              <w:rPr>
                <w:rFonts w:ascii="Arial" w:hAnsi="Arial" w:hint="cs"/>
                <w:b/>
                <w:bCs/>
                <w:sz w:val="26"/>
                <w:szCs w:val="26"/>
                <w:rtl/>
              </w:rPr>
              <w:t xml:space="preserve"> - בעצמו</w:t>
            </w:r>
          </w:p>
          <w:p w14:paraId="4E24E1B3" w14:textId="77777777" w:rsidR="0063032A" w:rsidRPr="00FC580D" w:rsidRDefault="0063032A" w:rsidP="0063032A">
            <w:pPr>
              <w:suppressLineNumbers/>
            </w:pPr>
            <w:r w:rsidRPr="00FC580D">
              <w:rPr>
                <w:rFonts w:ascii="Arial" w:hAnsi="Arial"/>
                <w:b/>
                <w:bCs/>
                <w:sz w:val="26"/>
                <w:szCs w:val="26"/>
                <w:rtl/>
              </w:rPr>
              <w:t>ע"י ב"כ עוה"ד</w:t>
            </w:r>
            <w:r w:rsidRPr="00FC580D">
              <w:rPr>
                <w:rFonts w:ascii="Arial" w:hAnsi="Arial" w:hint="cs"/>
                <w:b/>
                <w:bCs/>
                <w:sz w:val="26"/>
                <w:szCs w:val="26"/>
                <w:rtl/>
              </w:rPr>
              <w:t xml:space="preserve"> וותד</w:t>
            </w:r>
          </w:p>
        </w:tc>
      </w:tr>
    </w:tbl>
    <w:p w14:paraId="4FC9BFFA" w14:textId="77777777" w:rsidR="00FC580D" w:rsidRPr="00FC580D" w:rsidRDefault="00FC580D" w:rsidP="0063032A">
      <w:pPr>
        <w:rPr>
          <w:sz w:val="26"/>
          <w:szCs w:val="26"/>
          <w:rtl/>
        </w:rPr>
      </w:pPr>
    </w:p>
    <w:p w14:paraId="09D6AE45" w14:textId="77777777" w:rsidR="00FC580D" w:rsidRPr="00FC580D" w:rsidRDefault="00FC580D" w:rsidP="00FC580D">
      <w:pPr>
        <w:spacing w:after="120" w:line="240" w:lineRule="exact"/>
        <w:ind w:left="283" w:hanging="283"/>
        <w:jc w:val="both"/>
        <w:rPr>
          <w:rFonts w:ascii="FrankRuehl" w:hAnsi="FrankRuehl"/>
          <w:rtl/>
        </w:rPr>
      </w:pPr>
    </w:p>
    <w:p w14:paraId="0BE83562" w14:textId="77777777" w:rsidR="002334DD" w:rsidRPr="002334DD" w:rsidRDefault="002334DD" w:rsidP="002334DD">
      <w:pPr>
        <w:spacing w:before="120" w:after="120" w:line="240" w:lineRule="exact"/>
        <w:ind w:left="283" w:hanging="283"/>
        <w:jc w:val="both"/>
        <w:rPr>
          <w:rFonts w:ascii="FrankRuehl" w:hAnsi="FrankRuehl" w:cs="FrankRuehl"/>
          <w:rtl/>
        </w:rPr>
      </w:pPr>
    </w:p>
    <w:p w14:paraId="6654996F" w14:textId="77777777" w:rsidR="00B81679" w:rsidRDefault="00B81679" w:rsidP="00B81679">
      <w:pPr>
        <w:rPr>
          <w:rFonts w:ascii="Arial" w:hAnsi="Arial"/>
          <w:sz w:val="26"/>
          <w:szCs w:val="26"/>
          <w:rtl/>
        </w:rPr>
      </w:pPr>
      <w:bookmarkStart w:id="3" w:name="LawTable"/>
      <w:bookmarkEnd w:id="3"/>
    </w:p>
    <w:p w14:paraId="568F374D" w14:textId="77777777" w:rsidR="00B81679" w:rsidRPr="00B81679" w:rsidRDefault="00B81679" w:rsidP="00B81679">
      <w:pPr>
        <w:spacing w:before="120" w:after="120" w:line="240" w:lineRule="exact"/>
        <w:ind w:left="283" w:hanging="283"/>
        <w:jc w:val="both"/>
        <w:rPr>
          <w:rFonts w:ascii="FrankRuehl" w:hAnsi="FrankRuehl" w:cs="FrankRuehl"/>
          <w:rtl/>
        </w:rPr>
      </w:pPr>
    </w:p>
    <w:p w14:paraId="4F49681A" w14:textId="77777777" w:rsidR="00B81679" w:rsidRPr="00B81679" w:rsidRDefault="00B81679" w:rsidP="00B81679">
      <w:pPr>
        <w:spacing w:before="120" w:after="120" w:line="240" w:lineRule="exact"/>
        <w:ind w:left="283" w:hanging="283"/>
        <w:jc w:val="both"/>
        <w:rPr>
          <w:rFonts w:ascii="FrankRuehl" w:hAnsi="FrankRuehl" w:cs="FrankRuehl"/>
          <w:rtl/>
        </w:rPr>
      </w:pPr>
    </w:p>
    <w:p w14:paraId="4E2B9333" w14:textId="77777777" w:rsidR="00B81679" w:rsidRPr="00B81679" w:rsidRDefault="00B81679" w:rsidP="00B81679">
      <w:pPr>
        <w:spacing w:before="120" w:after="120" w:line="240" w:lineRule="exact"/>
        <w:ind w:left="283" w:hanging="283"/>
        <w:jc w:val="both"/>
        <w:rPr>
          <w:rFonts w:ascii="FrankRuehl" w:hAnsi="FrankRuehl" w:cs="FrankRuehl"/>
          <w:rtl/>
        </w:rPr>
      </w:pPr>
      <w:r w:rsidRPr="00B81679">
        <w:rPr>
          <w:rFonts w:ascii="FrankRuehl" w:hAnsi="FrankRuehl" w:cs="FrankRuehl"/>
          <w:rtl/>
        </w:rPr>
        <w:t xml:space="preserve">חקיקה שאוזכרה: </w:t>
      </w:r>
    </w:p>
    <w:p w14:paraId="78BAD8A0" w14:textId="77777777" w:rsidR="00B81679" w:rsidRPr="00B81679" w:rsidRDefault="00B81679" w:rsidP="00B81679">
      <w:pPr>
        <w:spacing w:before="120" w:after="120" w:line="240" w:lineRule="exact"/>
        <w:ind w:left="283" w:hanging="283"/>
        <w:jc w:val="both"/>
        <w:rPr>
          <w:rFonts w:ascii="FrankRuehl" w:hAnsi="FrankRuehl" w:cs="FrankRuehl"/>
          <w:rtl/>
        </w:rPr>
      </w:pPr>
      <w:hyperlink r:id="rId7" w:history="1">
        <w:r w:rsidRPr="00B81679">
          <w:rPr>
            <w:rFonts w:ascii="FrankRuehl" w:hAnsi="FrankRuehl" w:cs="FrankRuehl"/>
            <w:color w:val="0000FF"/>
            <w:rtl/>
          </w:rPr>
          <w:t>פקודת הסמים המסוכנים [נוסח חדש], תשל"ג-1973</w:t>
        </w:r>
      </w:hyperlink>
      <w:r w:rsidRPr="00B81679">
        <w:rPr>
          <w:rFonts w:ascii="FrankRuehl" w:hAnsi="FrankRuehl" w:cs="FrankRuehl"/>
          <w:rtl/>
        </w:rPr>
        <w:t xml:space="preserve">: סע'  </w:t>
      </w:r>
      <w:hyperlink r:id="rId8" w:history="1">
        <w:r w:rsidRPr="00B81679">
          <w:rPr>
            <w:rFonts w:ascii="FrankRuehl" w:hAnsi="FrankRuehl" w:cs="FrankRuehl"/>
            <w:color w:val="0000FF"/>
            <w:rtl/>
          </w:rPr>
          <w:t>7(א)</w:t>
        </w:r>
      </w:hyperlink>
      <w:r w:rsidRPr="00B81679">
        <w:rPr>
          <w:rFonts w:ascii="FrankRuehl" w:hAnsi="FrankRuehl" w:cs="FrankRuehl"/>
          <w:rtl/>
        </w:rPr>
        <w:t xml:space="preserve">, </w:t>
      </w:r>
      <w:hyperlink r:id="rId9" w:history="1">
        <w:r w:rsidRPr="00B81679">
          <w:rPr>
            <w:rFonts w:ascii="FrankRuehl" w:hAnsi="FrankRuehl" w:cs="FrankRuehl"/>
            <w:color w:val="0000FF"/>
            <w:rtl/>
          </w:rPr>
          <w:t>7(ג)</w:t>
        </w:r>
      </w:hyperlink>
    </w:p>
    <w:p w14:paraId="33156ECF" w14:textId="77777777" w:rsidR="00B81679" w:rsidRPr="00B81679" w:rsidRDefault="00B81679" w:rsidP="00B81679">
      <w:pPr>
        <w:spacing w:before="120" w:after="120" w:line="240" w:lineRule="exact"/>
        <w:ind w:left="283" w:hanging="283"/>
        <w:jc w:val="both"/>
        <w:rPr>
          <w:rFonts w:ascii="FrankRuehl" w:hAnsi="FrankRuehl" w:cs="FrankRuehl"/>
          <w:rtl/>
        </w:rPr>
      </w:pPr>
      <w:hyperlink r:id="rId10" w:history="1">
        <w:r w:rsidRPr="00B81679">
          <w:rPr>
            <w:rFonts w:ascii="FrankRuehl" w:hAnsi="FrankRuehl" w:cs="FrankRuehl"/>
            <w:color w:val="0000FF"/>
            <w:rtl/>
          </w:rPr>
          <w:t>תקנות העבירות המינהליות, תשמ"ו-1986</w:t>
        </w:r>
      </w:hyperlink>
    </w:p>
    <w:p w14:paraId="5848B844" w14:textId="77777777" w:rsidR="00B81679" w:rsidRPr="00B81679" w:rsidRDefault="00B81679" w:rsidP="00B81679">
      <w:pPr>
        <w:spacing w:before="120" w:after="120" w:line="240" w:lineRule="exact"/>
        <w:ind w:left="283" w:hanging="283"/>
        <w:jc w:val="both"/>
        <w:rPr>
          <w:rFonts w:ascii="FrankRuehl" w:hAnsi="FrankRuehl" w:cs="FrankRuehl"/>
          <w:rtl/>
        </w:rPr>
      </w:pPr>
      <w:hyperlink r:id="rId11" w:history="1">
        <w:r w:rsidRPr="00B81679">
          <w:rPr>
            <w:rFonts w:ascii="FrankRuehl" w:hAnsi="FrankRuehl" w:cs="FrankRuehl"/>
            <w:color w:val="0000FF"/>
            <w:rtl/>
          </w:rPr>
          <w:t>חוק סדר הדין הפלילי [נוסח משולב], תשמ"ב-1982</w:t>
        </w:r>
      </w:hyperlink>
      <w:r w:rsidRPr="00B81679">
        <w:rPr>
          <w:rFonts w:ascii="FrankRuehl" w:hAnsi="FrankRuehl" w:cs="FrankRuehl"/>
          <w:rtl/>
        </w:rPr>
        <w:t xml:space="preserve">: סע'  </w:t>
      </w:r>
      <w:hyperlink r:id="rId12" w:history="1">
        <w:r w:rsidRPr="00B81679">
          <w:rPr>
            <w:rFonts w:ascii="FrankRuehl" w:hAnsi="FrankRuehl" w:cs="FrankRuehl"/>
            <w:color w:val="0000FF"/>
            <w:rtl/>
          </w:rPr>
          <w:t>192א</w:t>
        </w:r>
      </w:hyperlink>
    </w:p>
    <w:p w14:paraId="78D1E3F6" w14:textId="77777777" w:rsidR="00B81679" w:rsidRPr="00B81679" w:rsidRDefault="00B81679" w:rsidP="00B81679">
      <w:pPr>
        <w:spacing w:before="120" w:after="120" w:line="240" w:lineRule="exact"/>
        <w:ind w:left="283" w:hanging="283"/>
        <w:jc w:val="both"/>
        <w:rPr>
          <w:rFonts w:ascii="FrankRuehl" w:hAnsi="FrankRuehl" w:cs="FrankRuehl"/>
          <w:rtl/>
        </w:rPr>
      </w:pPr>
      <w:hyperlink r:id="rId13" w:history="1">
        <w:r w:rsidRPr="00B81679">
          <w:rPr>
            <w:rFonts w:ascii="FrankRuehl" w:hAnsi="FrankRuehl" w:cs="FrankRuehl"/>
            <w:color w:val="0000FF"/>
            <w:rtl/>
          </w:rPr>
          <w:t>פקודת המבחן [נוסח חדש], תשכ"ט-1969</w:t>
        </w:r>
      </w:hyperlink>
      <w:r w:rsidRPr="00B81679">
        <w:rPr>
          <w:rFonts w:ascii="FrankRuehl" w:hAnsi="FrankRuehl" w:cs="FrankRuehl"/>
          <w:rtl/>
        </w:rPr>
        <w:t xml:space="preserve">: סע'  </w:t>
      </w:r>
      <w:hyperlink r:id="rId14" w:history="1">
        <w:r w:rsidRPr="00B81679">
          <w:rPr>
            <w:rFonts w:ascii="FrankRuehl" w:hAnsi="FrankRuehl" w:cs="FrankRuehl"/>
            <w:color w:val="0000FF"/>
            <w:rtl/>
          </w:rPr>
          <w:t>1(2)</w:t>
        </w:r>
      </w:hyperlink>
    </w:p>
    <w:p w14:paraId="27235DB6" w14:textId="77777777" w:rsidR="00B81679" w:rsidRPr="00B81679" w:rsidRDefault="00B81679" w:rsidP="00B81679">
      <w:pPr>
        <w:spacing w:before="120" w:after="120" w:line="240" w:lineRule="exact"/>
        <w:ind w:left="283" w:hanging="283"/>
        <w:jc w:val="both"/>
        <w:rPr>
          <w:rFonts w:ascii="FrankRuehl" w:hAnsi="FrankRuehl" w:cs="FrankRuehl"/>
          <w:rtl/>
        </w:rPr>
      </w:pPr>
      <w:hyperlink r:id="rId15" w:history="1">
        <w:r w:rsidRPr="00B81679">
          <w:rPr>
            <w:rFonts w:ascii="FrankRuehl" w:hAnsi="FrankRuehl" w:cs="FrankRuehl"/>
            <w:color w:val="0000FF"/>
            <w:rtl/>
          </w:rPr>
          <w:t>חוק העונשין, תשל"ז-1977</w:t>
        </w:r>
      </w:hyperlink>
      <w:r w:rsidRPr="00B81679">
        <w:rPr>
          <w:rFonts w:ascii="FrankRuehl" w:hAnsi="FrankRuehl" w:cs="FrankRuehl"/>
          <w:rtl/>
        </w:rPr>
        <w:t xml:space="preserve">: סע'  </w:t>
      </w:r>
      <w:hyperlink r:id="rId16" w:history="1">
        <w:r w:rsidRPr="00B81679">
          <w:rPr>
            <w:rFonts w:ascii="FrankRuehl" w:hAnsi="FrankRuehl" w:cs="FrankRuehl"/>
            <w:color w:val="0000FF"/>
            <w:rtl/>
          </w:rPr>
          <w:t>71א</w:t>
        </w:r>
      </w:hyperlink>
    </w:p>
    <w:p w14:paraId="12CEE703" w14:textId="77777777" w:rsidR="00B81679" w:rsidRPr="00B81679" w:rsidRDefault="00B81679" w:rsidP="00B81679">
      <w:pPr>
        <w:rPr>
          <w:rFonts w:ascii="Arial" w:hAnsi="Arial"/>
          <w:sz w:val="26"/>
          <w:szCs w:val="26"/>
          <w:rtl/>
        </w:rPr>
      </w:pPr>
      <w:bookmarkStart w:id="4" w:name="LawTable_End"/>
      <w:bookmarkEnd w:id="4"/>
    </w:p>
    <w:p w14:paraId="2681140A" w14:textId="77777777" w:rsidR="0063032A" w:rsidRPr="002334DD" w:rsidRDefault="0063032A" w:rsidP="002334DD">
      <w:pPr>
        <w:rPr>
          <w:rFonts w:ascii="Arial" w:hAnsi="Arial"/>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3032A" w:rsidRPr="00FC580D" w14:paraId="1FC53220" w14:textId="77777777" w:rsidTr="0063032A">
        <w:trPr>
          <w:trHeight w:val="355"/>
          <w:jc w:val="center"/>
        </w:trPr>
        <w:tc>
          <w:tcPr>
            <w:tcW w:w="8820" w:type="dxa"/>
            <w:tcBorders>
              <w:top w:val="nil"/>
              <w:left w:val="nil"/>
              <w:bottom w:val="nil"/>
              <w:right w:val="nil"/>
            </w:tcBorders>
            <w:shd w:val="clear" w:color="auto" w:fill="auto"/>
          </w:tcPr>
          <w:p w14:paraId="40EA9515" w14:textId="77777777" w:rsidR="00754C52" w:rsidRPr="00FC580D" w:rsidRDefault="00754C52" w:rsidP="00754C52">
            <w:pPr>
              <w:jc w:val="center"/>
              <w:rPr>
                <w:rFonts w:ascii="David" w:hAnsi="David"/>
                <w:b/>
                <w:bCs/>
                <w:sz w:val="32"/>
                <w:szCs w:val="32"/>
                <w:u w:val="single"/>
                <w:rtl/>
              </w:rPr>
            </w:pPr>
            <w:bookmarkStart w:id="5" w:name="PsakDin" w:colFirst="0" w:colLast="0"/>
            <w:bookmarkEnd w:id="0"/>
            <w:r w:rsidRPr="00FC580D">
              <w:rPr>
                <w:rFonts w:ascii="David" w:hAnsi="David"/>
                <w:b/>
                <w:bCs/>
                <w:sz w:val="32"/>
                <w:szCs w:val="32"/>
                <w:u w:val="single"/>
                <w:rtl/>
              </w:rPr>
              <w:t>גזר דין</w:t>
            </w:r>
          </w:p>
          <w:p w14:paraId="02660B1E" w14:textId="77777777" w:rsidR="0063032A" w:rsidRPr="00FC580D" w:rsidRDefault="0063032A" w:rsidP="00754C52">
            <w:pPr>
              <w:jc w:val="center"/>
              <w:rPr>
                <w:rFonts w:ascii="David" w:hAnsi="David"/>
                <w:bCs/>
                <w:sz w:val="32"/>
                <w:szCs w:val="32"/>
                <w:u w:val="single"/>
                <w:rtl/>
              </w:rPr>
            </w:pPr>
          </w:p>
        </w:tc>
      </w:tr>
      <w:bookmarkEnd w:id="5"/>
    </w:tbl>
    <w:p w14:paraId="6B20C041" w14:textId="77777777" w:rsidR="0063032A" w:rsidRPr="00FC580D" w:rsidRDefault="0063032A" w:rsidP="0063032A">
      <w:pPr>
        <w:rPr>
          <w:rFonts w:ascii="Arial" w:hAnsi="Arial"/>
          <w:b/>
          <w:bCs/>
          <w:sz w:val="26"/>
          <w:szCs w:val="26"/>
          <w:rtl/>
        </w:rPr>
      </w:pPr>
    </w:p>
    <w:p w14:paraId="627C6B28" w14:textId="77777777" w:rsidR="0063032A" w:rsidRPr="00FC580D" w:rsidRDefault="0063032A" w:rsidP="0063032A">
      <w:pPr>
        <w:numPr>
          <w:ilvl w:val="0"/>
          <w:numId w:val="2"/>
        </w:numPr>
        <w:spacing w:before="240" w:line="360" w:lineRule="auto"/>
        <w:jc w:val="both"/>
        <w:rPr>
          <w:rFonts w:ascii="David" w:hAnsi="David"/>
          <w:rtl/>
        </w:rPr>
      </w:pPr>
      <w:bookmarkStart w:id="6" w:name="ABSTRACT_START"/>
      <w:bookmarkEnd w:id="6"/>
      <w:r w:rsidRPr="00FC580D">
        <w:rPr>
          <w:rFonts w:ascii="David" w:hAnsi="David"/>
          <w:rtl/>
        </w:rPr>
        <w:t xml:space="preserve">ביום 14.6.20 הורשע הנאשם במסגרת הסדר טיעון בעובדות כתב האישום המתוקן, בעבירה של החזקת סמים שלא לצריכה עצמית לפי </w:t>
      </w:r>
      <w:hyperlink r:id="rId17" w:history="1">
        <w:r w:rsidR="00FC580D" w:rsidRPr="00FC580D">
          <w:rPr>
            <w:rStyle w:val="Hyperlink"/>
            <w:rFonts w:ascii="David" w:hAnsi="David"/>
            <w:rtl/>
          </w:rPr>
          <w:t>סעיף 7(א)</w:t>
        </w:r>
      </w:hyperlink>
      <w:r w:rsidRPr="00FC580D">
        <w:rPr>
          <w:rFonts w:ascii="David" w:hAnsi="David"/>
          <w:rtl/>
        </w:rPr>
        <w:t xml:space="preserve"> ו-</w:t>
      </w:r>
      <w:hyperlink r:id="rId18" w:history="1">
        <w:r w:rsidR="00FC580D" w:rsidRPr="00FC580D">
          <w:rPr>
            <w:rStyle w:val="Hyperlink"/>
            <w:rFonts w:ascii="David" w:hAnsi="David"/>
            <w:rtl/>
          </w:rPr>
          <w:t>7(ג)</w:t>
        </w:r>
      </w:hyperlink>
      <w:r w:rsidRPr="00FC580D">
        <w:rPr>
          <w:rFonts w:ascii="David" w:hAnsi="David"/>
          <w:rtl/>
        </w:rPr>
        <w:t xml:space="preserve"> רישא </w:t>
      </w:r>
      <w:r w:rsidRPr="00FC580D">
        <w:rPr>
          <w:rFonts w:ascii="David" w:hAnsi="David"/>
          <w:b/>
          <w:bCs/>
          <w:rtl/>
        </w:rPr>
        <w:t>ל</w:t>
      </w:r>
      <w:hyperlink r:id="rId19" w:history="1">
        <w:r w:rsidR="00754C52" w:rsidRPr="00FC580D">
          <w:rPr>
            <w:rFonts w:ascii="David" w:hAnsi="David"/>
            <w:b/>
            <w:bCs/>
            <w:color w:val="0000FF"/>
            <w:u w:val="single"/>
            <w:rtl/>
          </w:rPr>
          <w:t>פקודת הסמים המסוכנים</w:t>
        </w:r>
      </w:hyperlink>
      <w:r w:rsidRPr="00FC580D">
        <w:rPr>
          <w:rFonts w:ascii="David" w:hAnsi="David"/>
          <w:rtl/>
        </w:rPr>
        <w:t xml:space="preserve">, (נוסח חדש) תשל"ג -1973 .  </w:t>
      </w:r>
    </w:p>
    <w:p w14:paraId="5A27CCF3" w14:textId="77777777" w:rsidR="0063032A" w:rsidRPr="00FC580D" w:rsidRDefault="0063032A" w:rsidP="0063032A">
      <w:pPr>
        <w:numPr>
          <w:ilvl w:val="0"/>
          <w:numId w:val="2"/>
        </w:numPr>
        <w:spacing w:before="240" w:line="360" w:lineRule="auto"/>
        <w:jc w:val="both"/>
        <w:rPr>
          <w:rFonts w:ascii="David" w:hAnsi="David"/>
        </w:rPr>
      </w:pPr>
      <w:r w:rsidRPr="00FC580D">
        <w:rPr>
          <w:rFonts w:ascii="David" w:hAnsi="David"/>
          <w:rtl/>
        </w:rPr>
        <w:t xml:space="preserve">בהתאם לעובדות כתב האישום המתוקן, ביום 19.2.19 החזיק הנאשם 267.90 גרם סם קנבוס, בסמוך למתחם 4 ברהט.  </w:t>
      </w:r>
    </w:p>
    <w:p w14:paraId="43EE63F0" w14:textId="77777777" w:rsidR="0063032A" w:rsidRPr="00FC580D" w:rsidRDefault="0063032A" w:rsidP="0063032A">
      <w:pPr>
        <w:spacing w:line="360" w:lineRule="auto"/>
        <w:jc w:val="both"/>
        <w:rPr>
          <w:rFonts w:ascii="David" w:hAnsi="David"/>
        </w:rPr>
      </w:pPr>
      <w:bookmarkStart w:id="7" w:name="ABSTRACT_END"/>
      <w:bookmarkEnd w:id="7"/>
    </w:p>
    <w:p w14:paraId="2B7CC9FA" w14:textId="77777777" w:rsidR="0063032A" w:rsidRPr="00FC580D" w:rsidRDefault="0063032A" w:rsidP="0063032A">
      <w:pPr>
        <w:spacing w:line="360" w:lineRule="auto"/>
        <w:jc w:val="both"/>
        <w:rPr>
          <w:rFonts w:ascii="David" w:hAnsi="David"/>
          <w:b/>
          <w:bCs/>
          <w:u w:val="single"/>
          <w:rtl/>
        </w:rPr>
      </w:pPr>
      <w:r w:rsidRPr="00FC580D">
        <w:rPr>
          <w:rFonts w:ascii="David" w:hAnsi="David"/>
          <w:b/>
          <w:bCs/>
          <w:u w:val="single"/>
          <w:rtl/>
        </w:rPr>
        <w:lastRenderedPageBreak/>
        <w:t>תמצית תסקירי שירות המבחן</w:t>
      </w:r>
    </w:p>
    <w:p w14:paraId="6D5D42DA" w14:textId="77777777" w:rsidR="0063032A" w:rsidRPr="00FC580D" w:rsidRDefault="0063032A" w:rsidP="0063032A">
      <w:pPr>
        <w:pStyle w:val="ab"/>
        <w:numPr>
          <w:ilvl w:val="0"/>
          <w:numId w:val="2"/>
        </w:numPr>
        <w:spacing w:after="0" w:line="360" w:lineRule="auto"/>
        <w:jc w:val="both"/>
        <w:rPr>
          <w:rFonts w:ascii="David" w:hAnsi="David" w:cs="David"/>
          <w:sz w:val="24"/>
          <w:szCs w:val="24"/>
          <w:rtl/>
        </w:rPr>
      </w:pPr>
      <w:r w:rsidRPr="00FC580D">
        <w:rPr>
          <w:rFonts w:ascii="David" w:hAnsi="David" w:cs="David"/>
          <w:sz w:val="24"/>
          <w:szCs w:val="24"/>
          <w:rtl/>
        </w:rPr>
        <w:t xml:space="preserve">בתסקירו מיום 24.5.21 סקר שירות המבחן את אורחות חייו של הנאשם, הרקע ההשכלתי, מצב התעסוקתי והמשפחתי, הנאשם כבן 26, רווק, עובד כנהג אוטובוס ושמר לאורך חייו על רצף תעסוקתי. סיים 12 שנות לימוד. בתסקיר תוארו נסיבות חייו הקשות והמורכבות. הודה בביצוע העבירה והביע חרטה. מסר בדיקות שתן שנמצאו נקיות מסם. הסכים להשתלב בטיפול. לאור מאפייני הנאשם וסיכויי השיקום בעניינו המליץ שירות המבחן לדחות הדיון ולאפשר שילובו בהליך טיפולי. </w:t>
      </w:r>
    </w:p>
    <w:p w14:paraId="2DDA8687" w14:textId="77777777" w:rsidR="0063032A" w:rsidRPr="00FC580D" w:rsidRDefault="0063032A" w:rsidP="0063032A">
      <w:pPr>
        <w:pStyle w:val="ab"/>
        <w:spacing w:after="0" w:line="360" w:lineRule="auto"/>
        <w:ind w:left="360"/>
        <w:jc w:val="both"/>
        <w:rPr>
          <w:rFonts w:ascii="David" w:hAnsi="David" w:cs="David"/>
          <w:sz w:val="24"/>
          <w:szCs w:val="24"/>
        </w:rPr>
      </w:pPr>
    </w:p>
    <w:p w14:paraId="3367C116" w14:textId="77777777" w:rsidR="0063032A" w:rsidRPr="00FC580D" w:rsidRDefault="0063032A" w:rsidP="0063032A">
      <w:pPr>
        <w:pStyle w:val="ab"/>
        <w:numPr>
          <w:ilvl w:val="0"/>
          <w:numId w:val="2"/>
        </w:numPr>
        <w:spacing w:line="360" w:lineRule="auto"/>
        <w:jc w:val="both"/>
        <w:rPr>
          <w:rFonts w:ascii="David" w:hAnsi="David" w:cs="David"/>
          <w:sz w:val="24"/>
          <w:szCs w:val="24"/>
        </w:rPr>
      </w:pPr>
      <w:r w:rsidRPr="00FC580D">
        <w:rPr>
          <w:rFonts w:ascii="David" w:hAnsi="David" w:cs="David"/>
          <w:sz w:val="24"/>
          <w:szCs w:val="24"/>
          <w:rtl/>
        </w:rPr>
        <w:t xml:space="preserve">בתסקירו מיום 5.1.22 ציין שירות המבחן כי עתידה להיפתח קבוצה טיפולית ולפיכך מתבקשת דחיה נוספת. בהמשך לכך, בתסקירו מיום 26.4.22 ציין שירות המבחן כי הנאשם השתלב בקבוצה טיפולית. הגיע ל-8 מפגשים והשתתף באופן פעיל. יחד עם זאת עלה קושי מסוים בשיתוף מצד הנאשם. שירות המבחן ביקש את המשך הליך הטיפול. </w:t>
      </w:r>
    </w:p>
    <w:p w14:paraId="2E672CE1" w14:textId="77777777" w:rsidR="0063032A" w:rsidRPr="00FC580D" w:rsidRDefault="0063032A" w:rsidP="0063032A">
      <w:pPr>
        <w:pStyle w:val="ab"/>
        <w:rPr>
          <w:rFonts w:ascii="David" w:hAnsi="David" w:cs="David"/>
          <w:sz w:val="24"/>
          <w:szCs w:val="24"/>
        </w:rPr>
      </w:pPr>
    </w:p>
    <w:p w14:paraId="47317CF1" w14:textId="77777777" w:rsidR="0063032A" w:rsidRPr="00FC580D" w:rsidRDefault="0063032A" w:rsidP="0063032A">
      <w:pPr>
        <w:pStyle w:val="ab"/>
        <w:numPr>
          <w:ilvl w:val="0"/>
          <w:numId w:val="2"/>
        </w:numPr>
        <w:spacing w:line="360" w:lineRule="auto"/>
        <w:jc w:val="both"/>
        <w:rPr>
          <w:rFonts w:ascii="David" w:hAnsi="David" w:cs="David"/>
          <w:sz w:val="24"/>
          <w:szCs w:val="24"/>
          <w:rtl/>
        </w:rPr>
      </w:pPr>
      <w:r w:rsidRPr="00FC580D">
        <w:rPr>
          <w:rFonts w:ascii="David" w:hAnsi="David" w:cs="David"/>
          <w:sz w:val="24"/>
          <w:szCs w:val="24"/>
          <w:rtl/>
        </w:rPr>
        <w:t>בתסקירו מיום 14.9.22 ציין שירות המבחן כי הנאשם משתתף בקבוצה הטיפולית באופן פעיל ואקטיבי באופן משמעותי. הערכת המנחות היא שהסיכון להישנות עבירה נמוך. מסר בדיקות שתן נקיות. בין לבין הנאשם התארס ולאורך כל העת הוא ממשיך בעבודתו כנהג אוטובוס. התרשמות שירות המבחן היא כי הנאשם שיתף פעולה באופן חיובי, מנהל אורח חיים נורמטיבי, תעסוקתו היא גורם משמעותי בחייו, לקח אחריות מלאה על מעשיו והשתתף באופן מלא וחיובי בקבוצה הטיפולית. לפיכך המליץ שירות המבחן על ביטול ההרשעה והטלת עונש של"צ.</w:t>
      </w:r>
    </w:p>
    <w:p w14:paraId="50931526" w14:textId="77777777" w:rsidR="0063032A" w:rsidRPr="00FC580D" w:rsidRDefault="0063032A" w:rsidP="0063032A">
      <w:pPr>
        <w:pStyle w:val="ab"/>
        <w:rPr>
          <w:rFonts w:ascii="David" w:hAnsi="David" w:cs="David"/>
          <w:sz w:val="24"/>
          <w:szCs w:val="24"/>
        </w:rPr>
      </w:pPr>
    </w:p>
    <w:p w14:paraId="359F265A" w14:textId="77777777" w:rsidR="0063032A" w:rsidRPr="00FC580D" w:rsidRDefault="0063032A" w:rsidP="0063032A">
      <w:pPr>
        <w:pStyle w:val="ab"/>
        <w:numPr>
          <w:ilvl w:val="0"/>
          <w:numId w:val="2"/>
        </w:numPr>
        <w:spacing w:line="360" w:lineRule="auto"/>
        <w:jc w:val="both"/>
        <w:rPr>
          <w:rFonts w:ascii="David" w:hAnsi="David" w:cs="David"/>
          <w:sz w:val="24"/>
          <w:szCs w:val="24"/>
          <w:rtl/>
        </w:rPr>
      </w:pPr>
      <w:r w:rsidRPr="00FC580D">
        <w:rPr>
          <w:rFonts w:ascii="David" w:hAnsi="David" w:cs="David"/>
          <w:sz w:val="24"/>
          <w:szCs w:val="24"/>
          <w:rtl/>
        </w:rPr>
        <w:t xml:space="preserve">בתסקירו האחרון מיום 31.1.23 חזר שירות המבחן על המלצתו החיובית וציין כי הרשעת הנאשם עלולה לפגוע במסגרת התעסוקתית בה עוסק מזה שלוש שנים, כנהג בתחבורה ציבורית בחברת אגד. לפיכך, שב והמליץ על ביטול הרשעת הנאשם. </w:t>
      </w:r>
    </w:p>
    <w:p w14:paraId="358F127A" w14:textId="77777777" w:rsidR="0063032A" w:rsidRPr="00FC580D" w:rsidRDefault="0063032A" w:rsidP="0063032A">
      <w:pPr>
        <w:pStyle w:val="ab"/>
        <w:jc w:val="both"/>
        <w:rPr>
          <w:rFonts w:ascii="David" w:hAnsi="David" w:cs="David"/>
          <w:sz w:val="24"/>
          <w:szCs w:val="24"/>
        </w:rPr>
      </w:pPr>
    </w:p>
    <w:p w14:paraId="4CC4AC9C" w14:textId="77777777" w:rsidR="0063032A" w:rsidRPr="00FC580D" w:rsidRDefault="0063032A" w:rsidP="0063032A">
      <w:pPr>
        <w:spacing w:line="360" w:lineRule="auto"/>
        <w:jc w:val="both"/>
        <w:rPr>
          <w:rFonts w:ascii="David" w:hAnsi="David"/>
          <w:b/>
          <w:bCs/>
          <w:u w:val="single"/>
          <w:rtl/>
        </w:rPr>
      </w:pPr>
      <w:r w:rsidRPr="00FC580D">
        <w:rPr>
          <w:rFonts w:ascii="David" w:hAnsi="David"/>
          <w:b/>
          <w:bCs/>
          <w:u w:val="single"/>
          <w:rtl/>
        </w:rPr>
        <w:t>טיעוני הצדדים</w:t>
      </w:r>
    </w:p>
    <w:p w14:paraId="301EB1CB" w14:textId="77777777" w:rsidR="0063032A" w:rsidRPr="00FC580D" w:rsidRDefault="0063032A" w:rsidP="0063032A">
      <w:pPr>
        <w:pStyle w:val="ab"/>
        <w:numPr>
          <w:ilvl w:val="0"/>
          <w:numId w:val="2"/>
        </w:numPr>
        <w:spacing w:after="0" w:line="360" w:lineRule="auto"/>
        <w:jc w:val="both"/>
        <w:rPr>
          <w:rFonts w:ascii="David" w:hAnsi="David" w:cs="David"/>
          <w:sz w:val="24"/>
          <w:szCs w:val="24"/>
          <w:rtl/>
        </w:rPr>
      </w:pPr>
      <w:r w:rsidRPr="00FC580D">
        <w:rPr>
          <w:rFonts w:ascii="David" w:hAnsi="David" w:cs="David"/>
          <w:sz w:val="24"/>
          <w:szCs w:val="24"/>
          <w:rtl/>
        </w:rPr>
        <w:t xml:space="preserve">ב"כ המאשימה הגיש טיעונים לעונש בכתב, (ת/1) בהם תיאר את העבירות שביצע הנאשם, את חומרתן ואת הערכים החברתיים שנפגעו. עוד טען כי בנסיבות התיק אין מקום לביטול הרשעת הנאשם. עתר למתחם ענישה הנע בין 6 חודשי מאסר שירוצו בעבודות שירות לבין 12 חודשי מאסר בפועל ועתר לגזירת עונשו של הנאשם בחלקו הנמוך של המתחם. </w:t>
      </w:r>
    </w:p>
    <w:p w14:paraId="24977969" w14:textId="77777777" w:rsidR="0063032A" w:rsidRPr="00FC580D" w:rsidRDefault="0063032A" w:rsidP="0063032A">
      <w:pPr>
        <w:pStyle w:val="ab"/>
        <w:spacing w:after="0" w:line="360" w:lineRule="auto"/>
        <w:ind w:left="360"/>
        <w:jc w:val="both"/>
        <w:rPr>
          <w:rFonts w:ascii="David" w:hAnsi="David" w:cs="David"/>
          <w:sz w:val="24"/>
          <w:szCs w:val="24"/>
        </w:rPr>
      </w:pPr>
    </w:p>
    <w:p w14:paraId="6219819E" w14:textId="77777777" w:rsidR="0063032A" w:rsidRPr="00FC580D" w:rsidRDefault="0063032A" w:rsidP="0063032A">
      <w:pPr>
        <w:pStyle w:val="ab"/>
        <w:numPr>
          <w:ilvl w:val="0"/>
          <w:numId w:val="2"/>
        </w:numPr>
        <w:spacing w:after="0" w:line="360" w:lineRule="auto"/>
        <w:jc w:val="both"/>
        <w:rPr>
          <w:rFonts w:ascii="David" w:hAnsi="David" w:cs="David"/>
          <w:sz w:val="24"/>
          <w:szCs w:val="24"/>
        </w:rPr>
      </w:pPr>
      <w:r w:rsidRPr="00FC580D">
        <w:rPr>
          <w:rFonts w:ascii="David" w:hAnsi="David" w:cs="David"/>
          <w:sz w:val="24"/>
          <w:szCs w:val="24"/>
          <w:rtl/>
        </w:rPr>
        <w:t xml:space="preserve">ב"כ הנאשם עתר לביטול הרשעת הנאשם לאור נסיבות ביצוע העבירות, נסיבותיו האישיות של הנאשם, והמלצת שירות המבחן ממנה אף עולה כי הרשעתו של הנאשם עלולה להוביל לפגיעה בעבודתו כנהג אגד.  </w:t>
      </w:r>
    </w:p>
    <w:p w14:paraId="078E6763" w14:textId="77777777" w:rsidR="0063032A" w:rsidRPr="00FC580D" w:rsidRDefault="0063032A" w:rsidP="0063032A">
      <w:pPr>
        <w:pStyle w:val="ab"/>
        <w:jc w:val="both"/>
        <w:rPr>
          <w:rFonts w:ascii="David" w:hAnsi="David" w:cs="David"/>
          <w:sz w:val="24"/>
          <w:szCs w:val="24"/>
        </w:rPr>
      </w:pPr>
    </w:p>
    <w:p w14:paraId="7D210466" w14:textId="77777777" w:rsidR="0063032A" w:rsidRPr="00FC580D" w:rsidRDefault="0063032A" w:rsidP="0063032A">
      <w:pPr>
        <w:pStyle w:val="ab"/>
        <w:numPr>
          <w:ilvl w:val="0"/>
          <w:numId w:val="2"/>
        </w:numPr>
        <w:spacing w:after="0" w:line="360" w:lineRule="auto"/>
        <w:jc w:val="both"/>
        <w:rPr>
          <w:rFonts w:ascii="David" w:hAnsi="David" w:cs="David"/>
          <w:sz w:val="24"/>
          <w:szCs w:val="24"/>
          <w:rtl/>
        </w:rPr>
      </w:pPr>
      <w:r w:rsidRPr="00FC580D">
        <w:rPr>
          <w:rFonts w:ascii="David" w:hAnsi="David" w:cs="David"/>
          <w:sz w:val="24"/>
          <w:szCs w:val="24"/>
          <w:rtl/>
        </w:rPr>
        <w:t xml:space="preserve">הנאשם ציין שהשתתף בקבוצה בשירות המבחן. </w:t>
      </w:r>
    </w:p>
    <w:p w14:paraId="76B2A92C" w14:textId="77777777" w:rsidR="0063032A" w:rsidRPr="00FC580D" w:rsidRDefault="0063032A" w:rsidP="0063032A">
      <w:pPr>
        <w:spacing w:line="360" w:lineRule="auto"/>
        <w:jc w:val="both"/>
        <w:rPr>
          <w:rFonts w:ascii="David" w:hAnsi="David"/>
          <w:b/>
          <w:bCs/>
          <w:u w:val="single"/>
        </w:rPr>
      </w:pPr>
    </w:p>
    <w:p w14:paraId="3F110162" w14:textId="77777777" w:rsidR="0063032A" w:rsidRPr="00FC580D" w:rsidRDefault="0063032A" w:rsidP="0063032A">
      <w:pPr>
        <w:spacing w:line="360" w:lineRule="auto"/>
        <w:jc w:val="both"/>
        <w:rPr>
          <w:rFonts w:ascii="David" w:hAnsi="David"/>
          <w:b/>
          <w:bCs/>
          <w:u w:val="single"/>
          <w:rtl/>
        </w:rPr>
      </w:pPr>
      <w:r w:rsidRPr="00FC580D">
        <w:rPr>
          <w:rFonts w:ascii="David" w:hAnsi="David"/>
          <w:b/>
          <w:bCs/>
          <w:u w:val="single"/>
          <w:rtl/>
        </w:rPr>
        <w:t>קביעת מתחם העונש ההולם</w:t>
      </w:r>
    </w:p>
    <w:p w14:paraId="0A6EE4F2" w14:textId="77777777" w:rsidR="0063032A" w:rsidRPr="00FC580D" w:rsidRDefault="0063032A" w:rsidP="0063032A">
      <w:pPr>
        <w:pStyle w:val="ab"/>
        <w:numPr>
          <w:ilvl w:val="0"/>
          <w:numId w:val="2"/>
        </w:numPr>
        <w:spacing w:after="0" w:line="360" w:lineRule="auto"/>
        <w:jc w:val="both"/>
        <w:rPr>
          <w:rFonts w:ascii="David" w:hAnsi="David" w:cs="David"/>
          <w:sz w:val="24"/>
          <w:szCs w:val="24"/>
          <w:rtl/>
        </w:rPr>
      </w:pPr>
      <w:r w:rsidRPr="00FC580D">
        <w:rPr>
          <w:rFonts w:ascii="David" w:hAnsi="David" w:cs="David"/>
          <w:sz w:val="24"/>
          <w:szCs w:val="24"/>
          <w:rtl/>
        </w:rPr>
        <w:t>בקביעת מתחם העונש ההולם על בית המשפט להתחשב בערכים המוגנים, במידת הפגיעה בהם, בענישה הנוהגת ובנסיבות הקשורות בביצוע העבירה.</w:t>
      </w:r>
    </w:p>
    <w:p w14:paraId="5B51D14F" w14:textId="77777777" w:rsidR="0063032A" w:rsidRPr="00FC580D" w:rsidRDefault="0063032A" w:rsidP="0063032A">
      <w:pPr>
        <w:spacing w:line="360" w:lineRule="auto"/>
        <w:jc w:val="both"/>
        <w:rPr>
          <w:rFonts w:ascii="David" w:hAnsi="David"/>
        </w:rPr>
      </w:pPr>
    </w:p>
    <w:p w14:paraId="6CD7A2C8" w14:textId="77777777" w:rsidR="0063032A" w:rsidRPr="00FC580D" w:rsidRDefault="0063032A" w:rsidP="0063032A">
      <w:pPr>
        <w:spacing w:line="360" w:lineRule="auto"/>
        <w:jc w:val="both"/>
        <w:rPr>
          <w:rFonts w:ascii="David" w:hAnsi="David"/>
          <w:u w:val="single"/>
          <w:rtl/>
        </w:rPr>
      </w:pPr>
      <w:r w:rsidRPr="00FC580D">
        <w:rPr>
          <w:rFonts w:ascii="David" w:hAnsi="David"/>
          <w:u w:val="single"/>
          <w:rtl/>
        </w:rPr>
        <w:t>הערכים המוגנים ומידת הפגיעה בהם</w:t>
      </w:r>
    </w:p>
    <w:p w14:paraId="278CBFC1" w14:textId="77777777" w:rsidR="0063032A" w:rsidRPr="00FC580D" w:rsidRDefault="0063032A" w:rsidP="0063032A">
      <w:pPr>
        <w:spacing w:line="360" w:lineRule="auto"/>
        <w:jc w:val="both"/>
        <w:rPr>
          <w:rFonts w:ascii="David" w:hAnsi="David"/>
          <w:u w:val="single"/>
          <w:rtl/>
        </w:rPr>
      </w:pPr>
    </w:p>
    <w:p w14:paraId="5DA51492" w14:textId="77777777" w:rsidR="0063032A" w:rsidRPr="00FC580D" w:rsidRDefault="0063032A" w:rsidP="0063032A">
      <w:pPr>
        <w:pStyle w:val="ab"/>
        <w:numPr>
          <w:ilvl w:val="0"/>
          <w:numId w:val="2"/>
        </w:numPr>
        <w:spacing w:line="360" w:lineRule="auto"/>
        <w:jc w:val="both"/>
        <w:rPr>
          <w:rFonts w:cs="David"/>
          <w:rtl/>
        </w:rPr>
      </w:pPr>
      <w:r w:rsidRPr="00FC580D">
        <w:rPr>
          <w:rFonts w:ascii="David" w:hAnsi="David" w:cs="David"/>
          <w:sz w:val="24"/>
          <w:szCs w:val="24"/>
          <w:rtl/>
        </w:rPr>
        <w:t xml:space="preserve">הערך המוגן הינו ההגנה מפני הנזקים הישירים והעקיפים אשר נגרמים לחברה בכללותה עקב השימוש בסמים. </w:t>
      </w:r>
      <w:r w:rsidRPr="00FC580D">
        <w:rPr>
          <w:rFonts w:cs="David"/>
          <w:sz w:val="24"/>
          <w:szCs w:val="24"/>
          <w:rtl/>
        </w:rPr>
        <w:t xml:space="preserve">שימוש ממושך בסם מסוכן עלול לגרום לפגיעה גופנית ונפשית של המשתמש בו, כזו שתצריך טיפול רפואי שעלותו נופלת על החברה. </w:t>
      </w:r>
      <w:r w:rsidRPr="00FC580D">
        <w:rPr>
          <w:rFonts w:ascii="David" w:hAnsi="David" w:cs="David"/>
          <w:sz w:val="24"/>
          <w:szCs w:val="24"/>
          <w:rtl/>
        </w:rPr>
        <w:t xml:space="preserve">על הצורך  להילחם בנגע הסמים, עמד בית המשפט העליון לא אחת פסיקתו, </w:t>
      </w:r>
      <w:r w:rsidRPr="00FC580D">
        <w:rPr>
          <w:rFonts w:ascii="David" w:hAnsi="David" w:cs="David"/>
          <w:b/>
          <w:sz w:val="24"/>
          <w:szCs w:val="24"/>
          <w:rtl/>
        </w:rPr>
        <w:t>ובין השאר ב</w:t>
      </w:r>
      <w:hyperlink r:id="rId20" w:history="1">
        <w:r w:rsidR="00754C52" w:rsidRPr="00FC580D">
          <w:rPr>
            <w:rFonts w:ascii="David" w:hAnsi="David" w:cs="David"/>
            <w:b/>
            <w:color w:val="0000FF"/>
            <w:sz w:val="24"/>
            <w:szCs w:val="24"/>
            <w:u w:val="single"/>
            <w:rtl/>
          </w:rPr>
          <w:t>ע"פ 170/07</w:t>
        </w:r>
      </w:hyperlink>
      <w:r w:rsidRPr="00FC580D">
        <w:rPr>
          <w:rFonts w:ascii="David" w:hAnsi="David" w:cs="David"/>
          <w:b/>
          <w:sz w:val="24"/>
          <w:szCs w:val="24"/>
          <w:rtl/>
        </w:rPr>
        <w:t xml:space="preserve"> </w:t>
      </w:r>
      <w:r w:rsidRPr="00FC580D">
        <w:rPr>
          <w:rFonts w:ascii="David" w:hAnsi="David" w:cs="David"/>
          <w:bCs/>
          <w:sz w:val="24"/>
          <w:szCs w:val="24"/>
          <w:rtl/>
        </w:rPr>
        <w:t>מטיס נ' מדינת ישראל</w:t>
      </w:r>
      <w:r w:rsidRPr="00FC580D">
        <w:rPr>
          <w:rFonts w:ascii="David" w:hAnsi="David" w:cs="David"/>
          <w:b/>
          <w:sz w:val="24"/>
          <w:szCs w:val="24"/>
          <w:rtl/>
        </w:rPr>
        <w:t xml:space="preserve"> ביחס שימוש עצמי בסמים מסוג קנאביס וחשיש:</w:t>
      </w:r>
    </w:p>
    <w:p w14:paraId="21130D7E" w14:textId="77777777" w:rsidR="0063032A" w:rsidRPr="00FC580D" w:rsidRDefault="0063032A" w:rsidP="0063032A">
      <w:pPr>
        <w:pStyle w:val="a"/>
        <w:numPr>
          <w:ilvl w:val="0"/>
          <w:numId w:val="0"/>
        </w:numPr>
        <w:tabs>
          <w:tab w:val="left" w:pos="720"/>
        </w:tabs>
        <w:ind w:left="1440"/>
        <w:jc w:val="both"/>
        <w:rPr>
          <w:bCs/>
        </w:rPr>
      </w:pPr>
      <w:r w:rsidRPr="00FC580D">
        <w:rPr>
          <w:rFonts w:hint="cs"/>
          <w:b/>
          <w:rtl/>
        </w:rPr>
        <w:t>"</w:t>
      </w:r>
      <w:r w:rsidRPr="00FC580D">
        <w:rPr>
          <w:rFonts w:hint="cs"/>
          <w:bCs/>
          <w:rtl/>
        </w:rPr>
        <w:t>אכן הסם שמדובר בו בתיק הנוכחי הוא קנבוס שמוגדר כ"סם קל". לרוע המזל סמים קלים מהווים לעיתים קרובות את יריית הפתיחה להתמכרות לסמים קשים יותר שלא לדבר על כך שגם בשימוש בהם עצמם טמונה סכנה</w:t>
      </w:r>
      <w:r w:rsidRPr="00FC580D">
        <w:rPr>
          <w:rFonts w:hint="cs"/>
          <w:b/>
          <w:rtl/>
        </w:rPr>
        <w:t>".</w:t>
      </w:r>
    </w:p>
    <w:p w14:paraId="72F95630" w14:textId="77777777" w:rsidR="0063032A" w:rsidRPr="00FC580D" w:rsidRDefault="0063032A" w:rsidP="0063032A">
      <w:pPr>
        <w:pStyle w:val="ab"/>
        <w:numPr>
          <w:ilvl w:val="0"/>
          <w:numId w:val="2"/>
        </w:numPr>
        <w:spacing w:line="360" w:lineRule="auto"/>
        <w:jc w:val="both"/>
        <w:rPr>
          <w:rFonts w:ascii="David" w:hAnsi="David" w:cs="David"/>
          <w:sz w:val="24"/>
          <w:szCs w:val="24"/>
          <w:rtl/>
        </w:rPr>
      </w:pPr>
      <w:r w:rsidRPr="00FC580D">
        <w:rPr>
          <w:rFonts w:ascii="David" w:hAnsi="David" w:cs="David"/>
          <w:sz w:val="24"/>
          <w:szCs w:val="24"/>
          <w:rtl/>
        </w:rPr>
        <w:t xml:space="preserve">לאחרונה, בית המשפט העליון שב והדגיש כי קנבוס היה ועודנו נותר סם מסוכן. ראו למשל </w:t>
      </w:r>
      <w:hyperlink r:id="rId21" w:history="1">
        <w:r w:rsidR="00754C52" w:rsidRPr="00FC580D">
          <w:rPr>
            <w:rFonts w:ascii="David" w:hAnsi="David" w:cs="David"/>
            <w:color w:val="0000FF"/>
            <w:sz w:val="24"/>
            <w:szCs w:val="24"/>
            <w:u w:val="single"/>
            <w:rtl/>
          </w:rPr>
          <w:t>רע"פ 174/21</w:t>
        </w:r>
      </w:hyperlink>
      <w:r w:rsidRPr="00FC580D">
        <w:rPr>
          <w:rFonts w:ascii="David" w:hAnsi="David" w:cs="David"/>
          <w:sz w:val="24"/>
          <w:szCs w:val="24"/>
          <w:rtl/>
        </w:rPr>
        <w:t xml:space="preserve"> </w:t>
      </w:r>
      <w:r w:rsidRPr="00FC580D">
        <w:rPr>
          <w:rFonts w:ascii="David" w:hAnsi="David" w:cs="David"/>
          <w:b/>
          <w:bCs/>
          <w:sz w:val="24"/>
          <w:szCs w:val="24"/>
          <w:rtl/>
        </w:rPr>
        <w:t>סויסה נ' מדינת ישראל</w:t>
      </w:r>
      <w:r w:rsidRPr="00FC580D">
        <w:rPr>
          <w:rFonts w:ascii="David" w:hAnsi="David" w:cs="David"/>
          <w:sz w:val="24"/>
          <w:szCs w:val="24"/>
          <w:rtl/>
        </w:rPr>
        <w:t xml:space="preserve">, וכי ככלל מגמת הענישה בעבירות סמים, היא של החמרה והרתעה. ראו </w:t>
      </w:r>
      <w:hyperlink r:id="rId22" w:history="1">
        <w:r w:rsidR="00754C52" w:rsidRPr="00FC580D">
          <w:rPr>
            <w:rFonts w:ascii="David" w:hAnsi="David" w:cs="David"/>
            <w:color w:val="0000FF"/>
            <w:sz w:val="24"/>
            <w:szCs w:val="24"/>
            <w:u w:val="single"/>
            <w:rtl/>
          </w:rPr>
          <w:t>ע"פ 8048/19</w:t>
        </w:r>
      </w:hyperlink>
      <w:r w:rsidRPr="00FC580D">
        <w:rPr>
          <w:rFonts w:ascii="David" w:hAnsi="David" w:cs="David"/>
          <w:sz w:val="24"/>
          <w:szCs w:val="24"/>
          <w:rtl/>
        </w:rPr>
        <w:t xml:space="preserve"> </w:t>
      </w:r>
      <w:r w:rsidRPr="00FC580D">
        <w:rPr>
          <w:rFonts w:ascii="David" w:hAnsi="David" w:cs="David"/>
          <w:b/>
          <w:bCs/>
          <w:sz w:val="24"/>
          <w:szCs w:val="24"/>
          <w:rtl/>
        </w:rPr>
        <w:t>פיצ'חדזה נ' מדינת ישראל</w:t>
      </w:r>
      <w:r w:rsidRPr="00FC580D">
        <w:rPr>
          <w:rFonts w:ascii="David" w:hAnsi="David" w:cs="David"/>
          <w:sz w:val="24"/>
          <w:szCs w:val="24"/>
          <w:rtl/>
        </w:rPr>
        <w:t xml:space="preserve">. משכל זה נאמר, וגם אם סם הקנבוס הינו סם מסוכן, וודאי הוא אינו מן המסוכנים שבהם.  </w:t>
      </w:r>
    </w:p>
    <w:p w14:paraId="626C7136" w14:textId="77777777" w:rsidR="0063032A" w:rsidRPr="00FC580D" w:rsidRDefault="0063032A" w:rsidP="0063032A">
      <w:pPr>
        <w:spacing w:line="360" w:lineRule="auto"/>
        <w:jc w:val="both"/>
        <w:rPr>
          <w:rFonts w:ascii="David" w:hAnsi="David"/>
          <w:u w:val="single"/>
          <w:rtl/>
        </w:rPr>
      </w:pPr>
      <w:r w:rsidRPr="00FC580D">
        <w:rPr>
          <w:rFonts w:ascii="David" w:hAnsi="David"/>
          <w:u w:val="single"/>
          <w:rtl/>
        </w:rPr>
        <w:t>מדיניות הענישה הנוהגת</w:t>
      </w:r>
    </w:p>
    <w:p w14:paraId="75401588" w14:textId="77777777" w:rsidR="0063032A" w:rsidRPr="00FC580D" w:rsidRDefault="0063032A" w:rsidP="0063032A">
      <w:pPr>
        <w:pStyle w:val="ab"/>
        <w:numPr>
          <w:ilvl w:val="0"/>
          <w:numId w:val="2"/>
        </w:numPr>
        <w:spacing w:after="0" w:line="360" w:lineRule="auto"/>
        <w:jc w:val="both"/>
        <w:rPr>
          <w:rFonts w:ascii="David" w:hAnsi="David" w:cs="David"/>
          <w:sz w:val="24"/>
          <w:szCs w:val="24"/>
          <w:rtl/>
        </w:rPr>
      </w:pPr>
      <w:r w:rsidRPr="00FC580D">
        <w:rPr>
          <w:rFonts w:ascii="David" w:hAnsi="David" w:cs="David"/>
          <w:sz w:val="24"/>
          <w:szCs w:val="24"/>
          <w:rtl/>
        </w:rPr>
        <w:t xml:space="preserve">מדיניות הענישה הנהוגה בעבירות החזקת סם קנבוס שלא לצריכה עצמית, בכמויות נמוכות, מלמדת כי המתחם נע בין מאסר על תנאי למספר חודשי מאסר בפועל שירוצו בעבודות שירות. </w:t>
      </w:r>
    </w:p>
    <w:p w14:paraId="3686F858" w14:textId="77777777" w:rsidR="0063032A" w:rsidRPr="00FC580D" w:rsidRDefault="0063032A" w:rsidP="0063032A">
      <w:pPr>
        <w:pStyle w:val="ab"/>
        <w:spacing w:after="0" w:line="360" w:lineRule="auto"/>
        <w:ind w:left="360"/>
        <w:jc w:val="both"/>
        <w:rPr>
          <w:rFonts w:ascii="David" w:hAnsi="David" w:cs="David"/>
          <w:sz w:val="24"/>
          <w:szCs w:val="24"/>
        </w:rPr>
      </w:pPr>
    </w:p>
    <w:p w14:paraId="72F21E35" w14:textId="77777777" w:rsidR="0063032A" w:rsidRPr="00FC580D" w:rsidRDefault="0063032A" w:rsidP="0063032A">
      <w:pPr>
        <w:pStyle w:val="ab"/>
        <w:numPr>
          <w:ilvl w:val="0"/>
          <w:numId w:val="2"/>
        </w:numPr>
        <w:spacing w:after="0" w:line="360" w:lineRule="auto"/>
        <w:jc w:val="both"/>
        <w:rPr>
          <w:rFonts w:ascii="David" w:hAnsi="David" w:cs="David"/>
          <w:sz w:val="24"/>
          <w:szCs w:val="24"/>
        </w:rPr>
      </w:pPr>
      <w:r w:rsidRPr="00FC580D">
        <w:rPr>
          <w:rFonts w:ascii="David" w:hAnsi="David" w:cs="David"/>
          <w:sz w:val="24"/>
          <w:szCs w:val="24"/>
          <w:rtl/>
        </w:rPr>
        <w:t xml:space="preserve">ראו למשל, </w:t>
      </w:r>
      <w:hyperlink r:id="rId23" w:history="1">
        <w:r w:rsidR="00754C52" w:rsidRPr="00FC580D">
          <w:rPr>
            <w:rFonts w:ascii="David" w:hAnsi="David" w:cs="David"/>
            <w:color w:val="0000FF"/>
            <w:sz w:val="24"/>
            <w:szCs w:val="24"/>
            <w:u w:val="single"/>
            <w:rtl/>
          </w:rPr>
          <w:t>רע"פ 8759/21</w:t>
        </w:r>
      </w:hyperlink>
      <w:r w:rsidRPr="00FC580D">
        <w:rPr>
          <w:rFonts w:ascii="David" w:hAnsi="David" w:cs="David"/>
          <w:sz w:val="24"/>
          <w:szCs w:val="24"/>
          <w:rtl/>
        </w:rPr>
        <w:t xml:space="preserve"> </w:t>
      </w:r>
      <w:r w:rsidRPr="00FC580D">
        <w:rPr>
          <w:rFonts w:ascii="David" w:hAnsi="David" w:cs="David"/>
          <w:b/>
          <w:bCs/>
          <w:sz w:val="24"/>
          <w:szCs w:val="24"/>
          <w:rtl/>
        </w:rPr>
        <w:t>אלעד קסלר נ' מדינת ישראל</w:t>
      </w:r>
      <w:r w:rsidRPr="00FC580D">
        <w:rPr>
          <w:rFonts w:ascii="David" w:hAnsi="David" w:cs="David"/>
          <w:sz w:val="24"/>
          <w:szCs w:val="24"/>
          <w:rtl/>
        </w:rPr>
        <w:t xml:space="preserve">  – עבירה של החזקת סם שלא לצריכה עצמית ועבירה של  החזקת אגרופן או סכין שלא כדין. הנאשם החזיק בביתו סם קנבוס במשקל כולל של 229.35 גרם, בית המשפט השלום קבע מתחם העונש ההולם הנע בין מאסר על תנאי לצד צו של"צ, וענישה נלווית ועד ל-8 חודשי מאסר בפועל.  ראו </w:t>
      </w:r>
      <w:hyperlink r:id="rId24" w:history="1">
        <w:r w:rsidR="00754C52" w:rsidRPr="00FC580D">
          <w:rPr>
            <w:rFonts w:ascii="David" w:hAnsi="David" w:cs="David"/>
            <w:color w:val="0000FF"/>
            <w:sz w:val="24"/>
            <w:szCs w:val="24"/>
            <w:u w:val="single"/>
            <w:rtl/>
          </w:rPr>
          <w:t>ת"פ (תל-אביב) 59619-10-20</w:t>
        </w:r>
      </w:hyperlink>
      <w:r w:rsidRPr="00FC580D">
        <w:rPr>
          <w:rFonts w:ascii="David" w:hAnsi="David" w:cs="David"/>
          <w:sz w:val="24"/>
          <w:szCs w:val="24"/>
          <w:rtl/>
        </w:rPr>
        <w:t xml:space="preserve"> </w:t>
      </w:r>
      <w:r w:rsidRPr="00FC580D">
        <w:rPr>
          <w:rFonts w:ascii="David" w:hAnsi="David" w:cs="David"/>
          <w:b/>
          <w:bCs/>
          <w:sz w:val="24"/>
          <w:szCs w:val="24"/>
          <w:rtl/>
        </w:rPr>
        <w:t>מדינת ישראל נ' קרופניק</w:t>
      </w:r>
      <w:r w:rsidRPr="00FC580D">
        <w:rPr>
          <w:rFonts w:ascii="David" w:hAnsi="David" w:cs="David"/>
          <w:sz w:val="24"/>
          <w:szCs w:val="24"/>
          <w:rtl/>
        </w:rPr>
        <w:t xml:space="preserve">  – עבירות של  החזקת סם שלא לצריכה עצמית וכן החזקת אגרופן או סכין שלא כדין. הנאשם החזיק ברכבו 2 פלטות של סם מסוכן מסוג חשיש במשקל כולל של כ-180 גר' וכן החזיק סכין ברכבו. בית המשפט השלום קבע מתחם עונש כולל לשתי העבירות הנע בין מאסר על תנאי לצד של"צ ועד 10 חודשי מאסר בפועל, לצד ענישה נלווית. בית המשפט גזר על הנאשם, אשר לקח אחריות, ללא עבר פלילי, אשר שירות המבחן התרשם ממנו בצורה חיובית עונש ברף הנמוך שכלל 200 שעות של"צ, מאסרים על תנאי, קנס בסך 2,000 ₪, התחייבות ופסילה על תנאי. </w:t>
      </w:r>
      <w:hyperlink r:id="rId25" w:history="1">
        <w:r w:rsidR="00754C52" w:rsidRPr="00FC580D">
          <w:rPr>
            <w:rFonts w:ascii="David" w:hAnsi="David" w:cs="David"/>
            <w:color w:val="0000FF"/>
            <w:sz w:val="24"/>
            <w:szCs w:val="24"/>
            <w:u w:val="single"/>
            <w:rtl/>
          </w:rPr>
          <w:t>ת"פ 11409-07-19</w:t>
        </w:r>
      </w:hyperlink>
      <w:r w:rsidRPr="00FC580D">
        <w:rPr>
          <w:rFonts w:ascii="David" w:hAnsi="David" w:cs="David"/>
          <w:sz w:val="24"/>
          <w:szCs w:val="24"/>
          <w:rtl/>
        </w:rPr>
        <w:t xml:space="preserve"> </w:t>
      </w:r>
      <w:r w:rsidRPr="00FC580D">
        <w:rPr>
          <w:rFonts w:ascii="David" w:hAnsi="David" w:cs="David"/>
          <w:b/>
          <w:bCs/>
          <w:sz w:val="24"/>
          <w:szCs w:val="24"/>
          <w:rtl/>
        </w:rPr>
        <w:t>מ"י נ' קובלסקי</w:t>
      </w:r>
      <w:r w:rsidRPr="00FC580D">
        <w:rPr>
          <w:rFonts w:ascii="David" w:hAnsi="David" w:cs="David"/>
          <w:sz w:val="24"/>
          <w:szCs w:val="24"/>
          <w:rtl/>
        </w:rPr>
        <w:t xml:space="preserve">, שם הורשע הנאשם בהחזקת 125 גרם קנביס, נקבע מתחם עונש הנע בין של"צ ל-6 ח' מאסר בעבודות שירות. </w:t>
      </w:r>
    </w:p>
    <w:p w14:paraId="4D7DDA14" w14:textId="77777777" w:rsidR="0063032A" w:rsidRPr="00FC580D" w:rsidRDefault="0063032A" w:rsidP="0063032A">
      <w:pPr>
        <w:pStyle w:val="ab"/>
        <w:rPr>
          <w:rFonts w:ascii="David" w:hAnsi="David" w:cs="David"/>
          <w:sz w:val="24"/>
          <w:szCs w:val="24"/>
          <w:rtl/>
        </w:rPr>
      </w:pPr>
    </w:p>
    <w:p w14:paraId="702410CC" w14:textId="77777777" w:rsidR="0063032A" w:rsidRPr="00FC580D" w:rsidRDefault="0063032A" w:rsidP="0063032A">
      <w:pPr>
        <w:pStyle w:val="ab"/>
        <w:numPr>
          <w:ilvl w:val="0"/>
          <w:numId w:val="2"/>
        </w:numPr>
        <w:spacing w:after="0" w:line="360" w:lineRule="auto"/>
        <w:jc w:val="both"/>
        <w:rPr>
          <w:rFonts w:ascii="David" w:hAnsi="David" w:cs="David"/>
          <w:sz w:val="24"/>
          <w:szCs w:val="24"/>
        </w:rPr>
      </w:pPr>
      <w:r w:rsidRPr="00FC580D">
        <w:rPr>
          <w:rFonts w:ascii="David" w:hAnsi="David" w:cs="David"/>
          <w:sz w:val="24"/>
          <w:szCs w:val="24"/>
          <w:rtl/>
        </w:rPr>
        <w:t xml:space="preserve">יש לזכור כי פסקי דין אלו, ניתנו לפני השינוי החקיקתי ביחס להחזקת סם לצריכה עצמית, בהתאם </w:t>
      </w:r>
      <w:r w:rsidRPr="00FC580D">
        <w:rPr>
          <w:rFonts w:ascii="David" w:hAnsi="David" w:cs="David"/>
          <w:b/>
          <w:bCs/>
          <w:sz w:val="24"/>
          <w:szCs w:val="24"/>
          <w:rtl/>
        </w:rPr>
        <w:t>ל</w:t>
      </w:r>
      <w:hyperlink r:id="rId26" w:history="1">
        <w:r w:rsidR="00754C52" w:rsidRPr="00FC580D">
          <w:rPr>
            <w:rFonts w:ascii="David" w:hAnsi="David" w:cs="David"/>
            <w:b/>
            <w:bCs/>
            <w:color w:val="0000FF"/>
            <w:sz w:val="24"/>
            <w:szCs w:val="24"/>
            <w:u w:val="single"/>
            <w:rtl/>
          </w:rPr>
          <w:t>תקנות העבירות המנהליות</w:t>
        </w:r>
      </w:hyperlink>
      <w:r w:rsidRPr="00FC580D">
        <w:rPr>
          <w:rFonts w:ascii="David" w:hAnsi="David" w:cs="David"/>
          <w:sz w:val="24"/>
          <w:szCs w:val="24"/>
          <w:rtl/>
        </w:rPr>
        <w:t xml:space="preserve"> (קנס מינהלי – החזקת קנאביס ושימוש בו לצריכה עצמית), תשפ"ב-2022, שנכנסו לתוקף ביום 1.4.22</w:t>
      </w:r>
    </w:p>
    <w:p w14:paraId="32A552A7" w14:textId="77777777" w:rsidR="0063032A" w:rsidRPr="00FC580D" w:rsidRDefault="0063032A" w:rsidP="0063032A">
      <w:pPr>
        <w:spacing w:line="360" w:lineRule="auto"/>
        <w:jc w:val="both"/>
        <w:rPr>
          <w:rFonts w:ascii="David" w:hAnsi="David"/>
        </w:rPr>
      </w:pPr>
      <w:r w:rsidRPr="00FC580D">
        <w:rPr>
          <w:rFonts w:ascii="David" w:hAnsi="David"/>
          <w:rtl/>
        </w:rPr>
        <w:t xml:space="preserve"> </w:t>
      </w:r>
    </w:p>
    <w:p w14:paraId="0B60A3EB" w14:textId="77777777" w:rsidR="0063032A" w:rsidRPr="00FC580D" w:rsidRDefault="0063032A" w:rsidP="0063032A">
      <w:pPr>
        <w:spacing w:line="360" w:lineRule="auto"/>
        <w:jc w:val="both"/>
        <w:rPr>
          <w:rFonts w:ascii="David" w:eastAsia="Calibri" w:hAnsi="David"/>
          <w:u w:val="single"/>
        </w:rPr>
      </w:pPr>
      <w:r w:rsidRPr="00FC580D">
        <w:rPr>
          <w:rFonts w:ascii="David" w:hAnsi="David"/>
          <w:u w:val="single"/>
          <w:rtl/>
        </w:rPr>
        <w:t>הנסיבות הקשורות בביצוע העבירה</w:t>
      </w:r>
    </w:p>
    <w:p w14:paraId="157D1A48" w14:textId="77777777" w:rsidR="0063032A" w:rsidRPr="00FC580D" w:rsidRDefault="0063032A" w:rsidP="0063032A">
      <w:pPr>
        <w:pStyle w:val="ab"/>
        <w:numPr>
          <w:ilvl w:val="0"/>
          <w:numId w:val="2"/>
        </w:numPr>
        <w:spacing w:after="0" w:line="360" w:lineRule="auto"/>
        <w:jc w:val="both"/>
        <w:rPr>
          <w:rFonts w:ascii="David" w:hAnsi="David" w:cs="David"/>
          <w:sz w:val="24"/>
          <w:szCs w:val="24"/>
          <w:rtl/>
        </w:rPr>
      </w:pPr>
      <w:r w:rsidRPr="00FC580D">
        <w:rPr>
          <w:rFonts w:ascii="David" w:hAnsi="David" w:cs="David"/>
          <w:sz w:val="24"/>
          <w:szCs w:val="24"/>
          <w:rtl/>
        </w:rPr>
        <w:t xml:space="preserve">במסגרת בחינת הנסיבות הקשורות בביצוע העבירה, נתתי דעתי לכך שמדובר בכמות סם לא גבוהה. הסם לא נתפס כשהוא מחולק למנות. הסם לא נתפס ברכב או בנסיבות צופות פני הפצה. לפיכך, אני קובע כי המתחם נע בין מאסר על תנאי למספר חודשי מאסר בפועל שירוצו בעבודות שירות, בצירוף ענישה נלווית. </w:t>
      </w:r>
    </w:p>
    <w:p w14:paraId="7B660090" w14:textId="77777777" w:rsidR="0063032A" w:rsidRPr="00FC580D" w:rsidRDefault="0063032A" w:rsidP="0063032A">
      <w:pPr>
        <w:spacing w:line="360" w:lineRule="auto"/>
        <w:jc w:val="both"/>
        <w:rPr>
          <w:rFonts w:ascii="David" w:eastAsia="Calibri" w:hAnsi="David"/>
          <w:b/>
          <w:bCs/>
          <w:u w:val="single"/>
        </w:rPr>
      </w:pPr>
    </w:p>
    <w:p w14:paraId="13308E4C" w14:textId="77777777" w:rsidR="0063032A" w:rsidRPr="00FC580D" w:rsidRDefault="0063032A" w:rsidP="0063032A">
      <w:pPr>
        <w:spacing w:line="360" w:lineRule="auto"/>
        <w:jc w:val="both"/>
        <w:rPr>
          <w:rFonts w:ascii="David" w:hAnsi="David"/>
          <w:bCs/>
          <w:u w:val="single"/>
          <w:rtl/>
        </w:rPr>
      </w:pPr>
      <w:r w:rsidRPr="00FC580D">
        <w:rPr>
          <w:rFonts w:ascii="David" w:hAnsi="David"/>
          <w:bCs/>
          <w:u w:val="single"/>
          <w:rtl/>
        </w:rPr>
        <w:t>גזירת העונש המתאים לנאשם</w:t>
      </w:r>
    </w:p>
    <w:p w14:paraId="48CFC85C" w14:textId="77777777" w:rsidR="0063032A" w:rsidRPr="00FC580D" w:rsidRDefault="0063032A" w:rsidP="0063032A">
      <w:pPr>
        <w:pStyle w:val="ab"/>
        <w:spacing w:line="360" w:lineRule="auto"/>
        <w:ind w:left="360"/>
        <w:jc w:val="both"/>
        <w:rPr>
          <w:rFonts w:ascii="David" w:hAnsi="David" w:cs="David"/>
          <w:sz w:val="24"/>
          <w:szCs w:val="24"/>
        </w:rPr>
      </w:pPr>
    </w:p>
    <w:p w14:paraId="66464796" w14:textId="77777777" w:rsidR="0063032A" w:rsidRPr="00FC580D" w:rsidRDefault="0063032A" w:rsidP="0063032A">
      <w:pPr>
        <w:pStyle w:val="ab"/>
        <w:numPr>
          <w:ilvl w:val="0"/>
          <w:numId w:val="2"/>
        </w:numPr>
        <w:spacing w:line="360" w:lineRule="auto"/>
        <w:jc w:val="both"/>
        <w:rPr>
          <w:rFonts w:ascii="David" w:hAnsi="David" w:cs="David"/>
          <w:sz w:val="24"/>
          <w:szCs w:val="24"/>
          <w:rtl/>
        </w:rPr>
      </w:pPr>
      <w:r w:rsidRPr="00FC580D">
        <w:rPr>
          <w:rFonts w:ascii="David" w:hAnsi="David" w:cs="David"/>
          <w:sz w:val="24"/>
          <w:szCs w:val="24"/>
          <w:rtl/>
        </w:rPr>
        <w:t xml:space="preserve">בגזירת העונש המתאים לנאשם, בגדרי מתחם העונש ההולם, יש להתחשב בנסיבות שאינן קשורות בביצוע העבירה. </w:t>
      </w:r>
    </w:p>
    <w:p w14:paraId="3135415A" w14:textId="77777777" w:rsidR="0063032A" w:rsidRPr="00FC580D" w:rsidRDefault="0063032A" w:rsidP="0063032A">
      <w:pPr>
        <w:pStyle w:val="ab"/>
        <w:spacing w:line="360" w:lineRule="auto"/>
        <w:ind w:left="360"/>
        <w:jc w:val="both"/>
        <w:rPr>
          <w:rFonts w:ascii="David" w:hAnsi="David" w:cs="David"/>
          <w:sz w:val="24"/>
          <w:szCs w:val="24"/>
        </w:rPr>
      </w:pPr>
    </w:p>
    <w:p w14:paraId="6318D6D6" w14:textId="77777777" w:rsidR="0063032A" w:rsidRPr="00FC580D" w:rsidRDefault="0063032A" w:rsidP="0063032A">
      <w:pPr>
        <w:pStyle w:val="ab"/>
        <w:numPr>
          <w:ilvl w:val="0"/>
          <w:numId w:val="2"/>
        </w:numPr>
        <w:spacing w:line="360" w:lineRule="auto"/>
        <w:jc w:val="both"/>
        <w:rPr>
          <w:rFonts w:ascii="David" w:hAnsi="David" w:cs="David"/>
          <w:sz w:val="24"/>
          <w:szCs w:val="24"/>
        </w:rPr>
      </w:pPr>
      <w:r w:rsidRPr="00FC580D">
        <w:rPr>
          <w:rFonts w:ascii="David" w:hAnsi="David" w:cs="David"/>
          <w:sz w:val="24"/>
          <w:szCs w:val="24"/>
          <w:rtl/>
        </w:rPr>
        <w:t xml:space="preserve">במסגרת זו מן הראוי לתת את הדעת לכך שמדובר בנאשם נעדר עבר פלילי. הנאשם הודה במיוחס לו ונטל אחריות למעשיו. הנאשם עבר הליך טיפולי ממושך ומוצלח בשירות המבחן. עוד נתתי דעתי לחלוף הזמן מעת ביצוע העבירות.  </w:t>
      </w:r>
    </w:p>
    <w:p w14:paraId="4AF6B1F9" w14:textId="77777777" w:rsidR="0063032A" w:rsidRPr="00FC580D" w:rsidRDefault="0063032A" w:rsidP="0063032A">
      <w:pPr>
        <w:pStyle w:val="ab"/>
        <w:rPr>
          <w:rFonts w:ascii="David" w:hAnsi="David" w:cs="David"/>
          <w:sz w:val="24"/>
          <w:szCs w:val="24"/>
        </w:rPr>
      </w:pPr>
    </w:p>
    <w:p w14:paraId="75167C50" w14:textId="77777777" w:rsidR="0063032A" w:rsidRPr="00FC580D" w:rsidRDefault="0063032A" w:rsidP="0063032A">
      <w:pPr>
        <w:pStyle w:val="ab"/>
        <w:numPr>
          <w:ilvl w:val="0"/>
          <w:numId w:val="2"/>
        </w:numPr>
        <w:spacing w:line="360" w:lineRule="auto"/>
        <w:jc w:val="both"/>
        <w:rPr>
          <w:rFonts w:ascii="David" w:hAnsi="David" w:cs="David"/>
          <w:sz w:val="24"/>
          <w:szCs w:val="24"/>
          <w:rtl/>
        </w:rPr>
      </w:pPr>
      <w:r w:rsidRPr="00FC580D">
        <w:rPr>
          <w:rFonts w:ascii="David" w:hAnsi="David" w:cs="David"/>
          <w:sz w:val="24"/>
          <w:szCs w:val="24"/>
          <w:rtl/>
        </w:rPr>
        <w:t xml:space="preserve">באיזון בין השיקולים השונים, יש לגזור על הנאשם עונש בתחתית המתחם. </w:t>
      </w:r>
    </w:p>
    <w:p w14:paraId="7AAC079D" w14:textId="77777777" w:rsidR="0063032A" w:rsidRPr="00FC580D" w:rsidRDefault="0063032A" w:rsidP="0063032A">
      <w:pPr>
        <w:spacing w:line="360" w:lineRule="auto"/>
        <w:jc w:val="both"/>
        <w:rPr>
          <w:rFonts w:ascii="David" w:hAnsi="David"/>
          <w:b/>
          <w:bCs/>
          <w:u w:val="single"/>
        </w:rPr>
      </w:pPr>
    </w:p>
    <w:p w14:paraId="34AD0A4C" w14:textId="77777777" w:rsidR="0063032A" w:rsidRPr="00FC580D" w:rsidRDefault="0063032A" w:rsidP="0063032A">
      <w:pPr>
        <w:spacing w:line="360" w:lineRule="auto"/>
        <w:jc w:val="both"/>
        <w:rPr>
          <w:rFonts w:ascii="David" w:hAnsi="David"/>
          <w:b/>
          <w:bCs/>
          <w:u w:val="single"/>
          <w:rtl/>
        </w:rPr>
      </w:pPr>
      <w:r w:rsidRPr="00FC580D">
        <w:rPr>
          <w:rFonts w:ascii="David" w:hAnsi="David"/>
          <w:b/>
          <w:bCs/>
          <w:u w:val="single"/>
          <w:rtl/>
        </w:rPr>
        <w:t>סוגיית אי הרשעה</w:t>
      </w:r>
    </w:p>
    <w:p w14:paraId="6D70CD9D" w14:textId="77777777" w:rsidR="0063032A" w:rsidRPr="00FC580D" w:rsidRDefault="0063032A" w:rsidP="0063032A">
      <w:pPr>
        <w:spacing w:line="360" w:lineRule="auto"/>
        <w:jc w:val="both"/>
        <w:rPr>
          <w:rFonts w:ascii="David" w:hAnsi="David"/>
          <w:b/>
          <w:bCs/>
          <w:u w:val="single"/>
          <w:rtl/>
        </w:rPr>
      </w:pPr>
    </w:p>
    <w:p w14:paraId="1B8CEF3B" w14:textId="77777777" w:rsidR="0063032A" w:rsidRPr="00FC580D" w:rsidRDefault="0063032A" w:rsidP="0063032A">
      <w:pPr>
        <w:pStyle w:val="ab"/>
        <w:numPr>
          <w:ilvl w:val="0"/>
          <w:numId w:val="2"/>
        </w:numPr>
        <w:spacing w:after="0" w:line="360" w:lineRule="auto"/>
        <w:jc w:val="both"/>
        <w:rPr>
          <w:rFonts w:ascii="David" w:hAnsi="David" w:cs="David"/>
          <w:sz w:val="24"/>
          <w:szCs w:val="24"/>
          <w:rtl/>
        </w:rPr>
      </w:pPr>
      <w:r w:rsidRPr="00FC580D">
        <w:rPr>
          <w:rFonts w:ascii="David" w:hAnsi="David" w:cs="David"/>
          <w:sz w:val="24"/>
          <w:szCs w:val="24"/>
          <w:rtl/>
        </w:rPr>
        <w:t xml:space="preserve">בהתאם </w:t>
      </w:r>
      <w:hyperlink r:id="rId27" w:history="1">
        <w:r w:rsidR="00FC580D" w:rsidRPr="00FC580D">
          <w:rPr>
            <w:rStyle w:val="Hyperlink"/>
            <w:rFonts w:ascii="David" w:hAnsi="David" w:cs="David"/>
            <w:sz w:val="24"/>
            <w:szCs w:val="24"/>
            <w:rtl/>
          </w:rPr>
          <w:t>לסעיף 192א</w:t>
        </w:r>
      </w:hyperlink>
      <w:r w:rsidRPr="00FC580D">
        <w:rPr>
          <w:rFonts w:ascii="David" w:hAnsi="David" w:cs="David"/>
          <w:sz w:val="24"/>
          <w:szCs w:val="24"/>
          <w:rtl/>
        </w:rPr>
        <w:t xml:space="preserve"> ל</w:t>
      </w:r>
      <w:hyperlink r:id="rId28" w:history="1">
        <w:r w:rsidR="00754C52" w:rsidRPr="00FC580D">
          <w:rPr>
            <w:rFonts w:ascii="David" w:hAnsi="David" w:cs="David"/>
            <w:color w:val="0000FF"/>
            <w:sz w:val="24"/>
            <w:szCs w:val="24"/>
            <w:u w:val="single"/>
            <w:rtl/>
          </w:rPr>
          <w:t>חוק סדר הדין הפלילי</w:t>
        </w:r>
      </w:hyperlink>
      <w:r w:rsidRPr="00FC580D">
        <w:rPr>
          <w:rFonts w:ascii="David" w:hAnsi="David" w:cs="David"/>
          <w:sz w:val="24"/>
          <w:szCs w:val="24"/>
          <w:rtl/>
        </w:rPr>
        <w:t xml:space="preserve"> [נוסח משולב], תשמ"ב-1982 , </w:t>
      </w:r>
      <w:hyperlink r:id="rId29" w:history="1">
        <w:r w:rsidR="00FC580D" w:rsidRPr="00FC580D">
          <w:rPr>
            <w:rStyle w:val="Hyperlink"/>
            <w:rFonts w:ascii="David" w:hAnsi="David" w:cs="David"/>
            <w:sz w:val="24"/>
            <w:szCs w:val="24"/>
            <w:rtl/>
          </w:rPr>
          <w:t>לסעיף 1(2)</w:t>
        </w:r>
      </w:hyperlink>
      <w:r w:rsidRPr="00FC580D">
        <w:rPr>
          <w:rFonts w:ascii="David" w:hAnsi="David" w:cs="David"/>
          <w:sz w:val="24"/>
          <w:szCs w:val="24"/>
          <w:rtl/>
        </w:rPr>
        <w:t xml:space="preserve"> ל</w:t>
      </w:r>
      <w:hyperlink r:id="rId30" w:history="1">
        <w:r w:rsidR="00754C52" w:rsidRPr="00FC580D">
          <w:rPr>
            <w:rFonts w:ascii="David" w:hAnsi="David" w:cs="David"/>
            <w:color w:val="0000FF"/>
            <w:sz w:val="24"/>
            <w:szCs w:val="24"/>
            <w:u w:val="single"/>
            <w:rtl/>
          </w:rPr>
          <w:t>פקודת המבחן</w:t>
        </w:r>
      </w:hyperlink>
      <w:r w:rsidRPr="00FC580D">
        <w:rPr>
          <w:rFonts w:ascii="David" w:hAnsi="David" w:cs="David"/>
          <w:sz w:val="24"/>
          <w:szCs w:val="24"/>
          <w:rtl/>
        </w:rPr>
        <w:t xml:space="preserve"> [נוסח חדש], תשכ"ט -1969, ולסעיף </w:t>
      </w:r>
      <w:hyperlink r:id="rId31" w:history="1">
        <w:r w:rsidR="00FC580D" w:rsidRPr="00FC580D">
          <w:rPr>
            <w:rStyle w:val="Hyperlink"/>
            <w:rFonts w:ascii="David" w:hAnsi="David" w:cs="David"/>
            <w:sz w:val="24"/>
            <w:szCs w:val="24"/>
            <w:rtl/>
          </w:rPr>
          <w:t>71א</w:t>
        </w:r>
      </w:hyperlink>
      <w:r w:rsidRPr="00FC580D">
        <w:rPr>
          <w:rFonts w:ascii="David" w:hAnsi="David" w:cs="David"/>
          <w:sz w:val="24"/>
          <w:szCs w:val="24"/>
          <w:rtl/>
        </w:rPr>
        <w:t xml:space="preserve"> ל</w:t>
      </w:r>
      <w:hyperlink r:id="rId32" w:history="1">
        <w:r w:rsidR="00754C52" w:rsidRPr="00FC580D">
          <w:rPr>
            <w:rFonts w:ascii="David" w:hAnsi="David" w:cs="David"/>
            <w:color w:val="0000FF"/>
            <w:sz w:val="24"/>
            <w:szCs w:val="24"/>
            <w:u w:val="single"/>
            <w:rtl/>
          </w:rPr>
          <w:t>חוק העונשין</w:t>
        </w:r>
      </w:hyperlink>
      <w:r w:rsidRPr="00FC580D">
        <w:rPr>
          <w:rFonts w:ascii="David" w:hAnsi="David" w:cs="David"/>
          <w:sz w:val="24"/>
          <w:szCs w:val="24"/>
          <w:rtl/>
        </w:rPr>
        <w:t xml:space="preserve">, בית המשפט מוסמך ליתן צו מבחן או צו לשירות לתועלת הציבור, תוך הימנעות מהרשעה.  </w:t>
      </w:r>
    </w:p>
    <w:p w14:paraId="08C27331" w14:textId="77777777" w:rsidR="0063032A" w:rsidRPr="00FC580D" w:rsidRDefault="0063032A" w:rsidP="0063032A">
      <w:pPr>
        <w:pStyle w:val="ab"/>
        <w:spacing w:after="0" w:line="360" w:lineRule="auto"/>
        <w:jc w:val="both"/>
        <w:rPr>
          <w:rFonts w:cs="David"/>
          <w:sz w:val="24"/>
          <w:szCs w:val="24"/>
        </w:rPr>
      </w:pPr>
    </w:p>
    <w:p w14:paraId="26C9E097" w14:textId="77777777" w:rsidR="0063032A" w:rsidRPr="00FC580D" w:rsidRDefault="0063032A" w:rsidP="0063032A">
      <w:pPr>
        <w:pStyle w:val="ab"/>
        <w:numPr>
          <w:ilvl w:val="0"/>
          <w:numId w:val="2"/>
        </w:numPr>
        <w:spacing w:after="0" w:line="360" w:lineRule="auto"/>
        <w:jc w:val="both"/>
        <w:rPr>
          <w:rFonts w:ascii="David" w:hAnsi="David" w:cs="David"/>
          <w:sz w:val="24"/>
          <w:szCs w:val="24"/>
        </w:rPr>
      </w:pPr>
      <w:r w:rsidRPr="00FC580D">
        <w:rPr>
          <w:rFonts w:ascii="David" w:hAnsi="David" w:cs="David"/>
          <w:sz w:val="24"/>
          <w:szCs w:val="24"/>
          <w:rtl/>
        </w:rPr>
        <w:t>ב</w:t>
      </w:r>
      <w:hyperlink r:id="rId33" w:history="1">
        <w:r w:rsidR="00754C52" w:rsidRPr="00FC580D">
          <w:rPr>
            <w:rFonts w:ascii="David" w:hAnsi="David" w:cs="David"/>
            <w:color w:val="0000FF"/>
            <w:sz w:val="24"/>
            <w:szCs w:val="24"/>
            <w:u w:val="single"/>
            <w:rtl/>
          </w:rPr>
          <w:t>ע"פ 2083/96</w:t>
        </w:r>
      </w:hyperlink>
      <w:r w:rsidR="00754C52" w:rsidRPr="00FC580D">
        <w:rPr>
          <w:rFonts w:ascii="David" w:hAnsi="David" w:cs="David"/>
          <w:sz w:val="24"/>
          <w:szCs w:val="24"/>
          <w:rtl/>
        </w:rPr>
        <w:t xml:space="preserve"> </w:t>
      </w:r>
      <w:r w:rsidRPr="00FC580D">
        <w:rPr>
          <w:rFonts w:ascii="David" w:hAnsi="David" w:cs="David"/>
          <w:b/>
          <w:bCs/>
          <w:sz w:val="24"/>
          <w:szCs w:val="24"/>
          <w:rtl/>
        </w:rPr>
        <w:t>כתב נ' מדינת ישראל</w:t>
      </w:r>
      <w:r w:rsidRPr="00FC580D">
        <w:rPr>
          <w:rFonts w:ascii="David" w:hAnsi="David" w:cs="David"/>
          <w:sz w:val="24"/>
          <w:szCs w:val="24"/>
          <w:rtl/>
        </w:rPr>
        <w:t xml:space="preserve"> נקבע, כי משהוכח ביצועה של עבירה, יש להרשיע את הנאשם, זולת מקרים יוצאי דופן בהם אין יחס סביר בין הנזק הצפוי לנאשם מן ההרשעה לבין חומרתה של העבירה. זאת על מנת שלא לפגוע בחובת מיצוי הדין עם עבריינים (ראו </w:t>
      </w:r>
      <w:hyperlink r:id="rId34" w:history="1">
        <w:r w:rsidR="00754C52" w:rsidRPr="00FC580D">
          <w:rPr>
            <w:rFonts w:ascii="David" w:hAnsi="David" w:cs="David"/>
            <w:color w:val="0000FF"/>
            <w:sz w:val="24"/>
            <w:szCs w:val="24"/>
            <w:u w:val="single"/>
            <w:rtl/>
          </w:rPr>
          <w:t>ע״פ 2669/00</w:t>
        </w:r>
      </w:hyperlink>
      <w:r w:rsidR="00754C52" w:rsidRPr="00FC580D">
        <w:rPr>
          <w:rFonts w:ascii="David" w:hAnsi="David" w:cs="David"/>
          <w:sz w:val="24"/>
          <w:szCs w:val="24"/>
          <w:rtl/>
        </w:rPr>
        <w:t xml:space="preserve"> </w:t>
      </w:r>
      <w:r w:rsidRPr="00FC580D">
        <w:rPr>
          <w:rFonts w:ascii="David" w:hAnsi="David" w:cs="David"/>
          <w:b/>
          <w:bCs/>
          <w:sz w:val="24"/>
          <w:szCs w:val="24"/>
          <w:rtl/>
        </w:rPr>
        <w:t>מדינת ישראל נ׳ פלוני</w:t>
      </w:r>
      <w:r w:rsidRPr="00FC580D">
        <w:rPr>
          <w:rFonts w:ascii="David" w:hAnsi="David" w:cs="David"/>
          <w:sz w:val="24"/>
          <w:szCs w:val="24"/>
          <w:rtl/>
        </w:rPr>
        <w:t>), וכן על מנת שלא לגרום לפגיעה מהותית בעקרון השוויון בפני החוק ובשיקולי ענישה אחרים, (ראו</w:t>
      </w:r>
      <w:r w:rsidR="00754C52" w:rsidRPr="00FC580D">
        <w:rPr>
          <w:rFonts w:ascii="David" w:hAnsi="David" w:cs="David"/>
          <w:sz w:val="24"/>
          <w:szCs w:val="24"/>
          <w:rtl/>
        </w:rPr>
        <w:t xml:space="preserve"> </w:t>
      </w:r>
      <w:r w:rsidRPr="00FC580D">
        <w:rPr>
          <w:rFonts w:ascii="David" w:hAnsi="David" w:cs="David"/>
          <w:sz w:val="24"/>
          <w:szCs w:val="24"/>
          <w:rtl/>
        </w:rPr>
        <w:t xml:space="preserve">ע"פ </w:t>
      </w:r>
      <w:hyperlink r:id="rId35" w:history="1">
        <w:r w:rsidR="002334DD" w:rsidRPr="002334DD">
          <w:rPr>
            <w:rFonts w:ascii="David" w:hAnsi="David" w:cs="David"/>
            <w:color w:val="0000FF"/>
            <w:sz w:val="24"/>
            <w:szCs w:val="24"/>
            <w:u w:val="single"/>
            <w:rtl/>
          </w:rPr>
          <w:t xml:space="preserve">1082/06 </w:t>
        </w:r>
      </w:hyperlink>
      <w:r w:rsidR="00754C52" w:rsidRPr="00FC580D">
        <w:rPr>
          <w:rFonts w:ascii="David" w:hAnsi="David" w:cs="David"/>
          <w:sz w:val="24"/>
          <w:szCs w:val="24"/>
          <w:rtl/>
        </w:rPr>
        <w:t xml:space="preserve"> </w:t>
      </w:r>
      <w:r w:rsidRPr="00FC580D">
        <w:rPr>
          <w:rFonts w:ascii="David" w:hAnsi="David" w:cs="David"/>
          <w:b/>
          <w:bCs/>
          <w:sz w:val="24"/>
          <w:szCs w:val="24"/>
          <w:rtl/>
        </w:rPr>
        <w:t>מיכאל שוראקי נ' מדינת ישראל)</w:t>
      </w:r>
    </w:p>
    <w:p w14:paraId="29B9C6C4" w14:textId="77777777" w:rsidR="0063032A" w:rsidRPr="00FC580D" w:rsidRDefault="0063032A" w:rsidP="0063032A">
      <w:pPr>
        <w:pStyle w:val="ab"/>
        <w:spacing w:after="0" w:line="360" w:lineRule="auto"/>
        <w:ind w:left="360"/>
        <w:jc w:val="both"/>
        <w:rPr>
          <w:rFonts w:ascii="David" w:hAnsi="David" w:cs="David"/>
          <w:sz w:val="24"/>
          <w:szCs w:val="24"/>
          <w:rtl/>
        </w:rPr>
      </w:pPr>
    </w:p>
    <w:p w14:paraId="570B12BC" w14:textId="77777777" w:rsidR="0063032A" w:rsidRPr="00FC580D" w:rsidRDefault="0063032A" w:rsidP="0063032A">
      <w:pPr>
        <w:pStyle w:val="ab"/>
        <w:numPr>
          <w:ilvl w:val="0"/>
          <w:numId w:val="2"/>
        </w:numPr>
        <w:spacing w:after="0" w:line="360" w:lineRule="auto"/>
        <w:jc w:val="both"/>
        <w:rPr>
          <w:rFonts w:ascii="David" w:hAnsi="David" w:cs="David"/>
          <w:sz w:val="24"/>
          <w:szCs w:val="24"/>
          <w:rtl/>
        </w:rPr>
      </w:pPr>
      <w:r w:rsidRPr="00FC580D">
        <w:rPr>
          <w:rFonts w:ascii="David" w:hAnsi="David" w:cs="David"/>
          <w:sz w:val="24"/>
          <w:szCs w:val="24"/>
          <w:rtl/>
        </w:rPr>
        <w:t>ההלכה היא כי על המבקש לבטל את הרשעתו,  הנטל להוכיח כי מתקיימים בעניינו שני תנאים מצטברים. הראשון, הוא שההרשעה תוביל לפגיעה חמורה בשיקומו. והשני, הוא שסוג העבירה מאפשר בנסיבות המקרה לבטל את ההרשעה מבלי לפגוע באופן מהותי בשיקולי הענישה האחרים אשר בניהם, התועלת שתושג לאינטרס הציבורי חברתי מההרשעה</w:t>
      </w:r>
      <w:r w:rsidRPr="00FC580D">
        <w:rPr>
          <w:rFonts w:cs="David"/>
          <w:sz w:val="24"/>
          <w:szCs w:val="24"/>
          <w:rtl/>
        </w:rPr>
        <w:t xml:space="preserve"> </w:t>
      </w:r>
      <w:r w:rsidRPr="00FC580D">
        <w:rPr>
          <w:rFonts w:ascii="David" w:hAnsi="David" w:cs="David"/>
          <w:sz w:val="24"/>
          <w:szCs w:val="24"/>
          <w:rtl/>
        </w:rPr>
        <w:t>(</w:t>
      </w:r>
      <w:hyperlink r:id="rId36" w:history="1">
        <w:r w:rsidR="00754C52" w:rsidRPr="00FC580D">
          <w:rPr>
            <w:rFonts w:ascii="David" w:hAnsi="David" w:cs="David"/>
            <w:color w:val="0000FF"/>
            <w:sz w:val="24"/>
            <w:szCs w:val="24"/>
            <w:u w:val="single"/>
            <w:rtl/>
          </w:rPr>
          <w:t>ע"פ 4318/20</w:t>
        </w:r>
      </w:hyperlink>
      <w:r w:rsidRPr="00FC580D">
        <w:rPr>
          <w:rFonts w:ascii="David" w:hAnsi="David" w:cs="David"/>
          <w:b/>
          <w:bCs/>
          <w:sz w:val="24"/>
          <w:szCs w:val="24"/>
          <w:rtl/>
        </w:rPr>
        <w:t xml:space="preserve"> מדינת ישראל נ' אלון חסן</w:t>
      </w:r>
      <w:r w:rsidRPr="00FC580D">
        <w:rPr>
          <w:rFonts w:ascii="David" w:hAnsi="David" w:cs="David"/>
          <w:sz w:val="24"/>
          <w:szCs w:val="24"/>
          <w:rtl/>
        </w:rPr>
        <w:t xml:space="preserve">) </w:t>
      </w:r>
    </w:p>
    <w:p w14:paraId="5EDAA5B7" w14:textId="77777777" w:rsidR="0063032A" w:rsidRPr="00FC580D" w:rsidRDefault="0063032A" w:rsidP="0063032A">
      <w:pPr>
        <w:pStyle w:val="ab"/>
        <w:jc w:val="both"/>
        <w:rPr>
          <w:rFonts w:ascii="David" w:hAnsi="David" w:cs="David"/>
          <w:sz w:val="24"/>
          <w:szCs w:val="24"/>
        </w:rPr>
      </w:pPr>
    </w:p>
    <w:p w14:paraId="05143B25" w14:textId="77777777" w:rsidR="0063032A" w:rsidRPr="00FC580D" w:rsidRDefault="0063032A" w:rsidP="0063032A">
      <w:pPr>
        <w:pStyle w:val="ab"/>
        <w:numPr>
          <w:ilvl w:val="0"/>
          <w:numId w:val="2"/>
        </w:numPr>
        <w:spacing w:after="0" w:line="360" w:lineRule="auto"/>
        <w:jc w:val="both"/>
        <w:rPr>
          <w:rFonts w:ascii="David" w:hAnsi="David" w:cs="David"/>
          <w:sz w:val="24"/>
          <w:szCs w:val="24"/>
          <w:rtl/>
        </w:rPr>
      </w:pPr>
      <w:r w:rsidRPr="00FC580D">
        <w:rPr>
          <w:rFonts w:ascii="David" w:hAnsi="David" w:cs="David"/>
          <w:sz w:val="24"/>
          <w:szCs w:val="24"/>
          <w:rtl/>
        </w:rPr>
        <w:t xml:space="preserve">בכל הנוגע לתנאי הפגיעה החמורה בשיקום. הרי שטרם בחינת הפגיעה האפשרית בשיקום, יש להידרש לשאלה, אם כלל היה הליך שיקום מוצלח שעלול להיפגע כתוצאה מההרשעה. הנאשם, כפי שעולה מתסקירי שירות המבחן הרבים שהתקבלו בעניינו, עבר הליך שיקום ממושך – מעל לשנה - במסגרת שירות המבחן, וזכה להמלצה חיובית מאת שירות המבחן, בשים לב למוטיבציה הגבוהה שלו, למחויבות שלו לקשר עם שירות המבחן ולהליכים הטיפוליים בהם השתתף. </w:t>
      </w:r>
    </w:p>
    <w:p w14:paraId="742DAFDD" w14:textId="77777777" w:rsidR="0063032A" w:rsidRPr="00FC580D" w:rsidRDefault="0063032A" w:rsidP="0063032A">
      <w:pPr>
        <w:pStyle w:val="ab"/>
        <w:rPr>
          <w:rFonts w:cs="David"/>
          <w:sz w:val="24"/>
          <w:szCs w:val="24"/>
        </w:rPr>
      </w:pPr>
    </w:p>
    <w:p w14:paraId="17C09EAF" w14:textId="77777777" w:rsidR="0063032A" w:rsidRPr="00FC580D" w:rsidRDefault="0063032A" w:rsidP="0063032A">
      <w:pPr>
        <w:pStyle w:val="ab"/>
        <w:numPr>
          <w:ilvl w:val="0"/>
          <w:numId w:val="2"/>
        </w:numPr>
        <w:spacing w:after="0" w:line="360" w:lineRule="auto"/>
        <w:jc w:val="both"/>
        <w:rPr>
          <w:rFonts w:ascii="David" w:hAnsi="David" w:cs="David"/>
          <w:sz w:val="24"/>
          <w:szCs w:val="24"/>
          <w:rtl/>
        </w:rPr>
      </w:pPr>
      <w:r w:rsidRPr="00FC580D">
        <w:rPr>
          <w:rFonts w:cs="David"/>
          <w:sz w:val="24"/>
          <w:szCs w:val="24"/>
          <w:rtl/>
        </w:rPr>
        <w:t>ב</w:t>
      </w:r>
      <w:hyperlink r:id="rId37" w:history="1">
        <w:r w:rsidR="00754C52" w:rsidRPr="00FC580D">
          <w:rPr>
            <w:rFonts w:cs="David" w:hint="cs"/>
            <w:color w:val="0000FF"/>
            <w:sz w:val="24"/>
            <w:szCs w:val="24"/>
            <w:u w:val="single"/>
            <w:rtl/>
          </w:rPr>
          <w:t>רע</w:t>
        </w:r>
        <w:r w:rsidR="00754C52" w:rsidRPr="00FC580D">
          <w:rPr>
            <w:rFonts w:cs="David"/>
            <w:color w:val="0000FF"/>
            <w:sz w:val="24"/>
            <w:szCs w:val="24"/>
            <w:u w:val="single"/>
            <w:rtl/>
          </w:rPr>
          <w:t>"</w:t>
        </w:r>
        <w:r w:rsidR="00754C52" w:rsidRPr="00FC580D">
          <w:rPr>
            <w:rFonts w:cs="David" w:hint="cs"/>
            <w:color w:val="0000FF"/>
            <w:sz w:val="24"/>
            <w:szCs w:val="24"/>
            <w:u w:val="single"/>
            <w:rtl/>
          </w:rPr>
          <w:t>פ</w:t>
        </w:r>
        <w:r w:rsidR="00754C52" w:rsidRPr="00FC580D">
          <w:rPr>
            <w:rFonts w:cs="David"/>
            <w:color w:val="0000FF"/>
            <w:sz w:val="24"/>
            <w:szCs w:val="24"/>
            <w:u w:val="single"/>
            <w:rtl/>
          </w:rPr>
          <w:t xml:space="preserve"> 262/14</w:t>
        </w:r>
      </w:hyperlink>
      <w:r w:rsidRPr="00FC580D">
        <w:rPr>
          <w:rFonts w:cs="David"/>
          <w:sz w:val="24"/>
          <w:szCs w:val="24"/>
          <w:rtl/>
        </w:rPr>
        <w:t xml:space="preserve"> </w:t>
      </w:r>
      <w:r w:rsidRPr="00FC580D">
        <w:rPr>
          <w:rFonts w:cs="David"/>
          <w:b/>
          <w:bCs/>
          <w:sz w:val="24"/>
          <w:szCs w:val="24"/>
          <w:rtl/>
        </w:rPr>
        <w:t>מוחמד נאשף נ' מדינת ישראל</w:t>
      </w:r>
      <w:r w:rsidRPr="00FC580D">
        <w:rPr>
          <w:rFonts w:cs="David"/>
          <w:sz w:val="24"/>
          <w:szCs w:val="24"/>
          <w:rtl/>
        </w:rPr>
        <w:t xml:space="preserve"> נקבע כי: </w:t>
      </w:r>
    </w:p>
    <w:p w14:paraId="53945A8B" w14:textId="77777777" w:rsidR="0063032A" w:rsidRPr="00FC580D" w:rsidRDefault="0063032A" w:rsidP="0063032A">
      <w:pPr>
        <w:spacing w:line="360" w:lineRule="auto"/>
        <w:ind w:left="720"/>
        <w:contextualSpacing/>
        <w:jc w:val="both"/>
        <w:rPr>
          <w:rFonts w:ascii="Calibri" w:hAnsi="Calibri"/>
          <w:rtl/>
        </w:rPr>
      </w:pPr>
    </w:p>
    <w:p w14:paraId="7D625E75" w14:textId="77777777" w:rsidR="0063032A" w:rsidRPr="00FC580D" w:rsidRDefault="0063032A" w:rsidP="0063032A">
      <w:pPr>
        <w:pStyle w:val="ab"/>
        <w:spacing w:after="0" w:line="360" w:lineRule="auto"/>
        <w:ind w:left="1134" w:right="850"/>
        <w:jc w:val="both"/>
        <w:rPr>
          <w:rFonts w:ascii="David" w:hAnsi="David" w:cs="David"/>
          <w:sz w:val="24"/>
          <w:szCs w:val="24"/>
          <w:rtl/>
        </w:rPr>
      </w:pPr>
      <w:r w:rsidRPr="00FC580D">
        <w:rPr>
          <w:rFonts w:ascii="David" w:hAnsi="David" w:cs="David"/>
          <w:b/>
          <w:bCs/>
          <w:sz w:val="24"/>
          <w:szCs w:val="24"/>
          <w:rtl/>
        </w:rPr>
        <w:t>" בית המשפט יטה לבכר את שיקולי שיקומו של הנאשם על פני שיקולים אחרים כאשר הוא משתכנע כי הנאשם השתקם ושינה את דרכיו, או כי קיים סיכויי ממשי לשיקומו, וכך הוא "במקום שבו נראה כעקבי הליך השיקום שבו מצוי המבקש-המערער"</w:t>
      </w:r>
    </w:p>
    <w:p w14:paraId="41CEB826" w14:textId="77777777" w:rsidR="0063032A" w:rsidRPr="00FC580D" w:rsidRDefault="0063032A" w:rsidP="0063032A">
      <w:pPr>
        <w:pStyle w:val="ab"/>
        <w:rPr>
          <w:rFonts w:ascii="David" w:hAnsi="David" w:cs="David"/>
          <w:sz w:val="24"/>
          <w:szCs w:val="24"/>
        </w:rPr>
      </w:pPr>
    </w:p>
    <w:p w14:paraId="327B5735" w14:textId="77777777" w:rsidR="0063032A" w:rsidRPr="00FC580D" w:rsidRDefault="0063032A" w:rsidP="0063032A">
      <w:pPr>
        <w:pStyle w:val="ab"/>
        <w:numPr>
          <w:ilvl w:val="0"/>
          <w:numId w:val="2"/>
        </w:numPr>
        <w:spacing w:after="0" w:line="360" w:lineRule="auto"/>
        <w:jc w:val="both"/>
        <w:rPr>
          <w:rFonts w:ascii="David" w:hAnsi="David" w:cs="David"/>
          <w:sz w:val="24"/>
          <w:szCs w:val="24"/>
          <w:rtl/>
        </w:rPr>
      </w:pPr>
      <w:r w:rsidRPr="00FC580D">
        <w:rPr>
          <w:rFonts w:ascii="David" w:hAnsi="David" w:cs="David"/>
          <w:sz w:val="24"/>
          <w:szCs w:val="24"/>
          <w:rtl/>
        </w:rPr>
        <w:t xml:space="preserve">בעניינו של הנאשם, השתכנעתי כי הנאשם השתקם ושינה דרכיו בשים לב להיקף הטיפול, משכו, תוצאתו הסופית שבאה לידי ביטוי בהמלצת שירות המבחן ואף לכך שהנאשם לא ביצע כל עבירה במהלך ארבעת השנים מאז ביצוע העבירות נשוא כתב האישום. </w:t>
      </w:r>
    </w:p>
    <w:p w14:paraId="40CD5815" w14:textId="77777777" w:rsidR="0063032A" w:rsidRPr="00FC580D" w:rsidRDefault="0063032A" w:rsidP="0063032A">
      <w:pPr>
        <w:pStyle w:val="ab"/>
        <w:spacing w:after="0" w:line="360" w:lineRule="auto"/>
        <w:ind w:left="360"/>
        <w:jc w:val="both"/>
        <w:rPr>
          <w:rFonts w:ascii="David" w:hAnsi="David" w:cs="David"/>
          <w:sz w:val="24"/>
          <w:szCs w:val="24"/>
        </w:rPr>
      </w:pPr>
    </w:p>
    <w:p w14:paraId="20B8F094" w14:textId="77777777" w:rsidR="0063032A" w:rsidRPr="00FC580D" w:rsidRDefault="0063032A" w:rsidP="0063032A">
      <w:pPr>
        <w:pStyle w:val="ab"/>
        <w:numPr>
          <w:ilvl w:val="0"/>
          <w:numId w:val="2"/>
        </w:numPr>
        <w:spacing w:after="0" w:line="360" w:lineRule="auto"/>
        <w:jc w:val="both"/>
        <w:rPr>
          <w:rFonts w:ascii="David" w:hAnsi="David" w:cs="David"/>
          <w:sz w:val="24"/>
          <w:szCs w:val="24"/>
        </w:rPr>
      </w:pPr>
      <w:r w:rsidRPr="00FC580D">
        <w:rPr>
          <w:rFonts w:ascii="David" w:hAnsi="David" w:cs="David"/>
          <w:sz w:val="24"/>
          <w:szCs w:val="24"/>
          <w:rtl/>
        </w:rPr>
        <w:t>מכאן ואילך, ומשמדובר במי שאכן עבר שיקום משמעותי, על המבקש להוכיח נזק קונקרטי שעלול להיגרם לו כתוצאה מהרשעתו. וכך נקבע ב</w:t>
      </w:r>
      <w:hyperlink r:id="rId38" w:history="1">
        <w:r w:rsidR="00754C52" w:rsidRPr="00FC580D">
          <w:rPr>
            <w:rFonts w:ascii="David" w:hAnsi="David" w:cs="David"/>
            <w:color w:val="0000FF"/>
            <w:sz w:val="24"/>
            <w:szCs w:val="24"/>
            <w:u w:val="single"/>
            <w:rtl/>
          </w:rPr>
          <w:t>רע"פ 7224/14</w:t>
        </w:r>
      </w:hyperlink>
      <w:r w:rsidRPr="00FC580D">
        <w:rPr>
          <w:rFonts w:ascii="David" w:hAnsi="David" w:cs="David"/>
          <w:sz w:val="24"/>
          <w:szCs w:val="24"/>
          <w:rtl/>
        </w:rPr>
        <w:t xml:space="preserve"> </w:t>
      </w:r>
      <w:r w:rsidRPr="00FC580D">
        <w:rPr>
          <w:rFonts w:ascii="David" w:hAnsi="David" w:cs="David"/>
          <w:b/>
          <w:bCs/>
          <w:sz w:val="24"/>
          <w:szCs w:val="24"/>
          <w:rtl/>
        </w:rPr>
        <w:t>משה פרנסקי נ' מדינת ישראל</w:t>
      </w:r>
      <w:r w:rsidRPr="00FC580D">
        <w:rPr>
          <w:rFonts w:ascii="David" w:hAnsi="David" w:cs="David"/>
          <w:sz w:val="24"/>
          <w:szCs w:val="24"/>
          <w:rtl/>
        </w:rPr>
        <w:t xml:space="preserve">: </w:t>
      </w:r>
    </w:p>
    <w:p w14:paraId="71F21429" w14:textId="77777777" w:rsidR="0063032A" w:rsidRPr="00FC580D" w:rsidRDefault="0063032A" w:rsidP="0063032A">
      <w:pPr>
        <w:pStyle w:val="ab"/>
        <w:jc w:val="both"/>
        <w:rPr>
          <w:rFonts w:ascii="David" w:hAnsi="David" w:cs="David"/>
          <w:sz w:val="24"/>
          <w:szCs w:val="24"/>
        </w:rPr>
      </w:pPr>
    </w:p>
    <w:p w14:paraId="6EFC6426" w14:textId="77777777" w:rsidR="0063032A" w:rsidRPr="00FC580D" w:rsidRDefault="0063032A" w:rsidP="0063032A">
      <w:pPr>
        <w:pStyle w:val="ab"/>
        <w:spacing w:after="0" w:line="360" w:lineRule="auto"/>
        <w:ind w:left="1134" w:right="850"/>
        <w:jc w:val="both"/>
        <w:rPr>
          <w:rFonts w:ascii="David" w:hAnsi="David" w:cs="David"/>
          <w:sz w:val="24"/>
          <w:szCs w:val="24"/>
          <w:rtl/>
        </w:rPr>
      </w:pPr>
      <w:r w:rsidRPr="00FC580D">
        <w:rPr>
          <w:rFonts w:ascii="David" w:hAnsi="David" w:cs="David"/>
          <w:b/>
          <w:bCs/>
          <w:sz w:val="24"/>
          <w:szCs w:val="24"/>
          <w:rtl/>
        </w:rPr>
        <w:t>"החובה להצביע על קיומו של נזק קונקרטי, מתיישבת עם אופיו המצומצם של החריג שעניינו הימנעות מהרשעה, אשר נועד לחול אך במקרים מיוחדים בהם קיימים טעמים כבדי משקל הנוגעים לצורכי שיקומו של הנאשם</w:t>
      </w:r>
      <w:r w:rsidRPr="00FC580D">
        <w:rPr>
          <w:rFonts w:ascii="David" w:hAnsi="David" w:cs="David"/>
          <w:sz w:val="24"/>
          <w:szCs w:val="24"/>
          <w:rtl/>
        </w:rPr>
        <w:t>".</w:t>
      </w:r>
    </w:p>
    <w:p w14:paraId="639AFE5D" w14:textId="77777777" w:rsidR="0063032A" w:rsidRPr="00FC580D" w:rsidRDefault="0063032A" w:rsidP="0063032A">
      <w:pPr>
        <w:spacing w:line="360" w:lineRule="auto"/>
        <w:jc w:val="both"/>
        <w:rPr>
          <w:rFonts w:ascii="David" w:hAnsi="David"/>
        </w:rPr>
      </w:pPr>
    </w:p>
    <w:p w14:paraId="4C1D19AA" w14:textId="77777777" w:rsidR="0063032A" w:rsidRPr="00FC580D" w:rsidRDefault="0063032A" w:rsidP="0063032A">
      <w:pPr>
        <w:pStyle w:val="ab"/>
        <w:numPr>
          <w:ilvl w:val="0"/>
          <w:numId w:val="2"/>
        </w:numPr>
        <w:spacing w:after="0" w:line="360" w:lineRule="auto"/>
        <w:jc w:val="both"/>
        <w:rPr>
          <w:rFonts w:ascii="David" w:hAnsi="David" w:cs="David"/>
          <w:sz w:val="24"/>
          <w:szCs w:val="24"/>
          <w:rtl/>
        </w:rPr>
      </w:pPr>
      <w:r w:rsidRPr="00FC580D">
        <w:rPr>
          <w:rFonts w:ascii="David" w:hAnsi="David" w:cs="David"/>
          <w:sz w:val="24"/>
          <w:szCs w:val="24"/>
          <w:rtl/>
        </w:rPr>
        <w:t xml:space="preserve">הנזק לו טוען המבקש בעניינו הוא פגיעה בפרנסתו בכך שהרשעתו בדין עלולה להוביל לפגיעה בעבודתו כנהג אגד. הדברים עולים אף מתסקיר שירות המבחן. </w:t>
      </w:r>
    </w:p>
    <w:p w14:paraId="136E6D78" w14:textId="77777777" w:rsidR="0063032A" w:rsidRPr="00FC580D" w:rsidRDefault="0063032A" w:rsidP="0063032A">
      <w:pPr>
        <w:pStyle w:val="ab"/>
        <w:spacing w:after="0" w:line="360" w:lineRule="auto"/>
        <w:ind w:left="360"/>
        <w:jc w:val="both"/>
        <w:rPr>
          <w:rFonts w:ascii="David" w:hAnsi="David" w:cs="David"/>
          <w:sz w:val="24"/>
          <w:szCs w:val="24"/>
        </w:rPr>
      </w:pPr>
    </w:p>
    <w:p w14:paraId="0E6A5EDA" w14:textId="77777777" w:rsidR="0063032A" w:rsidRPr="00FC580D" w:rsidRDefault="0063032A" w:rsidP="0063032A">
      <w:pPr>
        <w:pStyle w:val="ab"/>
        <w:numPr>
          <w:ilvl w:val="0"/>
          <w:numId w:val="2"/>
        </w:numPr>
        <w:spacing w:after="0" w:line="360" w:lineRule="auto"/>
        <w:jc w:val="both"/>
        <w:rPr>
          <w:rFonts w:ascii="David" w:hAnsi="David" w:cs="David"/>
          <w:sz w:val="24"/>
          <w:szCs w:val="24"/>
        </w:rPr>
      </w:pPr>
      <w:r w:rsidRPr="00FC580D">
        <w:rPr>
          <w:rFonts w:ascii="David" w:hAnsi="David" w:cs="David"/>
          <w:sz w:val="24"/>
          <w:szCs w:val="24"/>
          <w:rtl/>
        </w:rPr>
        <w:t xml:space="preserve">התרשמתי כי טענת הנאשם כי הרשעתו בדין תפגע בפרנסתו, מבוססת על תשתית ראייתית סבירה ואינה בבחינת "תרחיש תיאורטי". ראו בעניין זה רע"פ </w:t>
      </w:r>
      <w:hyperlink r:id="rId39" w:history="1">
        <w:r w:rsidR="002334DD" w:rsidRPr="002334DD">
          <w:rPr>
            <w:rFonts w:ascii="David" w:hAnsi="David" w:cs="David"/>
            <w:color w:val="0000FF"/>
            <w:sz w:val="24"/>
            <w:szCs w:val="24"/>
            <w:u w:val="single"/>
            <w:rtl/>
          </w:rPr>
          <w:t xml:space="preserve">54/15 </w:t>
        </w:r>
      </w:hyperlink>
      <w:r w:rsidRPr="00FC580D">
        <w:rPr>
          <w:rFonts w:ascii="David" w:hAnsi="David" w:cs="David"/>
          <w:sz w:val="24"/>
          <w:szCs w:val="24"/>
          <w:rtl/>
        </w:rPr>
        <w:t xml:space="preserve"> </w:t>
      </w:r>
      <w:r w:rsidRPr="00FC580D">
        <w:rPr>
          <w:rFonts w:ascii="David" w:hAnsi="David" w:cs="David"/>
          <w:b/>
          <w:bCs/>
          <w:sz w:val="24"/>
          <w:szCs w:val="24"/>
          <w:rtl/>
        </w:rPr>
        <w:t>פלוני</w:t>
      </w:r>
      <w:r w:rsidRPr="00FC580D">
        <w:rPr>
          <w:rFonts w:ascii="David" w:hAnsi="David" w:cs="David"/>
          <w:sz w:val="24"/>
          <w:szCs w:val="24"/>
          <w:rtl/>
        </w:rPr>
        <w:t xml:space="preserve"> </w:t>
      </w:r>
      <w:r w:rsidRPr="00FC580D">
        <w:rPr>
          <w:rFonts w:ascii="David" w:hAnsi="David" w:cs="David"/>
          <w:b/>
          <w:bCs/>
          <w:sz w:val="24"/>
          <w:szCs w:val="24"/>
          <w:rtl/>
        </w:rPr>
        <w:t>נ'</w:t>
      </w:r>
      <w:r w:rsidRPr="00FC580D">
        <w:rPr>
          <w:rFonts w:ascii="David" w:hAnsi="David" w:cs="David"/>
          <w:sz w:val="24"/>
          <w:szCs w:val="24"/>
          <w:rtl/>
        </w:rPr>
        <w:t xml:space="preserve"> </w:t>
      </w:r>
      <w:r w:rsidRPr="00FC580D">
        <w:rPr>
          <w:rFonts w:ascii="David" w:hAnsi="David" w:cs="David"/>
          <w:b/>
          <w:bCs/>
          <w:sz w:val="24"/>
          <w:szCs w:val="24"/>
          <w:rtl/>
        </w:rPr>
        <w:t>מדינת</w:t>
      </w:r>
      <w:r w:rsidRPr="00FC580D">
        <w:rPr>
          <w:rFonts w:ascii="David" w:hAnsi="David" w:cs="David"/>
          <w:sz w:val="24"/>
          <w:szCs w:val="24"/>
          <w:rtl/>
        </w:rPr>
        <w:t xml:space="preserve"> </w:t>
      </w:r>
      <w:r w:rsidRPr="00FC580D">
        <w:rPr>
          <w:rFonts w:ascii="David" w:hAnsi="David" w:cs="David"/>
          <w:b/>
          <w:bCs/>
          <w:sz w:val="24"/>
          <w:szCs w:val="24"/>
          <w:rtl/>
        </w:rPr>
        <w:t>ישראל</w:t>
      </w:r>
      <w:r w:rsidRPr="00FC580D">
        <w:rPr>
          <w:rFonts w:ascii="David" w:hAnsi="David" w:cs="David"/>
          <w:sz w:val="24"/>
          <w:szCs w:val="24"/>
          <w:rtl/>
        </w:rPr>
        <w:t xml:space="preserve">. אכן, לא כל אימת שהרשעה עלולה לפגוע בתעסוקה, יש לקבוע מניה וביה כי הנאשם הוכיח קיומו של נזק קונקרטי. ואולם בעניינו שקלתי מספר נתונים שהובילו אותי למסקנה כי הנאשם עמד בנטל: </w:t>
      </w:r>
      <w:r w:rsidRPr="00FC580D">
        <w:rPr>
          <w:rFonts w:ascii="David" w:hAnsi="David" w:cs="David"/>
          <w:b/>
          <w:bCs/>
          <w:sz w:val="24"/>
          <w:szCs w:val="24"/>
          <w:rtl/>
        </w:rPr>
        <w:t>ראשית</w:t>
      </w:r>
      <w:r w:rsidRPr="00FC580D">
        <w:rPr>
          <w:rFonts w:ascii="David" w:hAnsi="David" w:cs="David"/>
          <w:sz w:val="24"/>
          <w:szCs w:val="24"/>
          <w:rtl/>
        </w:rPr>
        <w:t xml:space="preserve">, שירות המבחן התרשם כי הרשעת הנאשם עלולה לפגוע במקום עבודתו, כך שיש תשתית ראייתית לפגיעה במקום עבודתו. </w:t>
      </w:r>
      <w:r w:rsidRPr="00FC580D">
        <w:rPr>
          <w:rFonts w:ascii="David" w:hAnsi="David" w:cs="David"/>
          <w:b/>
          <w:bCs/>
          <w:sz w:val="24"/>
          <w:szCs w:val="24"/>
          <w:rtl/>
        </w:rPr>
        <w:t>שנית</w:t>
      </w:r>
      <w:r w:rsidRPr="00FC580D">
        <w:rPr>
          <w:rFonts w:ascii="David" w:hAnsi="David" w:cs="David"/>
          <w:sz w:val="24"/>
          <w:szCs w:val="24"/>
          <w:rtl/>
        </w:rPr>
        <w:t xml:space="preserve">, מדובר במקום עבודה בו עובד הנאשם מזה שלוש שנים ולא מדובר בפגיעה אפשרית ביחס למקומות עבודה פוטנציאליים. </w:t>
      </w:r>
      <w:r w:rsidRPr="00FC580D">
        <w:rPr>
          <w:rFonts w:ascii="David" w:hAnsi="David" w:cs="David"/>
          <w:b/>
          <w:bCs/>
          <w:sz w:val="24"/>
          <w:szCs w:val="24"/>
          <w:rtl/>
        </w:rPr>
        <w:t>שלישית</w:t>
      </w:r>
      <w:r w:rsidRPr="00FC580D">
        <w:rPr>
          <w:rFonts w:ascii="David" w:hAnsi="David" w:cs="David"/>
          <w:sz w:val="24"/>
          <w:szCs w:val="24"/>
          <w:rtl/>
        </w:rPr>
        <w:t xml:space="preserve">, מדובר במקום עבודה שהינו בבחינת עיסוק יחיד ומרכזי של הנאשם. </w:t>
      </w:r>
      <w:r w:rsidRPr="00FC580D">
        <w:rPr>
          <w:rFonts w:ascii="David" w:hAnsi="David" w:cs="David"/>
          <w:b/>
          <w:bCs/>
          <w:sz w:val="24"/>
          <w:szCs w:val="24"/>
          <w:rtl/>
        </w:rPr>
        <w:t xml:space="preserve"> </w:t>
      </w:r>
    </w:p>
    <w:p w14:paraId="21C584E6" w14:textId="77777777" w:rsidR="0063032A" w:rsidRPr="00FC580D" w:rsidRDefault="0063032A" w:rsidP="0063032A">
      <w:pPr>
        <w:pStyle w:val="ab"/>
        <w:spacing w:after="0" w:line="360" w:lineRule="auto"/>
        <w:ind w:left="360"/>
        <w:jc w:val="both"/>
        <w:rPr>
          <w:rFonts w:cs="David"/>
          <w:b/>
          <w:bCs/>
          <w:sz w:val="24"/>
          <w:szCs w:val="24"/>
        </w:rPr>
      </w:pPr>
    </w:p>
    <w:p w14:paraId="31882BC5" w14:textId="77777777" w:rsidR="0063032A" w:rsidRPr="00FC580D" w:rsidRDefault="0063032A" w:rsidP="0063032A">
      <w:pPr>
        <w:pStyle w:val="ab"/>
        <w:numPr>
          <w:ilvl w:val="0"/>
          <w:numId w:val="2"/>
        </w:numPr>
        <w:spacing w:after="0" w:line="360" w:lineRule="auto"/>
        <w:jc w:val="both"/>
        <w:rPr>
          <w:rFonts w:ascii="David" w:hAnsi="David" w:cs="David"/>
          <w:sz w:val="24"/>
          <w:szCs w:val="24"/>
        </w:rPr>
      </w:pPr>
      <w:r w:rsidRPr="00FC580D">
        <w:rPr>
          <w:rFonts w:ascii="David" w:hAnsi="David" w:cs="David"/>
          <w:sz w:val="24"/>
          <w:szCs w:val="24"/>
          <w:rtl/>
        </w:rPr>
        <w:t xml:space="preserve">בכל הנוגע לתנאי השני, הוא חומרת העבירה, הרי שמדובר בעבירה של החזקת סם מסוג קנבוס שלא לצריכה עצמית, בכמות נמוכה ולא בנסיבות צופות פני הפצה. ולפיכך, מדובר בעבירה שכשלעצמה אינה מציבה רף בלתי עביר ביחס לביטול הרשעה.  </w:t>
      </w:r>
    </w:p>
    <w:p w14:paraId="5003F198" w14:textId="77777777" w:rsidR="0063032A" w:rsidRPr="00FC580D" w:rsidRDefault="0063032A" w:rsidP="0063032A">
      <w:pPr>
        <w:pStyle w:val="ab"/>
        <w:rPr>
          <w:rFonts w:ascii="David" w:hAnsi="David" w:cs="David"/>
          <w:sz w:val="24"/>
          <w:szCs w:val="24"/>
        </w:rPr>
      </w:pPr>
    </w:p>
    <w:p w14:paraId="42582391" w14:textId="77777777" w:rsidR="0063032A" w:rsidRPr="00FC580D" w:rsidRDefault="0063032A" w:rsidP="0063032A">
      <w:pPr>
        <w:pStyle w:val="ab"/>
        <w:numPr>
          <w:ilvl w:val="0"/>
          <w:numId w:val="2"/>
        </w:numPr>
        <w:spacing w:after="0" w:line="360" w:lineRule="auto"/>
        <w:jc w:val="both"/>
        <w:rPr>
          <w:rFonts w:cs="David"/>
          <w:b/>
          <w:bCs/>
          <w:sz w:val="24"/>
          <w:szCs w:val="24"/>
          <w:rtl/>
        </w:rPr>
      </w:pPr>
      <w:r w:rsidRPr="00FC580D">
        <w:rPr>
          <w:rFonts w:cs="David"/>
          <w:sz w:val="24"/>
          <w:szCs w:val="24"/>
          <w:rtl/>
        </w:rPr>
        <w:t xml:space="preserve">מלבד שני התנאים המצטברים שנקבעו בהלכת כתב, הוסיף ופירט שם השופט לוין מספר שיקולים מנחים שיש להביא בחשבון בדבר תוצאות ההרשעה ואלו הם:  </w:t>
      </w:r>
    </w:p>
    <w:p w14:paraId="4A59593A" w14:textId="77777777" w:rsidR="0063032A" w:rsidRPr="00FC580D" w:rsidRDefault="0063032A" w:rsidP="0063032A">
      <w:pPr>
        <w:pStyle w:val="ab"/>
        <w:rPr>
          <w:rFonts w:cs="David"/>
          <w:sz w:val="24"/>
          <w:szCs w:val="24"/>
        </w:rPr>
      </w:pPr>
    </w:p>
    <w:p w14:paraId="60C0E0F5" w14:textId="77777777" w:rsidR="0063032A" w:rsidRPr="00FC580D" w:rsidRDefault="0063032A" w:rsidP="0063032A">
      <w:pPr>
        <w:pStyle w:val="ab"/>
        <w:spacing w:after="0" w:line="360" w:lineRule="auto"/>
        <w:ind w:left="1134" w:right="850"/>
        <w:jc w:val="both"/>
        <w:rPr>
          <w:rFonts w:cs="David"/>
          <w:b/>
          <w:bCs/>
          <w:sz w:val="24"/>
          <w:szCs w:val="24"/>
          <w:rtl/>
        </w:rPr>
      </w:pPr>
      <w:r w:rsidRPr="00FC580D">
        <w:rPr>
          <w:rFonts w:ascii="David" w:hAnsi="David" w:cs="David"/>
          <w:b/>
          <w:bCs/>
          <w:sz w:val="24"/>
          <w:szCs w:val="24"/>
          <w:rtl/>
        </w:rPr>
        <w:t xml:space="preserve">"האם מדובר בעבירה ראשונה או יחידה של הנאשם; ב) מהי חומרת העבירה והנסיבות שבהן בוצעה; ג) מעמדו ותפקידו של הנאשם והקשר בין העבירה למעמד ולתפקיד; ד) מידת הפגיעה של העבירה באחרים; ה) הסבירות שהנאשם יעבור עבירות נוספות; ו) האם ביצוע העבירה על-ידי הנאשם משקף דפוס של התנהגות כרונית, או המדובר בהתנהגות מקרית; ז) יחסו של הנאשם לעבירה, האם נוטל הוא אחריות לביצועה, האם הוא מתחרט עליה; ח) משמעות ההרשעה על הדימוי העצמי של הנאשם; ט) השפעת ההרשעה על תחומי פעילותו של הנאשם. " </w:t>
      </w:r>
    </w:p>
    <w:p w14:paraId="6282FD81" w14:textId="77777777" w:rsidR="0063032A" w:rsidRPr="00FC580D" w:rsidRDefault="0063032A" w:rsidP="0063032A">
      <w:pPr>
        <w:pStyle w:val="ab"/>
        <w:rPr>
          <w:rFonts w:cs="David"/>
          <w:sz w:val="24"/>
          <w:szCs w:val="24"/>
          <w:rtl/>
        </w:rPr>
      </w:pPr>
    </w:p>
    <w:p w14:paraId="56442A49" w14:textId="77777777" w:rsidR="0063032A" w:rsidRPr="00FC580D" w:rsidRDefault="0063032A" w:rsidP="0063032A">
      <w:pPr>
        <w:pStyle w:val="ab"/>
        <w:numPr>
          <w:ilvl w:val="0"/>
          <w:numId w:val="2"/>
        </w:numPr>
        <w:spacing w:after="0" w:line="360" w:lineRule="auto"/>
        <w:jc w:val="both"/>
        <w:rPr>
          <w:rFonts w:cs="David"/>
          <w:sz w:val="24"/>
          <w:szCs w:val="24"/>
          <w:rtl/>
        </w:rPr>
      </w:pPr>
      <w:r w:rsidRPr="00FC580D">
        <w:rPr>
          <w:rFonts w:cs="David"/>
          <w:sz w:val="24"/>
          <w:szCs w:val="24"/>
          <w:rtl/>
        </w:rPr>
        <w:t xml:space="preserve">בבחינת השיקולים, מצאתי כי כולם פועלים לטובת הנאשם. </w:t>
      </w:r>
      <w:r w:rsidRPr="00FC580D">
        <w:rPr>
          <w:rFonts w:cs="David"/>
          <w:b/>
          <w:bCs/>
          <w:sz w:val="24"/>
          <w:szCs w:val="24"/>
          <w:rtl/>
        </w:rPr>
        <w:t>ראשית</w:t>
      </w:r>
      <w:r w:rsidRPr="00FC580D">
        <w:rPr>
          <w:rFonts w:cs="David"/>
          <w:sz w:val="24"/>
          <w:szCs w:val="24"/>
          <w:rtl/>
        </w:rPr>
        <w:t xml:space="preserve">, </w:t>
      </w:r>
      <w:r w:rsidRPr="00FC580D">
        <w:rPr>
          <w:rFonts w:ascii="David" w:hAnsi="David" w:cs="David"/>
          <w:sz w:val="24"/>
          <w:szCs w:val="24"/>
          <w:rtl/>
        </w:rPr>
        <w:t xml:space="preserve">מדובר בעבירה ראשונה ויחידה של הנאשם. </w:t>
      </w:r>
      <w:r w:rsidRPr="00FC580D">
        <w:rPr>
          <w:rFonts w:ascii="David" w:hAnsi="David" w:cs="David"/>
          <w:b/>
          <w:bCs/>
          <w:sz w:val="24"/>
          <w:szCs w:val="24"/>
          <w:rtl/>
        </w:rPr>
        <w:t>שנית</w:t>
      </w:r>
      <w:r w:rsidRPr="00FC580D">
        <w:rPr>
          <w:rFonts w:ascii="David" w:hAnsi="David" w:cs="David"/>
          <w:sz w:val="24"/>
          <w:szCs w:val="24"/>
          <w:rtl/>
        </w:rPr>
        <w:t xml:space="preserve">, העבירה אינה ברף החומרה הגבוה ונסיבות ביצועה אינן מלמדות על חומרה יתרה  – הסם לא בכמות גבוהה, הסם הוחזק במקום קבע ולא ברכב והסם לא נתפס כשהוא מחולק למנות. </w:t>
      </w:r>
      <w:r w:rsidRPr="00FC580D">
        <w:rPr>
          <w:rFonts w:ascii="David" w:hAnsi="David" w:cs="David"/>
          <w:b/>
          <w:bCs/>
          <w:sz w:val="24"/>
          <w:szCs w:val="24"/>
          <w:rtl/>
        </w:rPr>
        <w:t>שלישית</w:t>
      </w:r>
      <w:r w:rsidRPr="00FC580D">
        <w:rPr>
          <w:rFonts w:ascii="David" w:hAnsi="David" w:cs="David"/>
          <w:sz w:val="24"/>
          <w:szCs w:val="24"/>
          <w:rtl/>
        </w:rPr>
        <w:t xml:space="preserve">, לא נפגעו אחרים מביצוע העבירה. </w:t>
      </w:r>
      <w:r w:rsidRPr="00FC580D">
        <w:rPr>
          <w:rFonts w:ascii="David" w:hAnsi="David" w:cs="David"/>
          <w:b/>
          <w:bCs/>
          <w:sz w:val="24"/>
          <w:szCs w:val="24"/>
          <w:rtl/>
        </w:rPr>
        <w:t>רביעית</w:t>
      </w:r>
      <w:r w:rsidRPr="00FC580D">
        <w:rPr>
          <w:rFonts w:ascii="David" w:hAnsi="David" w:cs="David"/>
          <w:sz w:val="24"/>
          <w:szCs w:val="24"/>
          <w:rtl/>
        </w:rPr>
        <w:t xml:space="preserve">, הסבירות שהנאשם יעבור עבירות נוספות נמוכה נוכח ההליך המוצלח שעבר והתרשמות שירות המבחן כי קיימת רמת סיכון נמוכה בעניינו. ואף נוכח כך שהעבירה בוצעה בשנת 2019 ומאז לא שב הנאשם לבצע עבירות. </w:t>
      </w:r>
      <w:r w:rsidRPr="00FC580D">
        <w:rPr>
          <w:rFonts w:ascii="David" w:hAnsi="David" w:cs="David"/>
          <w:b/>
          <w:bCs/>
          <w:sz w:val="24"/>
          <w:szCs w:val="24"/>
          <w:rtl/>
        </w:rPr>
        <w:t>חמישית</w:t>
      </w:r>
      <w:r w:rsidRPr="00FC580D">
        <w:rPr>
          <w:rFonts w:ascii="David" w:hAnsi="David" w:cs="David"/>
          <w:sz w:val="24"/>
          <w:szCs w:val="24"/>
          <w:rtl/>
        </w:rPr>
        <w:t xml:space="preserve">, ביצוע העבירה על-ידי הנאשם לא משקף דפוס של התנהגות כרונית, משום שמדובר באירוע חריג על רקע אורחות חייו הנורמטיביים. </w:t>
      </w:r>
      <w:r w:rsidRPr="00FC580D">
        <w:rPr>
          <w:rFonts w:ascii="David" w:hAnsi="David" w:cs="David"/>
          <w:b/>
          <w:bCs/>
          <w:sz w:val="24"/>
          <w:szCs w:val="24"/>
          <w:rtl/>
        </w:rPr>
        <w:t>שישית</w:t>
      </w:r>
      <w:r w:rsidRPr="00FC580D">
        <w:rPr>
          <w:rFonts w:ascii="David" w:hAnsi="David" w:cs="David"/>
          <w:sz w:val="24"/>
          <w:szCs w:val="24"/>
          <w:rtl/>
        </w:rPr>
        <w:t xml:space="preserve">, הנאשם נטל אחריות לביצוע העבירה, והתחרט עליה. התרשמתי כי מדובר בחרטה כנה, בשים לב להליך הטיפולי הארוך שעבר הנאשם. </w:t>
      </w:r>
      <w:r w:rsidRPr="00FC580D">
        <w:rPr>
          <w:rFonts w:ascii="David" w:hAnsi="David" w:cs="David"/>
          <w:b/>
          <w:bCs/>
          <w:sz w:val="24"/>
          <w:szCs w:val="24"/>
          <w:rtl/>
        </w:rPr>
        <w:t>שביעית</w:t>
      </w:r>
      <w:r w:rsidRPr="00FC580D">
        <w:rPr>
          <w:rFonts w:ascii="David" w:hAnsi="David" w:cs="David"/>
          <w:sz w:val="24"/>
          <w:szCs w:val="24"/>
          <w:rtl/>
        </w:rPr>
        <w:t xml:space="preserve">, כפי שציינתי לעיל, ההרשעה עלולה לפגוע בעבודתו בחברת אגד.  </w:t>
      </w:r>
    </w:p>
    <w:p w14:paraId="101705FE" w14:textId="77777777" w:rsidR="0063032A" w:rsidRPr="00FC580D" w:rsidRDefault="0063032A" w:rsidP="0063032A">
      <w:pPr>
        <w:pStyle w:val="ab"/>
        <w:spacing w:after="0" w:line="360" w:lineRule="auto"/>
        <w:ind w:left="360"/>
        <w:jc w:val="both"/>
        <w:rPr>
          <w:rFonts w:cs="David"/>
          <w:sz w:val="24"/>
          <w:szCs w:val="24"/>
        </w:rPr>
      </w:pPr>
    </w:p>
    <w:p w14:paraId="5E4DA216" w14:textId="77777777" w:rsidR="0063032A" w:rsidRPr="00FC580D" w:rsidRDefault="0063032A" w:rsidP="0063032A">
      <w:pPr>
        <w:pStyle w:val="ab"/>
        <w:numPr>
          <w:ilvl w:val="0"/>
          <w:numId w:val="2"/>
        </w:numPr>
        <w:spacing w:after="0" w:line="360" w:lineRule="auto"/>
        <w:jc w:val="both"/>
        <w:rPr>
          <w:rFonts w:cs="David"/>
          <w:b/>
          <w:bCs/>
          <w:sz w:val="24"/>
          <w:szCs w:val="24"/>
        </w:rPr>
      </w:pPr>
      <w:r w:rsidRPr="00FC580D">
        <w:rPr>
          <w:rFonts w:cs="David"/>
          <w:sz w:val="24"/>
          <w:szCs w:val="24"/>
          <w:rtl/>
        </w:rPr>
        <w:t xml:space="preserve">סוף דבר, מדובר בנאשם צעיר, נעדר עבר פלילי, אשר מתפקד באופן תקין במסגרות חייו השונות, לקח אחריות מלאה על מעשיו, המעשים בוצעו בשנת 2019 לפני למעלה מארבע שנים ומאז הנאשם לא ביצע עבירות נוספות, הנאשם הביע חרטה, הורתע מההליך הפלילי, השתלב בטיפול קבוצתי בשירות המבחן, ושירות המבחן המליץ על אי הרשעתו. יובהר כי </w:t>
      </w:r>
      <w:r w:rsidRPr="00FC580D">
        <w:rPr>
          <w:rFonts w:ascii="David" w:hAnsi="David" w:cs="David"/>
          <w:sz w:val="24"/>
          <w:szCs w:val="24"/>
          <w:rtl/>
        </w:rPr>
        <w:t>גם אם בית המשפט אינו מחויב לקבל את המלצות שירות המבחן, כפי שנקבע למשל ב</w:t>
      </w:r>
      <w:hyperlink r:id="rId40" w:history="1">
        <w:r w:rsidR="00754C52" w:rsidRPr="00FC580D">
          <w:rPr>
            <w:rFonts w:ascii="David" w:hAnsi="David" w:cs="David"/>
            <w:color w:val="0000FF"/>
            <w:sz w:val="24"/>
            <w:szCs w:val="24"/>
            <w:u w:val="single"/>
            <w:rtl/>
          </w:rPr>
          <w:t>רע"פ 8748/10</w:t>
        </w:r>
      </w:hyperlink>
      <w:r w:rsidRPr="00FC580D">
        <w:rPr>
          <w:rFonts w:ascii="David" w:hAnsi="David" w:cs="David"/>
          <w:sz w:val="24"/>
          <w:szCs w:val="24"/>
          <w:rtl/>
        </w:rPr>
        <w:t xml:space="preserve"> </w:t>
      </w:r>
      <w:r w:rsidRPr="00FC580D">
        <w:rPr>
          <w:rFonts w:ascii="David" w:hAnsi="David" w:cs="David"/>
          <w:b/>
          <w:bCs/>
          <w:sz w:val="24"/>
          <w:szCs w:val="24"/>
          <w:rtl/>
        </w:rPr>
        <w:t>בדר נמירי נ' מדינת ישראל</w:t>
      </w:r>
      <w:r w:rsidRPr="00FC580D">
        <w:rPr>
          <w:rFonts w:ascii="David" w:hAnsi="David" w:cs="David"/>
          <w:sz w:val="24"/>
          <w:szCs w:val="24"/>
          <w:rtl/>
        </w:rPr>
        <w:t xml:space="preserve">, לא מצאתי בענייננו טעם טוב שלא לקבל את המלצתו.  </w:t>
      </w:r>
    </w:p>
    <w:p w14:paraId="63500466" w14:textId="77777777" w:rsidR="0063032A" w:rsidRPr="00FC580D" w:rsidRDefault="0063032A" w:rsidP="0063032A">
      <w:pPr>
        <w:pStyle w:val="ab"/>
        <w:jc w:val="both"/>
        <w:rPr>
          <w:rFonts w:ascii="David" w:hAnsi="David" w:cs="David"/>
          <w:sz w:val="24"/>
          <w:szCs w:val="24"/>
        </w:rPr>
      </w:pPr>
    </w:p>
    <w:p w14:paraId="0FC5B82A" w14:textId="77777777" w:rsidR="0063032A" w:rsidRPr="00FC580D" w:rsidRDefault="0063032A" w:rsidP="0063032A">
      <w:pPr>
        <w:pStyle w:val="ab"/>
        <w:numPr>
          <w:ilvl w:val="0"/>
          <w:numId w:val="2"/>
        </w:numPr>
        <w:spacing w:after="0" w:line="360" w:lineRule="auto"/>
        <w:jc w:val="both"/>
        <w:rPr>
          <w:rFonts w:ascii="David" w:hAnsi="David" w:cs="David"/>
          <w:sz w:val="24"/>
          <w:szCs w:val="24"/>
          <w:rtl/>
        </w:rPr>
      </w:pPr>
      <w:r w:rsidRPr="00FC580D">
        <w:rPr>
          <w:rFonts w:ascii="David" w:hAnsi="David" w:cs="David"/>
          <w:sz w:val="24"/>
          <w:szCs w:val="24"/>
          <w:rtl/>
        </w:rPr>
        <w:t xml:space="preserve">לאור כל האמור לעיל, התרשמתי כי מדובר במקרה חריג המצדיק ביטול הרשעת הנאשם.  </w:t>
      </w:r>
    </w:p>
    <w:p w14:paraId="2F36E772" w14:textId="77777777" w:rsidR="0063032A" w:rsidRPr="00FC580D" w:rsidRDefault="0063032A" w:rsidP="0063032A">
      <w:pPr>
        <w:pStyle w:val="ab"/>
        <w:spacing w:line="360" w:lineRule="auto"/>
        <w:ind w:left="360"/>
        <w:jc w:val="both"/>
        <w:rPr>
          <w:rFonts w:ascii="David" w:hAnsi="David" w:cs="David"/>
          <w:sz w:val="24"/>
          <w:szCs w:val="24"/>
          <w:rtl/>
        </w:rPr>
      </w:pPr>
    </w:p>
    <w:p w14:paraId="6859BF20" w14:textId="77777777" w:rsidR="0063032A" w:rsidRPr="00FC580D" w:rsidRDefault="0063032A" w:rsidP="0063032A">
      <w:pPr>
        <w:spacing w:line="360" w:lineRule="auto"/>
        <w:jc w:val="both"/>
        <w:rPr>
          <w:rFonts w:ascii="David" w:hAnsi="David"/>
          <w:b/>
          <w:bCs/>
          <w:u w:val="single"/>
        </w:rPr>
      </w:pPr>
      <w:r w:rsidRPr="00FC580D">
        <w:rPr>
          <w:rFonts w:ascii="David" w:hAnsi="David"/>
          <w:b/>
          <w:bCs/>
          <w:u w:val="single"/>
          <w:rtl/>
        </w:rPr>
        <w:t>גזירת הדין</w:t>
      </w:r>
    </w:p>
    <w:p w14:paraId="5606301A" w14:textId="77777777" w:rsidR="0063032A" w:rsidRPr="00FC580D" w:rsidRDefault="0063032A" w:rsidP="0063032A">
      <w:pPr>
        <w:pStyle w:val="ab"/>
        <w:rPr>
          <w:rFonts w:ascii="David" w:hAnsi="David" w:cs="David"/>
          <w:sz w:val="24"/>
          <w:szCs w:val="24"/>
        </w:rPr>
      </w:pPr>
    </w:p>
    <w:p w14:paraId="46702A7D" w14:textId="77777777" w:rsidR="0063032A" w:rsidRPr="00FC580D" w:rsidRDefault="0063032A" w:rsidP="0063032A">
      <w:pPr>
        <w:pStyle w:val="ab"/>
        <w:numPr>
          <w:ilvl w:val="0"/>
          <w:numId w:val="2"/>
        </w:numPr>
        <w:spacing w:line="360" w:lineRule="auto"/>
        <w:jc w:val="both"/>
        <w:rPr>
          <w:rFonts w:ascii="David" w:hAnsi="David" w:cs="David"/>
          <w:sz w:val="24"/>
          <w:szCs w:val="24"/>
          <w:rtl/>
        </w:rPr>
      </w:pPr>
      <w:r w:rsidRPr="00FC580D">
        <w:rPr>
          <w:rFonts w:ascii="David" w:hAnsi="David" w:cs="David"/>
          <w:sz w:val="24"/>
          <w:szCs w:val="24"/>
          <w:rtl/>
        </w:rPr>
        <w:t>אשר על-כן, הריני גוזר על הנאשם את העונשים הבאים:</w:t>
      </w:r>
    </w:p>
    <w:p w14:paraId="581ADD78" w14:textId="77777777" w:rsidR="0063032A" w:rsidRPr="00FC580D" w:rsidRDefault="0063032A" w:rsidP="0063032A">
      <w:pPr>
        <w:pStyle w:val="ab"/>
        <w:jc w:val="both"/>
        <w:rPr>
          <w:rFonts w:ascii="David" w:hAnsi="David" w:cs="David"/>
          <w:sz w:val="24"/>
          <w:szCs w:val="24"/>
        </w:rPr>
      </w:pPr>
    </w:p>
    <w:p w14:paraId="19AF1931" w14:textId="77777777" w:rsidR="0063032A" w:rsidRPr="00FC580D" w:rsidRDefault="0063032A" w:rsidP="0063032A">
      <w:pPr>
        <w:pStyle w:val="ab"/>
        <w:numPr>
          <w:ilvl w:val="1"/>
          <w:numId w:val="2"/>
        </w:numPr>
        <w:spacing w:line="360" w:lineRule="auto"/>
        <w:jc w:val="both"/>
        <w:rPr>
          <w:rFonts w:ascii="David" w:hAnsi="David" w:cs="David"/>
          <w:sz w:val="24"/>
          <w:szCs w:val="24"/>
          <w:u w:val="single"/>
          <w:rtl/>
        </w:rPr>
      </w:pPr>
      <w:r w:rsidRPr="00FC580D">
        <w:rPr>
          <w:rFonts w:ascii="David" w:hAnsi="David" w:cs="David"/>
          <w:sz w:val="24"/>
          <w:szCs w:val="24"/>
          <w:rtl/>
        </w:rPr>
        <w:t xml:space="preserve">צו של"צ בהיקף של 140 שעות בהתאם לתכנית שיכין שירות המבחן בתוך 30 יום מהיום.  </w:t>
      </w:r>
    </w:p>
    <w:p w14:paraId="6D66230C" w14:textId="77777777" w:rsidR="0063032A" w:rsidRPr="00FC580D" w:rsidRDefault="0063032A" w:rsidP="0063032A">
      <w:pPr>
        <w:pStyle w:val="ab"/>
        <w:spacing w:line="360" w:lineRule="auto"/>
        <w:ind w:left="785"/>
        <w:jc w:val="both"/>
        <w:rPr>
          <w:rFonts w:ascii="David" w:hAnsi="David" w:cs="David"/>
          <w:sz w:val="24"/>
          <w:szCs w:val="24"/>
          <w:u w:val="single"/>
        </w:rPr>
      </w:pPr>
    </w:p>
    <w:p w14:paraId="025B70AF" w14:textId="77777777" w:rsidR="0063032A" w:rsidRPr="00FC580D" w:rsidRDefault="0063032A" w:rsidP="0063032A">
      <w:pPr>
        <w:pStyle w:val="ab"/>
        <w:numPr>
          <w:ilvl w:val="1"/>
          <w:numId w:val="2"/>
        </w:numPr>
        <w:spacing w:line="360" w:lineRule="auto"/>
        <w:jc w:val="both"/>
        <w:rPr>
          <w:rFonts w:ascii="David" w:hAnsi="David" w:cs="David"/>
          <w:sz w:val="24"/>
          <w:szCs w:val="24"/>
          <w:u w:val="single"/>
        </w:rPr>
      </w:pPr>
      <w:r w:rsidRPr="00FC580D">
        <w:rPr>
          <w:rFonts w:ascii="David" w:hAnsi="David" w:cs="David"/>
          <w:sz w:val="24"/>
          <w:szCs w:val="24"/>
          <w:rtl/>
        </w:rPr>
        <w:t xml:space="preserve">צו מבחן לתקופה של כחצי שנה. </w:t>
      </w:r>
    </w:p>
    <w:p w14:paraId="08FE9DA7" w14:textId="77777777" w:rsidR="0063032A" w:rsidRPr="00FC580D" w:rsidRDefault="0063032A" w:rsidP="0063032A">
      <w:pPr>
        <w:pStyle w:val="ab"/>
        <w:rPr>
          <w:rFonts w:ascii="David" w:hAnsi="David" w:cs="David"/>
          <w:sz w:val="24"/>
          <w:szCs w:val="24"/>
          <w:u w:val="single"/>
        </w:rPr>
      </w:pPr>
    </w:p>
    <w:p w14:paraId="2AF2CC5D" w14:textId="77777777" w:rsidR="0063032A" w:rsidRPr="00FC580D" w:rsidRDefault="0063032A" w:rsidP="0063032A">
      <w:pPr>
        <w:pStyle w:val="ab"/>
        <w:numPr>
          <w:ilvl w:val="1"/>
          <w:numId w:val="2"/>
        </w:numPr>
        <w:spacing w:line="360" w:lineRule="auto"/>
        <w:jc w:val="both"/>
        <w:rPr>
          <w:rFonts w:ascii="David" w:hAnsi="David" w:cs="David"/>
          <w:sz w:val="24"/>
          <w:szCs w:val="24"/>
          <w:rtl/>
        </w:rPr>
      </w:pPr>
      <w:r w:rsidRPr="00FC580D">
        <w:rPr>
          <w:rFonts w:ascii="David" w:hAnsi="David" w:cs="David"/>
          <w:sz w:val="24"/>
          <w:szCs w:val="24"/>
          <w:rtl/>
        </w:rPr>
        <w:t xml:space="preserve">הנאשם מוזהר, כי עליו לנהוג בהתאם לכללים ולתנאים שיקבע שירות המבחן, אחרת יופקע צו המבחן ואגזור את עונשו מחדש.  </w:t>
      </w:r>
    </w:p>
    <w:p w14:paraId="3F96DB33" w14:textId="77777777" w:rsidR="0063032A" w:rsidRPr="00FC580D" w:rsidRDefault="0063032A" w:rsidP="0063032A">
      <w:pPr>
        <w:pStyle w:val="ab"/>
        <w:spacing w:line="360" w:lineRule="auto"/>
        <w:ind w:left="785"/>
        <w:jc w:val="both"/>
        <w:rPr>
          <w:rFonts w:ascii="David" w:hAnsi="David" w:cs="David"/>
          <w:sz w:val="24"/>
          <w:szCs w:val="24"/>
        </w:rPr>
      </w:pPr>
    </w:p>
    <w:p w14:paraId="196412CD" w14:textId="77777777" w:rsidR="0063032A" w:rsidRPr="00FC580D" w:rsidRDefault="0063032A" w:rsidP="0063032A">
      <w:pPr>
        <w:pStyle w:val="ab"/>
        <w:numPr>
          <w:ilvl w:val="1"/>
          <w:numId w:val="2"/>
        </w:numPr>
        <w:spacing w:line="360" w:lineRule="auto"/>
        <w:jc w:val="both"/>
        <w:rPr>
          <w:rFonts w:ascii="David" w:hAnsi="David" w:cs="David"/>
          <w:sz w:val="24"/>
          <w:szCs w:val="24"/>
        </w:rPr>
      </w:pPr>
      <w:r w:rsidRPr="00FC580D">
        <w:rPr>
          <w:rFonts w:ascii="David" w:hAnsi="David" w:cs="David"/>
          <w:sz w:val="24"/>
          <w:szCs w:val="24"/>
          <w:rtl/>
        </w:rPr>
        <w:t xml:space="preserve">הנאשם יחתום על התחייבות כספית שלא לעבור כל עבירה על פקודת הסמים. התחייבות זו שתהא בסך של 5,000 ₪, תהא בתוקף ל-3 שנים מהיום. לא תחתם ההתחייבות בתוך 10 ימים, ייאסר הנאשם למשך חמישה ימים לשם כפיית חתימה על ההתחייבות. </w:t>
      </w:r>
    </w:p>
    <w:p w14:paraId="2F320768" w14:textId="77777777" w:rsidR="0063032A" w:rsidRPr="00FC580D" w:rsidRDefault="0063032A" w:rsidP="0063032A">
      <w:pPr>
        <w:spacing w:line="360" w:lineRule="auto"/>
        <w:contextualSpacing/>
        <w:jc w:val="both"/>
        <w:rPr>
          <w:rFonts w:ascii="Calibri" w:hAnsi="Calibri"/>
        </w:rPr>
      </w:pPr>
    </w:p>
    <w:p w14:paraId="2D52FED1" w14:textId="77777777" w:rsidR="0063032A" w:rsidRPr="00FC580D" w:rsidRDefault="0063032A" w:rsidP="0063032A">
      <w:pPr>
        <w:spacing w:line="360" w:lineRule="auto"/>
        <w:contextualSpacing/>
        <w:jc w:val="both"/>
        <w:rPr>
          <w:rtl/>
        </w:rPr>
      </w:pPr>
      <w:r w:rsidRPr="00FC580D">
        <w:rPr>
          <w:rtl/>
        </w:rPr>
        <w:t>המזכירות תעביר עותק גזר הדין לשירות המבחן.</w:t>
      </w:r>
    </w:p>
    <w:p w14:paraId="64067030" w14:textId="77777777" w:rsidR="0063032A" w:rsidRPr="00FC580D" w:rsidRDefault="0063032A" w:rsidP="0063032A">
      <w:pPr>
        <w:spacing w:line="360" w:lineRule="auto"/>
        <w:contextualSpacing/>
        <w:jc w:val="both"/>
        <w:rPr>
          <w:rtl/>
        </w:rPr>
      </w:pPr>
    </w:p>
    <w:p w14:paraId="660AE097" w14:textId="77777777" w:rsidR="0063032A" w:rsidRPr="00FC580D" w:rsidRDefault="0063032A" w:rsidP="0063032A">
      <w:pPr>
        <w:spacing w:line="360" w:lineRule="auto"/>
        <w:contextualSpacing/>
        <w:jc w:val="both"/>
        <w:rPr>
          <w:rFonts w:eastAsia="Calibri"/>
          <w:rtl/>
        </w:rPr>
      </w:pPr>
      <w:r w:rsidRPr="00FC580D">
        <w:rPr>
          <w:rtl/>
        </w:rPr>
        <w:t>הסם יושמד.</w:t>
      </w:r>
    </w:p>
    <w:p w14:paraId="4A56E40F" w14:textId="77777777" w:rsidR="0063032A" w:rsidRPr="00FC580D" w:rsidRDefault="0063032A" w:rsidP="0063032A">
      <w:pPr>
        <w:spacing w:line="360" w:lineRule="auto"/>
        <w:jc w:val="both"/>
        <w:rPr>
          <w:rFonts w:ascii="David" w:hAnsi="David"/>
          <w:rtl/>
        </w:rPr>
      </w:pPr>
    </w:p>
    <w:p w14:paraId="0278002D" w14:textId="77777777" w:rsidR="0063032A" w:rsidRPr="00FC580D" w:rsidRDefault="00754C52" w:rsidP="0063032A">
      <w:pPr>
        <w:spacing w:line="360" w:lineRule="auto"/>
        <w:jc w:val="both"/>
        <w:rPr>
          <w:rFonts w:ascii="David" w:hAnsi="David"/>
          <w:rtl/>
        </w:rPr>
      </w:pPr>
      <w:r w:rsidRPr="00FC580D">
        <w:rPr>
          <w:rFonts w:ascii="David" w:hAnsi="David"/>
          <w:color w:val="FFFFFF"/>
          <w:sz w:val="2"/>
          <w:szCs w:val="2"/>
          <w:rtl/>
        </w:rPr>
        <w:t>5129371</w:t>
      </w:r>
      <w:r w:rsidR="0063032A" w:rsidRPr="00FC580D">
        <w:rPr>
          <w:rFonts w:ascii="David" w:hAnsi="David"/>
          <w:rtl/>
        </w:rPr>
        <w:t xml:space="preserve">זכות ערעור כדין. </w:t>
      </w:r>
    </w:p>
    <w:p w14:paraId="50AB60F7" w14:textId="77777777" w:rsidR="0063032A" w:rsidRPr="00FC580D" w:rsidRDefault="00754C52" w:rsidP="0063032A">
      <w:pPr>
        <w:spacing w:line="360" w:lineRule="auto"/>
        <w:jc w:val="both"/>
        <w:rPr>
          <w:rFonts w:ascii="David" w:hAnsi="David"/>
          <w:color w:val="FFFFFF"/>
          <w:sz w:val="2"/>
          <w:szCs w:val="2"/>
          <w:rtl/>
        </w:rPr>
      </w:pPr>
      <w:r w:rsidRPr="00FC580D">
        <w:rPr>
          <w:rFonts w:ascii="David" w:hAnsi="David"/>
          <w:color w:val="FFFFFF"/>
          <w:sz w:val="2"/>
          <w:szCs w:val="2"/>
          <w:rtl/>
        </w:rPr>
        <w:t>54678313</w:t>
      </w:r>
    </w:p>
    <w:p w14:paraId="59B3BA6C" w14:textId="77777777" w:rsidR="0063032A" w:rsidRPr="00FC580D" w:rsidRDefault="0063032A" w:rsidP="0063032A">
      <w:pPr>
        <w:rPr>
          <w:rFonts w:ascii="Arial" w:hAnsi="Arial"/>
          <w:b/>
          <w:bCs/>
          <w:sz w:val="26"/>
          <w:szCs w:val="26"/>
          <w:rtl/>
        </w:rPr>
      </w:pPr>
    </w:p>
    <w:p w14:paraId="5F03B825" w14:textId="77777777" w:rsidR="0063032A" w:rsidRPr="00FC580D" w:rsidRDefault="00754C52" w:rsidP="0063032A">
      <w:pPr>
        <w:spacing w:line="360" w:lineRule="auto"/>
        <w:jc w:val="both"/>
        <w:rPr>
          <w:rFonts w:ascii="Arial" w:hAnsi="Arial"/>
          <w:b/>
          <w:bCs/>
          <w:sz w:val="26"/>
          <w:szCs w:val="26"/>
          <w:rtl/>
        </w:rPr>
      </w:pPr>
      <w:bookmarkStart w:id="8" w:name="Nitan"/>
      <w:r w:rsidRPr="00FC580D">
        <w:rPr>
          <w:rFonts w:ascii="Arial" w:hAnsi="Arial"/>
          <w:b/>
          <w:bCs/>
          <w:sz w:val="26"/>
          <w:szCs w:val="26"/>
          <w:rtl/>
        </w:rPr>
        <w:t xml:space="preserve">ניתן היום,  ה' ניסן תשפ"ג, 27 מרץ 2023, בהעדר הצדדים. </w:t>
      </w:r>
      <w:bookmarkEnd w:id="8"/>
      <w:r w:rsidR="0063032A" w:rsidRPr="00FC580D">
        <w:rPr>
          <w:rFonts w:ascii="Arial" w:hAnsi="Arial"/>
          <w:b/>
          <w:bCs/>
          <w:sz w:val="26"/>
          <w:szCs w:val="26"/>
          <w:rtl/>
        </w:rPr>
        <w:tab/>
      </w:r>
      <w:r w:rsidR="0063032A" w:rsidRPr="00FC580D">
        <w:rPr>
          <w:rFonts w:ascii="Arial" w:hAnsi="Arial"/>
          <w:b/>
          <w:bCs/>
          <w:sz w:val="26"/>
          <w:szCs w:val="26"/>
          <w:rtl/>
        </w:rPr>
        <w:tab/>
      </w:r>
      <w:r w:rsidR="0063032A" w:rsidRPr="00FC580D">
        <w:rPr>
          <w:rFonts w:ascii="Arial" w:hAnsi="Arial"/>
          <w:b/>
          <w:bCs/>
          <w:sz w:val="26"/>
          <w:szCs w:val="26"/>
          <w:rtl/>
        </w:rPr>
        <w:tab/>
      </w:r>
      <w:r w:rsidR="0063032A" w:rsidRPr="00FC580D">
        <w:rPr>
          <w:rFonts w:ascii="Arial" w:hAnsi="Arial"/>
          <w:b/>
          <w:bCs/>
          <w:sz w:val="26"/>
          <w:szCs w:val="26"/>
          <w:rtl/>
        </w:rPr>
        <w:tab/>
      </w:r>
      <w:r w:rsidR="0063032A" w:rsidRPr="00FC580D">
        <w:rPr>
          <w:rFonts w:ascii="Arial" w:hAnsi="Arial"/>
          <w:b/>
          <w:bCs/>
          <w:sz w:val="26"/>
          <w:szCs w:val="26"/>
          <w:rtl/>
        </w:rPr>
        <w:tab/>
      </w:r>
      <w:r w:rsidR="0063032A" w:rsidRPr="00FC580D">
        <w:rPr>
          <w:rFonts w:ascii="Arial" w:hAnsi="Arial"/>
          <w:b/>
          <w:bCs/>
          <w:sz w:val="26"/>
          <w:szCs w:val="26"/>
          <w:rtl/>
        </w:rPr>
        <w:tab/>
      </w:r>
      <w:r w:rsidR="0063032A" w:rsidRPr="00FC580D">
        <w:rPr>
          <w:rFonts w:ascii="Arial" w:hAnsi="Arial"/>
          <w:b/>
          <w:bCs/>
          <w:sz w:val="26"/>
          <w:szCs w:val="26"/>
          <w:rtl/>
        </w:rPr>
        <w:tab/>
      </w:r>
      <w:r w:rsidR="0063032A" w:rsidRPr="00FC580D">
        <w:rPr>
          <w:rFonts w:ascii="Arial" w:hAnsi="Arial" w:hint="cs"/>
          <w:b/>
          <w:bCs/>
          <w:sz w:val="26"/>
          <w:szCs w:val="26"/>
          <w:rtl/>
        </w:rPr>
        <w:t xml:space="preserve">         </w:t>
      </w:r>
    </w:p>
    <w:p w14:paraId="2CBC4766" w14:textId="77777777" w:rsidR="0063032A" w:rsidRPr="00FC580D" w:rsidRDefault="0063032A" w:rsidP="00754C52">
      <w:pPr>
        <w:jc w:val="center"/>
      </w:pPr>
      <w:r w:rsidRPr="00FC580D">
        <w:rPr>
          <w:rFonts w:ascii="Arial" w:hAnsi="Arial"/>
          <w:b/>
          <w:bCs/>
          <w:sz w:val="26"/>
          <w:szCs w:val="26"/>
          <w:rtl/>
        </w:rPr>
        <w:t xml:space="preserve">   </w:t>
      </w:r>
      <w:r w:rsidRPr="00FC580D">
        <w:rPr>
          <w:rFonts w:ascii="Arial" w:hAnsi="Arial"/>
          <w:b/>
          <w:bCs/>
          <w:sz w:val="26"/>
          <w:szCs w:val="26"/>
          <w:rtl/>
        </w:rPr>
        <w:tab/>
      </w:r>
      <w:r w:rsidRPr="00FC580D">
        <w:rPr>
          <w:rFonts w:ascii="Arial" w:hAnsi="Arial"/>
          <w:b/>
          <w:bCs/>
          <w:sz w:val="26"/>
          <w:szCs w:val="26"/>
          <w:rtl/>
        </w:rPr>
        <w:tab/>
      </w:r>
      <w:r w:rsidRPr="00FC580D">
        <w:rPr>
          <w:rFonts w:ascii="Arial" w:hAnsi="Arial"/>
          <w:b/>
          <w:bCs/>
          <w:sz w:val="26"/>
          <w:szCs w:val="26"/>
          <w:rtl/>
        </w:rPr>
        <w:tab/>
      </w:r>
      <w:r w:rsidRPr="00FC580D">
        <w:rPr>
          <w:rFonts w:ascii="Arial" w:hAnsi="Arial"/>
          <w:b/>
          <w:bCs/>
          <w:sz w:val="26"/>
          <w:szCs w:val="26"/>
          <w:rtl/>
        </w:rPr>
        <w:tab/>
      </w:r>
      <w:r w:rsidRPr="00FC580D">
        <w:rPr>
          <w:rFonts w:ascii="Arial" w:hAnsi="Arial"/>
          <w:b/>
          <w:bCs/>
          <w:sz w:val="26"/>
          <w:szCs w:val="26"/>
          <w:rtl/>
        </w:rPr>
        <w:tab/>
      </w:r>
    </w:p>
    <w:p w14:paraId="4E0BD35E" w14:textId="77777777" w:rsidR="0063032A" w:rsidRPr="00FC580D" w:rsidRDefault="0063032A" w:rsidP="0063032A">
      <w:pPr>
        <w:jc w:val="center"/>
        <w:rPr>
          <w:rFonts w:ascii="Arial" w:hAnsi="Arial"/>
          <w:b/>
          <w:bCs/>
          <w:sz w:val="26"/>
          <w:szCs w:val="26"/>
          <w:rtl/>
        </w:rPr>
      </w:pPr>
    </w:p>
    <w:p w14:paraId="36B8A9A5" w14:textId="77777777" w:rsidR="00E23491" w:rsidRPr="00FC580D" w:rsidRDefault="00E23491" w:rsidP="00754C52">
      <w:pPr>
        <w:keepNext/>
        <w:rPr>
          <w:rFonts w:ascii="David" w:hAnsi="David"/>
          <w:color w:val="000000"/>
          <w:sz w:val="22"/>
          <w:szCs w:val="22"/>
          <w:rtl/>
        </w:rPr>
      </w:pPr>
    </w:p>
    <w:p w14:paraId="6550F961" w14:textId="77777777" w:rsidR="00754C52" w:rsidRPr="00FC580D" w:rsidRDefault="00754C52" w:rsidP="00754C52">
      <w:pPr>
        <w:keepNext/>
        <w:rPr>
          <w:rFonts w:ascii="David" w:hAnsi="David"/>
          <w:color w:val="000000"/>
          <w:sz w:val="22"/>
          <w:szCs w:val="22"/>
          <w:rtl/>
        </w:rPr>
      </w:pPr>
      <w:r w:rsidRPr="00FC580D">
        <w:rPr>
          <w:rFonts w:ascii="David" w:hAnsi="David"/>
          <w:color w:val="000000"/>
          <w:sz w:val="22"/>
          <w:szCs w:val="22"/>
          <w:rtl/>
        </w:rPr>
        <w:t>יניב בן הרוש 54678313</w:t>
      </w:r>
    </w:p>
    <w:p w14:paraId="6E7BE14A" w14:textId="77777777" w:rsidR="00754C52" w:rsidRPr="00FC580D" w:rsidRDefault="00754C52" w:rsidP="00754C52">
      <w:r w:rsidRPr="00FC580D">
        <w:rPr>
          <w:color w:val="000000"/>
          <w:rtl/>
        </w:rPr>
        <w:t>נוסח מסמך זה כפוף לשינויי ניסוח ועריכה</w:t>
      </w:r>
    </w:p>
    <w:p w14:paraId="217ED908" w14:textId="77777777" w:rsidR="00754C52" w:rsidRPr="00FC580D" w:rsidRDefault="00754C52" w:rsidP="00754C52">
      <w:pPr>
        <w:rPr>
          <w:rtl/>
        </w:rPr>
      </w:pPr>
    </w:p>
    <w:p w14:paraId="1A58D935" w14:textId="77777777" w:rsidR="00754C52" w:rsidRPr="00FC580D" w:rsidRDefault="00754C52" w:rsidP="00754C52">
      <w:pPr>
        <w:jc w:val="center"/>
        <w:rPr>
          <w:color w:val="0000FF"/>
          <w:u w:val="single"/>
        </w:rPr>
      </w:pPr>
      <w:hyperlink r:id="rId41" w:history="1">
        <w:r w:rsidRPr="00FC580D">
          <w:rPr>
            <w:color w:val="0000FF"/>
            <w:u w:val="single"/>
            <w:rtl/>
          </w:rPr>
          <w:t>בעניין עריכה ושינויים במסמכי פסיקה, חקיקה ועוד באתר נבו – הקש כאן</w:t>
        </w:r>
      </w:hyperlink>
    </w:p>
    <w:p w14:paraId="5D917CCD" w14:textId="77777777" w:rsidR="00754C52" w:rsidRPr="00FC580D" w:rsidRDefault="00754C52" w:rsidP="00754C52">
      <w:pPr>
        <w:jc w:val="center"/>
        <w:rPr>
          <w:color w:val="0000FF"/>
          <w:u w:val="single"/>
        </w:rPr>
      </w:pPr>
    </w:p>
    <w:sectPr w:rsidR="00754C52" w:rsidRPr="00FC580D" w:rsidSect="00754C52">
      <w:headerReference w:type="even" r:id="rId42"/>
      <w:headerReference w:type="default" r:id="rId43"/>
      <w:footerReference w:type="even" r:id="rId44"/>
      <w:footerReference w:type="default" r:id="rId4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69A1D6" w14:textId="77777777" w:rsidR="00F06CC2" w:rsidRDefault="00F06CC2" w:rsidP="00DD4631">
      <w:r>
        <w:separator/>
      </w:r>
    </w:p>
  </w:endnote>
  <w:endnote w:type="continuationSeparator" w:id="0">
    <w:p w14:paraId="6321E8D0" w14:textId="77777777" w:rsidR="00F06CC2" w:rsidRDefault="00F06CC2" w:rsidP="00DD46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6D05A7" w14:textId="77777777" w:rsidR="00754C52" w:rsidRDefault="00754C52" w:rsidP="00754C52">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97EA73E" w14:textId="77777777" w:rsidR="00CD3209" w:rsidRPr="00754C52" w:rsidRDefault="00754C52" w:rsidP="00754C52">
    <w:pPr>
      <w:pStyle w:val="a6"/>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AA3AEC" w14:textId="77777777" w:rsidR="00754C52" w:rsidRDefault="00754C52" w:rsidP="00754C52">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57355">
      <w:rPr>
        <w:rFonts w:ascii="FrankRuehl" w:hAnsi="FrankRuehl" w:cs="FrankRuehl"/>
        <w:noProof/>
        <w:rtl/>
      </w:rPr>
      <w:t>1</w:t>
    </w:r>
    <w:r>
      <w:rPr>
        <w:rFonts w:ascii="FrankRuehl" w:hAnsi="FrankRuehl" w:cs="FrankRuehl"/>
        <w:rtl/>
      </w:rPr>
      <w:fldChar w:fldCharType="end"/>
    </w:r>
  </w:p>
  <w:p w14:paraId="42A3575C" w14:textId="77777777" w:rsidR="00CD3209" w:rsidRPr="00754C52" w:rsidRDefault="00754C52" w:rsidP="00754C52">
    <w:pPr>
      <w:pStyle w:val="a6"/>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1BDB28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B82537" w14:textId="77777777" w:rsidR="00F06CC2" w:rsidRDefault="00F06CC2" w:rsidP="00DD4631">
      <w:r>
        <w:separator/>
      </w:r>
    </w:p>
  </w:footnote>
  <w:footnote w:type="continuationSeparator" w:id="0">
    <w:p w14:paraId="38B56B7F" w14:textId="77777777" w:rsidR="00F06CC2" w:rsidRDefault="00F06CC2" w:rsidP="00DD46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6264AD" w14:textId="77777777" w:rsidR="00754C52" w:rsidRPr="00754C52" w:rsidRDefault="00754C52" w:rsidP="00754C52">
    <w:pPr>
      <w:pStyle w:val="a4"/>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61989-05-19</w:t>
    </w:r>
    <w:r>
      <w:rPr>
        <w:rFonts w:ascii="David" w:hAnsi="David"/>
        <w:color w:val="000000"/>
        <w:sz w:val="22"/>
        <w:szCs w:val="22"/>
        <w:rtl/>
      </w:rPr>
      <w:tab/>
      <w:t xml:space="preserve"> מדינת ישראל נ' וגיה צהיבאן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4A9A80" w14:textId="77777777" w:rsidR="00754C52" w:rsidRPr="00754C52" w:rsidRDefault="00754C52" w:rsidP="00754C52">
    <w:pPr>
      <w:pStyle w:val="a4"/>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61989-05-19</w:t>
    </w:r>
    <w:r>
      <w:rPr>
        <w:rFonts w:ascii="David" w:hAnsi="David"/>
        <w:color w:val="000000"/>
        <w:sz w:val="22"/>
        <w:szCs w:val="22"/>
        <w:rtl/>
      </w:rPr>
      <w:tab/>
      <w:t xml:space="preserve"> מדינת ישראל נ' וגיה צהיבאן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524C97"/>
    <w:multiLevelType w:val="hybridMultilevel"/>
    <w:tmpl w:val="2A5462D4"/>
    <w:lvl w:ilvl="0" w:tplc="32AE8638">
      <w:start w:val="1"/>
      <w:numFmt w:val="decimal"/>
      <w:lvlText w:val="%1."/>
      <w:lvlJc w:val="left"/>
      <w:pPr>
        <w:ind w:left="360" w:hanging="360"/>
      </w:pPr>
      <w:rPr>
        <w:rFonts w:ascii="Times New Roman" w:hAnsi="Times New Roman" w:cs="David" w:hint="default"/>
        <w:bCs w:val="0"/>
        <w:iCs w:val="0"/>
        <w:szCs w:val="24"/>
        <w:lang w:bidi="he-IL"/>
      </w:rPr>
    </w:lvl>
    <w:lvl w:ilvl="1" w:tplc="E76CC2E4">
      <w:start w:val="1"/>
      <w:numFmt w:val="hebrew1"/>
      <w:lvlText w:val="%2."/>
      <w:lvlJc w:val="center"/>
      <w:pPr>
        <w:ind w:left="785" w:hanging="360"/>
      </w:pPr>
      <w:rPr>
        <w:b w:val="0"/>
        <w:bCs w:val="0"/>
      </w:rPr>
    </w:lvl>
    <w:lvl w:ilvl="2" w:tplc="49A01638">
      <w:start w:val="1"/>
      <w:numFmt w:val="lowerRoman"/>
      <w:lvlText w:val="%3."/>
      <w:lvlJc w:val="right"/>
      <w:pPr>
        <w:ind w:left="2160" w:hanging="180"/>
      </w:pPr>
    </w:lvl>
    <w:lvl w:ilvl="3" w:tplc="BEA4446A">
      <w:start w:val="1"/>
      <w:numFmt w:val="decimal"/>
      <w:lvlText w:val="%4."/>
      <w:lvlJc w:val="left"/>
      <w:pPr>
        <w:ind w:left="2880" w:hanging="360"/>
      </w:pPr>
    </w:lvl>
    <w:lvl w:ilvl="4" w:tplc="2A427D62">
      <w:start w:val="1"/>
      <w:numFmt w:val="lowerLetter"/>
      <w:lvlText w:val="%5."/>
      <w:lvlJc w:val="left"/>
      <w:pPr>
        <w:ind w:left="3600" w:hanging="360"/>
      </w:pPr>
    </w:lvl>
    <w:lvl w:ilvl="5" w:tplc="86EA3C7A">
      <w:start w:val="1"/>
      <w:numFmt w:val="lowerRoman"/>
      <w:lvlText w:val="%6."/>
      <w:lvlJc w:val="right"/>
      <w:pPr>
        <w:ind w:left="4320" w:hanging="180"/>
      </w:pPr>
    </w:lvl>
    <w:lvl w:ilvl="6" w:tplc="7826C268">
      <w:start w:val="1"/>
      <w:numFmt w:val="decimal"/>
      <w:lvlText w:val="%7."/>
      <w:lvlJc w:val="left"/>
      <w:pPr>
        <w:ind w:left="5040" w:hanging="360"/>
      </w:pPr>
    </w:lvl>
    <w:lvl w:ilvl="7" w:tplc="CB76EBC0">
      <w:start w:val="1"/>
      <w:numFmt w:val="lowerLetter"/>
      <w:lvlText w:val="%8."/>
      <w:lvlJc w:val="left"/>
      <w:pPr>
        <w:ind w:left="5760" w:hanging="360"/>
      </w:pPr>
    </w:lvl>
    <w:lvl w:ilvl="8" w:tplc="D2269096">
      <w:start w:val="1"/>
      <w:numFmt w:val="lowerRoman"/>
      <w:lvlText w:val="%9."/>
      <w:lvlJc w:val="right"/>
      <w:pPr>
        <w:ind w:left="6480" w:hanging="180"/>
      </w:pPr>
    </w:lvl>
  </w:abstractNum>
  <w:abstractNum w:abstractNumId="1" w15:restartNumberingAfterBreak="0">
    <w:nsid w:val="1C5E6DF5"/>
    <w:multiLevelType w:val="hybridMultilevel"/>
    <w:tmpl w:val="9BF6A320"/>
    <w:lvl w:ilvl="0" w:tplc="51CA0740">
      <w:start w:val="1"/>
      <w:numFmt w:val="decimal"/>
      <w:pStyle w:val="a"/>
      <w:lvlText w:val="%1."/>
      <w:lvlJc w:val="left"/>
      <w:pPr>
        <w:tabs>
          <w:tab w:val="num" w:pos="720"/>
        </w:tabs>
        <w:ind w:left="720" w:hanging="720"/>
      </w:pPr>
      <w:rPr>
        <w:rFonts w:cs="Times New Roman"/>
      </w:rPr>
    </w:lvl>
    <w:lvl w:ilvl="1" w:tplc="9BDE36B6">
      <w:start w:val="1"/>
      <w:numFmt w:val="hebrew1"/>
      <w:lvlText w:val="%2."/>
      <w:lvlJc w:val="left"/>
      <w:pPr>
        <w:tabs>
          <w:tab w:val="num" w:pos="1620"/>
        </w:tabs>
        <w:ind w:left="1620" w:hanging="360"/>
      </w:pPr>
      <w:rPr>
        <w:rFonts w:cs="David"/>
        <w:b w:val="0"/>
        <w:bCs w:val="0"/>
      </w:rPr>
    </w:lvl>
    <w:lvl w:ilvl="2" w:tplc="C3B0CB38">
      <w:start w:val="1"/>
      <w:numFmt w:val="decimal"/>
      <w:lvlText w:val="(%3)"/>
      <w:lvlJc w:val="left"/>
      <w:pPr>
        <w:tabs>
          <w:tab w:val="num" w:pos="2340"/>
        </w:tabs>
        <w:ind w:left="234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16cid:durableId="77347964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669515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3032A"/>
    <w:rsid w:val="0016027B"/>
    <w:rsid w:val="001B5A3B"/>
    <w:rsid w:val="002334DD"/>
    <w:rsid w:val="003E5408"/>
    <w:rsid w:val="00457355"/>
    <w:rsid w:val="0063032A"/>
    <w:rsid w:val="00754C52"/>
    <w:rsid w:val="00B81679"/>
    <w:rsid w:val="00BA2763"/>
    <w:rsid w:val="00C15011"/>
    <w:rsid w:val="00CD3209"/>
    <w:rsid w:val="00DD4631"/>
    <w:rsid w:val="00E23491"/>
    <w:rsid w:val="00F06CC2"/>
    <w:rsid w:val="00FB082B"/>
    <w:rsid w:val="00FC580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6F91CE1"/>
  <w15:chartTrackingRefBased/>
  <w15:docId w15:val="{657BDE46-D270-4D08-BF42-E2F925B83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63032A"/>
    <w:pPr>
      <w:bidi/>
    </w:pPr>
    <w:rPr>
      <w:rFonts w:ascii="Times New Roman" w:eastAsia="Times New Roman" w:hAnsi="Times New Roman" w:cs="David"/>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63032A"/>
    <w:pPr>
      <w:tabs>
        <w:tab w:val="center" w:pos="4153"/>
        <w:tab w:val="right" w:pos="8306"/>
      </w:tabs>
    </w:pPr>
  </w:style>
  <w:style w:type="character" w:customStyle="1" w:styleId="a5">
    <w:name w:val="כותרת עליונה תו"/>
    <w:link w:val="a4"/>
    <w:rsid w:val="0063032A"/>
    <w:rPr>
      <w:rFonts w:ascii="Times New Roman" w:eastAsia="Times New Roman" w:hAnsi="Times New Roman" w:cs="David"/>
      <w:sz w:val="24"/>
      <w:szCs w:val="24"/>
    </w:rPr>
  </w:style>
  <w:style w:type="paragraph" w:styleId="a6">
    <w:name w:val="footer"/>
    <w:basedOn w:val="a0"/>
    <w:link w:val="a7"/>
    <w:rsid w:val="0063032A"/>
    <w:pPr>
      <w:tabs>
        <w:tab w:val="center" w:pos="4153"/>
        <w:tab w:val="right" w:pos="8306"/>
      </w:tabs>
    </w:pPr>
  </w:style>
  <w:style w:type="character" w:customStyle="1" w:styleId="a7">
    <w:name w:val="כותרת תחתונה תו"/>
    <w:link w:val="a6"/>
    <w:rsid w:val="0063032A"/>
    <w:rPr>
      <w:rFonts w:ascii="Times New Roman" w:eastAsia="Times New Roman" w:hAnsi="Times New Roman" w:cs="David"/>
      <w:sz w:val="24"/>
      <w:szCs w:val="24"/>
    </w:rPr>
  </w:style>
  <w:style w:type="table" w:styleId="a8">
    <w:name w:val="Table Grid"/>
    <w:basedOn w:val="a2"/>
    <w:rsid w:val="0063032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rsid w:val="0063032A"/>
  </w:style>
  <w:style w:type="character" w:customStyle="1" w:styleId="aa">
    <w:name w:val="פיסקת רשימה תו"/>
    <w:link w:val="ab"/>
    <w:locked/>
    <w:rsid w:val="0063032A"/>
  </w:style>
  <w:style w:type="paragraph" w:styleId="ab">
    <w:name w:val="List Paragraph"/>
    <w:basedOn w:val="a0"/>
    <w:link w:val="aa"/>
    <w:qFormat/>
    <w:rsid w:val="0063032A"/>
    <w:pPr>
      <w:spacing w:after="160" w:line="256" w:lineRule="auto"/>
      <w:ind w:left="720"/>
      <w:contextualSpacing/>
    </w:pPr>
    <w:rPr>
      <w:rFonts w:ascii="Calibri" w:eastAsia="Calibri" w:hAnsi="Calibri" w:cs="Arial"/>
      <w:sz w:val="22"/>
      <w:szCs w:val="22"/>
    </w:rPr>
  </w:style>
  <w:style w:type="paragraph" w:customStyle="1" w:styleId="a">
    <w:name w:val="ממוספר"/>
    <w:basedOn w:val="a0"/>
    <w:rsid w:val="0063032A"/>
    <w:pPr>
      <w:numPr>
        <w:numId w:val="1"/>
      </w:numPr>
      <w:spacing w:after="120" w:line="360" w:lineRule="auto"/>
    </w:pPr>
    <w:rPr>
      <w:rFonts w:ascii="David" w:hAnsi="David"/>
      <w:color w:val="000000"/>
    </w:rPr>
  </w:style>
  <w:style w:type="character" w:styleId="Hyperlink">
    <w:name w:val="Hyperlink"/>
    <w:rsid w:val="00754C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1553" TargetMode="External"/><Relationship Id="rId18" Type="http://schemas.openxmlformats.org/officeDocument/2006/relationships/hyperlink" Target="http://www.nevo.co.il/law/4216/7.c" TargetMode="External"/><Relationship Id="rId26" Type="http://schemas.openxmlformats.org/officeDocument/2006/relationships/hyperlink" Target="http://www.nevo.co.il/law/4323" TargetMode="External"/><Relationship Id="rId39" Type="http://schemas.openxmlformats.org/officeDocument/2006/relationships/hyperlink" Target="http://www.nevo.co.il/case/19994809%20" TargetMode="External"/><Relationship Id="rId21" Type="http://schemas.openxmlformats.org/officeDocument/2006/relationships/hyperlink" Target="http://www.nevo.co.il/case/27313460" TargetMode="External"/><Relationship Id="rId34" Type="http://schemas.openxmlformats.org/officeDocument/2006/relationships/hyperlink" Target="http://www.nevo.co.il/case/5849797" TargetMode="External"/><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71a" TargetMode="External"/><Relationship Id="rId29" Type="http://schemas.openxmlformats.org/officeDocument/2006/relationships/hyperlink" Target="http://www.nevo.co.il/law/71553/1.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4903" TargetMode="External"/><Relationship Id="rId24" Type="http://schemas.openxmlformats.org/officeDocument/2006/relationships/hyperlink" Target="http://www.nevo.co.il/case/27110026" TargetMode="External"/><Relationship Id="rId32" Type="http://schemas.openxmlformats.org/officeDocument/2006/relationships/hyperlink" Target="http://www.nevo.co.il/law/70301" TargetMode="External"/><Relationship Id="rId37" Type="http://schemas.openxmlformats.org/officeDocument/2006/relationships/hyperlink" Target="http://www.nevo.co.il/case/11269647" TargetMode="External"/><Relationship Id="rId40" Type="http://schemas.openxmlformats.org/officeDocument/2006/relationships/hyperlink" Target="http://www.nevo.co.il/case/6136956" TargetMode="External"/><Relationship Id="rId45"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case/28190928" TargetMode="External"/><Relationship Id="rId28" Type="http://schemas.openxmlformats.org/officeDocument/2006/relationships/hyperlink" Target="http://www.nevo.co.il/law/74903" TargetMode="External"/><Relationship Id="rId36" Type="http://schemas.openxmlformats.org/officeDocument/2006/relationships/hyperlink" Target="http://www.nevo.co.il/case/26793458" TargetMode="External"/><Relationship Id="rId10" Type="http://schemas.openxmlformats.org/officeDocument/2006/relationships/hyperlink" Target="http://www.nevo.co.il/law/4323" TargetMode="External"/><Relationship Id="rId19" Type="http://schemas.openxmlformats.org/officeDocument/2006/relationships/hyperlink" Target="http://www.nevo.co.il/law/4216" TargetMode="External"/><Relationship Id="rId31" Type="http://schemas.openxmlformats.org/officeDocument/2006/relationships/hyperlink" Target="http://www.nevo.co.il/law/70301/71a"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1553/1.2" TargetMode="External"/><Relationship Id="rId22" Type="http://schemas.openxmlformats.org/officeDocument/2006/relationships/hyperlink" Target="http://www.nevo.co.il/case/26246488" TargetMode="External"/><Relationship Id="rId27" Type="http://schemas.openxmlformats.org/officeDocument/2006/relationships/hyperlink" Target="http://www.nevo.co.il/law/74903/192a" TargetMode="External"/><Relationship Id="rId30" Type="http://schemas.openxmlformats.org/officeDocument/2006/relationships/hyperlink" Target="http://www.nevo.co.il/law/71553" TargetMode="External"/><Relationship Id="rId35" Type="http://schemas.openxmlformats.org/officeDocument/2006/relationships/hyperlink" Target="http://www.nevo.co.il/case/483240" TargetMode="External"/><Relationship Id="rId43" Type="http://schemas.openxmlformats.org/officeDocument/2006/relationships/header" Target="header2.xm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74903/192a" TargetMode="External"/><Relationship Id="rId17" Type="http://schemas.openxmlformats.org/officeDocument/2006/relationships/hyperlink" Target="http://www.nevo.co.il/law/4216/7.a" TargetMode="External"/><Relationship Id="rId25" Type="http://schemas.openxmlformats.org/officeDocument/2006/relationships/hyperlink" Target="http://www.nevo.co.il/case/25838831" TargetMode="External"/><Relationship Id="rId33" Type="http://schemas.openxmlformats.org/officeDocument/2006/relationships/hyperlink" Target="http://www.nevo.co.il/case/5810781" TargetMode="External"/><Relationship Id="rId38" Type="http://schemas.openxmlformats.org/officeDocument/2006/relationships/hyperlink" Target="http://www.nevo.co.il/case/18118854" TargetMode="External"/><Relationship Id="rId46" Type="http://schemas.openxmlformats.org/officeDocument/2006/relationships/fontTable" Target="fontTable.xml"/><Relationship Id="rId20" Type="http://schemas.openxmlformats.org/officeDocument/2006/relationships/hyperlink" Target="http://www.nevo.co.il/case/5681787" TargetMode="External"/><Relationship Id="rId41"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2248</Words>
  <Characters>11241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13463</CharactersWithSpaces>
  <SharedDoc>false</SharedDoc>
  <HLinks>
    <vt:vector size="210" baseType="variant">
      <vt:variant>
        <vt:i4>393283</vt:i4>
      </vt:variant>
      <vt:variant>
        <vt:i4>102</vt:i4>
      </vt:variant>
      <vt:variant>
        <vt:i4>0</vt:i4>
      </vt:variant>
      <vt:variant>
        <vt:i4>5</vt:i4>
      </vt:variant>
      <vt:variant>
        <vt:lpwstr>http://www.nevo.co.il/advertisements/nevo-100.doc</vt:lpwstr>
      </vt:variant>
      <vt:variant>
        <vt:lpwstr/>
      </vt:variant>
      <vt:variant>
        <vt:i4>3801206</vt:i4>
      </vt:variant>
      <vt:variant>
        <vt:i4>99</vt:i4>
      </vt:variant>
      <vt:variant>
        <vt:i4>0</vt:i4>
      </vt:variant>
      <vt:variant>
        <vt:i4>5</vt:i4>
      </vt:variant>
      <vt:variant>
        <vt:lpwstr>http://www.nevo.co.il/case/6136956</vt:lpwstr>
      </vt:variant>
      <vt:variant>
        <vt:lpwstr/>
      </vt:variant>
      <vt:variant>
        <vt:i4>3932284</vt:i4>
      </vt:variant>
      <vt:variant>
        <vt:i4>96</vt:i4>
      </vt:variant>
      <vt:variant>
        <vt:i4>0</vt:i4>
      </vt:variant>
      <vt:variant>
        <vt:i4>5</vt:i4>
      </vt:variant>
      <vt:variant>
        <vt:lpwstr>http://www.nevo.co.il/case/19994809</vt:lpwstr>
      </vt:variant>
      <vt:variant>
        <vt:lpwstr/>
      </vt:variant>
      <vt:variant>
        <vt:i4>3997813</vt:i4>
      </vt:variant>
      <vt:variant>
        <vt:i4>93</vt:i4>
      </vt:variant>
      <vt:variant>
        <vt:i4>0</vt:i4>
      </vt:variant>
      <vt:variant>
        <vt:i4>5</vt:i4>
      </vt:variant>
      <vt:variant>
        <vt:lpwstr>http://www.nevo.co.il/case/18118854</vt:lpwstr>
      </vt:variant>
      <vt:variant>
        <vt:lpwstr/>
      </vt:variant>
      <vt:variant>
        <vt:i4>4063349</vt:i4>
      </vt:variant>
      <vt:variant>
        <vt:i4>90</vt:i4>
      </vt:variant>
      <vt:variant>
        <vt:i4>0</vt:i4>
      </vt:variant>
      <vt:variant>
        <vt:i4>5</vt:i4>
      </vt:variant>
      <vt:variant>
        <vt:lpwstr>http://www.nevo.co.il/case/11269647</vt:lpwstr>
      </vt:variant>
      <vt:variant>
        <vt:lpwstr/>
      </vt:variant>
      <vt:variant>
        <vt:i4>3342463</vt:i4>
      </vt:variant>
      <vt:variant>
        <vt:i4>87</vt:i4>
      </vt:variant>
      <vt:variant>
        <vt:i4>0</vt:i4>
      </vt:variant>
      <vt:variant>
        <vt:i4>5</vt:i4>
      </vt:variant>
      <vt:variant>
        <vt:lpwstr>http://www.nevo.co.il/case/26793458</vt:lpwstr>
      </vt:variant>
      <vt:variant>
        <vt:lpwstr/>
      </vt:variant>
      <vt:variant>
        <vt:i4>196686</vt:i4>
      </vt:variant>
      <vt:variant>
        <vt:i4>84</vt:i4>
      </vt:variant>
      <vt:variant>
        <vt:i4>0</vt:i4>
      </vt:variant>
      <vt:variant>
        <vt:i4>5</vt:i4>
      </vt:variant>
      <vt:variant>
        <vt:lpwstr>http://www.nevo.co.il/case/483240</vt:lpwstr>
      </vt:variant>
      <vt:variant>
        <vt:lpwstr/>
      </vt:variant>
      <vt:variant>
        <vt:i4>3211388</vt:i4>
      </vt:variant>
      <vt:variant>
        <vt:i4>81</vt:i4>
      </vt:variant>
      <vt:variant>
        <vt:i4>0</vt:i4>
      </vt:variant>
      <vt:variant>
        <vt:i4>5</vt:i4>
      </vt:variant>
      <vt:variant>
        <vt:lpwstr>http://www.nevo.co.il/case/5849797</vt:lpwstr>
      </vt:variant>
      <vt:variant>
        <vt:lpwstr/>
      </vt:variant>
      <vt:variant>
        <vt:i4>3276916</vt:i4>
      </vt:variant>
      <vt:variant>
        <vt:i4>78</vt:i4>
      </vt:variant>
      <vt:variant>
        <vt:i4>0</vt:i4>
      </vt:variant>
      <vt:variant>
        <vt:i4>5</vt:i4>
      </vt:variant>
      <vt:variant>
        <vt:lpwstr>http://www.nevo.co.il/case/5810781</vt:lpwstr>
      </vt:variant>
      <vt:variant>
        <vt:lpwstr/>
      </vt:variant>
      <vt:variant>
        <vt:i4>7995492</vt:i4>
      </vt:variant>
      <vt:variant>
        <vt:i4>75</vt:i4>
      </vt:variant>
      <vt:variant>
        <vt:i4>0</vt:i4>
      </vt:variant>
      <vt:variant>
        <vt:i4>5</vt:i4>
      </vt:variant>
      <vt:variant>
        <vt:lpwstr>http://www.nevo.co.il/law/70301</vt:lpwstr>
      </vt:variant>
      <vt:variant>
        <vt:lpwstr/>
      </vt:variant>
      <vt:variant>
        <vt:i4>6553698</vt:i4>
      </vt:variant>
      <vt:variant>
        <vt:i4>72</vt:i4>
      </vt:variant>
      <vt:variant>
        <vt:i4>0</vt:i4>
      </vt:variant>
      <vt:variant>
        <vt:i4>5</vt:i4>
      </vt:variant>
      <vt:variant>
        <vt:lpwstr>http://www.nevo.co.il/law/70301/71a</vt:lpwstr>
      </vt:variant>
      <vt:variant>
        <vt:lpwstr/>
      </vt:variant>
      <vt:variant>
        <vt:i4>8257634</vt:i4>
      </vt:variant>
      <vt:variant>
        <vt:i4>69</vt:i4>
      </vt:variant>
      <vt:variant>
        <vt:i4>0</vt:i4>
      </vt:variant>
      <vt:variant>
        <vt:i4>5</vt:i4>
      </vt:variant>
      <vt:variant>
        <vt:lpwstr>http://www.nevo.co.il/law/71553</vt:lpwstr>
      </vt:variant>
      <vt:variant>
        <vt:lpwstr/>
      </vt:variant>
      <vt:variant>
        <vt:i4>8323168</vt:i4>
      </vt:variant>
      <vt:variant>
        <vt:i4>66</vt:i4>
      </vt:variant>
      <vt:variant>
        <vt:i4>0</vt:i4>
      </vt:variant>
      <vt:variant>
        <vt:i4>5</vt:i4>
      </vt:variant>
      <vt:variant>
        <vt:lpwstr>http://www.nevo.co.il/law/71553/1.2</vt:lpwstr>
      </vt:variant>
      <vt:variant>
        <vt:lpwstr/>
      </vt:variant>
      <vt:variant>
        <vt:i4>8257646</vt:i4>
      </vt:variant>
      <vt:variant>
        <vt:i4>63</vt:i4>
      </vt:variant>
      <vt:variant>
        <vt:i4>0</vt:i4>
      </vt:variant>
      <vt:variant>
        <vt:i4>5</vt:i4>
      </vt:variant>
      <vt:variant>
        <vt:lpwstr>http://www.nevo.co.il/law/74903</vt:lpwstr>
      </vt:variant>
      <vt:variant>
        <vt:lpwstr/>
      </vt:variant>
      <vt:variant>
        <vt:i4>589918</vt:i4>
      </vt:variant>
      <vt:variant>
        <vt:i4>60</vt:i4>
      </vt:variant>
      <vt:variant>
        <vt:i4>0</vt:i4>
      </vt:variant>
      <vt:variant>
        <vt:i4>5</vt:i4>
      </vt:variant>
      <vt:variant>
        <vt:lpwstr>http://www.nevo.co.il/law/74903/192a</vt:lpwstr>
      </vt:variant>
      <vt:variant>
        <vt:lpwstr/>
      </vt:variant>
      <vt:variant>
        <vt:i4>7995494</vt:i4>
      </vt:variant>
      <vt:variant>
        <vt:i4>57</vt:i4>
      </vt:variant>
      <vt:variant>
        <vt:i4>0</vt:i4>
      </vt:variant>
      <vt:variant>
        <vt:i4>5</vt:i4>
      </vt:variant>
      <vt:variant>
        <vt:lpwstr>http://www.nevo.co.il/law/4323</vt:lpwstr>
      </vt:variant>
      <vt:variant>
        <vt:lpwstr/>
      </vt:variant>
      <vt:variant>
        <vt:i4>3211386</vt:i4>
      </vt:variant>
      <vt:variant>
        <vt:i4>54</vt:i4>
      </vt:variant>
      <vt:variant>
        <vt:i4>0</vt:i4>
      </vt:variant>
      <vt:variant>
        <vt:i4>5</vt:i4>
      </vt:variant>
      <vt:variant>
        <vt:lpwstr>http://www.nevo.co.il/case/25838831</vt:lpwstr>
      </vt:variant>
      <vt:variant>
        <vt:lpwstr/>
      </vt:variant>
      <vt:variant>
        <vt:i4>3211378</vt:i4>
      </vt:variant>
      <vt:variant>
        <vt:i4>51</vt:i4>
      </vt:variant>
      <vt:variant>
        <vt:i4>0</vt:i4>
      </vt:variant>
      <vt:variant>
        <vt:i4>5</vt:i4>
      </vt:variant>
      <vt:variant>
        <vt:lpwstr>http://www.nevo.co.il/case/27110026</vt:lpwstr>
      </vt:variant>
      <vt:variant>
        <vt:lpwstr/>
      </vt:variant>
      <vt:variant>
        <vt:i4>3211388</vt:i4>
      </vt:variant>
      <vt:variant>
        <vt:i4>48</vt:i4>
      </vt:variant>
      <vt:variant>
        <vt:i4>0</vt:i4>
      </vt:variant>
      <vt:variant>
        <vt:i4>5</vt:i4>
      </vt:variant>
      <vt:variant>
        <vt:lpwstr>http://www.nevo.co.il/case/28190928</vt:lpwstr>
      </vt:variant>
      <vt:variant>
        <vt:lpwstr/>
      </vt:variant>
      <vt:variant>
        <vt:i4>4063346</vt:i4>
      </vt:variant>
      <vt:variant>
        <vt:i4>45</vt:i4>
      </vt:variant>
      <vt:variant>
        <vt:i4>0</vt:i4>
      </vt:variant>
      <vt:variant>
        <vt:i4>5</vt:i4>
      </vt:variant>
      <vt:variant>
        <vt:lpwstr>http://www.nevo.co.il/case/26246488</vt:lpwstr>
      </vt:variant>
      <vt:variant>
        <vt:lpwstr/>
      </vt:variant>
      <vt:variant>
        <vt:i4>3407990</vt:i4>
      </vt:variant>
      <vt:variant>
        <vt:i4>42</vt:i4>
      </vt:variant>
      <vt:variant>
        <vt:i4>0</vt:i4>
      </vt:variant>
      <vt:variant>
        <vt:i4>5</vt:i4>
      </vt:variant>
      <vt:variant>
        <vt:lpwstr>http://www.nevo.co.il/case/27313460</vt:lpwstr>
      </vt:variant>
      <vt:variant>
        <vt:lpwstr/>
      </vt:variant>
      <vt:variant>
        <vt:i4>3997819</vt:i4>
      </vt:variant>
      <vt:variant>
        <vt:i4>39</vt:i4>
      </vt:variant>
      <vt:variant>
        <vt:i4>0</vt:i4>
      </vt:variant>
      <vt:variant>
        <vt:i4>5</vt:i4>
      </vt:variant>
      <vt:variant>
        <vt:lpwstr>http://www.nevo.co.il/case/5681787</vt:lpwstr>
      </vt:variant>
      <vt:variant>
        <vt:lpwstr/>
      </vt:variant>
      <vt:variant>
        <vt:i4>8257637</vt:i4>
      </vt:variant>
      <vt:variant>
        <vt:i4>36</vt:i4>
      </vt:variant>
      <vt:variant>
        <vt:i4>0</vt:i4>
      </vt:variant>
      <vt:variant>
        <vt:i4>5</vt:i4>
      </vt:variant>
      <vt:variant>
        <vt:lpwstr>http://www.nevo.co.il/law/4216</vt:lpwstr>
      </vt:variant>
      <vt:variant>
        <vt:lpwstr/>
      </vt:variant>
      <vt:variant>
        <vt:i4>2752612</vt:i4>
      </vt:variant>
      <vt:variant>
        <vt:i4>33</vt:i4>
      </vt:variant>
      <vt:variant>
        <vt:i4>0</vt:i4>
      </vt:variant>
      <vt:variant>
        <vt:i4>5</vt:i4>
      </vt:variant>
      <vt:variant>
        <vt:lpwstr>http://www.nevo.co.il/law/4216/7.c</vt:lpwstr>
      </vt:variant>
      <vt:variant>
        <vt:lpwstr/>
      </vt:variant>
      <vt:variant>
        <vt:i4>2621540</vt:i4>
      </vt:variant>
      <vt:variant>
        <vt:i4>30</vt:i4>
      </vt:variant>
      <vt:variant>
        <vt:i4>0</vt:i4>
      </vt:variant>
      <vt:variant>
        <vt:i4>5</vt:i4>
      </vt:variant>
      <vt:variant>
        <vt:lpwstr>http://www.nevo.co.il/law/4216/7.a</vt:lpwstr>
      </vt:variant>
      <vt:variant>
        <vt:lpwstr/>
      </vt:variant>
      <vt:variant>
        <vt:i4>6553698</vt:i4>
      </vt:variant>
      <vt:variant>
        <vt:i4>27</vt:i4>
      </vt:variant>
      <vt:variant>
        <vt:i4>0</vt:i4>
      </vt:variant>
      <vt:variant>
        <vt:i4>5</vt:i4>
      </vt:variant>
      <vt:variant>
        <vt:lpwstr>http://www.nevo.co.il/law/70301/71a</vt:lpwstr>
      </vt:variant>
      <vt:variant>
        <vt:lpwstr/>
      </vt:variant>
      <vt:variant>
        <vt:i4>7995492</vt:i4>
      </vt:variant>
      <vt:variant>
        <vt:i4>24</vt:i4>
      </vt:variant>
      <vt:variant>
        <vt:i4>0</vt:i4>
      </vt:variant>
      <vt:variant>
        <vt:i4>5</vt:i4>
      </vt:variant>
      <vt:variant>
        <vt:lpwstr>http://www.nevo.co.il/law/70301</vt:lpwstr>
      </vt:variant>
      <vt:variant>
        <vt:lpwstr/>
      </vt:variant>
      <vt:variant>
        <vt:i4>8323168</vt:i4>
      </vt:variant>
      <vt:variant>
        <vt:i4>21</vt:i4>
      </vt:variant>
      <vt:variant>
        <vt:i4>0</vt:i4>
      </vt:variant>
      <vt:variant>
        <vt:i4>5</vt:i4>
      </vt:variant>
      <vt:variant>
        <vt:lpwstr>http://www.nevo.co.il/law/71553/1.2</vt:lpwstr>
      </vt:variant>
      <vt:variant>
        <vt:lpwstr/>
      </vt:variant>
      <vt:variant>
        <vt:i4>8257634</vt:i4>
      </vt:variant>
      <vt:variant>
        <vt:i4>18</vt:i4>
      </vt:variant>
      <vt:variant>
        <vt:i4>0</vt:i4>
      </vt:variant>
      <vt:variant>
        <vt:i4>5</vt:i4>
      </vt:variant>
      <vt:variant>
        <vt:lpwstr>http://www.nevo.co.il/law/71553</vt:lpwstr>
      </vt:variant>
      <vt:variant>
        <vt:lpwstr/>
      </vt:variant>
      <vt:variant>
        <vt:i4>589918</vt:i4>
      </vt:variant>
      <vt:variant>
        <vt:i4>15</vt:i4>
      </vt:variant>
      <vt:variant>
        <vt:i4>0</vt:i4>
      </vt:variant>
      <vt:variant>
        <vt:i4>5</vt:i4>
      </vt:variant>
      <vt:variant>
        <vt:lpwstr>http://www.nevo.co.il/law/74903/192a</vt:lpwstr>
      </vt:variant>
      <vt:variant>
        <vt:lpwstr/>
      </vt:variant>
      <vt:variant>
        <vt:i4>8257646</vt:i4>
      </vt:variant>
      <vt:variant>
        <vt:i4>12</vt:i4>
      </vt:variant>
      <vt:variant>
        <vt:i4>0</vt:i4>
      </vt:variant>
      <vt:variant>
        <vt:i4>5</vt:i4>
      </vt:variant>
      <vt:variant>
        <vt:lpwstr>http://www.nevo.co.il/law/74903</vt:lpwstr>
      </vt:variant>
      <vt:variant>
        <vt:lpwstr/>
      </vt:variant>
      <vt:variant>
        <vt:i4>7995494</vt:i4>
      </vt:variant>
      <vt:variant>
        <vt:i4>9</vt:i4>
      </vt:variant>
      <vt:variant>
        <vt:i4>0</vt:i4>
      </vt:variant>
      <vt:variant>
        <vt:i4>5</vt:i4>
      </vt:variant>
      <vt:variant>
        <vt:lpwstr>http://www.nevo.co.il/law/4323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2025-04-23T00:11:00Z</dcterms:created>
  <dcterms:modified xsi:type="dcterms:W3CDTF">2025-04-23T00:11:00Z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61989</vt:lpwstr>
  </property>
  <property fmtid="{D5CDD505-2E9C-101B-9397-08002B2CF9AE}" pid="6" name="NEWPARTB">
    <vt:lpwstr>05</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וגיה צהיבאן</vt:lpwstr>
  </property>
  <property fmtid="{D5CDD505-2E9C-101B-9397-08002B2CF9AE}" pid="10" name="LAWYER">
    <vt:lpwstr>דוד ז'נבה;וותד</vt:lpwstr>
  </property>
  <property fmtid="{D5CDD505-2E9C-101B-9397-08002B2CF9AE}" pid="11" name="JUDGE">
    <vt:lpwstr>יניב בן הרוש</vt:lpwstr>
  </property>
  <property fmtid="{D5CDD505-2E9C-101B-9397-08002B2CF9AE}" pid="12" name="CITY">
    <vt:lpwstr>ב"ש</vt:lpwstr>
  </property>
  <property fmtid="{D5CDD505-2E9C-101B-9397-08002B2CF9AE}" pid="13" name="DATE">
    <vt:lpwstr>20230327</vt:lpwstr>
  </property>
  <property fmtid="{D5CDD505-2E9C-101B-9397-08002B2CF9AE}" pid="14" name="TYPE_N_DATE">
    <vt:lpwstr>38020230327</vt:lpwstr>
  </property>
  <property fmtid="{D5CDD505-2E9C-101B-9397-08002B2CF9AE}" pid="15" name="WORDNUMPAGES">
    <vt:lpwstr>8</vt:lpwstr>
  </property>
  <property fmtid="{D5CDD505-2E9C-101B-9397-08002B2CF9AE}" pid="16" name="TYPE_ABS_DATE">
    <vt:lpwstr>380020230327</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5681787;27313460;26246488;28190928;27110026;25838831;5810781;5849797;483240;26793458;11269647;18118854;19994809;6136956</vt:lpwstr>
  </property>
  <property fmtid="{D5CDD505-2E9C-101B-9397-08002B2CF9AE}" pid="36" name="LAWLISTTMP1">
    <vt:lpwstr>4216/007.a;007.c</vt:lpwstr>
  </property>
  <property fmtid="{D5CDD505-2E9C-101B-9397-08002B2CF9AE}" pid="37" name="LAWLISTTMP2">
    <vt:lpwstr>4323</vt:lpwstr>
  </property>
  <property fmtid="{D5CDD505-2E9C-101B-9397-08002B2CF9AE}" pid="38" name="LAWLISTTMP3">
    <vt:lpwstr>74903/192a</vt:lpwstr>
  </property>
  <property fmtid="{D5CDD505-2E9C-101B-9397-08002B2CF9AE}" pid="39" name="LAWLISTTMP4">
    <vt:lpwstr>71553/001.2</vt:lpwstr>
  </property>
  <property fmtid="{D5CDD505-2E9C-101B-9397-08002B2CF9AE}" pid="40" name="LAWLISTTMP5">
    <vt:lpwstr>70301/071a</vt:lpwstr>
  </property>
</Properties>
</file>