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969B4" w:rsidRPr="00A0413F" w14:paraId="7E53A831" w14:textId="77777777" w:rsidTr="00EC5E70">
        <w:trPr>
          <w:trHeight w:hRule="exact" w:val="418"/>
          <w:jc w:val="center"/>
        </w:trPr>
        <w:tc>
          <w:tcPr>
            <w:tcW w:w="8721" w:type="dxa"/>
            <w:gridSpan w:val="2"/>
          </w:tcPr>
          <w:p w14:paraId="5BBD0AC9" w14:textId="77777777" w:rsidR="00E969B4" w:rsidRPr="00A0413F" w:rsidRDefault="00E969B4" w:rsidP="00B27C29">
            <w:pPr>
              <w:pStyle w:val="a3"/>
              <w:jc w:val="center"/>
              <w:rPr>
                <w:rFonts w:ascii="FrankRuehl" w:hAnsi="FrankRuehl" w:cs="FrankRuehl"/>
                <w:b/>
                <w:bCs/>
                <w:color w:val="000080"/>
                <w:sz w:val="28"/>
                <w:szCs w:val="28"/>
                <w:rtl/>
              </w:rPr>
            </w:pPr>
            <w:bookmarkStart w:id="0" w:name="LastJudge"/>
            <w:r w:rsidRPr="00A0413F">
              <w:rPr>
                <w:rFonts w:ascii="FrankRuehl" w:hAnsi="FrankRuehl" w:cs="FrankRuehl"/>
                <w:b/>
                <w:bCs/>
                <w:color w:val="000080"/>
                <w:sz w:val="28"/>
                <w:szCs w:val="28"/>
                <w:rtl/>
              </w:rPr>
              <w:t>בית משפט השלום בירושלים</w:t>
            </w:r>
          </w:p>
        </w:tc>
      </w:tr>
      <w:tr w:rsidR="00E969B4" w:rsidRPr="00A0413F" w14:paraId="2B1E6806" w14:textId="77777777" w:rsidTr="00EC5E70">
        <w:trPr>
          <w:trHeight w:val="337"/>
          <w:jc w:val="center"/>
        </w:trPr>
        <w:tc>
          <w:tcPr>
            <w:tcW w:w="5059" w:type="dxa"/>
          </w:tcPr>
          <w:p w14:paraId="6A686492" w14:textId="77777777" w:rsidR="00E969B4" w:rsidRPr="00A0413F" w:rsidRDefault="00E969B4" w:rsidP="00B27C29">
            <w:pPr>
              <w:rPr>
                <w:rFonts w:ascii="FrankRuehl" w:hAnsi="FrankRuehl" w:cs="FrankRuehl"/>
                <w:b/>
                <w:bCs/>
                <w:sz w:val="28"/>
                <w:szCs w:val="28"/>
                <w:rtl/>
              </w:rPr>
            </w:pPr>
            <w:r w:rsidRPr="00A0413F">
              <w:rPr>
                <w:rFonts w:ascii="FrankRuehl" w:hAnsi="FrankRuehl" w:cs="FrankRuehl"/>
                <w:b/>
                <w:bCs/>
                <w:sz w:val="28"/>
                <w:szCs w:val="28"/>
                <w:rtl/>
              </w:rPr>
              <w:t xml:space="preserve">ת"פ </w:t>
            </w:r>
            <w:hyperlink r:id="rId7" w:history="1">
              <w:r w:rsidR="008741E2" w:rsidRPr="008741E2">
                <w:rPr>
                  <w:rFonts w:ascii="FrankRuehl" w:hAnsi="FrankRuehl" w:cs="FrankRuehl"/>
                  <w:b/>
                  <w:bCs/>
                  <w:color w:val="0000FF"/>
                  <w:sz w:val="28"/>
                  <w:szCs w:val="28"/>
                  <w:u w:val="single"/>
                  <w:rtl/>
                </w:rPr>
                <w:t xml:space="preserve">9773-05-19 </w:t>
              </w:r>
            </w:hyperlink>
            <w:r w:rsidRPr="00A0413F">
              <w:rPr>
                <w:rFonts w:ascii="FrankRuehl" w:hAnsi="FrankRuehl" w:cs="FrankRuehl"/>
                <w:b/>
                <w:bCs/>
                <w:sz w:val="28"/>
                <w:szCs w:val="28"/>
                <w:rtl/>
              </w:rPr>
              <w:t xml:space="preserve"> מדינת ישראל נ' זהבי</w:t>
            </w:r>
          </w:p>
          <w:p w14:paraId="41E73025" w14:textId="77777777" w:rsidR="00E969B4" w:rsidRPr="00A0413F" w:rsidRDefault="00E969B4" w:rsidP="00B27C29">
            <w:pPr>
              <w:rPr>
                <w:rFonts w:ascii="FrankRuehl" w:hAnsi="FrankRuehl" w:cs="FrankRuehl"/>
                <w:b/>
                <w:bCs/>
                <w:sz w:val="28"/>
                <w:szCs w:val="28"/>
                <w:rtl/>
              </w:rPr>
            </w:pPr>
            <w:r w:rsidRPr="00A0413F">
              <w:rPr>
                <w:rFonts w:ascii="FrankRuehl" w:hAnsi="FrankRuehl" w:cs="FrankRuehl"/>
                <w:b/>
                <w:bCs/>
                <w:sz w:val="28"/>
                <w:szCs w:val="28"/>
                <w:rtl/>
              </w:rPr>
              <w:t xml:space="preserve">ת"פ </w:t>
            </w:r>
            <w:hyperlink r:id="rId8" w:history="1">
              <w:r w:rsidR="008741E2" w:rsidRPr="008741E2">
                <w:rPr>
                  <w:rFonts w:ascii="FrankRuehl" w:hAnsi="FrankRuehl" w:cs="FrankRuehl"/>
                  <w:b/>
                  <w:bCs/>
                  <w:color w:val="0000FF"/>
                  <w:sz w:val="28"/>
                  <w:szCs w:val="28"/>
                  <w:u w:val="single"/>
                  <w:rtl/>
                </w:rPr>
                <w:t xml:space="preserve">1617-03-20 </w:t>
              </w:r>
            </w:hyperlink>
            <w:r w:rsidRPr="00A0413F">
              <w:rPr>
                <w:rFonts w:ascii="FrankRuehl" w:hAnsi="FrankRuehl" w:cs="FrankRuehl"/>
                <w:b/>
                <w:bCs/>
                <w:sz w:val="28"/>
                <w:szCs w:val="28"/>
                <w:rtl/>
              </w:rPr>
              <w:t xml:space="preserve"> מדינת ישראל נ' זהבי</w:t>
            </w:r>
          </w:p>
          <w:p w14:paraId="5D2EE5FD" w14:textId="77777777" w:rsidR="00E969B4" w:rsidRPr="00A0413F" w:rsidRDefault="00E969B4" w:rsidP="00B27C29">
            <w:pPr>
              <w:rPr>
                <w:rFonts w:ascii="FrankRuehl" w:hAnsi="FrankRuehl" w:cs="FrankRuehl"/>
                <w:b/>
                <w:bCs/>
                <w:sz w:val="28"/>
                <w:szCs w:val="28"/>
                <w:rtl/>
              </w:rPr>
            </w:pPr>
            <w:r w:rsidRPr="00A0413F">
              <w:rPr>
                <w:rFonts w:ascii="FrankRuehl" w:hAnsi="FrankRuehl" w:cs="FrankRuehl"/>
                <w:b/>
                <w:bCs/>
                <w:sz w:val="28"/>
                <w:szCs w:val="28"/>
                <w:rtl/>
              </w:rPr>
              <w:t xml:space="preserve">ת"פ </w:t>
            </w:r>
            <w:hyperlink r:id="rId9" w:history="1">
              <w:r w:rsidR="008741E2" w:rsidRPr="008741E2">
                <w:rPr>
                  <w:rFonts w:ascii="FrankRuehl" w:hAnsi="FrankRuehl" w:cs="FrankRuehl"/>
                  <w:b/>
                  <w:bCs/>
                  <w:color w:val="0000FF"/>
                  <w:sz w:val="28"/>
                  <w:szCs w:val="28"/>
                  <w:u w:val="single"/>
                  <w:rtl/>
                </w:rPr>
                <w:t xml:space="preserve">62902-12-18 </w:t>
              </w:r>
            </w:hyperlink>
            <w:r w:rsidRPr="00A0413F">
              <w:rPr>
                <w:rFonts w:ascii="FrankRuehl" w:hAnsi="FrankRuehl" w:cs="FrankRuehl"/>
                <w:b/>
                <w:bCs/>
                <w:sz w:val="28"/>
                <w:szCs w:val="28"/>
                <w:rtl/>
              </w:rPr>
              <w:t xml:space="preserve"> מדינת ישראל נ' זהבי</w:t>
            </w:r>
            <w:r w:rsidRPr="00A0413F">
              <w:rPr>
                <w:rFonts w:ascii="FrankRuehl" w:hAnsi="FrankRuehl" w:cs="FrankRuehl"/>
                <w:b/>
                <w:bCs/>
                <w:sz w:val="28"/>
                <w:szCs w:val="28"/>
                <w:rtl/>
              </w:rPr>
              <w:br/>
            </w:r>
            <w:r w:rsidRPr="00A0413F">
              <w:rPr>
                <w:rFonts w:ascii="FrankRuehl" w:hAnsi="FrankRuehl" w:cs="FrankRuehl" w:hint="cs"/>
                <w:b/>
                <w:bCs/>
                <w:sz w:val="28"/>
                <w:szCs w:val="28"/>
                <w:rtl/>
              </w:rPr>
              <w:t>פל"א (מוריה ציון) 482945/2020</w:t>
            </w:r>
          </w:p>
        </w:tc>
        <w:tc>
          <w:tcPr>
            <w:tcW w:w="3662" w:type="dxa"/>
          </w:tcPr>
          <w:p w14:paraId="6B39FFFC" w14:textId="77777777" w:rsidR="00E969B4" w:rsidRPr="00A0413F" w:rsidRDefault="00E969B4" w:rsidP="00B27C29">
            <w:pPr>
              <w:pStyle w:val="a3"/>
              <w:jc w:val="right"/>
              <w:rPr>
                <w:rFonts w:cs="FrankRuehl"/>
                <w:sz w:val="28"/>
                <w:szCs w:val="28"/>
                <w:rtl/>
              </w:rPr>
            </w:pPr>
          </w:p>
        </w:tc>
      </w:tr>
    </w:tbl>
    <w:p w14:paraId="48898339" w14:textId="77777777" w:rsidR="00E969B4" w:rsidRPr="00A0413F" w:rsidRDefault="00E969B4" w:rsidP="00E969B4">
      <w:pPr>
        <w:pStyle w:val="a3"/>
        <w:rPr>
          <w:rtl/>
        </w:rPr>
      </w:pPr>
      <w:r w:rsidRPr="00A0413F">
        <w:rPr>
          <w:rFonts w:hint="cs"/>
          <w:rtl/>
        </w:rPr>
        <w:t xml:space="preserve"> </w:t>
      </w:r>
    </w:p>
    <w:p w14:paraId="5E7C01C3" w14:textId="77777777" w:rsidR="00E969B4" w:rsidRPr="00A0413F" w:rsidRDefault="00E969B4" w:rsidP="00E969B4">
      <w:pPr>
        <w:rPr>
          <w:rtl/>
        </w:rPr>
      </w:pPr>
    </w:p>
    <w:p w14:paraId="565C90CC" w14:textId="77777777" w:rsidR="00E969B4" w:rsidRPr="00A0413F" w:rsidRDefault="00E969B4" w:rsidP="00E969B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342"/>
        <w:gridCol w:w="2555"/>
      </w:tblGrid>
      <w:tr w:rsidR="00E969B4" w:rsidRPr="00A0413F" w14:paraId="49C6B13D" w14:textId="77777777" w:rsidTr="00E969B4">
        <w:trPr>
          <w:trHeight w:val="295"/>
          <w:jc w:val="center"/>
        </w:trPr>
        <w:tc>
          <w:tcPr>
            <w:tcW w:w="923" w:type="dxa"/>
            <w:tcBorders>
              <w:top w:val="nil"/>
              <w:left w:val="nil"/>
              <w:bottom w:val="nil"/>
              <w:right w:val="nil"/>
            </w:tcBorders>
            <w:shd w:val="clear" w:color="auto" w:fill="auto"/>
          </w:tcPr>
          <w:p w14:paraId="382BBEB9" w14:textId="77777777" w:rsidR="00E969B4" w:rsidRPr="00A0413F" w:rsidRDefault="00E969B4" w:rsidP="00E969B4">
            <w:pPr>
              <w:jc w:val="both"/>
              <w:rPr>
                <w:rFonts w:ascii="FrankRuehl" w:hAnsi="FrankRuehl" w:cs="FrankRuehl"/>
                <w:b/>
                <w:bCs/>
                <w:sz w:val="28"/>
                <w:szCs w:val="28"/>
              </w:rPr>
            </w:pPr>
            <w:r w:rsidRPr="00A0413F">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0140862B" w14:textId="77777777" w:rsidR="00E969B4" w:rsidRPr="00A0413F" w:rsidRDefault="00E969B4" w:rsidP="00B27C29">
            <w:pPr>
              <w:rPr>
                <w:rFonts w:ascii="FrankRuehl" w:hAnsi="FrankRuehl" w:cs="FrankRuehl"/>
                <w:b/>
                <w:bCs/>
                <w:sz w:val="28"/>
                <w:szCs w:val="28"/>
                <w:rtl/>
              </w:rPr>
            </w:pPr>
            <w:r w:rsidRPr="00A0413F">
              <w:rPr>
                <w:rFonts w:ascii="FrankRuehl" w:hAnsi="FrankRuehl" w:cs="FrankRuehl"/>
                <w:b/>
                <w:bCs/>
                <w:sz w:val="28"/>
                <w:szCs w:val="28"/>
                <w:rtl/>
              </w:rPr>
              <w:t>כבוד השופט  דוד שאול גבאי ריכטר</w:t>
            </w:r>
          </w:p>
          <w:p w14:paraId="2367D3A0" w14:textId="77777777" w:rsidR="00E969B4" w:rsidRPr="00A0413F" w:rsidRDefault="00E969B4" w:rsidP="00B27C29">
            <w:pPr>
              <w:rPr>
                <w:rFonts w:ascii="FrankRuehl" w:hAnsi="FrankRuehl" w:cs="FrankRuehl"/>
                <w:b/>
                <w:bCs/>
                <w:sz w:val="28"/>
                <w:szCs w:val="28"/>
                <w:rtl/>
              </w:rPr>
            </w:pPr>
          </w:p>
          <w:p w14:paraId="612E56D9" w14:textId="77777777" w:rsidR="00E969B4" w:rsidRPr="00A0413F" w:rsidRDefault="00E969B4" w:rsidP="00E969B4">
            <w:pPr>
              <w:jc w:val="both"/>
              <w:rPr>
                <w:rFonts w:ascii="FrankRuehl" w:hAnsi="FrankRuehl" w:cs="FrankRuehl"/>
                <w:b/>
                <w:bCs/>
                <w:sz w:val="28"/>
                <w:szCs w:val="28"/>
              </w:rPr>
            </w:pPr>
          </w:p>
        </w:tc>
      </w:tr>
      <w:tr w:rsidR="00E969B4" w:rsidRPr="00A0413F" w14:paraId="29D431CF" w14:textId="77777777" w:rsidTr="00E969B4">
        <w:trPr>
          <w:trHeight w:val="355"/>
          <w:jc w:val="center"/>
        </w:trPr>
        <w:tc>
          <w:tcPr>
            <w:tcW w:w="923" w:type="dxa"/>
            <w:tcBorders>
              <w:top w:val="nil"/>
              <w:left w:val="nil"/>
              <w:bottom w:val="nil"/>
              <w:right w:val="nil"/>
            </w:tcBorders>
            <w:shd w:val="clear" w:color="auto" w:fill="auto"/>
          </w:tcPr>
          <w:p w14:paraId="668A509E" w14:textId="77777777" w:rsidR="00E969B4" w:rsidRPr="00A0413F" w:rsidRDefault="00E969B4" w:rsidP="00E969B4">
            <w:pPr>
              <w:jc w:val="both"/>
              <w:rPr>
                <w:rFonts w:ascii="FrankRuehl" w:hAnsi="FrankRuehl" w:cs="FrankRuehl"/>
                <w:b/>
                <w:bCs/>
                <w:sz w:val="28"/>
                <w:szCs w:val="28"/>
              </w:rPr>
            </w:pPr>
            <w:bookmarkStart w:id="1" w:name="FirstAppellant"/>
            <w:r w:rsidRPr="00A0413F">
              <w:rPr>
                <w:rFonts w:ascii="FrankRuehl" w:hAnsi="FrankRuehl" w:cs="FrankRuehl"/>
                <w:b/>
                <w:bCs/>
                <w:sz w:val="28"/>
                <w:szCs w:val="28"/>
                <w:rtl/>
              </w:rPr>
              <w:t>בעניין:</w:t>
            </w:r>
          </w:p>
        </w:tc>
        <w:tc>
          <w:tcPr>
            <w:tcW w:w="5342" w:type="dxa"/>
            <w:tcBorders>
              <w:top w:val="nil"/>
              <w:left w:val="nil"/>
              <w:bottom w:val="nil"/>
              <w:right w:val="nil"/>
            </w:tcBorders>
            <w:shd w:val="clear" w:color="auto" w:fill="auto"/>
          </w:tcPr>
          <w:p w14:paraId="6343A6F8" w14:textId="77777777" w:rsidR="00E969B4" w:rsidRPr="00A0413F" w:rsidRDefault="00E969B4" w:rsidP="00B27C29">
            <w:pPr>
              <w:rPr>
                <w:rFonts w:ascii="FrankRuehl" w:hAnsi="FrankRuehl" w:cs="FrankRuehl"/>
                <w:b/>
                <w:bCs/>
                <w:sz w:val="28"/>
                <w:szCs w:val="28"/>
              </w:rPr>
            </w:pPr>
            <w:r w:rsidRPr="00A0413F">
              <w:rPr>
                <w:rFonts w:ascii="FrankRuehl" w:hAnsi="FrankRuehl" w:cs="FrankRuehl"/>
                <w:b/>
                <w:bCs/>
                <w:sz w:val="28"/>
                <w:szCs w:val="28"/>
                <w:rtl/>
              </w:rPr>
              <w:t>מדינת ישראל</w:t>
            </w:r>
          </w:p>
        </w:tc>
        <w:tc>
          <w:tcPr>
            <w:tcW w:w="2555" w:type="dxa"/>
            <w:tcBorders>
              <w:top w:val="nil"/>
              <w:left w:val="nil"/>
              <w:bottom w:val="nil"/>
              <w:right w:val="nil"/>
            </w:tcBorders>
            <w:shd w:val="clear" w:color="auto" w:fill="auto"/>
          </w:tcPr>
          <w:p w14:paraId="356975AD" w14:textId="77777777" w:rsidR="00E969B4" w:rsidRPr="00A0413F" w:rsidRDefault="00E969B4" w:rsidP="00E969B4">
            <w:pPr>
              <w:jc w:val="both"/>
              <w:rPr>
                <w:rFonts w:ascii="FrankRuehl" w:hAnsi="FrankRuehl" w:cs="FrankRuehl"/>
                <w:b/>
                <w:bCs/>
                <w:sz w:val="28"/>
                <w:szCs w:val="28"/>
              </w:rPr>
            </w:pPr>
          </w:p>
        </w:tc>
      </w:tr>
      <w:tr w:rsidR="00E969B4" w:rsidRPr="00A0413F" w14:paraId="6E04FDA3" w14:textId="77777777" w:rsidTr="00E969B4">
        <w:trPr>
          <w:trHeight w:val="355"/>
          <w:jc w:val="center"/>
        </w:trPr>
        <w:tc>
          <w:tcPr>
            <w:tcW w:w="923" w:type="dxa"/>
            <w:tcBorders>
              <w:top w:val="nil"/>
              <w:left w:val="nil"/>
              <w:bottom w:val="nil"/>
              <w:right w:val="nil"/>
            </w:tcBorders>
            <w:shd w:val="clear" w:color="auto" w:fill="auto"/>
          </w:tcPr>
          <w:p w14:paraId="4C87A25F" w14:textId="77777777" w:rsidR="00E969B4" w:rsidRPr="00A0413F" w:rsidRDefault="00E969B4" w:rsidP="00E969B4">
            <w:pPr>
              <w:jc w:val="both"/>
              <w:rPr>
                <w:rFonts w:ascii="FrankRuehl" w:hAnsi="FrankRuehl" w:cs="FrankRuehl"/>
                <w:b/>
                <w:bCs/>
                <w:sz w:val="28"/>
                <w:szCs w:val="28"/>
                <w:rtl/>
              </w:rPr>
            </w:pPr>
            <w:bookmarkStart w:id="2" w:name="FirstLawyer"/>
            <w:bookmarkEnd w:id="1"/>
          </w:p>
        </w:tc>
        <w:tc>
          <w:tcPr>
            <w:tcW w:w="5342" w:type="dxa"/>
            <w:tcBorders>
              <w:top w:val="nil"/>
              <w:left w:val="nil"/>
              <w:bottom w:val="nil"/>
              <w:right w:val="nil"/>
            </w:tcBorders>
            <w:shd w:val="clear" w:color="auto" w:fill="auto"/>
          </w:tcPr>
          <w:p w14:paraId="0A6CFDFE" w14:textId="77777777" w:rsidR="00E969B4" w:rsidRPr="00A0413F" w:rsidRDefault="00E969B4" w:rsidP="00E969B4">
            <w:pPr>
              <w:jc w:val="both"/>
              <w:rPr>
                <w:rFonts w:ascii="FrankRuehl" w:hAnsi="FrankRuehl" w:cs="FrankRuehl"/>
                <w:b/>
                <w:bCs/>
                <w:sz w:val="28"/>
                <w:szCs w:val="28"/>
                <w:rtl/>
              </w:rPr>
            </w:pPr>
            <w:r w:rsidRPr="00A0413F">
              <w:rPr>
                <w:rFonts w:ascii="FrankRuehl" w:hAnsi="FrankRuehl" w:cs="FrankRuehl" w:hint="cs"/>
                <w:b/>
                <w:bCs/>
                <w:sz w:val="28"/>
                <w:szCs w:val="28"/>
                <w:rtl/>
              </w:rPr>
              <w:t>ע"י ב"כ הגב' שירן סיני, מתמחה, תביעות ירושלים</w:t>
            </w:r>
          </w:p>
        </w:tc>
        <w:tc>
          <w:tcPr>
            <w:tcW w:w="2555" w:type="dxa"/>
            <w:tcBorders>
              <w:top w:val="nil"/>
              <w:left w:val="nil"/>
              <w:bottom w:val="nil"/>
              <w:right w:val="nil"/>
            </w:tcBorders>
            <w:shd w:val="clear" w:color="auto" w:fill="auto"/>
          </w:tcPr>
          <w:p w14:paraId="1258A6D5" w14:textId="77777777" w:rsidR="00E969B4" w:rsidRPr="00A0413F" w:rsidRDefault="00E969B4" w:rsidP="00E969B4">
            <w:pPr>
              <w:jc w:val="right"/>
              <w:rPr>
                <w:rFonts w:ascii="FrankRuehl" w:hAnsi="FrankRuehl" w:cs="FrankRuehl"/>
                <w:b/>
                <w:bCs/>
                <w:sz w:val="28"/>
                <w:szCs w:val="28"/>
                <w:rtl/>
              </w:rPr>
            </w:pPr>
            <w:r w:rsidRPr="00A0413F">
              <w:rPr>
                <w:rFonts w:ascii="FrankRuehl" w:hAnsi="FrankRuehl" w:cs="FrankRuehl"/>
                <w:b/>
                <w:bCs/>
                <w:sz w:val="28"/>
                <w:szCs w:val="28"/>
                <w:rtl/>
              </w:rPr>
              <w:t>המאשימה</w:t>
            </w:r>
          </w:p>
        </w:tc>
      </w:tr>
      <w:bookmarkEnd w:id="2"/>
      <w:tr w:rsidR="00E969B4" w:rsidRPr="00A0413F" w14:paraId="4DC93B33" w14:textId="77777777" w:rsidTr="00E969B4">
        <w:trPr>
          <w:trHeight w:val="355"/>
          <w:jc w:val="center"/>
        </w:trPr>
        <w:tc>
          <w:tcPr>
            <w:tcW w:w="923" w:type="dxa"/>
            <w:tcBorders>
              <w:top w:val="nil"/>
              <w:left w:val="nil"/>
              <w:bottom w:val="nil"/>
              <w:right w:val="nil"/>
            </w:tcBorders>
            <w:shd w:val="clear" w:color="auto" w:fill="auto"/>
          </w:tcPr>
          <w:p w14:paraId="50834243" w14:textId="77777777" w:rsidR="00E969B4" w:rsidRPr="00A0413F" w:rsidRDefault="00E969B4" w:rsidP="00E969B4">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5691DB7B" w14:textId="77777777" w:rsidR="00E969B4" w:rsidRPr="00A0413F" w:rsidRDefault="00E969B4" w:rsidP="00E969B4">
            <w:pPr>
              <w:jc w:val="center"/>
              <w:rPr>
                <w:rFonts w:ascii="FrankRuehl" w:hAnsi="FrankRuehl" w:cs="FrankRuehl"/>
                <w:b/>
                <w:bCs/>
                <w:sz w:val="28"/>
                <w:szCs w:val="28"/>
                <w:rtl/>
              </w:rPr>
            </w:pPr>
          </w:p>
          <w:p w14:paraId="349DE10A" w14:textId="77777777" w:rsidR="00E969B4" w:rsidRPr="00A0413F" w:rsidRDefault="00E969B4" w:rsidP="00E969B4">
            <w:pPr>
              <w:jc w:val="center"/>
              <w:rPr>
                <w:rFonts w:ascii="FrankRuehl" w:hAnsi="FrankRuehl" w:cs="FrankRuehl"/>
                <w:b/>
                <w:bCs/>
                <w:sz w:val="28"/>
                <w:szCs w:val="28"/>
                <w:rtl/>
              </w:rPr>
            </w:pPr>
            <w:r w:rsidRPr="00A0413F">
              <w:rPr>
                <w:rFonts w:ascii="FrankRuehl" w:hAnsi="FrankRuehl" w:cs="FrankRuehl"/>
                <w:b/>
                <w:bCs/>
                <w:sz w:val="28"/>
                <w:szCs w:val="28"/>
                <w:rtl/>
              </w:rPr>
              <w:t>נגד</w:t>
            </w:r>
          </w:p>
          <w:p w14:paraId="27CF10EE" w14:textId="77777777" w:rsidR="00E969B4" w:rsidRPr="00A0413F" w:rsidRDefault="00E969B4" w:rsidP="00E969B4">
            <w:pPr>
              <w:jc w:val="both"/>
              <w:rPr>
                <w:rFonts w:ascii="FrankRuehl" w:hAnsi="FrankRuehl" w:cs="FrankRuehl"/>
                <w:b/>
                <w:bCs/>
                <w:sz w:val="28"/>
                <w:szCs w:val="28"/>
              </w:rPr>
            </w:pPr>
          </w:p>
        </w:tc>
      </w:tr>
      <w:tr w:rsidR="00E969B4" w:rsidRPr="00A0413F" w14:paraId="5E4347F2" w14:textId="77777777" w:rsidTr="00E969B4">
        <w:trPr>
          <w:trHeight w:val="355"/>
          <w:jc w:val="center"/>
        </w:trPr>
        <w:tc>
          <w:tcPr>
            <w:tcW w:w="923" w:type="dxa"/>
            <w:tcBorders>
              <w:top w:val="nil"/>
              <w:left w:val="nil"/>
              <w:bottom w:val="nil"/>
              <w:right w:val="nil"/>
            </w:tcBorders>
            <w:shd w:val="clear" w:color="auto" w:fill="auto"/>
          </w:tcPr>
          <w:p w14:paraId="3BF0EAF8" w14:textId="77777777" w:rsidR="00E969B4" w:rsidRPr="00A0413F" w:rsidRDefault="00E969B4" w:rsidP="00B27C29">
            <w:pPr>
              <w:rPr>
                <w:rFonts w:ascii="FrankRuehl" w:hAnsi="FrankRuehl" w:cs="FrankRuehl"/>
                <w:b/>
                <w:bCs/>
                <w:sz w:val="28"/>
                <w:szCs w:val="28"/>
                <w:rtl/>
              </w:rPr>
            </w:pPr>
          </w:p>
        </w:tc>
        <w:tc>
          <w:tcPr>
            <w:tcW w:w="5342" w:type="dxa"/>
            <w:tcBorders>
              <w:top w:val="nil"/>
              <w:left w:val="nil"/>
              <w:bottom w:val="nil"/>
              <w:right w:val="nil"/>
            </w:tcBorders>
            <w:shd w:val="clear" w:color="auto" w:fill="auto"/>
          </w:tcPr>
          <w:p w14:paraId="247304F6" w14:textId="77777777" w:rsidR="00E969B4" w:rsidRPr="00A0413F" w:rsidRDefault="00E969B4" w:rsidP="00B27C29">
            <w:pPr>
              <w:rPr>
                <w:rFonts w:ascii="FrankRuehl" w:hAnsi="FrankRuehl" w:cs="FrankRuehl"/>
                <w:b/>
                <w:bCs/>
                <w:sz w:val="28"/>
                <w:szCs w:val="28"/>
                <w:rtl/>
              </w:rPr>
            </w:pPr>
            <w:r w:rsidRPr="00A0413F">
              <w:rPr>
                <w:rFonts w:ascii="FrankRuehl" w:hAnsi="FrankRuehl" w:cs="FrankRuehl"/>
                <w:b/>
                <w:bCs/>
                <w:sz w:val="28"/>
                <w:szCs w:val="28"/>
                <w:rtl/>
              </w:rPr>
              <w:t>ישראל זהבי</w:t>
            </w:r>
          </w:p>
        </w:tc>
        <w:tc>
          <w:tcPr>
            <w:tcW w:w="2555" w:type="dxa"/>
            <w:tcBorders>
              <w:top w:val="nil"/>
              <w:left w:val="nil"/>
              <w:bottom w:val="nil"/>
              <w:right w:val="nil"/>
            </w:tcBorders>
            <w:shd w:val="clear" w:color="auto" w:fill="auto"/>
          </w:tcPr>
          <w:p w14:paraId="6B92152D" w14:textId="77777777" w:rsidR="00E969B4" w:rsidRPr="00A0413F" w:rsidRDefault="00E969B4" w:rsidP="00E969B4">
            <w:pPr>
              <w:jc w:val="right"/>
              <w:rPr>
                <w:rFonts w:ascii="FrankRuehl" w:hAnsi="FrankRuehl" w:cs="FrankRuehl"/>
                <w:b/>
                <w:bCs/>
                <w:sz w:val="28"/>
                <w:szCs w:val="28"/>
              </w:rPr>
            </w:pPr>
          </w:p>
        </w:tc>
      </w:tr>
      <w:tr w:rsidR="00E969B4" w:rsidRPr="00A0413F" w14:paraId="78FE0AA6" w14:textId="77777777" w:rsidTr="00E969B4">
        <w:trPr>
          <w:trHeight w:val="355"/>
          <w:jc w:val="center"/>
        </w:trPr>
        <w:tc>
          <w:tcPr>
            <w:tcW w:w="923" w:type="dxa"/>
            <w:tcBorders>
              <w:top w:val="nil"/>
              <w:left w:val="nil"/>
              <w:bottom w:val="nil"/>
              <w:right w:val="nil"/>
            </w:tcBorders>
            <w:shd w:val="clear" w:color="auto" w:fill="auto"/>
          </w:tcPr>
          <w:p w14:paraId="562BFEA2" w14:textId="77777777" w:rsidR="00E969B4" w:rsidRPr="00A0413F" w:rsidRDefault="00E969B4" w:rsidP="00E969B4">
            <w:pPr>
              <w:jc w:val="both"/>
              <w:rPr>
                <w:rFonts w:ascii="FrankRuehl" w:hAnsi="FrankRuehl" w:cs="FrankRuehl"/>
                <w:b/>
                <w:bCs/>
                <w:sz w:val="28"/>
                <w:szCs w:val="28"/>
                <w:rtl/>
              </w:rPr>
            </w:pPr>
          </w:p>
        </w:tc>
        <w:tc>
          <w:tcPr>
            <w:tcW w:w="5342" w:type="dxa"/>
            <w:tcBorders>
              <w:top w:val="nil"/>
              <w:left w:val="nil"/>
              <w:bottom w:val="nil"/>
              <w:right w:val="nil"/>
            </w:tcBorders>
            <w:shd w:val="clear" w:color="auto" w:fill="auto"/>
          </w:tcPr>
          <w:p w14:paraId="70D46005" w14:textId="77777777" w:rsidR="00E969B4" w:rsidRPr="00A0413F" w:rsidRDefault="00E969B4" w:rsidP="00E969B4">
            <w:pPr>
              <w:jc w:val="both"/>
              <w:rPr>
                <w:rFonts w:ascii="FrankRuehl" w:hAnsi="FrankRuehl" w:cs="FrankRuehl"/>
                <w:b/>
                <w:bCs/>
                <w:sz w:val="28"/>
                <w:szCs w:val="28"/>
                <w:rtl/>
              </w:rPr>
            </w:pPr>
            <w:r w:rsidRPr="00A0413F">
              <w:rPr>
                <w:rFonts w:ascii="FrankRuehl" w:hAnsi="FrankRuehl" w:cs="FrankRuehl" w:hint="cs"/>
                <w:b/>
                <w:bCs/>
                <w:sz w:val="28"/>
                <w:szCs w:val="28"/>
                <w:rtl/>
              </w:rPr>
              <w:t>ע"י ב"כ עו"ד דניאל מירסקי</w:t>
            </w:r>
          </w:p>
        </w:tc>
        <w:tc>
          <w:tcPr>
            <w:tcW w:w="2555" w:type="dxa"/>
            <w:tcBorders>
              <w:top w:val="nil"/>
              <w:left w:val="nil"/>
              <w:bottom w:val="nil"/>
              <w:right w:val="nil"/>
            </w:tcBorders>
            <w:shd w:val="clear" w:color="auto" w:fill="auto"/>
          </w:tcPr>
          <w:p w14:paraId="1E74917C" w14:textId="77777777" w:rsidR="00E969B4" w:rsidRPr="00A0413F" w:rsidRDefault="00E969B4" w:rsidP="00E969B4">
            <w:pPr>
              <w:jc w:val="right"/>
              <w:rPr>
                <w:rFonts w:ascii="FrankRuehl" w:hAnsi="FrankRuehl" w:cs="FrankRuehl"/>
                <w:b/>
                <w:bCs/>
                <w:sz w:val="28"/>
                <w:szCs w:val="28"/>
              </w:rPr>
            </w:pPr>
            <w:r w:rsidRPr="00A0413F">
              <w:rPr>
                <w:rFonts w:ascii="FrankRuehl" w:hAnsi="FrankRuehl" w:cs="FrankRuehl"/>
                <w:b/>
                <w:bCs/>
                <w:sz w:val="28"/>
                <w:szCs w:val="28"/>
                <w:rtl/>
              </w:rPr>
              <w:t>הנאשם</w:t>
            </w:r>
          </w:p>
        </w:tc>
      </w:tr>
    </w:tbl>
    <w:p w14:paraId="44EB82E2" w14:textId="77777777" w:rsidR="00EC5E70" w:rsidRDefault="00EC5E70" w:rsidP="00A0413F">
      <w:pPr>
        <w:rPr>
          <w:rtl/>
        </w:rPr>
      </w:pPr>
    </w:p>
    <w:p w14:paraId="1A08E641" w14:textId="77777777" w:rsidR="00EC5E70" w:rsidRPr="00EC5E70" w:rsidRDefault="00EC5E70" w:rsidP="00EC5E70">
      <w:pPr>
        <w:spacing w:after="120" w:line="240" w:lineRule="exact"/>
        <w:ind w:left="283" w:hanging="283"/>
        <w:jc w:val="both"/>
        <w:rPr>
          <w:rFonts w:ascii="FrankRuehl" w:hAnsi="FrankRuehl" w:cs="FrankRuehl"/>
          <w:rtl/>
        </w:rPr>
      </w:pPr>
    </w:p>
    <w:p w14:paraId="62761065" w14:textId="77777777" w:rsidR="008741E2" w:rsidRPr="008741E2" w:rsidRDefault="008741E2" w:rsidP="008741E2">
      <w:pPr>
        <w:spacing w:before="120" w:after="120" w:line="240" w:lineRule="exact"/>
        <w:ind w:left="283" w:hanging="283"/>
        <w:jc w:val="both"/>
        <w:rPr>
          <w:rFonts w:ascii="FrankRuehl" w:hAnsi="FrankRuehl" w:cs="FrankRuehl"/>
          <w:rtl/>
        </w:rPr>
      </w:pPr>
    </w:p>
    <w:p w14:paraId="665FE927" w14:textId="77777777" w:rsidR="008C3854" w:rsidRPr="008C3854" w:rsidRDefault="008C3854" w:rsidP="008C3854">
      <w:pPr>
        <w:spacing w:before="120" w:after="120" w:line="240" w:lineRule="exact"/>
        <w:ind w:left="283" w:hanging="283"/>
        <w:jc w:val="both"/>
        <w:rPr>
          <w:rFonts w:ascii="FrankRuehl" w:hAnsi="FrankRuehl" w:cs="FrankRuehl"/>
          <w:rtl/>
        </w:rPr>
      </w:pPr>
    </w:p>
    <w:p w14:paraId="08805DAE" w14:textId="77777777" w:rsidR="00A651D9" w:rsidRDefault="00A651D9" w:rsidP="00A651D9">
      <w:pPr>
        <w:rPr>
          <w:rtl/>
        </w:rPr>
      </w:pPr>
      <w:bookmarkStart w:id="3" w:name="LawTable"/>
      <w:bookmarkEnd w:id="3"/>
    </w:p>
    <w:p w14:paraId="3F968DE4" w14:textId="77777777" w:rsidR="00A651D9" w:rsidRPr="00A651D9" w:rsidRDefault="00A651D9" w:rsidP="00A651D9">
      <w:pPr>
        <w:spacing w:before="120" w:after="120" w:line="240" w:lineRule="exact"/>
        <w:ind w:left="283" w:hanging="283"/>
        <w:jc w:val="both"/>
        <w:rPr>
          <w:rFonts w:ascii="FrankRuehl" w:hAnsi="FrankRuehl" w:cs="FrankRuehl"/>
          <w:rtl/>
        </w:rPr>
      </w:pPr>
    </w:p>
    <w:p w14:paraId="0DCE27B7" w14:textId="77777777" w:rsidR="00A651D9" w:rsidRPr="00A651D9" w:rsidRDefault="00A651D9" w:rsidP="00A651D9">
      <w:pPr>
        <w:spacing w:before="120" w:after="120" w:line="240" w:lineRule="exact"/>
        <w:ind w:left="283" w:hanging="283"/>
        <w:jc w:val="both"/>
        <w:rPr>
          <w:rFonts w:ascii="FrankRuehl" w:hAnsi="FrankRuehl" w:cs="FrankRuehl"/>
          <w:rtl/>
        </w:rPr>
      </w:pPr>
    </w:p>
    <w:p w14:paraId="38D660B0" w14:textId="77777777" w:rsidR="00A651D9" w:rsidRPr="00A651D9" w:rsidRDefault="00A651D9" w:rsidP="00A651D9">
      <w:pPr>
        <w:spacing w:before="120" w:after="120" w:line="240" w:lineRule="exact"/>
        <w:ind w:left="283" w:hanging="283"/>
        <w:jc w:val="both"/>
        <w:rPr>
          <w:rFonts w:ascii="FrankRuehl" w:hAnsi="FrankRuehl" w:cs="FrankRuehl"/>
          <w:rtl/>
        </w:rPr>
      </w:pPr>
      <w:r w:rsidRPr="00A651D9">
        <w:rPr>
          <w:rFonts w:ascii="FrankRuehl" w:hAnsi="FrankRuehl" w:cs="FrankRuehl"/>
          <w:rtl/>
        </w:rPr>
        <w:t xml:space="preserve">חקיקה שאוזכרה: </w:t>
      </w:r>
    </w:p>
    <w:p w14:paraId="1348052D" w14:textId="77777777" w:rsidR="00A651D9" w:rsidRPr="00A651D9" w:rsidRDefault="00A651D9" w:rsidP="00A651D9">
      <w:pPr>
        <w:spacing w:before="120" w:after="120" w:line="240" w:lineRule="exact"/>
        <w:ind w:left="283" w:hanging="283"/>
        <w:jc w:val="both"/>
        <w:rPr>
          <w:rFonts w:ascii="FrankRuehl" w:hAnsi="FrankRuehl" w:cs="FrankRuehl"/>
          <w:rtl/>
        </w:rPr>
      </w:pPr>
      <w:hyperlink r:id="rId10" w:history="1">
        <w:r w:rsidRPr="00A651D9">
          <w:rPr>
            <w:rFonts w:ascii="FrankRuehl" w:hAnsi="FrankRuehl" w:cs="FrankRuehl"/>
            <w:color w:val="0000FF"/>
            <w:rtl/>
          </w:rPr>
          <w:t>חוק כרטיסי חיוב, תשמ"ו-1986</w:t>
        </w:r>
      </w:hyperlink>
      <w:r w:rsidRPr="00A651D9">
        <w:rPr>
          <w:rFonts w:ascii="FrankRuehl" w:hAnsi="FrankRuehl" w:cs="FrankRuehl"/>
          <w:rtl/>
        </w:rPr>
        <w:t xml:space="preserve">: סע'  </w:t>
      </w:r>
      <w:hyperlink r:id="rId11" w:history="1">
        <w:r w:rsidRPr="00A651D9">
          <w:rPr>
            <w:rFonts w:ascii="FrankRuehl" w:hAnsi="FrankRuehl" w:cs="FrankRuehl"/>
            <w:color w:val="0000FF"/>
            <w:rtl/>
          </w:rPr>
          <w:t>17</w:t>
        </w:r>
      </w:hyperlink>
    </w:p>
    <w:p w14:paraId="4CFB3C87" w14:textId="77777777" w:rsidR="00A651D9" w:rsidRPr="00A651D9" w:rsidRDefault="00A651D9" w:rsidP="00A651D9">
      <w:pPr>
        <w:spacing w:before="120" w:after="120" w:line="240" w:lineRule="exact"/>
        <w:ind w:left="283" w:hanging="283"/>
        <w:jc w:val="both"/>
        <w:rPr>
          <w:rFonts w:ascii="FrankRuehl" w:hAnsi="FrankRuehl" w:cs="FrankRuehl"/>
          <w:rtl/>
        </w:rPr>
      </w:pPr>
      <w:hyperlink r:id="rId12" w:history="1">
        <w:r w:rsidRPr="00A651D9">
          <w:rPr>
            <w:rFonts w:ascii="FrankRuehl" w:hAnsi="FrankRuehl" w:cs="FrankRuehl"/>
            <w:color w:val="0000FF"/>
            <w:rtl/>
          </w:rPr>
          <w:t>פקודת הסמים המסוכנים [נוסח חדש], תשל"ג-1973</w:t>
        </w:r>
      </w:hyperlink>
      <w:r w:rsidRPr="00A651D9">
        <w:rPr>
          <w:rFonts w:ascii="FrankRuehl" w:hAnsi="FrankRuehl" w:cs="FrankRuehl"/>
          <w:rtl/>
        </w:rPr>
        <w:t xml:space="preserve">: סע'  </w:t>
      </w:r>
      <w:hyperlink r:id="rId13" w:history="1">
        <w:r w:rsidRPr="00A651D9">
          <w:rPr>
            <w:rFonts w:ascii="FrankRuehl" w:hAnsi="FrankRuehl" w:cs="FrankRuehl"/>
            <w:color w:val="0000FF"/>
            <w:rtl/>
          </w:rPr>
          <w:t>7.א.</w:t>
        </w:r>
      </w:hyperlink>
      <w:r w:rsidRPr="00A651D9">
        <w:rPr>
          <w:rFonts w:ascii="FrankRuehl" w:hAnsi="FrankRuehl" w:cs="FrankRuehl"/>
          <w:rtl/>
        </w:rPr>
        <w:t xml:space="preserve">, </w:t>
      </w:r>
      <w:hyperlink r:id="rId14" w:history="1">
        <w:r w:rsidRPr="00A651D9">
          <w:rPr>
            <w:rFonts w:ascii="FrankRuehl" w:hAnsi="FrankRuehl" w:cs="FrankRuehl"/>
            <w:color w:val="0000FF"/>
            <w:rtl/>
          </w:rPr>
          <w:t>7.ג</w:t>
        </w:r>
      </w:hyperlink>
    </w:p>
    <w:p w14:paraId="5D4DF530" w14:textId="77777777" w:rsidR="00A651D9" w:rsidRPr="00A651D9" w:rsidRDefault="00A651D9" w:rsidP="00A651D9">
      <w:pPr>
        <w:spacing w:before="120" w:after="120" w:line="240" w:lineRule="exact"/>
        <w:ind w:left="283" w:hanging="283"/>
        <w:jc w:val="both"/>
        <w:rPr>
          <w:rFonts w:ascii="FrankRuehl" w:hAnsi="FrankRuehl" w:cs="FrankRuehl"/>
          <w:rtl/>
        </w:rPr>
      </w:pPr>
      <w:hyperlink r:id="rId15" w:history="1">
        <w:r w:rsidRPr="00A651D9">
          <w:rPr>
            <w:rFonts w:ascii="FrankRuehl" w:hAnsi="FrankRuehl" w:cs="FrankRuehl"/>
            <w:color w:val="0000FF"/>
            <w:rtl/>
          </w:rPr>
          <w:t>חוק העונשין, תשל"ז-1977</w:t>
        </w:r>
      </w:hyperlink>
      <w:r w:rsidRPr="00A651D9">
        <w:rPr>
          <w:rFonts w:ascii="FrankRuehl" w:hAnsi="FrankRuehl" w:cs="FrankRuehl"/>
          <w:rtl/>
        </w:rPr>
        <w:t xml:space="preserve">: סע'  </w:t>
      </w:r>
      <w:hyperlink r:id="rId16" w:history="1">
        <w:r w:rsidRPr="00A651D9">
          <w:rPr>
            <w:rFonts w:ascii="FrankRuehl" w:hAnsi="FrankRuehl" w:cs="FrankRuehl"/>
            <w:color w:val="0000FF"/>
            <w:rtl/>
          </w:rPr>
          <w:t>40ט'</w:t>
        </w:r>
      </w:hyperlink>
      <w:r w:rsidRPr="00A651D9">
        <w:rPr>
          <w:rFonts w:ascii="FrankRuehl" w:hAnsi="FrankRuehl" w:cs="FrankRuehl"/>
          <w:rtl/>
        </w:rPr>
        <w:t xml:space="preserve">, </w:t>
      </w:r>
      <w:hyperlink r:id="rId17" w:history="1">
        <w:r w:rsidRPr="00A651D9">
          <w:rPr>
            <w:rFonts w:ascii="FrankRuehl" w:hAnsi="FrankRuehl" w:cs="FrankRuehl"/>
            <w:color w:val="0000FF"/>
            <w:rtl/>
          </w:rPr>
          <w:t>40יא</w:t>
        </w:r>
      </w:hyperlink>
    </w:p>
    <w:p w14:paraId="12C40CBB" w14:textId="77777777" w:rsidR="00A651D9" w:rsidRPr="00A651D9" w:rsidRDefault="00A651D9" w:rsidP="00A651D9">
      <w:pPr>
        <w:rPr>
          <w:rtl/>
        </w:rPr>
      </w:pPr>
      <w:bookmarkStart w:id="4" w:name="LawTable_End"/>
      <w:bookmarkEnd w:id="4"/>
    </w:p>
    <w:p w14:paraId="062910B1" w14:textId="77777777" w:rsidR="00E969B4" w:rsidRPr="008C3854" w:rsidRDefault="00E969B4" w:rsidP="008C385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69B4" w14:paraId="4F77F207" w14:textId="77777777" w:rsidTr="00E969B4">
        <w:trPr>
          <w:trHeight w:val="355"/>
          <w:jc w:val="center"/>
        </w:trPr>
        <w:tc>
          <w:tcPr>
            <w:tcW w:w="8820" w:type="dxa"/>
            <w:tcBorders>
              <w:top w:val="nil"/>
              <w:left w:val="nil"/>
              <w:bottom w:val="nil"/>
              <w:right w:val="nil"/>
            </w:tcBorders>
            <w:shd w:val="clear" w:color="auto" w:fill="auto"/>
          </w:tcPr>
          <w:p w14:paraId="707216F6" w14:textId="77777777" w:rsidR="00A0413F" w:rsidRPr="00A0413F" w:rsidRDefault="00A0413F" w:rsidP="00A0413F">
            <w:pPr>
              <w:jc w:val="center"/>
              <w:rPr>
                <w:rFonts w:ascii="Arial" w:hAnsi="Arial" w:cs="FrankRuehl"/>
                <w:b/>
                <w:bCs/>
                <w:sz w:val="32"/>
                <w:szCs w:val="32"/>
                <w:u w:val="single"/>
                <w:rtl/>
              </w:rPr>
            </w:pPr>
            <w:bookmarkStart w:id="5" w:name="PsakDin" w:colFirst="0" w:colLast="0"/>
            <w:bookmarkEnd w:id="0"/>
            <w:r w:rsidRPr="00A0413F">
              <w:rPr>
                <w:rFonts w:ascii="Arial" w:hAnsi="Arial" w:cs="FrankRuehl"/>
                <w:b/>
                <w:bCs/>
                <w:sz w:val="32"/>
                <w:szCs w:val="32"/>
                <w:u w:val="single"/>
                <w:rtl/>
              </w:rPr>
              <w:t>גזר דין</w:t>
            </w:r>
          </w:p>
          <w:p w14:paraId="63E7D234" w14:textId="77777777" w:rsidR="00E969B4" w:rsidRPr="00A0413F" w:rsidRDefault="00E969B4" w:rsidP="00A0413F">
            <w:pPr>
              <w:jc w:val="center"/>
              <w:rPr>
                <w:rFonts w:ascii="Arial" w:hAnsi="Arial" w:cs="FrankRuehl"/>
                <w:bCs/>
                <w:sz w:val="32"/>
                <w:szCs w:val="32"/>
                <w:u w:val="single"/>
                <w:rtl/>
              </w:rPr>
            </w:pPr>
          </w:p>
        </w:tc>
      </w:tr>
      <w:bookmarkEnd w:id="5"/>
    </w:tbl>
    <w:p w14:paraId="478CC7EA" w14:textId="77777777" w:rsidR="00E969B4" w:rsidRPr="00B05847" w:rsidRDefault="00E969B4" w:rsidP="00E969B4">
      <w:pPr>
        <w:rPr>
          <w:rFonts w:ascii="Arial" w:hAnsi="Arial"/>
          <w:rtl/>
        </w:rPr>
      </w:pPr>
    </w:p>
    <w:p w14:paraId="7EDE3FE2" w14:textId="77777777" w:rsidR="00E969B4" w:rsidRPr="00B05847" w:rsidRDefault="00E969B4" w:rsidP="00E969B4">
      <w:pPr>
        <w:rPr>
          <w:rFonts w:ascii="Arial" w:hAnsi="Arial"/>
          <w:rtl/>
        </w:rPr>
      </w:pPr>
    </w:p>
    <w:p w14:paraId="2F45C62D" w14:textId="77777777" w:rsidR="00E969B4" w:rsidRDefault="00E969B4" w:rsidP="00E969B4">
      <w:pPr>
        <w:spacing w:line="360" w:lineRule="auto"/>
        <w:rPr>
          <w:rFonts w:cs="FrankRuehl"/>
          <w:b/>
          <w:bCs/>
          <w:sz w:val="28"/>
          <w:szCs w:val="28"/>
          <w:u w:val="single"/>
        </w:rPr>
      </w:pPr>
      <w:r>
        <w:rPr>
          <w:rFonts w:cs="FrankRuehl"/>
          <w:b/>
          <w:bCs/>
          <w:sz w:val="28"/>
          <w:szCs w:val="28"/>
          <w:u w:val="single"/>
          <w:rtl/>
        </w:rPr>
        <w:t>כתב</w:t>
      </w:r>
      <w:r>
        <w:rPr>
          <w:rFonts w:cs="FrankRuehl" w:hint="cs"/>
          <w:b/>
          <w:bCs/>
          <w:sz w:val="28"/>
          <w:szCs w:val="28"/>
          <w:u w:val="single"/>
          <w:rtl/>
        </w:rPr>
        <w:t>י</w:t>
      </w:r>
      <w:r>
        <w:rPr>
          <w:rFonts w:cs="FrankRuehl"/>
          <w:b/>
          <w:bCs/>
          <w:sz w:val="28"/>
          <w:szCs w:val="28"/>
          <w:u w:val="single"/>
          <w:rtl/>
        </w:rPr>
        <w:t xml:space="preserve"> האישום</w:t>
      </w:r>
    </w:p>
    <w:p w14:paraId="22D0769B" w14:textId="77777777" w:rsidR="00E969B4" w:rsidRDefault="00E969B4" w:rsidP="00E969B4">
      <w:pPr>
        <w:spacing w:line="360" w:lineRule="auto"/>
        <w:jc w:val="both"/>
        <w:rPr>
          <w:rFonts w:cs="FrankRuehl"/>
          <w:sz w:val="28"/>
          <w:szCs w:val="28"/>
          <w:rtl/>
        </w:rPr>
      </w:pPr>
      <w:bookmarkStart w:id="6" w:name="ABSTRACT_START"/>
      <w:bookmarkEnd w:id="6"/>
      <w:r>
        <w:rPr>
          <w:rFonts w:cs="FrankRuehl" w:hint="cs"/>
          <w:sz w:val="28"/>
          <w:szCs w:val="28"/>
          <w:rtl/>
        </w:rPr>
        <w:t>הנאשם הודה לפניי במסגרת ארבעה תיקים פליליים.</w:t>
      </w:r>
    </w:p>
    <w:p w14:paraId="3262CC03" w14:textId="77777777" w:rsidR="00E969B4" w:rsidRDefault="00E969B4" w:rsidP="00E969B4">
      <w:pPr>
        <w:spacing w:line="360" w:lineRule="auto"/>
        <w:jc w:val="both"/>
        <w:rPr>
          <w:rFonts w:cs="FrankRuehl"/>
          <w:sz w:val="28"/>
          <w:szCs w:val="28"/>
          <w:u w:val="single"/>
          <w:rtl/>
        </w:rPr>
      </w:pPr>
    </w:p>
    <w:p w14:paraId="13394F4E" w14:textId="77777777" w:rsidR="00E969B4" w:rsidRDefault="00A0413F" w:rsidP="00E969B4">
      <w:pPr>
        <w:spacing w:line="360" w:lineRule="auto"/>
        <w:jc w:val="both"/>
        <w:rPr>
          <w:rFonts w:cs="FrankRuehl"/>
          <w:sz w:val="28"/>
          <w:szCs w:val="28"/>
          <w:rtl/>
        </w:rPr>
      </w:pPr>
      <w:hyperlink r:id="rId18" w:history="1">
        <w:r w:rsidRPr="00A0413F">
          <w:rPr>
            <w:rFonts w:cs="FrankRuehl"/>
            <w:color w:val="0000FF"/>
            <w:sz w:val="28"/>
            <w:szCs w:val="28"/>
            <w:u w:val="single"/>
            <w:rtl/>
          </w:rPr>
          <w:t>ת"פ 9773-05-19</w:t>
        </w:r>
      </w:hyperlink>
      <w:r w:rsidR="00E969B4" w:rsidRPr="00C028C5">
        <w:rPr>
          <w:rFonts w:cs="FrankRuehl" w:hint="cs"/>
          <w:sz w:val="28"/>
          <w:szCs w:val="28"/>
          <w:u w:val="single"/>
          <w:rtl/>
        </w:rPr>
        <w:t xml:space="preserve"> (התיק הראשון)</w:t>
      </w:r>
      <w:r w:rsidR="00E969B4">
        <w:rPr>
          <w:rFonts w:cs="FrankRuehl" w:hint="cs"/>
          <w:sz w:val="28"/>
          <w:szCs w:val="28"/>
          <w:rtl/>
        </w:rPr>
        <w:t xml:space="preserve"> </w:t>
      </w:r>
      <w:r w:rsidR="00E969B4">
        <w:rPr>
          <w:rFonts w:cs="FrankRuehl"/>
          <w:sz w:val="28"/>
          <w:szCs w:val="28"/>
          <w:rtl/>
        </w:rPr>
        <w:t>–</w:t>
      </w:r>
      <w:r w:rsidR="00E969B4">
        <w:rPr>
          <w:rFonts w:cs="FrankRuehl" w:hint="cs"/>
          <w:sz w:val="28"/>
          <w:szCs w:val="28"/>
          <w:rtl/>
        </w:rPr>
        <w:t xml:space="preserve"> מעובדות כתב האישום המתוקן עולה, כי במהלך חודש יוני 2019, עשה הנאשם שימוש בכרטיס אשראי גנוב של המתלוננת, כשביצע באמצעותו ארבע משיכות מכספומט בסך כולל של 5,000 ₪. בגין מעשים אלו הודה והורשע בעבירה של </w:t>
      </w:r>
      <w:r w:rsidR="00E969B4" w:rsidRPr="00A0266B">
        <w:rPr>
          <w:rFonts w:cs="FrankRuehl" w:hint="cs"/>
          <w:b/>
          <w:bCs/>
          <w:sz w:val="28"/>
          <w:szCs w:val="28"/>
          <w:rtl/>
        </w:rPr>
        <w:t>הונאה בכרטיס חיוב</w:t>
      </w:r>
      <w:r w:rsidR="00E969B4">
        <w:rPr>
          <w:rFonts w:cs="FrankRuehl" w:hint="cs"/>
          <w:sz w:val="28"/>
          <w:szCs w:val="28"/>
          <w:rtl/>
        </w:rPr>
        <w:t xml:space="preserve">, לפי </w:t>
      </w:r>
      <w:hyperlink r:id="rId19" w:history="1">
        <w:r w:rsidR="00EC5E70" w:rsidRPr="00EC5E70">
          <w:rPr>
            <w:rStyle w:val="Hyperlink"/>
            <w:rFonts w:cs="FrankRuehl" w:hint="eastAsia"/>
            <w:sz w:val="28"/>
            <w:szCs w:val="28"/>
            <w:rtl/>
          </w:rPr>
          <w:t>סעיף</w:t>
        </w:r>
        <w:r w:rsidR="00EC5E70" w:rsidRPr="00EC5E70">
          <w:rPr>
            <w:rStyle w:val="Hyperlink"/>
            <w:rFonts w:cs="FrankRuehl"/>
            <w:sz w:val="28"/>
            <w:szCs w:val="28"/>
            <w:rtl/>
          </w:rPr>
          <w:t xml:space="preserve"> 17</w:t>
        </w:r>
      </w:hyperlink>
      <w:r w:rsidR="00E969B4">
        <w:rPr>
          <w:rFonts w:cs="FrankRuehl" w:hint="cs"/>
          <w:sz w:val="28"/>
          <w:szCs w:val="28"/>
          <w:rtl/>
        </w:rPr>
        <w:t xml:space="preserve"> רישא ל</w:t>
      </w:r>
      <w:hyperlink r:id="rId20" w:history="1">
        <w:r w:rsidRPr="00A0413F">
          <w:rPr>
            <w:rFonts w:cs="FrankRuehl"/>
            <w:color w:val="0000FF"/>
            <w:sz w:val="28"/>
            <w:szCs w:val="28"/>
            <w:u w:val="single"/>
            <w:rtl/>
          </w:rPr>
          <w:t>חוק כרטיסי חיוב</w:t>
        </w:r>
      </w:hyperlink>
      <w:r w:rsidR="00E969B4">
        <w:rPr>
          <w:rFonts w:cs="FrankRuehl" w:hint="cs"/>
          <w:sz w:val="28"/>
          <w:szCs w:val="28"/>
          <w:rtl/>
        </w:rPr>
        <w:t>, התשמ"ו-1986.</w:t>
      </w:r>
    </w:p>
    <w:p w14:paraId="18A4305D" w14:textId="77777777" w:rsidR="00E969B4" w:rsidRDefault="00E969B4" w:rsidP="00E969B4">
      <w:pPr>
        <w:spacing w:line="360" w:lineRule="auto"/>
        <w:jc w:val="both"/>
        <w:rPr>
          <w:rFonts w:cs="FrankRuehl"/>
          <w:sz w:val="28"/>
          <w:szCs w:val="28"/>
          <w:u w:val="single"/>
          <w:rtl/>
        </w:rPr>
      </w:pPr>
      <w:bookmarkStart w:id="7" w:name="ABSTRACT_END"/>
      <w:bookmarkEnd w:id="7"/>
    </w:p>
    <w:p w14:paraId="6DE02F22" w14:textId="77777777" w:rsidR="00E969B4" w:rsidRDefault="00A0413F" w:rsidP="00E969B4">
      <w:pPr>
        <w:spacing w:line="360" w:lineRule="auto"/>
        <w:jc w:val="both"/>
        <w:rPr>
          <w:rFonts w:cs="FrankRuehl"/>
          <w:sz w:val="28"/>
          <w:szCs w:val="28"/>
          <w:rtl/>
        </w:rPr>
      </w:pPr>
      <w:hyperlink r:id="rId21" w:history="1">
        <w:r w:rsidRPr="00A0413F">
          <w:rPr>
            <w:rFonts w:cs="FrankRuehl"/>
            <w:color w:val="0000FF"/>
            <w:sz w:val="28"/>
            <w:szCs w:val="28"/>
            <w:u w:val="single"/>
            <w:rtl/>
          </w:rPr>
          <w:t>ת"פ 1617-03-20</w:t>
        </w:r>
      </w:hyperlink>
      <w:r w:rsidR="00E969B4" w:rsidRPr="00C028C5">
        <w:rPr>
          <w:rFonts w:cs="FrankRuehl" w:hint="cs"/>
          <w:sz w:val="28"/>
          <w:szCs w:val="28"/>
          <w:u w:val="single"/>
          <w:rtl/>
        </w:rPr>
        <w:t xml:space="preserve"> (התיק השני)</w:t>
      </w:r>
      <w:r w:rsidR="00E969B4">
        <w:rPr>
          <w:rFonts w:cs="FrankRuehl" w:hint="cs"/>
          <w:sz w:val="28"/>
          <w:szCs w:val="28"/>
          <w:rtl/>
        </w:rPr>
        <w:t xml:space="preserve"> </w:t>
      </w:r>
      <w:r w:rsidR="00E969B4">
        <w:rPr>
          <w:rFonts w:cs="FrankRuehl"/>
          <w:sz w:val="28"/>
          <w:szCs w:val="28"/>
          <w:rtl/>
        </w:rPr>
        <w:t>–</w:t>
      </w:r>
      <w:r w:rsidR="00E969B4">
        <w:rPr>
          <w:rFonts w:cs="FrankRuehl" w:hint="cs"/>
          <w:sz w:val="28"/>
          <w:szCs w:val="28"/>
          <w:rtl/>
        </w:rPr>
        <w:t xml:space="preserve"> מעובדות כתב האישום עולה כי ביום 25.5.2019 החזיק הנאשם בכליו סם מסוכן מסוכן מסוג </w:t>
      </w:r>
      <w:r w:rsidR="00E969B4">
        <w:rPr>
          <w:rFonts w:cs="FrankRuehl"/>
          <w:sz w:val="28"/>
          <w:szCs w:val="28"/>
        </w:rPr>
        <w:t>5F-ADB</w:t>
      </w:r>
      <w:r w:rsidR="00E969B4">
        <w:rPr>
          <w:rFonts w:cs="FrankRuehl" w:hint="cs"/>
          <w:sz w:val="28"/>
          <w:szCs w:val="28"/>
          <w:rtl/>
        </w:rPr>
        <w:t xml:space="preserve"> (קנבואיד סינטטי) במשקל 6.4449 גרם נטו, ובכך הודה והורשע ב</w:t>
      </w:r>
      <w:r w:rsidR="00E969B4" w:rsidRPr="00A0266B">
        <w:rPr>
          <w:rFonts w:cs="FrankRuehl" w:hint="cs"/>
          <w:b/>
          <w:bCs/>
          <w:sz w:val="28"/>
          <w:szCs w:val="28"/>
          <w:rtl/>
        </w:rPr>
        <w:t>החזקת סם לצריכה עצמית</w:t>
      </w:r>
      <w:r w:rsidR="00E969B4">
        <w:rPr>
          <w:rFonts w:cs="FrankRuehl" w:hint="cs"/>
          <w:sz w:val="28"/>
          <w:szCs w:val="28"/>
          <w:rtl/>
        </w:rPr>
        <w:t xml:space="preserve">, לפי סעיפים </w:t>
      </w:r>
      <w:hyperlink r:id="rId22" w:history="1">
        <w:r w:rsidR="00EC5E70" w:rsidRPr="00EC5E70">
          <w:rPr>
            <w:rStyle w:val="Hyperlink"/>
            <w:rFonts w:cs="FrankRuehl"/>
            <w:sz w:val="28"/>
            <w:szCs w:val="28"/>
            <w:rtl/>
          </w:rPr>
          <w:t>7(א) ו-(ג)</w:t>
        </w:r>
      </w:hyperlink>
      <w:r w:rsidR="00E969B4">
        <w:rPr>
          <w:rFonts w:cs="FrankRuehl" w:hint="cs"/>
          <w:sz w:val="28"/>
          <w:szCs w:val="28"/>
          <w:rtl/>
        </w:rPr>
        <w:t xml:space="preserve"> סיפא ל</w:t>
      </w:r>
      <w:hyperlink r:id="rId23" w:history="1">
        <w:r w:rsidRPr="00A0413F">
          <w:rPr>
            <w:rFonts w:cs="FrankRuehl"/>
            <w:color w:val="0000FF"/>
            <w:sz w:val="28"/>
            <w:szCs w:val="28"/>
            <w:u w:val="single"/>
            <w:rtl/>
          </w:rPr>
          <w:t>פקודת הסמים המסוכנים</w:t>
        </w:r>
      </w:hyperlink>
      <w:r w:rsidR="00E969B4">
        <w:rPr>
          <w:rFonts w:cs="FrankRuehl" w:hint="cs"/>
          <w:sz w:val="28"/>
          <w:szCs w:val="28"/>
          <w:rtl/>
        </w:rPr>
        <w:t>.</w:t>
      </w:r>
    </w:p>
    <w:p w14:paraId="4C7D12E7" w14:textId="77777777" w:rsidR="00E969B4" w:rsidRDefault="00E969B4" w:rsidP="00E969B4">
      <w:pPr>
        <w:spacing w:line="360" w:lineRule="auto"/>
        <w:jc w:val="both"/>
        <w:rPr>
          <w:rFonts w:cs="FrankRuehl"/>
          <w:sz w:val="28"/>
          <w:szCs w:val="28"/>
          <w:u w:val="single"/>
          <w:rtl/>
        </w:rPr>
      </w:pPr>
    </w:p>
    <w:p w14:paraId="754B02F4" w14:textId="77777777" w:rsidR="00E969B4" w:rsidRDefault="00A0413F" w:rsidP="00E969B4">
      <w:pPr>
        <w:spacing w:line="360" w:lineRule="auto"/>
        <w:jc w:val="both"/>
        <w:rPr>
          <w:rFonts w:cs="FrankRuehl"/>
          <w:sz w:val="28"/>
          <w:szCs w:val="28"/>
          <w:rtl/>
        </w:rPr>
      </w:pPr>
      <w:hyperlink r:id="rId24" w:history="1">
        <w:r w:rsidRPr="00A0413F">
          <w:rPr>
            <w:rFonts w:cs="FrankRuehl"/>
            <w:color w:val="0000FF"/>
            <w:sz w:val="28"/>
            <w:szCs w:val="28"/>
            <w:u w:val="single"/>
            <w:rtl/>
          </w:rPr>
          <w:t>ת"פ 62902-12-18</w:t>
        </w:r>
      </w:hyperlink>
      <w:r w:rsidR="00E969B4" w:rsidRPr="00C028C5">
        <w:rPr>
          <w:rFonts w:cs="FrankRuehl" w:hint="cs"/>
          <w:sz w:val="28"/>
          <w:szCs w:val="28"/>
          <w:u w:val="single"/>
          <w:rtl/>
        </w:rPr>
        <w:t xml:space="preserve"> (התיק השלישי)</w:t>
      </w:r>
      <w:r w:rsidR="00E969B4">
        <w:rPr>
          <w:rFonts w:cs="FrankRuehl" w:hint="cs"/>
          <w:sz w:val="28"/>
          <w:szCs w:val="28"/>
          <w:rtl/>
        </w:rPr>
        <w:t xml:space="preserve"> </w:t>
      </w:r>
      <w:r w:rsidR="00E969B4">
        <w:rPr>
          <w:rFonts w:cs="FrankRuehl"/>
          <w:sz w:val="28"/>
          <w:szCs w:val="28"/>
          <w:rtl/>
        </w:rPr>
        <w:t>–</w:t>
      </w:r>
      <w:r w:rsidR="00E969B4">
        <w:rPr>
          <w:rFonts w:cs="FrankRuehl" w:hint="cs"/>
          <w:sz w:val="28"/>
          <w:szCs w:val="28"/>
          <w:rtl/>
        </w:rPr>
        <w:t xml:space="preserve"> מועבדות כתב האישום המתוקן עולה, כי ביום 14.4.2018, רכב הנאשם על אופניים חשמליים ונתבקש ע"י שוטר לעצור. כשפתח השוטר את דלת הניידת, ניסה הנאשם להימלט מהשוטר ברכיבה על אופניו. באותן נסיבות החזיק סם מסוג "נייס גאי" במשקל 4 גרם לצריכתו העצמית, ולכן הורשע בביצוע עבירה של </w:t>
      </w:r>
      <w:r w:rsidR="00E969B4" w:rsidRPr="00A0266B">
        <w:rPr>
          <w:rFonts w:cs="FrankRuehl" w:hint="cs"/>
          <w:b/>
          <w:bCs/>
          <w:sz w:val="28"/>
          <w:szCs w:val="28"/>
          <w:rtl/>
        </w:rPr>
        <w:t>החזקת סם לצריכה עצמית</w:t>
      </w:r>
      <w:r w:rsidR="00E969B4">
        <w:rPr>
          <w:rFonts w:cs="FrankRuehl" w:hint="cs"/>
          <w:sz w:val="28"/>
          <w:szCs w:val="28"/>
          <w:rtl/>
        </w:rPr>
        <w:t xml:space="preserve">, לפי סעיפים </w:t>
      </w:r>
      <w:hyperlink r:id="rId25" w:history="1">
        <w:r w:rsidR="00EC5E70" w:rsidRPr="00EC5E70">
          <w:rPr>
            <w:rStyle w:val="Hyperlink"/>
            <w:rFonts w:cs="FrankRuehl"/>
            <w:sz w:val="28"/>
            <w:szCs w:val="28"/>
            <w:rtl/>
          </w:rPr>
          <w:t>7(א) ו-(ג)</w:t>
        </w:r>
      </w:hyperlink>
      <w:r w:rsidR="00E969B4">
        <w:rPr>
          <w:rFonts w:cs="FrankRuehl" w:hint="cs"/>
          <w:sz w:val="28"/>
          <w:szCs w:val="28"/>
          <w:rtl/>
        </w:rPr>
        <w:t xml:space="preserve"> סיפא לפקודת הסמים.</w:t>
      </w:r>
    </w:p>
    <w:p w14:paraId="59BD3F14" w14:textId="77777777" w:rsidR="00E969B4" w:rsidRDefault="00E969B4" w:rsidP="00E969B4">
      <w:pPr>
        <w:spacing w:line="360" w:lineRule="auto"/>
        <w:jc w:val="both"/>
        <w:rPr>
          <w:rFonts w:cs="FrankRuehl"/>
          <w:sz w:val="28"/>
          <w:szCs w:val="28"/>
          <w:rtl/>
        </w:rPr>
      </w:pPr>
      <w:r w:rsidRPr="00CB227D">
        <w:rPr>
          <w:rFonts w:cs="FrankRuehl" w:hint="cs"/>
          <w:sz w:val="28"/>
          <w:szCs w:val="28"/>
          <w:u w:val="single"/>
          <w:rtl/>
        </w:rPr>
        <w:t>פל"א (תחנת מוריה ציון) 482945/2020 (התיק הרביעי)</w:t>
      </w:r>
      <w:r>
        <w:rPr>
          <w:rFonts w:cs="FrankRuehl" w:hint="cs"/>
          <w:sz w:val="28"/>
          <w:szCs w:val="28"/>
          <w:rtl/>
        </w:rPr>
        <w:t xml:space="preserve"> </w:t>
      </w:r>
      <w:r>
        <w:rPr>
          <w:rFonts w:cs="FrankRuehl"/>
          <w:sz w:val="28"/>
          <w:szCs w:val="28"/>
          <w:rtl/>
        </w:rPr>
        <w:t>–</w:t>
      </w:r>
      <w:r>
        <w:rPr>
          <w:rFonts w:cs="FrankRuehl" w:hint="cs"/>
          <w:sz w:val="28"/>
          <w:szCs w:val="28"/>
          <w:rtl/>
        </w:rPr>
        <w:t xml:space="preserve"> מעובדות תמצית האישום עולה כי ביום 3.8.2020 החזיק הנאשם על גופו בתוך שני ניירות עטופים, סם מסוכן מסוג </w:t>
      </w:r>
      <w:r>
        <w:rPr>
          <w:rFonts w:cs="FrankRuehl"/>
          <w:sz w:val="28"/>
          <w:szCs w:val="28"/>
        </w:rPr>
        <w:t>MDMB-4en-PINACA</w:t>
      </w:r>
      <w:r>
        <w:rPr>
          <w:rFonts w:cs="FrankRuehl" w:hint="cs"/>
          <w:sz w:val="28"/>
          <w:szCs w:val="28"/>
          <w:rtl/>
        </w:rPr>
        <w:t xml:space="preserve"> (קנבואיד סינטטי) במשקל 1.90 גרם נטו. בגין כך הורשע הנאשם בביצוע עבירה של החזקת סם לצריכה עצמית. </w:t>
      </w:r>
    </w:p>
    <w:p w14:paraId="4C29C698" w14:textId="77777777" w:rsidR="00E969B4" w:rsidRDefault="00E969B4" w:rsidP="00E969B4">
      <w:pPr>
        <w:spacing w:line="360" w:lineRule="auto"/>
        <w:jc w:val="both"/>
        <w:rPr>
          <w:rFonts w:cs="FrankRuehl"/>
          <w:b/>
          <w:bCs/>
          <w:sz w:val="28"/>
          <w:szCs w:val="28"/>
          <w:u w:val="single"/>
          <w:rtl/>
        </w:rPr>
      </w:pPr>
    </w:p>
    <w:p w14:paraId="79B4975F" w14:textId="77777777" w:rsidR="00E969B4" w:rsidRDefault="00E969B4" w:rsidP="00E969B4">
      <w:pPr>
        <w:spacing w:line="360" w:lineRule="auto"/>
        <w:jc w:val="both"/>
        <w:rPr>
          <w:rFonts w:cs="FrankRuehl"/>
          <w:b/>
          <w:bCs/>
          <w:sz w:val="28"/>
          <w:szCs w:val="28"/>
          <w:u w:val="single"/>
        </w:rPr>
      </w:pPr>
      <w:r>
        <w:rPr>
          <w:rFonts w:cs="FrankRuehl"/>
          <w:b/>
          <w:bCs/>
          <w:sz w:val="28"/>
          <w:szCs w:val="28"/>
          <w:u w:val="single"/>
          <w:rtl/>
        </w:rPr>
        <w:t>מהלך הדיון</w:t>
      </w:r>
    </w:p>
    <w:p w14:paraId="202015C5" w14:textId="77777777" w:rsidR="00E969B4" w:rsidRDefault="00E969B4" w:rsidP="00E969B4">
      <w:pPr>
        <w:spacing w:line="360" w:lineRule="auto"/>
        <w:jc w:val="both"/>
        <w:rPr>
          <w:rFonts w:cs="FrankRuehl"/>
          <w:sz w:val="28"/>
          <w:szCs w:val="28"/>
        </w:rPr>
      </w:pPr>
      <w:r>
        <w:rPr>
          <w:rFonts w:cs="FrankRuehl" w:hint="cs"/>
          <w:sz w:val="28"/>
          <w:szCs w:val="28"/>
          <w:rtl/>
        </w:rPr>
        <w:t>הנאשם צירף את שלושת התיקים, והסניגור ביקש לשלוח את הנאשם אל הממונה על עבודות השירות, בעוד המאשימה הצהירה כי תעתור למאסר בפועל. יצוין, כי ביחס לתיק השלישי הוצג הסדר  טיעון ביום 25.11.2019 שכלל הסכמה עונשית "סגורה" להטלת מאסר בעבודות שירות בחופף להפעלת מאסר מותנה, ואולם עם צירוף התיקים האחרים הסדר זה איבד ממשמעותו.</w:t>
      </w:r>
    </w:p>
    <w:p w14:paraId="09EFDC98" w14:textId="77777777" w:rsidR="00E969B4" w:rsidRPr="00A0266B" w:rsidRDefault="00E969B4" w:rsidP="00E969B4">
      <w:pPr>
        <w:spacing w:line="360" w:lineRule="auto"/>
        <w:jc w:val="both"/>
        <w:rPr>
          <w:rFonts w:cs="FrankRuehl"/>
          <w:b/>
          <w:bCs/>
          <w:sz w:val="28"/>
          <w:szCs w:val="28"/>
          <w:u w:val="single"/>
        </w:rPr>
      </w:pPr>
    </w:p>
    <w:p w14:paraId="51EE6545" w14:textId="77777777" w:rsidR="00E969B4" w:rsidRDefault="00E969B4" w:rsidP="00E969B4">
      <w:pPr>
        <w:spacing w:line="360" w:lineRule="auto"/>
        <w:jc w:val="both"/>
        <w:rPr>
          <w:rFonts w:cs="FrankRuehl"/>
          <w:b/>
          <w:bCs/>
          <w:sz w:val="28"/>
          <w:szCs w:val="28"/>
          <w:u w:val="single"/>
          <w:rtl/>
        </w:rPr>
      </w:pPr>
      <w:r>
        <w:rPr>
          <w:rFonts w:cs="FrankRuehl"/>
          <w:b/>
          <w:bCs/>
          <w:sz w:val="28"/>
          <w:szCs w:val="28"/>
          <w:u w:val="single"/>
          <w:rtl/>
        </w:rPr>
        <w:t>חוות דעת של הממונה על עבודות השירות</w:t>
      </w:r>
    </w:p>
    <w:p w14:paraId="41AFEECB" w14:textId="77777777" w:rsidR="00E969B4" w:rsidRDefault="00E969B4" w:rsidP="00E969B4">
      <w:pPr>
        <w:spacing w:line="360" w:lineRule="auto"/>
        <w:jc w:val="both"/>
        <w:rPr>
          <w:rFonts w:cs="FrankRuehl"/>
          <w:sz w:val="28"/>
          <w:szCs w:val="28"/>
        </w:rPr>
      </w:pPr>
      <w:r>
        <w:rPr>
          <w:rFonts w:cs="FrankRuehl"/>
          <w:sz w:val="28"/>
          <w:szCs w:val="28"/>
          <w:rtl/>
        </w:rPr>
        <w:t xml:space="preserve">הממונה הגיש חוות דעת על אודות כשירות הנאשם לבצע מאסר בעבודות שירות. מחוות הדעת עולה, כי </w:t>
      </w:r>
      <w:r>
        <w:rPr>
          <w:rFonts w:cs="FrankRuehl" w:hint="cs"/>
          <w:sz w:val="28"/>
          <w:szCs w:val="28"/>
          <w:rtl/>
        </w:rPr>
        <w:t>הנאשם כשיר לבצע עבודות שירות ב"מפעל חיים" בירושלים החל מיום 21.2.2021.</w:t>
      </w:r>
    </w:p>
    <w:p w14:paraId="1568BCB6" w14:textId="77777777" w:rsidR="00E969B4" w:rsidRDefault="00E969B4" w:rsidP="00E969B4">
      <w:pPr>
        <w:spacing w:line="360" w:lineRule="auto"/>
        <w:jc w:val="both"/>
        <w:rPr>
          <w:rFonts w:cs="FrankRuehl"/>
          <w:sz w:val="28"/>
          <w:szCs w:val="28"/>
          <w:rtl/>
        </w:rPr>
      </w:pPr>
    </w:p>
    <w:p w14:paraId="6E1C5939" w14:textId="77777777" w:rsidR="00E969B4" w:rsidRPr="00A0266B" w:rsidRDefault="00E969B4" w:rsidP="00E969B4">
      <w:pPr>
        <w:spacing w:line="360" w:lineRule="auto"/>
        <w:jc w:val="both"/>
        <w:rPr>
          <w:rFonts w:cs="FrankRuehl"/>
          <w:b/>
          <w:bCs/>
          <w:sz w:val="28"/>
          <w:szCs w:val="28"/>
          <w:u w:val="single"/>
          <w:rtl/>
        </w:rPr>
      </w:pPr>
      <w:r w:rsidRPr="00A0266B">
        <w:rPr>
          <w:rFonts w:cs="FrankRuehl" w:hint="cs"/>
          <w:b/>
          <w:bCs/>
          <w:sz w:val="28"/>
          <w:szCs w:val="28"/>
          <w:u w:val="single"/>
          <w:rtl/>
        </w:rPr>
        <w:lastRenderedPageBreak/>
        <w:t>רישום פלילי</w:t>
      </w:r>
    </w:p>
    <w:p w14:paraId="5097C802" w14:textId="77777777" w:rsidR="00E969B4" w:rsidRPr="00A0266B" w:rsidRDefault="00E969B4" w:rsidP="00E969B4">
      <w:pPr>
        <w:spacing w:line="360" w:lineRule="auto"/>
        <w:jc w:val="both"/>
        <w:rPr>
          <w:rFonts w:cs="FrankRuehl"/>
          <w:sz w:val="28"/>
          <w:szCs w:val="28"/>
          <w:rtl/>
        </w:rPr>
      </w:pPr>
      <w:r w:rsidRPr="00A0266B">
        <w:rPr>
          <w:rFonts w:cs="FrankRuehl" w:hint="cs"/>
          <w:sz w:val="28"/>
          <w:szCs w:val="28"/>
          <w:rtl/>
        </w:rPr>
        <w:t>לנאשם רישום פלילי הכולל</w:t>
      </w:r>
      <w:r>
        <w:rPr>
          <w:rFonts w:cs="FrankRuehl" w:hint="cs"/>
          <w:sz w:val="28"/>
          <w:szCs w:val="28"/>
          <w:rtl/>
        </w:rPr>
        <w:t xml:space="preserve"> 6 הרשעות קודמות, רובן בעבירות סמים ואחת מהן ברכוש ומרמה. יצוין, כי העבירות האחרונות נעברו בשנת 2016 ומאז הייתה הפוגה בביצוע עבירות עד לשנת  2018, אז ביצע הנאשם את המעשים שלפניי. </w:t>
      </w:r>
    </w:p>
    <w:p w14:paraId="69E0C892" w14:textId="77777777" w:rsidR="00E969B4" w:rsidRDefault="00E969B4" w:rsidP="00E969B4">
      <w:pPr>
        <w:spacing w:line="360" w:lineRule="auto"/>
        <w:jc w:val="both"/>
        <w:rPr>
          <w:rFonts w:cs="FrankRuehl"/>
          <w:sz w:val="28"/>
          <w:szCs w:val="28"/>
          <w:rtl/>
        </w:rPr>
      </w:pPr>
      <w:r>
        <w:rPr>
          <w:rFonts w:cs="FrankRuehl" w:hint="cs"/>
          <w:sz w:val="28"/>
          <w:szCs w:val="28"/>
          <w:rtl/>
        </w:rPr>
        <w:t>ב</w:t>
      </w:r>
      <w:hyperlink r:id="rId26" w:history="1">
        <w:r w:rsidR="00A0413F" w:rsidRPr="00A0413F">
          <w:rPr>
            <w:rFonts w:cs="FrankRuehl"/>
            <w:color w:val="0000FF"/>
            <w:sz w:val="28"/>
            <w:szCs w:val="28"/>
            <w:u w:val="single"/>
            <w:rtl/>
          </w:rPr>
          <w:t>ת"פ 66952-11-17</w:t>
        </w:r>
      </w:hyperlink>
      <w:r>
        <w:rPr>
          <w:rFonts w:cs="FrankRuehl" w:hint="cs"/>
          <w:sz w:val="28"/>
          <w:szCs w:val="28"/>
          <w:rtl/>
        </w:rPr>
        <w:t>, שם הורשע הנאשם בשימוש עצמי, נגזר דינו של הנאשם למאסר מותנה של שבועיים למשך שנה מיום גזר הדין, 29.1.2019, בעבירה של שימוש עצמי (</w:t>
      </w:r>
      <w:r w:rsidRPr="00087BB8">
        <w:rPr>
          <w:rFonts w:cs="FrankRuehl" w:hint="cs"/>
          <w:b/>
          <w:bCs/>
          <w:sz w:val="28"/>
          <w:szCs w:val="28"/>
          <w:rtl/>
        </w:rPr>
        <w:t>המאסר המותנה הראשון</w:t>
      </w:r>
      <w:r>
        <w:rPr>
          <w:rFonts w:cs="FrankRuehl" w:hint="cs"/>
          <w:sz w:val="28"/>
          <w:szCs w:val="28"/>
          <w:rtl/>
        </w:rPr>
        <w:t>).</w:t>
      </w:r>
    </w:p>
    <w:p w14:paraId="6F7B6CB1" w14:textId="77777777" w:rsidR="00E969B4" w:rsidRDefault="00E969B4" w:rsidP="00E969B4">
      <w:pPr>
        <w:spacing w:line="360" w:lineRule="auto"/>
        <w:jc w:val="both"/>
        <w:rPr>
          <w:rFonts w:cs="FrankRuehl"/>
          <w:sz w:val="28"/>
          <w:szCs w:val="28"/>
          <w:rtl/>
        </w:rPr>
      </w:pPr>
      <w:r>
        <w:rPr>
          <w:rFonts w:cs="FrankRuehl" w:hint="cs"/>
          <w:sz w:val="28"/>
          <w:szCs w:val="28"/>
          <w:rtl/>
        </w:rPr>
        <w:t>ב</w:t>
      </w:r>
      <w:hyperlink r:id="rId27" w:history="1">
        <w:r w:rsidR="00A0413F" w:rsidRPr="00A0413F">
          <w:rPr>
            <w:rFonts w:cs="FrankRuehl"/>
            <w:color w:val="0000FF"/>
            <w:sz w:val="28"/>
            <w:szCs w:val="28"/>
            <w:u w:val="single"/>
            <w:rtl/>
          </w:rPr>
          <w:t>ת"פ 51001-02-16</w:t>
        </w:r>
      </w:hyperlink>
      <w:r>
        <w:rPr>
          <w:rFonts w:cs="FrankRuehl" w:hint="cs"/>
          <w:sz w:val="28"/>
          <w:szCs w:val="28"/>
          <w:rtl/>
        </w:rPr>
        <w:t xml:space="preserve"> הוטל על הנאשם מאסר מותנה של 3 חודשים ביחס לעבירות רכוש וזיוף למשך 3 שנים מיום 6.4.2017 (</w:t>
      </w:r>
      <w:r w:rsidRPr="00087BB8">
        <w:rPr>
          <w:rFonts w:cs="FrankRuehl" w:hint="cs"/>
          <w:b/>
          <w:bCs/>
          <w:sz w:val="28"/>
          <w:szCs w:val="28"/>
          <w:rtl/>
        </w:rPr>
        <w:t>המאסר המותנה השני</w:t>
      </w:r>
      <w:r>
        <w:rPr>
          <w:rFonts w:cs="FrankRuehl" w:hint="cs"/>
          <w:sz w:val="28"/>
          <w:szCs w:val="28"/>
          <w:rtl/>
        </w:rPr>
        <w:t>).</w:t>
      </w:r>
    </w:p>
    <w:p w14:paraId="6D05B277" w14:textId="77777777" w:rsidR="00E969B4" w:rsidRDefault="00E969B4" w:rsidP="00E969B4">
      <w:pPr>
        <w:spacing w:line="360" w:lineRule="auto"/>
        <w:jc w:val="both"/>
        <w:rPr>
          <w:rFonts w:cs="FrankRuehl"/>
          <w:sz w:val="28"/>
          <w:szCs w:val="28"/>
          <w:rtl/>
        </w:rPr>
      </w:pPr>
      <w:r>
        <w:rPr>
          <w:rFonts w:cs="FrankRuehl" w:hint="cs"/>
          <w:sz w:val="28"/>
          <w:szCs w:val="28"/>
          <w:rtl/>
        </w:rPr>
        <w:t>ב</w:t>
      </w:r>
      <w:hyperlink r:id="rId28" w:history="1">
        <w:r w:rsidR="00A0413F" w:rsidRPr="00A0413F">
          <w:rPr>
            <w:rFonts w:cs="FrankRuehl"/>
            <w:color w:val="0000FF"/>
            <w:sz w:val="28"/>
            <w:szCs w:val="28"/>
            <w:u w:val="single"/>
            <w:rtl/>
          </w:rPr>
          <w:t>ת"פ 17369-06-15</w:t>
        </w:r>
      </w:hyperlink>
      <w:r>
        <w:rPr>
          <w:rFonts w:cs="FrankRuehl" w:hint="cs"/>
          <w:sz w:val="28"/>
          <w:szCs w:val="28"/>
          <w:rtl/>
        </w:rPr>
        <w:t xml:space="preserve"> הוטל על הנאשם מאסר מותנה של 3 חודשים ביחס לעבירות סמים מסוג עוון למשך שנתיים מיום 4.7.2018 (</w:t>
      </w:r>
      <w:r w:rsidRPr="00087BB8">
        <w:rPr>
          <w:rFonts w:cs="FrankRuehl" w:hint="cs"/>
          <w:b/>
          <w:bCs/>
          <w:sz w:val="28"/>
          <w:szCs w:val="28"/>
          <w:rtl/>
        </w:rPr>
        <w:t>המאסר המותנה השלישי</w:t>
      </w:r>
      <w:r>
        <w:rPr>
          <w:rFonts w:cs="FrankRuehl" w:hint="cs"/>
          <w:sz w:val="28"/>
          <w:szCs w:val="28"/>
          <w:rtl/>
        </w:rPr>
        <w:t>).</w:t>
      </w:r>
    </w:p>
    <w:p w14:paraId="0E9C7C4A" w14:textId="77777777" w:rsidR="00E969B4" w:rsidRDefault="00E969B4" w:rsidP="00E969B4">
      <w:pPr>
        <w:spacing w:line="360" w:lineRule="auto"/>
        <w:jc w:val="both"/>
        <w:rPr>
          <w:rFonts w:cs="FrankRuehl"/>
          <w:sz w:val="28"/>
          <w:szCs w:val="28"/>
          <w:rtl/>
        </w:rPr>
      </w:pPr>
    </w:p>
    <w:p w14:paraId="2458DC81" w14:textId="77777777" w:rsidR="00E969B4" w:rsidRDefault="00E969B4" w:rsidP="00E969B4">
      <w:pPr>
        <w:spacing w:line="360" w:lineRule="auto"/>
        <w:jc w:val="both"/>
        <w:rPr>
          <w:rFonts w:cs="FrankRuehl"/>
          <w:b/>
          <w:bCs/>
          <w:sz w:val="28"/>
          <w:szCs w:val="28"/>
          <w:u w:val="single"/>
          <w:rtl/>
        </w:rPr>
      </w:pPr>
      <w:r>
        <w:rPr>
          <w:rFonts w:cs="FrankRuehl"/>
          <w:b/>
          <w:bCs/>
          <w:sz w:val="28"/>
          <w:szCs w:val="28"/>
          <w:u w:val="single"/>
          <w:rtl/>
        </w:rPr>
        <w:t>טיעונים לעונש</w:t>
      </w:r>
    </w:p>
    <w:p w14:paraId="00100E7E" w14:textId="77777777" w:rsidR="00E969B4" w:rsidRDefault="00E969B4" w:rsidP="00E969B4">
      <w:pPr>
        <w:spacing w:line="360" w:lineRule="auto"/>
        <w:jc w:val="both"/>
        <w:rPr>
          <w:rFonts w:cs="FrankRuehl"/>
          <w:sz w:val="28"/>
          <w:szCs w:val="28"/>
          <w:rtl/>
        </w:rPr>
      </w:pPr>
      <w:r>
        <w:rPr>
          <w:rFonts w:cs="FrankRuehl"/>
          <w:sz w:val="28"/>
          <w:szCs w:val="28"/>
          <w:rtl/>
        </w:rPr>
        <w:t xml:space="preserve">הצדדים לא הגיעו להסכמה עונשית. </w:t>
      </w:r>
    </w:p>
    <w:p w14:paraId="0308B226" w14:textId="77777777" w:rsidR="00E969B4" w:rsidRDefault="00E969B4" w:rsidP="00E969B4">
      <w:pPr>
        <w:spacing w:line="360" w:lineRule="auto"/>
        <w:jc w:val="both"/>
        <w:rPr>
          <w:rFonts w:cs="FrankRuehl"/>
          <w:sz w:val="28"/>
          <w:szCs w:val="28"/>
          <w:rtl/>
        </w:rPr>
      </w:pPr>
      <w:r>
        <w:rPr>
          <w:rFonts w:cs="FrankRuehl"/>
          <w:sz w:val="28"/>
          <w:szCs w:val="28"/>
          <w:rtl/>
        </w:rPr>
        <w:t xml:space="preserve">מחד, </w:t>
      </w:r>
      <w:r>
        <w:rPr>
          <w:rFonts w:cs="FrankRuehl" w:hint="cs"/>
          <w:sz w:val="28"/>
          <w:szCs w:val="28"/>
          <w:rtl/>
        </w:rPr>
        <w:t xml:space="preserve">ב"כ המאשימה עתרה להטיל על הנאשם עונשי מאסר בגין מכלול התיקים, לרבות הפעלת שלושת המאסרים המותנים במצטבר. </w:t>
      </w:r>
    </w:p>
    <w:p w14:paraId="7FA6FC06" w14:textId="77777777" w:rsidR="00E969B4" w:rsidRDefault="00E969B4" w:rsidP="00E969B4">
      <w:pPr>
        <w:spacing w:line="360" w:lineRule="auto"/>
        <w:jc w:val="both"/>
        <w:rPr>
          <w:rFonts w:cs="FrankRuehl"/>
          <w:sz w:val="28"/>
          <w:szCs w:val="28"/>
          <w:rtl/>
        </w:rPr>
      </w:pPr>
      <w:r>
        <w:rPr>
          <w:rFonts w:cs="FrankRuehl"/>
          <w:sz w:val="28"/>
          <w:szCs w:val="28"/>
          <w:rtl/>
        </w:rPr>
        <w:t xml:space="preserve">מאידך, הסניגור </w:t>
      </w:r>
      <w:r>
        <w:rPr>
          <w:rFonts w:cs="FrankRuehl" w:hint="cs"/>
          <w:sz w:val="28"/>
          <w:szCs w:val="28"/>
          <w:rtl/>
        </w:rPr>
        <w:t xml:space="preserve">עמד על נסיבותיו האישיות של הנאשם, וביקש לאפשר לו לרצות את העונש בדרך של עבודות שירות, כך שהמאסרים המותנים יופעלו בחופף. </w:t>
      </w:r>
    </w:p>
    <w:p w14:paraId="441F5DB8" w14:textId="77777777" w:rsidR="00E969B4" w:rsidRDefault="00E969B4" w:rsidP="00E969B4">
      <w:pPr>
        <w:spacing w:line="360" w:lineRule="auto"/>
        <w:jc w:val="both"/>
        <w:rPr>
          <w:rFonts w:cs="FrankRuehl"/>
          <w:b/>
          <w:bCs/>
          <w:sz w:val="28"/>
          <w:szCs w:val="28"/>
          <w:u w:val="single"/>
          <w:rtl/>
        </w:rPr>
      </w:pPr>
    </w:p>
    <w:p w14:paraId="025B4712" w14:textId="77777777" w:rsidR="00E969B4" w:rsidRDefault="00E969B4" w:rsidP="00E969B4">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02C22E3F" w14:textId="77777777" w:rsidR="00E969B4" w:rsidRDefault="00E969B4" w:rsidP="00E969B4">
      <w:pPr>
        <w:spacing w:line="360" w:lineRule="auto"/>
        <w:jc w:val="both"/>
        <w:rPr>
          <w:rFonts w:cs="FrankRuehl"/>
          <w:b/>
          <w:bCs/>
          <w:sz w:val="28"/>
          <w:szCs w:val="28"/>
          <w:u w:val="single"/>
          <w:rtl/>
        </w:rPr>
      </w:pPr>
    </w:p>
    <w:p w14:paraId="6E74DCE9" w14:textId="77777777" w:rsidR="00E969B4" w:rsidRDefault="00E969B4" w:rsidP="00E969B4">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sidRPr="00D152E9">
        <w:rPr>
          <w:rFonts w:cs="FrankRuehl" w:hint="cs"/>
          <w:b/>
          <w:bCs/>
          <w:sz w:val="28"/>
          <w:szCs w:val="28"/>
          <w:rtl/>
        </w:rPr>
        <w:t>אשר לתיק הראשון</w:t>
      </w:r>
      <w:r>
        <w:rPr>
          <w:rFonts w:cs="FrankRuehl" w:hint="cs"/>
          <w:sz w:val="28"/>
          <w:szCs w:val="28"/>
          <w:rtl/>
        </w:rPr>
        <w:t xml:space="preserve">, עבירות מרמה פוגעות בקניינו של אדם ובפרטיותו וגורמות לו מעבר לנזק הכלכלי, עוגמת נפש וטרחה. מידת הפגיעה בערכים המוגנים נמוכה במקרנו. </w:t>
      </w:r>
      <w:r w:rsidRPr="00D152E9">
        <w:rPr>
          <w:rFonts w:cs="FrankRuehl" w:hint="cs"/>
          <w:b/>
          <w:bCs/>
          <w:sz w:val="28"/>
          <w:szCs w:val="28"/>
          <w:rtl/>
        </w:rPr>
        <w:t>אשר לתיקי הסמים</w:t>
      </w:r>
      <w:r>
        <w:rPr>
          <w:rFonts w:cs="FrankRuehl" w:hint="cs"/>
          <w:sz w:val="28"/>
          <w:szCs w:val="28"/>
          <w:rtl/>
        </w:rPr>
        <w:t xml:space="preserve"> </w:t>
      </w:r>
      <w:r>
        <w:rPr>
          <w:rFonts w:cs="FrankRuehl"/>
          <w:sz w:val="28"/>
          <w:szCs w:val="28"/>
          <w:rtl/>
        </w:rPr>
        <w:t>–</w:t>
      </w:r>
      <w:r>
        <w:rPr>
          <w:rFonts w:cs="FrankRuehl" w:hint="cs"/>
          <w:sz w:val="28"/>
          <w:szCs w:val="28"/>
          <w:rtl/>
        </w:rPr>
        <w:t xml:space="preserve"> נגע הסמים פוגע בבריאות הציבור ובביטחונו. במקרנו מידת הפגיעה בערכים המוגנים נמוכה נוכח כמותם של הסמים, סוגם (ממשפחת הקנביס) והיותם לצריכה עצמית. </w:t>
      </w:r>
    </w:p>
    <w:p w14:paraId="144BC610" w14:textId="77777777" w:rsidR="00E969B4" w:rsidRDefault="00E969B4" w:rsidP="00E969B4">
      <w:pPr>
        <w:spacing w:line="360" w:lineRule="auto"/>
        <w:jc w:val="both"/>
        <w:rPr>
          <w:rFonts w:cs="FrankRuehl"/>
          <w:sz w:val="28"/>
          <w:szCs w:val="28"/>
          <w:rtl/>
        </w:rPr>
      </w:pPr>
    </w:p>
    <w:p w14:paraId="39FA038B" w14:textId="77777777" w:rsidR="00E969B4" w:rsidRDefault="00E969B4" w:rsidP="00E969B4">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9" w:history="1">
        <w:r w:rsidR="00EC5E70" w:rsidRPr="00EC5E70">
          <w:rPr>
            <w:rStyle w:val="Hyperlink"/>
            <w:rFonts w:cs="FrankRuehl"/>
            <w:b/>
            <w:bCs/>
            <w:sz w:val="28"/>
            <w:szCs w:val="28"/>
            <w:rtl/>
          </w:rPr>
          <w:t>סעיף 40ט'</w:t>
        </w:r>
      </w:hyperlink>
      <w:r>
        <w:rPr>
          <w:rFonts w:cs="FrankRuehl"/>
          <w:b/>
          <w:bCs/>
          <w:sz w:val="28"/>
          <w:szCs w:val="28"/>
          <w:u w:val="single"/>
          <w:rtl/>
        </w:rPr>
        <w:t xml:space="preserve"> ל</w:t>
      </w:r>
      <w:hyperlink r:id="rId30" w:history="1">
        <w:r w:rsidR="00A0413F" w:rsidRPr="00A0413F">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w:t>
      </w:r>
      <w:r w:rsidRPr="00D152E9">
        <w:rPr>
          <w:rFonts w:cs="FrankRuehl" w:hint="cs"/>
          <w:b/>
          <w:bCs/>
          <w:sz w:val="28"/>
          <w:szCs w:val="28"/>
          <w:rtl/>
        </w:rPr>
        <w:t>אשר לתיק הראשון</w:t>
      </w:r>
      <w:r>
        <w:rPr>
          <w:rFonts w:cs="FrankRuehl" w:hint="cs"/>
          <w:sz w:val="28"/>
          <w:szCs w:val="28"/>
          <w:rtl/>
        </w:rPr>
        <w:t xml:space="preserve"> </w:t>
      </w:r>
      <w:r>
        <w:rPr>
          <w:rFonts w:cs="FrankRuehl"/>
          <w:sz w:val="28"/>
          <w:szCs w:val="28"/>
          <w:rtl/>
        </w:rPr>
        <w:t>–</w:t>
      </w:r>
      <w:r>
        <w:rPr>
          <w:rFonts w:cs="FrankRuehl" w:hint="cs"/>
          <w:sz w:val="28"/>
          <w:szCs w:val="28"/>
          <w:rtl/>
        </w:rPr>
        <w:t xml:space="preserve"> נדמה כי מדובר בעבירה מתוכננת, לפחות בחלקה, בשל השימוש החוזר בכרטיס האשראי, כאשר לנאשם הייתה הזדמנות לעצור בכל אחת מהעסקאות מבלי להמשיך לחייב במרמה את הכרטיס; הנאשם צריך היה להימנע מן המעשים והוא אחראי להם בלעדית; בפועל נגרם נזק מבחינה כלכלית והנזק הפוטנציאלי גדול. </w:t>
      </w:r>
      <w:r w:rsidRPr="00D152E9">
        <w:rPr>
          <w:rFonts w:cs="FrankRuehl" w:hint="cs"/>
          <w:b/>
          <w:bCs/>
          <w:sz w:val="28"/>
          <w:szCs w:val="28"/>
          <w:rtl/>
        </w:rPr>
        <w:t>אשר לתיקים השני והשלישי</w:t>
      </w:r>
      <w:r>
        <w:rPr>
          <w:rFonts w:cs="FrankRuehl" w:hint="cs"/>
          <w:sz w:val="28"/>
          <w:szCs w:val="28"/>
          <w:rtl/>
        </w:rPr>
        <w:t xml:space="preserve"> </w:t>
      </w:r>
      <w:r>
        <w:rPr>
          <w:rFonts w:cs="FrankRuehl"/>
          <w:sz w:val="28"/>
          <w:szCs w:val="28"/>
          <w:rtl/>
        </w:rPr>
        <w:t>–</w:t>
      </w:r>
      <w:r>
        <w:rPr>
          <w:rFonts w:cs="FrankRuehl" w:hint="cs"/>
          <w:sz w:val="28"/>
          <w:szCs w:val="28"/>
          <w:rtl/>
        </w:rPr>
        <w:t xml:space="preserve"> מדובר בעבירות מתוכננת לצריכה עצמית נוכח הכמות והנסיבות. הנזק הוא בעיקר לנאשם ולבריאותו. הנאשם אחראי בלעדית למעשים. </w:t>
      </w:r>
    </w:p>
    <w:p w14:paraId="4766BA05" w14:textId="77777777" w:rsidR="00E969B4" w:rsidRDefault="00E969B4" w:rsidP="00E969B4">
      <w:pPr>
        <w:spacing w:line="360" w:lineRule="auto"/>
        <w:jc w:val="both"/>
        <w:rPr>
          <w:rFonts w:cs="FrankRuehl"/>
          <w:sz w:val="28"/>
          <w:szCs w:val="28"/>
          <w:rtl/>
        </w:rPr>
      </w:pPr>
    </w:p>
    <w:p w14:paraId="4AFB3971" w14:textId="77777777" w:rsidR="00E969B4" w:rsidRDefault="00E969B4" w:rsidP="00E969B4">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sidRPr="00D152E9">
        <w:rPr>
          <w:rFonts w:cs="FrankRuehl" w:hint="cs"/>
          <w:b/>
          <w:bCs/>
          <w:sz w:val="28"/>
          <w:szCs w:val="28"/>
          <w:rtl/>
        </w:rPr>
        <w:t>ביחס לתיק הראשון</w:t>
      </w:r>
      <w:r>
        <w:rPr>
          <w:rFonts w:cs="FrankRuehl" w:hint="cs"/>
          <w:sz w:val="28"/>
          <w:szCs w:val="28"/>
          <w:rtl/>
        </w:rPr>
        <w:t xml:space="preserve"> </w:t>
      </w:r>
      <w:r>
        <w:rPr>
          <w:rFonts w:cs="FrankRuehl"/>
          <w:sz w:val="28"/>
          <w:szCs w:val="28"/>
          <w:rtl/>
        </w:rPr>
        <w:t>–</w:t>
      </w:r>
      <w:r>
        <w:rPr>
          <w:rFonts w:cs="FrankRuehl" w:hint="cs"/>
          <w:sz w:val="28"/>
          <w:szCs w:val="28"/>
          <w:rtl/>
        </w:rPr>
        <w:t xml:space="preserve"> עבירות מרמה מזמנות טווח ענישה נרחב, בשל השוני בנסיבות של כל מקרה ומקרה. ב</w:t>
      </w:r>
      <w:hyperlink r:id="rId31" w:history="1">
        <w:r w:rsidR="00A0413F" w:rsidRPr="00A0413F">
          <w:rPr>
            <w:rFonts w:cs="FrankRuehl"/>
            <w:color w:val="0000FF"/>
            <w:sz w:val="28"/>
            <w:szCs w:val="28"/>
            <w:u w:val="single"/>
            <w:rtl/>
          </w:rPr>
          <w:t>רע"פ 5986/17</w:t>
        </w:r>
      </w:hyperlink>
      <w:r>
        <w:rPr>
          <w:rFonts w:cs="FrankRuehl" w:hint="cs"/>
          <w:sz w:val="28"/>
          <w:szCs w:val="28"/>
          <w:rtl/>
        </w:rPr>
        <w:t xml:space="preserve"> </w:t>
      </w:r>
      <w:r w:rsidRPr="00D152E9">
        <w:rPr>
          <w:rFonts w:cs="FrankRuehl" w:hint="cs"/>
          <w:b/>
          <w:bCs/>
          <w:sz w:val="28"/>
          <w:szCs w:val="28"/>
          <w:u w:val="single"/>
          <w:rtl/>
        </w:rPr>
        <w:t>הפטר</w:t>
      </w:r>
      <w:r>
        <w:rPr>
          <w:rFonts w:cs="FrankRuehl" w:hint="cs"/>
          <w:sz w:val="28"/>
          <w:szCs w:val="28"/>
          <w:rtl/>
        </w:rPr>
        <w:t xml:space="preserve"> נ' </w:t>
      </w:r>
      <w:r w:rsidRPr="00D152E9">
        <w:rPr>
          <w:rFonts w:cs="FrankRuehl" w:hint="cs"/>
          <w:b/>
          <w:bCs/>
          <w:sz w:val="28"/>
          <w:szCs w:val="28"/>
          <w:u w:val="single"/>
          <w:rtl/>
        </w:rPr>
        <w:t>מ"י</w:t>
      </w:r>
      <w:r>
        <w:rPr>
          <w:rFonts w:cs="FrankRuehl" w:hint="cs"/>
          <w:sz w:val="28"/>
          <w:szCs w:val="28"/>
          <w:rtl/>
        </w:rPr>
        <w:t xml:space="preserve"> (מיום 27.7.2017) אושר מתחם ענישה שבין מאסר קצר ועד 12 חודשי מאסר לאישום שנגע לגניבה והונאה בכרטיס אשראי בהיקף 6,000 ₪. בשל עבירות נוספות נגזרו על הנאשם 18 חודשי מאסר. </w:t>
      </w:r>
    </w:p>
    <w:p w14:paraId="22D785E9" w14:textId="77777777" w:rsidR="00E969B4" w:rsidRDefault="00E969B4" w:rsidP="00E969B4">
      <w:pPr>
        <w:spacing w:line="360" w:lineRule="auto"/>
        <w:jc w:val="both"/>
        <w:rPr>
          <w:rFonts w:cs="FrankRuehl"/>
          <w:sz w:val="28"/>
          <w:szCs w:val="28"/>
          <w:rtl/>
        </w:rPr>
      </w:pPr>
      <w:r w:rsidRPr="00D152E9">
        <w:rPr>
          <w:rFonts w:cs="FrankRuehl" w:hint="cs"/>
          <w:b/>
          <w:bCs/>
          <w:sz w:val="28"/>
          <w:szCs w:val="28"/>
          <w:rtl/>
        </w:rPr>
        <w:t>ביחס לתיקי הסמים</w:t>
      </w:r>
      <w:r>
        <w:rPr>
          <w:rFonts w:cs="FrankRuehl" w:hint="cs"/>
          <w:sz w:val="28"/>
          <w:szCs w:val="28"/>
          <w:rtl/>
        </w:rPr>
        <w:t xml:space="preserve"> </w:t>
      </w:r>
      <w:r>
        <w:rPr>
          <w:rFonts w:cs="FrankRuehl"/>
          <w:sz w:val="28"/>
          <w:szCs w:val="28"/>
          <w:rtl/>
        </w:rPr>
        <w:t>–</w:t>
      </w:r>
      <w:r>
        <w:rPr>
          <w:rFonts w:cs="FrankRuehl" w:hint="cs"/>
          <w:sz w:val="28"/>
          <w:szCs w:val="28"/>
          <w:rtl/>
        </w:rPr>
        <w:t xml:space="preserve"> ב</w:t>
      </w:r>
      <w:hyperlink r:id="rId32" w:history="1">
        <w:r w:rsidR="00A0413F" w:rsidRPr="00A0413F">
          <w:rPr>
            <w:rFonts w:cs="FrankRuehl"/>
            <w:color w:val="0000FF"/>
            <w:sz w:val="28"/>
            <w:szCs w:val="28"/>
            <w:u w:val="single"/>
            <w:rtl/>
          </w:rPr>
          <w:t>רע"פ 7996/12</w:t>
        </w:r>
      </w:hyperlink>
      <w:r>
        <w:rPr>
          <w:rFonts w:cs="FrankRuehl" w:hint="cs"/>
          <w:sz w:val="28"/>
          <w:szCs w:val="28"/>
          <w:rtl/>
        </w:rPr>
        <w:t xml:space="preserve"> </w:t>
      </w:r>
      <w:r w:rsidRPr="00B40EB5">
        <w:rPr>
          <w:rFonts w:cs="FrankRuehl" w:hint="cs"/>
          <w:b/>
          <w:bCs/>
          <w:sz w:val="28"/>
          <w:szCs w:val="28"/>
          <w:u w:val="single"/>
          <w:rtl/>
        </w:rPr>
        <w:t>יוסף</w:t>
      </w:r>
      <w:r>
        <w:rPr>
          <w:rFonts w:cs="FrankRuehl" w:hint="cs"/>
          <w:sz w:val="28"/>
          <w:szCs w:val="28"/>
          <w:rtl/>
        </w:rPr>
        <w:t xml:space="preserve"> נ' </w:t>
      </w:r>
      <w:r w:rsidRPr="00B40EB5">
        <w:rPr>
          <w:rFonts w:cs="FrankRuehl" w:hint="cs"/>
          <w:b/>
          <w:bCs/>
          <w:sz w:val="28"/>
          <w:szCs w:val="28"/>
          <w:u w:val="single"/>
          <w:rtl/>
        </w:rPr>
        <w:t>מ"י</w:t>
      </w:r>
      <w:r>
        <w:rPr>
          <w:rFonts w:cs="FrankRuehl" w:hint="cs"/>
          <w:sz w:val="28"/>
          <w:szCs w:val="28"/>
          <w:rtl/>
        </w:rPr>
        <w:t xml:space="preserve"> (מיום 23.1.2013) אושר מתחם שבין מאסר על-תנאי לעבודות שירות ביחס לעבירה של שימוש עצמי בקוקאין, ומכאן ניתן לגזור לקולא ביחס למקרנו. באותו מקרה נדון נאשם למאסר ממושך בעיקר בשל עבירות הסחר.</w:t>
      </w:r>
    </w:p>
    <w:p w14:paraId="4138F7AA" w14:textId="77777777" w:rsidR="00E969B4" w:rsidRDefault="00E969B4" w:rsidP="00E969B4">
      <w:pPr>
        <w:spacing w:line="360" w:lineRule="auto"/>
        <w:jc w:val="both"/>
        <w:rPr>
          <w:rFonts w:cs="FrankRuehl"/>
          <w:b/>
          <w:bCs/>
          <w:sz w:val="28"/>
          <w:szCs w:val="28"/>
          <w:u w:val="single"/>
          <w:rtl/>
        </w:rPr>
      </w:pPr>
    </w:p>
    <w:p w14:paraId="4181FB31" w14:textId="77777777" w:rsidR="00E969B4" w:rsidRDefault="00E969B4" w:rsidP="00E969B4">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מתחם הענישה </w:t>
      </w:r>
      <w:r>
        <w:rPr>
          <w:rFonts w:cs="FrankRuehl" w:hint="cs"/>
          <w:sz w:val="28"/>
          <w:szCs w:val="28"/>
          <w:rtl/>
        </w:rPr>
        <w:t xml:space="preserve">ביחס לתיק הראשון צריך לעמוד על בין חודש ל-6 חודשי מאסר שיכול וירוצו בעבודות שירות, ובין שבוע מאסר ועד 4 חודשי מאסר ביחס לכל אחד מתיקי הסמים. </w:t>
      </w:r>
    </w:p>
    <w:p w14:paraId="328E56C0" w14:textId="77777777" w:rsidR="00E969B4" w:rsidRDefault="00E969B4" w:rsidP="00E969B4">
      <w:pPr>
        <w:spacing w:line="360" w:lineRule="auto"/>
        <w:jc w:val="both"/>
        <w:rPr>
          <w:rFonts w:cs="FrankRuehl"/>
          <w:b/>
          <w:bCs/>
          <w:sz w:val="28"/>
          <w:szCs w:val="28"/>
          <w:rtl/>
        </w:rPr>
      </w:pPr>
    </w:p>
    <w:p w14:paraId="19A2D653" w14:textId="77777777" w:rsidR="00E969B4" w:rsidRDefault="00E969B4" w:rsidP="00E969B4">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33" w:history="1">
        <w:r w:rsidR="00EC5E70" w:rsidRPr="00EC5E70">
          <w:rPr>
            <w:rStyle w:val="Hyperlink"/>
            <w:rFonts w:cs="FrankRuehl"/>
            <w:b/>
            <w:bCs/>
            <w:sz w:val="28"/>
            <w:szCs w:val="28"/>
            <w:rtl/>
          </w:rPr>
          <w:t>סעיף 40י"א</w:t>
        </w:r>
      </w:hyperlink>
      <w:r>
        <w:rPr>
          <w:rFonts w:cs="FrankRuehl"/>
          <w:b/>
          <w:bCs/>
          <w:sz w:val="28"/>
          <w:szCs w:val="28"/>
          <w:u w:val="single"/>
          <w:rtl/>
        </w:rPr>
        <w:t xml:space="preserve"> ל</w:t>
      </w:r>
      <w:hyperlink r:id="rId34" w:history="1">
        <w:r w:rsidR="00A0413F" w:rsidRPr="00A0413F">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הנאשם כבן 56, ולחובתו רישום פלילי מכביד, המלמד על ניהול חיים התמכרותיים וביצוע עבירות למימון ההתמכרות. הנאשם ריצה מאסרים ותלויים ועומדים נגדו 3 מאסרים מותנים. כל זאת לחומרה. אלא שנדמה, כי חלה התייצבות מסוימת במצבו של הנאשם, ומהיכרותי עמו בשנים האחרונות, אכן ניכר שינוי לטובה במראהו ובהליכותיו, ויש לקוות כי העייפות מאורח החיים ההתמכרותי והעברייני, הביאו, סוף סוף, לכדי הבנה שניתן לחיות בדרך אחרת, חיובית ויצרנית, מבלי להזיק לעצמו ולזולת. עצם העובדה שהנאשם נמצא כשיר לעבודות שירות מלמדת על כך שהצליח לשמור על ניקיון מסמים, ואף נמצא כשיר מבחינת דפוסיו, לבצע עונש זה, משימה לא קלה עבור אדם דוגמתו, נוכח קורות חייו. בנוסף, הנאשם קיבל אחריות מלאה לארבעה תיקים לרבות אחד שטרם הוגש באופן פורמלי. כל זאת לזכותו.</w:t>
      </w:r>
    </w:p>
    <w:p w14:paraId="1704E813" w14:textId="77777777" w:rsidR="00E969B4" w:rsidRDefault="00E969B4" w:rsidP="00E969B4">
      <w:pPr>
        <w:spacing w:line="360" w:lineRule="auto"/>
        <w:jc w:val="both"/>
        <w:rPr>
          <w:rFonts w:cs="FrankRuehl"/>
          <w:sz w:val="28"/>
          <w:szCs w:val="28"/>
          <w:rtl/>
        </w:rPr>
      </w:pPr>
    </w:p>
    <w:p w14:paraId="3247E40A" w14:textId="77777777" w:rsidR="00E969B4" w:rsidRDefault="00E969B4" w:rsidP="00E969B4">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בנסיבות אלו, שליחת הנאשם למאסר ממש לא תשרת כל אינטרס ותשוב ותדרדר את הנאשם לפשע. על הנאשם לשלם על מעשיו, אך לא בדמות מאסר בפועל, אלא בעבודות שירות, ואף זאת לא לתקופה המירבית.</w:t>
      </w:r>
    </w:p>
    <w:p w14:paraId="0B0423E2" w14:textId="77777777" w:rsidR="00E969B4" w:rsidRDefault="00E969B4" w:rsidP="00E969B4">
      <w:pPr>
        <w:spacing w:line="360" w:lineRule="auto"/>
        <w:jc w:val="both"/>
        <w:rPr>
          <w:rFonts w:cs="FrankRuehl"/>
          <w:b/>
          <w:bCs/>
          <w:sz w:val="28"/>
          <w:szCs w:val="28"/>
          <w:u w:val="single"/>
          <w:rtl/>
        </w:rPr>
      </w:pPr>
    </w:p>
    <w:p w14:paraId="38E15D2F" w14:textId="77777777" w:rsidR="00E969B4" w:rsidRDefault="00E969B4" w:rsidP="00E969B4">
      <w:pPr>
        <w:spacing w:line="360" w:lineRule="auto"/>
        <w:jc w:val="both"/>
        <w:rPr>
          <w:rFonts w:cs="FrankRuehl"/>
          <w:b/>
          <w:bCs/>
          <w:sz w:val="28"/>
          <w:szCs w:val="28"/>
          <w:u w:val="single"/>
          <w:rtl/>
        </w:rPr>
      </w:pPr>
    </w:p>
    <w:p w14:paraId="38C0A3E0" w14:textId="77777777" w:rsidR="00E969B4" w:rsidRDefault="00E969B4" w:rsidP="00E969B4">
      <w:pPr>
        <w:spacing w:line="360" w:lineRule="auto"/>
        <w:jc w:val="both"/>
        <w:rPr>
          <w:rFonts w:cs="FrankRuehl"/>
          <w:b/>
          <w:bCs/>
          <w:sz w:val="28"/>
          <w:szCs w:val="28"/>
          <w:u w:val="single"/>
          <w:rtl/>
        </w:rPr>
      </w:pPr>
      <w:r>
        <w:rPr>
          <w:rFonts w:cs="FrankRuehl"/>
          <w:b/>
          <w:bCs/>
          <w:sz w:val="28"/>
          <w:szCs w:val="28"/>
          <w:u w:val="single"/>
          <w:rtl/>
        </w:rPr>
        <w:t>גזירת הדין</w:t>
      </w:r>
    </w:p>
    <w:p w14:paraId="515B8D02" w14:textId="77777777" w:rsidR="00E969B4" w:rsidRDefault="00E969B4" w:rsidP="00E969B4">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403D6E40" w14:textId="77777777" w:rsidR="00E969B4" w:rsidRDefault="00E969B4" w:rsidP="00E969B4">
      <w:pPr>
        <w:numPr>
          <w:ilvl w:val="0"/>
          <w:numId w:val="1"/>
        </w:numPr>
        <w:spacing w:after="160" w:line="360" w:lineRule="auto"/>
        <w:contextualSpacing/>
        <w:jc w:val="both"/>
        <w:rPr>
          <w:rFonts w:cs="FrankRuehl"/>
          <w:sz w:val="28"/>
          <w:szCs w:val="28"/>
        </w:rPr>
      </w:pPr>
      <w:r>
        <w:rPr>
          <w:rFonts w:cs="FrankRuehl" w:hint="cs"/>
          <w:sz w:val="28"/>
          <w:szCs w:val="28"/>
          <w:rtl/>
        </w:rPr>
        <w:t xml:space="preserve">חודשיים מאסר שירוצו בעבודות שירות. העבודות ירוצו ב"מפעל חיים בירושלים" החל מיום 25.7.2021. במועד זה על הנאשם להתייצב במשרדי הממונה בבאר שבע עד לשעה 08:00 לתחילת ריצוי העבודות. הובהר לנאשם כי אם לא יבצע את העבודות כנדרש, בסמכות הממונה להפקיע את העבודות למאסר בפועל </w:t>
      </w:r>
      <w:r>
        <w:rPr>
          <w:rFonts w:cs="FrankRuehl"/>
          <w:sz w:val="28"/>
          <w:szCs w:val="28"/>
          <w:rtl/>
        </w:rPr>
        <w:t>–</w:t>
      </w:r>
      <w:r>
        <w:rPr>
          <w:rFonts w:cs="FrankRuehl" w:hint="cs"/>
          <w:sz w:val="28"/>
          <w:szCs w:val="28"/>
          <w:rtl/>
        </w:rPr>
        <w:t xml:space="preserve"> יש לנכות מתקופה זו את ימי המעצר בהם היה נתון הנאשם במכלול התיקים שלפניי, ככל שהיה נתון, ע"פ חישוב שב"ס שיכריע</w:t>
      </w:r>
      <w:r>
        <w:rPr>
          <w:rFonts w:cs="FrankRuehl"/>
          <w:sz w:val="28"/>
          <w:szCs w:val="28"/>
          <w:rtl/>
        </w:rPr>
        <w:t>;</w:t>
      </w:r>
    </w:p>
    <w:p w14:paraId="0FBB7601" w14:textId="77777777" w:rsidR="00E969B4" w:rsidRDefault="00E969B4" w:rsidP="00E969B4">
      <w:pPr>
        <w:numPr>
          <w:ilvl w:val="0"/>
          <w:numId w:val="1"/>
        </w:numPr>
        <w:spacing w:after="160" w:line="360" w:lineRule="auto"/>
        <w:contextualSpacing/>
        <w:jc w:val="both"/>
        <w:rPr>
          <w:rFonts w:cs="FrankRuehl"/>
          <w:sz w:val="28"/>
          <w:szCs w:val="28"/>
        </w:rPr>
      </w:pPr>
      <w:r w:rsidRPr="00BF7782">
        <w:rPr>
          <w:rFonts w:cs="FrankRuehl" w:hint="cs"/>
          <w:b/>
          <w:bCs/>
          <w:sz w:val="28"/>
          <w:szCs w:val="28"/>
          <w:rtl/>
        </w:rPr>
        <w:t>מפעיל</w:t>
      </w:r>
      <w:r>
        <w:rPr>
          <w:rFonts w:cs="FrankRuehl" w:hint="cs"/>
          <w:sz w:val="28"/>
          <w:szCs w:val="28"/>
          <w:rtl/>
        </w:rPr>
        <w:t xml:space="preserve"> את שלושת המאסרים המותנים שפורטו לעיל באופן הבא:</w:t>
      </w:r>
    </w:p>
    <w:p w14:paraId="25AAB54B" w14:textId="77777777" w:rsidR="00E969B4" w:rsidRDefault="00E969B4" w:rsidP="00E969B4">
      <w:pPr>
        <w:numPr>
          <w:ilvl w:val="1"/>
          <w:numId w:val="1"/>
        </w:numPr>
        <w:spacing w:after="160" w:line="360" w:lineRule="auto"/>
        <w:contextualSpacing/>
        <w:jc w:val="both"/>
        <w:rPr>
          <w:rFonts w:cs="FrankRuehl"/>
          <w:sz w:val="28"/>
          <w:szCs w:val="28"/>
        </w:rPr>
      </w:pPr>
      <w:r>
        <w:rPr>
          <w:rFonts w:cs="FrankRuehl" w:hint="cs"/>
          <w:sz w:val="28"/>
          <w:szCs w:val="28"/>
          <w:rtl/>
        </w:rPr>
        <w:t xml:space="preserve">המאסר המותנה הראשון בן השבועיים </w:t>
      </w:r>
      <w:r>
        <w:rPr>
          <w:rFonts w:cs="FrankRuehl"/>
          <w:sz w:val="28"/>
          <w:szCs w:val="28"/>
          <w:rtl/>
        </w:rPr>
        <w:t>–</w:t>
      </w:r>
      <w:r>
        <w:rPr>
          <w:rFonts w:cs="FrankRuehl" w:hint="cs"/>
          <w:sz w:val="28"/>
          <w:szCs w:val="28"/>
          <w:rtl/>
        </w:rPr>
        <w:t xml:space="preserve"> </w:t>
      </w:r>
      <w:r w:rsidRPr="00BF7782">
        <w:rPr>
          <w:rFonts w:cs="FrankRuehl" w:hint="cs"/>
          <w:b/>
          <w:bCs/>
          <w:sz w:val="28"/>
          <w:szCs w:val="28"/>
          <w:rtl/>
        </w:rPr>
        <w:t>בחופף</w:t>
      </w:r>
      <w:r>
        <w:rPr>
          <w:rFonts w:cs="FrankRuehl" w:hint="cs"/>
          <w:sz w:val="28"/>
          <w:szCs w:val="28"/>
          <w:rtl/>
        </w:rPr>
        <w:t xml:space="preserve"> למאסרו הנוכחי;</w:t>
      </w:r>
    </w:p>
    <w:p w14:paraId="20F9C92D" w14:textId="77777777" w:rsidR="00E969B4" w:rsidRDefault="00E969B4" w:rsidP="00E969B4">
      <w:pPr>
        <w:numPr>
          <w:ilvl w:val="1"/>
          <w:numId w:val="1"/>
        </w:numPr>
        <w:spacing w:after="160" w:line="360" w:lineRule="auto"/>
        <w:contextualSpacing/>
        <w:jc w:val="both"/>
        <w:rPr>
          <w:rFonts w:cs="FrankRuehl"/>
          <w:sz w:val="28"/>
          <w:szCs w:val="28"/>
        </w:rPr>
      </w:pPr>
      <w:r>
        <w:rPr>
          <w:rFonts w:cs="FrankRuehl" w:hint="cs"/>
          <w:sz w:val="28"/>
          <w:szCs w:val="28"/>
          <w:rtl/>
        </w:rPr>
        <w:t xml:space="preserve">המאסר המותנה השני בן שלושת החודשים </w:t>
      </w:r>
      <w:r w:rsidRPr="00BF7782">
        <w:rPr>
          <w:rFonts w:cs="FrankRuehl" w:hint="cs"/>
          <w:b/>
          <w:bCs/>
          <w:sz w:val="28"/>
          <w:szCs w:val="28"/>
          <w:rtl/>
        </w:rPr>
        <w:t>במצטבר</w:t>
      </w:r>
      <w:r>
        <w:rPr>
          <w:rFonts w:cs="FrankRuehl" w:hint="cs"/>
          <w:sz w:val="28"/>
          <w:szCs w:val="28"/>
          <w:rtl/>
        </w:rPr>
        <w:t xml:space="preserve"> למאסר הנוכחי;</w:t>
      </w:r>
    </w:p>
    <w:p w14:paraId="29A78F67" w14:textId="77777777" w:rsidR="00E969B4" w:rsidRDefault="00E969B4" w:rsidP="00E969B4">
      <w:pPr>
        <w:numPr>
          <w:ilvl w:val="1"/>
          <w:numId w:val="1"/>
        </w:numPr>
        <w:spacing w:after="160" w:line="360" w:lineRule="auto"/>
        <w:contextualSpacing/>
        <w:jc w:val="both"/>
        <w:rPr>
          <w:rFonts w:cs="FrankRuehl"/>
          <w:sz w:val="28"/>
          <w:szCs w:val="28"/>
        </w:rPr>
      </w:pPr>
      <w:r>
        <w:rPr>
          <w:rFonts w:cs="FrankRuehl" w:hint="cs"/>
          <w:sz w:val="28"/>
          <w:szCs w:val="28"/>
          <w:rtl/>
        </w:rPr>
        <w:t xml:space="preserve">המאסר המותנה השלישי </w:t>
      </w:r>
      <w:r w:rsidRPr="00BF7782">
        <w:rPr>
          <w:rFonts w:cs="FrankRuehl" w:hint="cs"/>
          <w:b/>
          <w:bCs/>
          <w:sz w:val="28"/>
          <w:szCs w:val="28"/>
          <w:rtl/>
        </w:rPr>
        <w:t>בחופף</w:t>
      </w:r>
      <w:r>
        <w:rPr>
          <w:rFonts w:cs="FrankRuehl" w:hint="cs"/>
          <w:sz w:val="28"/>
          <w:szCs w:val="28"/>
          <w:rtl/>
        </w:rPr>
        <w:t xml:space="preserve"> למעצרו הנוכחי.</w:t>
      </w:r>
    </w:p>
    <w:p w14:paraId="1C3523E8" w14:textId="77777777" w:rsidR="00E969B4" w:rsidRDefault="00E969B4" w:rsidP="00E969B4">
      <w:pPr>
        <w:spacing w:after="160" w:line="360" w:lineRule="auto"/>
        <w:ind w:left="720"/>
        <w:contextualSpacing/>
        <w:jc w:val="both"/>
        <w:rPr>
          <w:rFonts w:cs="FrankRuehl"/>
          <w:sz w:val="28"/>
          <w:szCs w:val="28"/>
          <w:rtl/>
        </w:rPr>
      </w:pPr>
      <w:r w:rsidRPr="00BF7782">
        <w:rPr>
          <w:rFonts w:cs="FrankRuehl" w:hint="cs"/>
          <w:b/>
          <w:bCs/>
          <w:sz w:val="28"/>
          <w:szCs w:val="28"/>
          <w:u w:val="single"/>
          <w:rtl/>
        </w:rPr>
        <w:t>בסה"כ ירצה הנאשם 5 חודשי מאסר בעבודות שירות בניכוי ימי מעצרו ע"פ חישוב שב"ס שיכריע</w:t>
      </w:r>
      <w:r>
        <w:rPr>
          <w:rFonts w:cs="FrankRuehl" w:hint="cs"/>
          <w:sz w:val="28"/>
          <w:szCs w:val="28"/>
          <w:rtl/>
        </w:rPr>
        <w:t xml:space="preserve">; </w:t>
      </w:r>
    </w:p>
    <w:p w14:paraId="3DAF4BAE" w14:textId="77777777" w:rsidR="00E969B4" w:rsidRDefault="00E969B4" w:rsidP="00E969B4">
      <w:pPr>
        <w:numPr>
          <w:ilvl w:val="0"/>
          <w:numId w:val="1"/>
        </w:numPr>
        <w:spacing w:after="160" w:line="360" w:lineRule="auto"/>
        <w:contextualSpacing/>
        <w:jc w:val="both"/>
        <w:rPr>
          <w:rFonts w:cs="FrankRuehl"/>
          <w:sz w:val="28"/>
          <w:szCs w:val="28"/>
        </w:rPr>
      </w:pPr>
      <w:r>
        <w:rPr>
          <w:rFonts w:cs="FrankRuehl" w:hint="cs"/>
          <w:sz w:val="28"/>
          <w:szCs w:val="28"/>
          <w:rtl/>
        </w:rPr>
        <w:t xml:space="preserve">חודש מאסר לא ירוצה, אלא אם יעבור הנאשם בתוך שנה מתום עבודות השירות כל עבירת עוון לפי </w:t>
      </w:r>
      <w:hyperlink r:id="rId35" w:history="1">
        <w:r w:rsidR="00A0413F" w:rsidRPr="00A0413F">
          <w:rPr>
            <w:rFonts w:cs="FrankRuehl"/>
            <w:color w:val="0000FF"/>
            <w:sz w:val="28"/>
            <w:szCs w:val="28"/>
            <w:u w:val="single"/>
            <w:rtl/>
          </w:rPr>
          <w:t>פקודת הסמים המסוכנים</w:t>
        </w:r>
      </w:hyperlink>
      <w:r>
        <w:rPr>
          <w:rFonts w:cs="FrankRuehl" w:hint="cs"/>
          <w:sz w:val="28"/>
          <w:szCs w:val="28"/>
          <w:rtl/>
        </w:rPr>
        <w:t>;</w:t>
      </w:r>
    </w:p>
    <w:p w14:paraId="08F7283B" w14:textId="77777777" w:rsidR="00E969B4" w:rsidRDefault="00E969B4" w:rsidP="00E969B4">
      <w:pPr>
        <w:numPr>
          <w:ilvl w:val="0"/>
          <w:numId w:val="1"/>
        </w:numPr>
        <w:spacing w:after="160" w:line="360" w:lineRule="auto"/>
        <w:contextualSpacing/>
        <w:jc w:val="both"/>
        <w:rPr>
          <w:rFonts w:cs="FrankRuehl"/>
          <w:sz w:val="28"/>
          <w:szCs w:val="28"/>
        </w:rPr>
      </w:pPr>
      <w:r>
        <w:rPr>
          <w:rFonts w:cs="FrankRuehl" w:hint="cs"/>
          <w:sz w:val="28"/>
          <w:szCs w:val="28"/>
          <w:rtl/>
        </w:rPr>
        <w:t>שלושה חודשי מאסר לא ירוצו, אלא אם יעבור הנאשם בתוך שנתיים מתום עבודות שירות עבירת גניבה או גניבה והונאה בכרטיס אשראי;</w:t>
      </w:r>
    </w:p>
    <w:p w14:paraId="0CCF26FE" w14:textId="77777777" w:rsidR="00E969B4" w:rsidRDefault="00E969B4" w:rsidP="00E969B4">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 xml:space="preserve">500 </w:t>
      </w:r>
      <w:r>
        <w:rPr>
          <w:rFonts w:cs="FrankRuehl"/>
          <w:sz w:val="28"/>
          <w:szCs w:val="28"/>
          <w:rtl/>
        </w:rPr>
        <w:t xml:space="preserve"> ₪, או  </w:t>
      </w:r>
      <w:r>
        <w:rPr>
          <w:rFonts w:cs="FrankRuehl" w:hint="cs"/>
          <w:sz w:val="28"/>
          <w:szCs w:val="28"/>
          <w:rtl/>
        </w:rPr>
        <w:t xml:space="preserve">יומיים </w:t>
      </w:r>
      <w:r>
        <w:rPr>
          <w:rFonts w:cs="FrankRuehl"/>
          <w:sz w:val="28"/>
          <w:szCs w:val="28"/>
          <w:rtl/>
        </w:rPr>
        <w:t xml:space="preserve">מאסר תמורתו אם לא ישולם. הקנס ישולם  </w:t>
      </w:r>
      <w:r>
        <w:rPr>
          <w:rFonts w:cs="FrankRuehl" w:hint="cs"/>
          <w:sz w:val="28"/>
          <w:szCs w:val="28"/>
          <w:rtl/>
        </w:rPr>
        <w:t>ב-5 תשלומים שווים ורצופים החל מיום 1.7.2021 ובכל ראשון לחודש רציף ועוקב.</w:t>
      </w:r>
      <w:r>
        <w:rPr>
          <w:rFonts w:cs="FrankRuehl"/>
          <w:sz w:val="28"/>
          <w:szCs w:val="28"/>
          <w:rtl/>
        </w:rPr>
        <w:t xml:space="preserve"> לא ישולם תשלום במועד או לא ישולם כלל, יעמוד הקנס לפירעון מיידי. מורה על קיזוז הקנס מההפקדה שבתיק. ככל שתיוותר יתרת חובה, תשולם כפי שקבעתי. ככל שתיוותר יתרת זכות תוחזר לנאשם על אף כל הוראת עיקול;</w:t>
      </w:r>
    </w:p>
    <w:p w14:paraId="0217A3A9" w14:textId="77777777" w:rsidR="00E969B4" w:rsidRDefault="00E969B4" w:rsidP="00E969B4">
      <w:pPr>
        <w:numPr>
          <w:ilvl w:val="0"/>
          <w:numId w:val="1"/>
        </w:numPr>
        <w:spacing w:after="160" w:line="360" w:lineRule="auto"/>
        <w:contextualSpacing/>
        <w:jc w:val="both"/>
        <w:rPr>
          <w:rFonts w:cs="FrankRuehl"/>
          <w:sz w:val="28"/>
          <w:szCs w:val="28"/>
        </w:rPr>
      </w:pPr>
      <w:r>
        <w:rPr>
          <w:rFonts w:cs="FrankRuehl"/>
          <w:sz w:val="28"/>
          <w:szCs w:val="28"/>
          <w:rtl/>
        </w:rPr>
        <w:t xml:space="preserve">פיצוי </w:t>
      </w:r>
      <w:r>
        <w:rPr>
          <w:rFonts w:cs="FrankRuehl" w:hint="cs"/>
          <w:sz w:val="28"/>
          <w:szCs w:val="28"/>
          <w:rtl/>
        </w:rPr>
        <w:t xml:space="preserve">בסך 1,000 ₪ למתלוננת בתיק הראשון, עדת תביעה 2. הפיצוי ישולם ב-10 תשלומים שווים ורצופים החל מיום 1.7.2021 ובכל ראשון </w:t>
      </w:r>
      <w:r>
        <w:rPr>
          <w:rFonts w:cs="FrankRuehl"/>
          <w:sz w:val="28"/>
          <w:szCs w:val="28"/>
          <w:rtl/>
        </w:rPr>
        <w:t>חודש רציף ועוקב. אי עמידה בתשלום מי מהתשלומים תביא לפירעון מיידי של הפיצוי ולתוספת הפרשי הצמדה וריבית פיגורים כחוק;</w:t>
      </w:r>
    </w:p>
    <w:p w14:paraId="5FEE4583" w14:textId="77777777" w:rsidR="00E969B4" w:rsidRDefault="00E969B4" w:rsidP="00E969B4">
      <w:pPr>
        <w:spacing w:line="360" w:lineRule="auto"/>
        <w:rPr>
          <w:rFonts w:ascii="FrankRuehl" w:hAnsi="FrankRuehl" w:cs="FrankRuehl"/>
          <w:sz w:val="28"/>
          <w:szCs w:val="28"/>
          <w:rtl/>
        </w:rPr>
      </w:pPr>
    </w:p>
    <w:p w14:paraId="52ED987E" w14:textId="77777777" w:rsidR="00E969B4" w:rsidRDefault="00E969B4" w:rsidP="00E969B4">
      <w:pPr>
        <w:spacing w:line="360" w:lineRule="auto"/>
        <w:rPr>
          <w:rFonts w:ascii="FrankRuehl" w:hAnsi="FrankRuehl" w:cs="FrankRuehl"/>
          <w:sz w:val="28"/>
          <w:szCs w:val="28"/>
          <w:rtl/>
        </w:rPr>
      </w:pPr>
      <w:r>
        <w:rPr>
          <w:rFonts w:ascii="FrankRuehl" w:hAnsi="FrankRuehl" w:cs="FrankRuehl"/>
          <w:sz w:val="28"/>
          <w:szCs w:val="28"/>
          <w:rtl/>
        </w:rPr>
        <w:t>מורה על השמדת הסמים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לגבי הטלפונים יוחזרו לבעליהם או יחולטו ע"פ החלטת הרשם</w:t>
      </w:r>
      <w:r>
        <w:rPr>
          <w:rFonts w:ascii="FrankRuehl" w:hAnsi="FrankRuehl" w:cs="FrankRuehl"/>
          <w:sz w:val="28"/>
          <w:szCs w:val="28"/>
          <w:rtl/>
        </w:rPr>
        <w:t>.</w:t>
      </w:r>
    </w:p>
    <w:p w14:paraId="00000BD2" w14:textId="77777777" w:rsidR="00E969B4" w:rsidRDefault="00E969B4" w:rsidP="00E969B4">
      <w:pPr>
        <w:spacing w:line="360" w:lineRule="auto"/>
        <w:rPr>
          <w:rFonts w:ascii="FrankRuehl" w:hAnsi="FrankRuehl" w:cs="FrankRuehl"/>
          <w:sz w:val="28"/>
          <w:szCs w:val="28"/>
        </w:rPr>
      </w:pPr>
      <w:r>
        <w:rPr>
          <w:rFonts w:ascii="FrankRuehl" w:hAnsi="FrankRuehl" w:cs="FrankRuehl"/>
          <w:sz w:val="28"/>
          <w:szCs w:val="28"/>
          <w:rtl/>
        </w:rPr>
        <w:t>יש לשלוח לממונה על עבודות שירות.</w:t>
      </w:r>
    </w:p>
    <w:p w14:paraId="1CD215F0" w14:textId="77777777" w:rsidR="00E969B4" w:rsidRDefault="00E969B4" w:rsidP="00E969B4">
      <w:pPr>
        <w:rPr>
          <w:rFonts w:ascii="FrankRuehl" w:hAnsi="FrankRuehl" w:cs="FrankRuehl"/>
          <w:sz w:val="28"/>
          <w:szCs w:val="28"/>
          <w:rtl/>
        </w:rPr>
      </w:pPr>
    </w:p>
    <w:p w14:paraId="42A056D4" w14:textId="77777777" w:rsidR="00E969B4" w:rsidRDefault="00E969B4" w:rsidP="00E969B4">
      <w:pPr>
        <w:rPr>
          <w:rFonts w:ascii="FrankRuehl" w:hAnsi="FrankRuehl" w:cs="FrankRuehl"/>
          <w:sz w:val="28"/>
          <w:szCs w:val="28"/>
          <w:rtl/>
        </w:rPr>
      </w:pPr>
      <w:r>
        <w:rPr>
          <w:rFonts w:ascii="FrankRuehl" w:hAnsi="FrankRuehl" w:cs="FrankRuehl"/>
          <w:sz w:val="28"/>
          <w:szCs w:val="28"/>
          <w:rtl/>
        </w:rPr>
        <w:t>זכות ערעור כחוק לבית המשפט המחוזי בירושלים בתוך 45 יום מהיום.</w:t>
      </w:r>
    </w:p>
    <w:p w14:paraId="1C2FE4F3" w14:textId="77777777" w:rsidR="00E969B4" w:rsidRPr="00DA0FDB" w:rsidRDefault="00E969B4" w:rsidP="00E969B4"/>
    <w:p w14:paraId="746F0143" w14:textId="77777777" w:rsidR="00E969B4" w:rsidRPr="00B05847" w:rsidRDefault="00E969B4" w:rsidP="00E969B4">
      <w:pPr>
        <w:rPr>
          <w:rtl/>
        </w:rPr>
      </w:pPr>
    </w:p>
    <w:p w14:paraId="61905003" w14:textId="77777777" w:rsidR="00E969B4" w:rsidRPr="00A0413F" w:rsidRDefault="00A0413F" w:rsidP="00E969B4">
      <w:pPr>
        <w:rPr>
          <w:color w:val="FFFFFF"/>
          <w:sz w:val="2"/>
          <w:szCs w:val="2"/>
          <w:rtl/>
        </w:rPr>
      </w:pPr>
      <w:r w:rsidRPr="00A0413F">
        <w:rPr>
          <w:color w:val="FFFFFF"/>
          <w:sz w:val="2"/>
          <w:szCs w:val="2"/>
          <w:rtl/>
        </w:rPr>
        <w:t>5129371</w:t>
      </w:r>
    </w:p>
    <w:p w14:paraId="785A79D9" w14:textId="77777777" w:rsidR="00E969B4" w:rsidRPr="00BF7782" w:rsidRDefault="00A0413F" w:rsidP="00E969B4">
      <w:pPr>
        <w:rPr>
          <w:rFonts w:cs="FrankRuehl"/>
          <w:sz w:val="28"/>
          <w:szCs w:val="28"/>
          <w:rtl/>
        </w:rPr>
      </w:pPr>
      <w:bookmarkStart w:id="8" w:name="Nitan"/>
      <w:r w:rsidRPr="00A0413F">
        <w:rPr>
          <w:rFonts w:ascii="Arial" w:hAnsi="Arial"/>
          <w:color w:val="FFFFFF"/>
          <w:sz w:val="2"/>
          <w:szCs w:val="2"/>
          <w:rtl/>
        </w:rPr>
        <w:t>54678313</w:t>
      </w:r>
      <w:r>
        <w:rPr>
          <w:rFonts w:ascii="Arial" w:hAnsi="Arial"/>
          <w:rtl/>
        </w:rPr>
        <w:t xml:space="preserve">ניתן היום,  כ"ז סיוון תשפ"א, 07 יוני 2021, במעמד הצדדים. </w:t>
      </w:r>
      <w:bookmarkEnd w:id="8"/>
    </w:p>
    <w:p w14:paraId="42017637" w14:textId="77777777" w:rsidR="00E969B4" w:rsidRDefault="00E969B4" w:rsidP="00A0413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D20E389" w14:textId="77777777" w:rsidR="00E969B4" w:rsidRDefault="00E969B4" w:rsidP="00E969B4">
      <w:pPr>
        <w:jc w:val="center"/>
        <w:rPr>
          <w:rFonts w:ascii="Arial" w:hAnsi="Arial" w:cs="FrankRuehl"/>
          <w:sz w:val="28"/>
          <w:szCs w:val="28"/>
          <w:rtl/>
        </w:rPr>
      </w:pPr>
    </w:p>
    <w:p w14:paraId="01C5EA85" w14:textId="77777777" w:rsidR="00E969B4" w:rsidRDefault="00E969B4" w:rsidP="00E969B4">
      <w:pPr>
        <w:rPr>
          <w:rFonts w:cs="FrankRuehl"/>
          <w:sz w:val="28"/>
          <w:szCs w:val="28"/>
          <w:rtl/>
        </w:rPr>
      </w:pPr>
    </w:p>
    <w:p w14:paraId="20C2AB70" w14:textId="77777777" w:rsidR="00E969B4" w:rsidRPr="00EC5E70" w:rsidRDefault="00EC5E70" w:rsidP="00E969B4">
      <w:pPr>
        <w:pStyle w:val="a3"/>
        <w:jc w:val="center"/>
        <w:rPr>
          <w:color w:val="FFFFFF"/>
          <w:sz w:val="2"/>
          <w:szCs w:val="2"/>
          <w:rtl/>
        </w:rPr>
      </w:pPr>
      <w:r w:rsidRPr="00EC5E70">
        <w:rPr>
          <w:color w:val="FFFFFF"/>
          <w:sz w:val="2"/>
          <w:szCs w:val="2"/>
          <w:rtl/>
        </w:rPr>
        <w:t>5129371</w:t>
      </w:r>
    </w:p>
    <w:p w14:paraId="6737A73A" w14:textId="77777777" w:rsidR="002773EE" w:rsidRPr="00EC5E70" w:rsidRDefault="00EC5E70" w:rsidP="00A0413F">
      <w:pPr>
        <w:keepNext/>
        <w:rPr>
          <w:rFonts w:ascii="David" w:hAnsi="David"/>
          <w:color w:val="FFFFFF"/>
          <w:sz w:val="2"/>
          <w:szCs w:val="2"/>
          <w:rtl/>
        </w:rPr>
      </w:pPr>
      <w:r w:rsidRPr="00EC5E70">
        <w:rPr>
          <w:rFonts w:ascii="David" w:hAnsi="David"/>
          <w:color w:val="FFFFFF"/>
          <w:sz w:val="2"/>
          <w:szCs w:val="2"/>
          <w:rtl/>
        </w:rPr>
        <w:t>54678313</w:t>
      </w:r>
    </w:p>
    <w:p w14:paraId="5D174E1C" w14:textId="77777777" w:rsidR="00A0413F" w:rsidRDefault="00A0413F" w:rsidP="00A0413F">
      <w:pPr>
        <w:rPr>
          <w:rtl/>
        </w:rPr>
      </w:pPr>
    </w:p>
    <w:p w14:paraId="621C738B" w14:textId="77777777" w:rsidR="00A0413F" w:rsidRDefault="00A0413F" w:rsidP="00A0413F">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7889807F" w14:textId="77777777" w:rsidR="00EC5E70" w:rsidRPr="00EC5E70" w:rsidRDefault="00EC5E70" w:rsidP="00EC5E70">
      <w:pPr>
        <w:keepNext/>
        <w:rPr>
          <w:rFonts w:ascii="David" w:hAnsi="David"/>
          <w:color w:val="000000"/>
          <w:sz w:val="22"/>
          <w:szCs w:val="22"/>
          <w:rtl/>
        </w:rPr>
      </w:pPr>
    </w:p>
    <w:p w14:paraId="4E1382A5" w14:textId="77777777" w:rsidR="00EC5E70" w:rsidRPr="00EC5E70" w:rsidRDefault="00EC5E70" w:rsidP="00EC5E70">
      <w:pPr>
        <w:keepNext/>
        <w:rPr>
          <w:rFonts w:ascii="David" w:hAnsi="David"/>
          <w:color w:val="000000"/>
          <w:sz w:val="22"/>
          <w:szCs w:val="22"/>
          <w:rtl/>
        </w:rPr>
      </w:pPr>
      <w:r w:rsidRPr="00EC5E70">
        <w:rPr>
          <w:rFonts w:ascii="David" w:hAnsi="David"/>
          <w:color w:val="000000"/>
          <w:sz w:val="22"/>
          <w:szCs w:val="22"/>
          <w:rtl/>
        </w:rPr>
        <w:t>דוד שאול גבאי ריכטר 54678313-/</w:t>
      </w:r>
    </w:p>
    <w:p w14:paraId="5D87CD2E" w14:textId="77777777" w:rsidR="00A0413F" w:rsidRPr="00A0413F" w:rsidRDefault="00EC5E70" w:rsidP="00EC5E70">
      <w:pPr>
        <w:rPr>
          <w:color w:val="0000FF"/>
          <w:u w:val="single"/>
        </w:rPr>
      </w:pPr>
      <w:r w:rsidRPr="00EC5E70">
        <w:rPr>
          <w:color w:val="000000"/>
          <w:u w:val="single"/>
          <w:rtl/>
        </w:rPr>
        <w:t>נוסח מסמך זה כפוף לשינויי ניסוח ועריכה</w:t>
      </w:r>
    </w:p>
    <w:sectPr w:rsidR="00A0413F" w:rsidRPr="00A0413F" w:rsidSect="00EC5E70">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A9F8B" w14:textId="77777777" w:rsidR="00DB329F" w:rsidRDefault="00DB329F" w:rsidP="00687FCF">
      <w:r>
        <w:separator/>
      </w:r>
    </w:p>
  </w:endnote>
  <w:endnote w:type="continuationSeparator" w:id="0">
    <w:p w14:paraId="55B4C0D2" w14:textId="77777777" w:rsidR="00DB329F" w:rsidRDefault="00DB329F" w:rsidP="00687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B98DD" w14:textId="77777777" w:rsidR="00EC5E70" w:rsidRDefault="00EC5E70" w:rsidP="00EC5E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7C421E3" w14:textId="77777777" w:rsidR="00B27C29" w:rsidRPr="00EC5E70" w:rsidRDefault="00EC5E70" w:rsidP="00EC5E70">
    <w:pPr>
      <w:pStyle w:val="a5"/>
      <w:pBdr>
        <w:top w:val="single" w:sz="4" w:space="1" w:color="auto"/>
        <w:between w:val="single" w:sz="4" w:space="0" w:color="auto"/>
      </w:pBdr>
      <w:spacing w:after="60"/>
      <w:jc w:val="center"/>
      <w:rPr>
        <w:rFonts w:ascii="FrankRuehl" w:hAnsi="FrankRuehl" w:cs="FrankRuehl"/>
        <w:color w:val="000000"/>
      </w:rPr>
    </w:pPr>
    <w:r w:rsidRPr="00EC5E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35EC6" w14:textId="77777777" w:rsidR="00EC5E70" w:rsidRDefault="00EC5E70" w:rsidP="00EC5E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7078">
      <w:rPr>
        <w:rFonts w:ascii="FrankRuehl" w:hAnsi="FrankRuehl" w:cs="FrankRuehl"/>
        <w:noProof/>
        <w:rtl/>
      </w:rPr>
      <w:t>1</w:t>
    </w:r>
    <w:r>
      <w:rPr>
        <w:rFonts w:ascii="FrankRuehl" w:hAnsi="FrankRuehl" w:cs="FrankRuehl"/>
        <w:rtl/>
      </w:rPr>
      <w:fldChar w:fldCharType="end"/>
    </w:r>
  </w:p>
  <w:p w14:paraId="3A57A5B3" w14:textId="77777777" w:rsidR="00B27C29" w:rsidRPr="00EC5E70" w:rsidRDefault="00EC5E70" w:rsidP="00EC5E70">
    <w:pPr>
      <w:pStyle w:val="a5"/>
      <w:pBdr>
        <w:top w:val="single" w:sz="4" w:space="1" w:color="auto"/>
        <w:between w:val="single" w:sz="4" w:space="0" w:color="auto"/>
      </w:pBdr>
      <w:spacing w:after="60"/>
      <w:jc w:val="center"/>
      <w:rPr>
        <w:rFonts w:ascii="FrankRuehl" w:hAnsi="FrankRuehl" w:cs="FrankRuehl"/>
        <w:color w:val="000000"/>
      </w:rPr>
    </w:pPr>
    <w:r w:rsidRPr="00EC5E70">
      <w:rPr>
        <w:rFonts w:ascii="FrankRuehl" w:hAnsi="FrankRuehl" w:cs="FrankRuehl"/>
        <w:color w:val="000000"/>
      </w:rPr>
      <w:pict w14:anchorId="3C4F1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677C9" w14:textId="77777777" w:rsidR="00DB329F" w:rsidRDefault="00DB329F" w:rsidP="00687FCF">
      <w:r>
        <w:separator/>
      </w:r>
    </w:p>
  </w:footnote>
  <w:footnote w:type="continuationSeparator" w:id="0">
    <w:p w14:paraId="47F80C07" w14:textId="77777777" w:rsidR="00DB329F" w:rsidRDefault="00DB329F" w:rsidP="00687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0D8D3" w14:textId="77777777" w:rsidR="00A0413F" w:rsidRPr="00EC5E70" w:rsidRDefault="00EC5E70" w:rsidP="00EC5E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9773-05-19</w:t>
    </w:r>
    <w:r>
      <w:rPr>
        <w:rFonts w:ascii="David" w:hAnsi="David"/>
        <w:color w:val="000000"/>
        <w:sz w:val="22"/>
        <w:szCs w:val="22"/>
        <w:rtl/>
      </w:rPr>
      <w:tab/>
      <w:t xml:space="preserve"> מדינת ישראל נ' ישראל זהבי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78F6B" w14:textId="77777777" w:rsidR="00A0413F" w:rsidRPr="00EC5E70" w:rsidRDefault="00EC5E70" w:rsidP="00EC5E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9773-05-19</w:t>
    </w:r>
    <w:r>
      <w:rPr>
        <w:rFonts w:ascii="David" w:hAnsi="David"/>
        <w:color w:val="000000"/>
        <w:sz w:val="22"/>
        <w:szCs w:val="22"/>
        <w:rtl/>
      </w:rPr>
      <w:tab/>
      <w:t xml:space="preserve"> מדינת ישראל נ' ישראל זהבי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3B0244D2"/>
    <w:lvl w:ilvl="0" w:tplc="F3802B80">
      <w:start w:val="1"/>
      <w:numFmt w:val="hebrew1"/>
      <w:lvlText w:val="%1."/>
      <w:lvlJc w:val="left"/>
      <w:pPr>
        <w:ind w:left="720" w:hanging="360"/>
      </w:pPr>
      <w:rPr>
        <w:rFonts w:cs="Times New Roman"/>
      </w:rPr>
    </w:lvl>
    <w:lvl w:ilvl="1" w:tplc="04090011">
      <w:start w:val="1"/>
      <w:numFmt w:val="decimal"/>
      <w:lvlText w:val="%2)"/>
      <w:lvlJc w:val="left"/>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9831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69B4"/>
    <w:rsid w:val="0000411E"/>
    <w:rsid w:val="00107078"/>
    <w:rsid w:val="001B5A3B"/>
    <w:rsid w:val="002773EE"/>
    <w:rsid w:val="004C322D"/>
    <w:rsid w:val="00660274"/>
    <w:rsid w:val="006748BC"/>
    <w:rsid w:val="00687FCF"/>
    <w:rsid w:val="008741E2"/>
    <w:rsid w:val="008C3854"/>
    <w:rsid w:val="00946234"/>
    <w:rsid w:val="00A0413F"/>
    <w:rsid w:val="00A651D9"/>
    <w:rsid w:val="00B27C29"/>
    <w:rsid w:val="00DB329F"/>
    <w:rsid w:val="00E969B4"/>
    <w:rsid w:val="00EC5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385AD6"/>
  <w15:chartTrackingRefBased/>
  <w15:docId w15:val="{B86F5196-73B8-45A7-B400-9AAD3AC9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9B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69B4"/>
    <w:pPr>
      <w:tabs>
        <w:tab w:val="center" w:pos="4153"/>
        <w:tab w:val="right" w:pos="8306"/>
      </w:tabs>
    </w:pPr>
  </w:style>
  <w:style w:type="character" w:customStyle="1" w:styleId="a4">
    <w:name w:val="כותרת עליונה תו"/>
    <w:link w:val="a3"/>
    <w:rsid w:val="00E969B4"/>
    <w:rPr>
      <w:rFonts w:ascii="Times New Roman" w:eastAsia="Times New Roman" w:hAnsi="Times New Roman" w:cs="David"/>
      <w:sz w:val="24"/>
      <w:szCs w:val="24"/>
    </w:rPr>
  </w:style>
  <w:style w:type="paragraph" w:styleId="a5">
    <w:name w:val="footer"/>
    <w:basedOn w:val="a"/>
    <w:link w:val="a6"/>
    <w:rsid w:val="00E969B4"/>
    <w:pPr>
      <w:tabs>
        <w:tab w:val="center" w:pos="4153"/>
        <w:tab w:val="right" w:pos="8306"/>
      </w:tabs>
    </w:pPr>
  </w:style>
  <w:style w:type="character" w:customStyle="1" w:styleId="a6">
    <w:name w:val="כותרת תחתונה תו"/>
    <w:link w:val="a5"/>
    <w:rsid w:val="00E969B4"/>
    <w:rPr>
      <w:rFonts w:ascii="Times New Roman" w:eastAsia="Times New Roman" w:hAnsi="Times New Roman" w:cs="David"/>
      <w:sz w:val="24"/>
      <w:szCs w:val="24"/>
    </w:rPr>
  </w:style>
  <w:style w:type="table" w:styleId="a7">
    <w:name w:val="Table Grid"/>
    <w:basedOn w:val="a1"/>
    <w:rsid w:val="00E969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69B4"/>
  </w:style>
  <w:style w:type="character" w:styleId="Hyperlink">
    <w:name w:val="Hyperlink"/>
    <w:rsid w:val="00A041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5666569" TargetMode="External"/><Relationship Id="rId26" Type="http://schemas.openxmlformats.org/officeDocument/2006/relationships/hyperlink" Target="http://www.nevo.co.il/case/23297254" TargetMode="External"/><Relationship Id="rId39" Type="http://schemas.openxmlformats.org/officeDocument/2006/relationships/footer" Target="footer1.xml"/><Relationship Id="rId21" Type="http://schemas.openxmlformats.org/officeDocument/2006/relationships/hyperlink" Target="http://www.nevo.co.il/case/26504572"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case/25666569"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law/72265" TargetMode="External"/><Relationship Id="rId29" Type="http://schemas.openxmlformats.org/officeDocument/2006/relationships/hyperlink" Target="http://www.nevo.co.il/law/70301/40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265/17" TargetMode="External"/><Relationship Id="rId24" Type="http://schemas.openxmlformats.org/officeDocument/2006/relationships/hyperlink" Target="http://www.nevo.co.il/case/25266128" TargetMode="External"/><Relationship Id="rId32" Type="http://schemas.openxmlformats.org/officeDocument/2006/relationships/hyperlink" Target="http://www.nevo.co.il/case/560548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034105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2265" TargetMode="External"/><Relationship Id="rId19" Type="http://schemas.openxmlformats.org/officeDocument/2006/relationships/hyperlink" Target="http://www.nevo.co.il/law/72265/17" TargetMode="External"/><Relationship Id="rId31" Type="http://schemas.openxmlformats.org/officeDocument/2006/relationships/hyperlink" Target="http://www.nevo.co.il/case/22856558" TargetMode="External"/><Relationship Id="rId4" Type="http://schemas.openxmlformats.org/officeDocument/2006/relationships/webSettings" Target="webSettings.xml"/><Relationship Id="rId9" Type="http://schemas.openxmlformats.org/officeDocument/2006/relationships/hyperlink" Target="http://www.nevo.co.il/case/25266128"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20988865" TargetMode="External"/><Relationship Id="rId30" Type="http://schemas.openxmlformats.org/officeDocument/2006/relationships/hyperlink" Target="http://www.nevo.co.il/law/70301" TargetMode="External"/><Relationship Id="rId35" Type="http://schemas.openxmlformats.org/officeDocument/2006/relationships/hyperlink" Target="http://www.nevo.co.il/law/4216" TargetMode="External"/><Relationship Id="rId8" Type="http://schemas.openxmlformats.org/officeDocument/2006/relationships/hyperlink" Target="http://www.nevo.co.il/case/26504572"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4216/7.a.;7.c" TargetMode="External"/><Relationship Id="rId33" Type="http://schemas.openxmlformats.org/officeDocument/2006/relationships/hyperlink" Target="http://www.nevo.co.il/law/70301/40ja"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1587</Words>
  <Characters>7936</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9504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3473535</vt:i4>
      </vt:variant>
      <vt:variant>
        <vt:i4>75</vt:i4>
      </vt:variant>
      <vt:variant>
        <vt:i4>0</vt:i4>
      </vt:variant>
      <vt:variant>
        <vt:i4>5</vt:i4>
      </vt:variant>
      <vt:variant>
        <vt:lpwstr>http://www.nevo.co.il/case/5605484</vt:lpwstr>
      </vt:variant>
      <vt:variant>
        <vt:lpwstr/>
      </vt:variant>
      <vt:variant>
        <vt:i4>3735670</vt:i4>
      </vt:variant>
      <vt:variant>
        <vt:i4>72</vt:i4>
      </vt:variant>
      <vt:variant>
        <vt:i4>0</vt:i4>
      </vt:variant>
      <vt:variant>
        <vt:i4>5</vt:i4>
      </vt:variant>
      <vt:variant>
        <vt:lpwstr>http://www.nevo.co.il/case/22856558</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3473520</vt:i4>
      </vt:variant>
      <vt:variant>
        <vt:i4>63</vt:i4>
      </vt:variant>
      <vt:variant>
        <vt:i4>0</vt:i4>
      </vt:variant>
      <vt:variant>
        <vt:i4>5</vt:i4>
      </vt:variant>
      <vt:variant>
        <vt:lpwstr>http://www.nevo.co.il/case/20341055</vt:lpwstr>
      </vt:variant>
      <vt:variant>
        <vt:lpwstr/>
      </vt:variant>
      <vt:variant>
        <vt:i4>3473524</vt:i4>
      </vt:variant>
      <vt:variant>
        <vt:i4>60</vt:i4>
      </vt:variant>
      <vt:variant>
        <vt:i4>0</vt:i4>
      </vt:variant>
      <vt:variant>
        <vt:i4>5</vt:i4>
      </vt:variant>
      <vt:variant>
        <vt:lpwstr>http://www.nevo.co.il/case/20988865</vt:lpwstr>
      </vt:variant>
      <vt:variant>
        <vt:lpwstr/>
      </vt:variant>
      <vt:variant>
        <vt:i4>3276924</vt:i4>
      </vt:variant>
      <vt:variant>
        <vt:i4>57</vt:i4>
      </vt:variant>
      <vt:variant>
        <vt:i4>0</vt:i4>
      </vt:variant>
      <vt:variant>
        <vt:i4>5</vt:i4>
      </vt:variant>
      <vt:variant>
        <vt:lpwstr>http://www.nevo.co.il/case/23297254</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3407990</vt:i4>
      </vt:variant>
      <vt:variant>
        <vt:i4>51</vt:i4>
      </vt:variant>
      <vt:variant>
        <vt:i4>0</vt:i4>
      </vt:variant>
      <vt:variant>
        <vt:i4>5</vt:i4>
      </vt:variant>
      <vt:variant>
        <vt:lpwstr>http://www.nevo.co.il/case/25266128</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3407991</vt:i4>
      </vt:variant>
      <vt:variant>
        <vt:i4>42</vt:i4>
      </vt:variant>
      <vt:variant>
        <vt:i4>0</vt:i4>
      </vt:variant>
      <vt:variant>
        <vt:i4>5</vt:i4>
      </vt:variant>
      <vt:variant>
        <vt:lpwstr>http://www.nevo.co.il/case/26504572</vt:lpwstr>
      </vt:variant>
      <vt:variant>
        <vt:lpwstr/>
      </vt:variant>
      <vt:variant>
        <vt:i4>8257637</vt:i4>
      </vt:variant>
      <vt:variant>
        <vt:i4>39</vt:i4>
      </vt:variant>
      <vt:variant>
        <vt:i4>0</vt:i4>
      </vt:variant>
      <vt:variant>
        <vt:i4>5</vt:i4>
      </vt:variant>
      <vt:variant>
        <vt:lpwstr>http://www.nevo.co.il/law/72265</vt:lpwstr>
      </vt:variant>
      <vt:variant>
        <vt:lpwstr/>
      </vt:variant>
      <vt:variant>
        <vt:i4>6684769</vt:i4>
      </vt:variant>
      <vt:variant>
        <vt:i4>36</vt:i4>
      </vt:variant>
      <vt:variant>
        <vt:i4>0</vt:i4>
      </vt:variant>
      <vt:variant>
        <vt:i4>5</vt:i4>
      </vt:variant>
      <vt:variant>
        <vt:lpwstr>http://www.nevo.co.il/law/72265/17</vt:lpwstr>
      </vt:variant>
      <vt:variant>
        <vt:lpwstr/>
      </vt:variant>
      <vt:variant>
        <vt:i4>3407986</vt:i4>
      </vt:variant>
      <vt:variant>
        <vt:i4>33</vt:i4>
      </vt:variant>
      <vt:variant>
        <vt:i4>0</vt:i4>
      </vt:variant>
      <vt:variant>
        <vt:i4>5</vt:i4>
      </vt:variant>
      <vt:variant>
        <vt:lpwstr>http://www.nevo.co.il/case/25666569</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7995492</vt:i4>
      </vt:variant>
      <vt:variant>
        <vt:i4>24</vt:i4>
      </vt:variant>
      <vt:variant>
        <vt:i4>0</vt:i4>
      </vt:variant>
      <vt:variant>
        <vt:i4>5</vt:i4>
      </vt:variant>
      <vt:variant>
        <vt:lpwstr>http://www.nevo.co.il/law/70301</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6684769</vt:i4>
      </vt:variant>
      <vt:variant>
        <vt:i4>12</vt:i4>
      </vt:variant>
      <vt:variant>
        <vt:i4>0</vt:i4>
      </vt:variant>
      <vt:variant>
        <vt:i4>5</vt:i4>
      </vt:variant>
      <vt:variant>
        <vt:lpwstr>http://www.nevo.co.il/law/72265/17</vt:lpwstr>
      </vt:variant>
      <vt:variant>
        <vt:lpwstr/>
      </vt:variant>
      <vt:variant>
        <vt:i4>8257637</vt:i4>
      </vt:variant>
      <vt:variant>
        <vt:i4>9</vt:i4>
      </vt:variant>
      <vt:variant>
        <vt:i4>0</vt:i4>
      </vt:variant>
      <vt:variant>
        <vt:i4>5</vt:i4>
      </vt:variant>
      <vt:variant>
        <vt:lpwstr>http://www.nevo.co.il/law/72265</vt:lpwstr>
      </vt:variant>
      <vt:variant>
        <vt:lpwstr/>
      </vt:variant>
      <vt:variant>
        <vt:i4>3407990</vt:i4>
      </vt:variant>
      <vt:variant>
        <vt:i4>6</vt:i4>
      </vt:variant>
      <vt:variant>
        <vt:i4>0</vt:i4>
      </vt:variant>
      <vt:variant>
        <vt:i4>5</vt:i4>
      </vt:variant>
      <vt:variant>
        <vt:lpwstr>http://www.nevo.co.il/case/25266128</vt:lpwstr>
      </vt:variant>
      <vt:variant>
        <vt:lpwstr/>
      </vt:variant>
      <vt:variant>
        <vt:i4>3407991</vt:i4>
      </vt:variant>
      <vt:variant>
        <vt:i4>3</vt:i4>
      </vt:variant>
      <vt:variant>
        <vt:i4>0</vt:i4>
      </vt:variant>
      <vt:variant>
        <vt:i4>5</vt:i4>
      </vt:variant>
      <vt:variant>
        <vt:lpwstr>http://www.nevo.co.il/case/26504572</vt:lpwstr>
      </vt:variant>
      <vt:variant>
        <vt:lpwstr/>
      </vt:variant>
      <vt:variant>
        <vt:i4>3407986</vt:i4>
      </vt:variant>
      <vt:variant>
        <vt:i4>0</vt:i4>
      </vt:variant>
      <vt:variant>
        <vt:i4>0</vt:i4>
      </vt:variant>
      <vt:variant>
        <vt:i4>5</vt:i4>
      </vt:variant>
      <vt:variant>
        <vt:lpwstr>http://www.nevo.co.il/case/25666569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2025-04-23T00:11:00Z</dcterms:created>
  <dcterms:modified xsi:type="dcterms:W3CDTF">2025-04-23T00:11:00Z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9773;1617;62902</vt:lpwstr>
  </property>
  <property fmtid="{D5CDD505-2E9C-101B-9397-08002B2CF9AE}" pid="6" name="NEWPARTB">
    <vt:lpwstr>05;03;12</vt:lpwstr>
  </property>
  <property fmtid="{D5CDD505-2E9C-101B-9397-08002B2CF9AE}" pid="7" name="NEWPARTC">
    <vt:lpwstr>19;20;18</vt:lpwstr>
  </property>
  <property fmtid="{D5CDD505-2E9C-101B-9397-08002B2CF9AE}" pid="8" name="APPELLANT">
    <vt:lpwstr>מדינת ישראל</vt:lpwstr>
  </property>
  <property fmtid="{D5CDD505-2E9C-101B-9397-08002B2CF9AE}" pid="9" name="APPELLEE">
    <vt:lpwstr>ישראל זהבי</vt:lpwstr>
  </property>
  <property fmtid="{D5CDD505-2E9C-101B-9397-08002B2CF9AE}" pid="10" name="LAWYER">
    <vt:lpwstr>דניאל מירסקי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20210607</vt:lpwstr>
  </property>
  <property fmtid="{D5CDD505-2E9C-101B-9397-08002B2CF9AE}" pid="14" name="TYPE_N_DATE">
    <vt:lpwstr>38020210607</vt:lpwstr>
  </property>
  <property fmtid="{D5CDD505-2E9C-101B-9397-08002B2CF9AE}" pid="15" name="WORDNUMPAGES">
    <vt:lpwstr>6</vt:lpwstr>
  </property>
  <property fmtid="{D5CDD505-2E9C-101B-9397-08002B2CF9AE}" pid="16" name="TYPE_ABS_DATE">
    <vt:lpwstr>380020210607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25666569:2;26504572:2;25266128:2;23297254;20988865;20341055;22856558;5605484</vt:lpwstr>
  </property>
  <property fmtid="{D5CDD505-2E9C-101B-9397-08002B2CF9AE}" pid="36" name="LAWLISTTMP1">
    <vt:lpwstr>72265/017</vt:lpwstr>
  </property>
  <property fmtid="{D5CDD505-2E9C-101B-9397-08002B2CF9AE}" pid="37" name="LAWLISTTMP2">
    <vt:lpwstr>4216/007.a:2;007.c:2</vt:lpwstr>
  </property>
  <property fmtid="{D5CDD505-2E9C-101B-9397-08002B2CF9AE}" pid="38" name="LAWLISTTMP3">
    <vt:lpwstr>70301/040i;40ja</vt:lpwstr>
  </property>
</Properties>
</file>