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8"/>
        <w:gridCol w:w="3665"/>
        <w:gridCol w:w="104"/>
      </w:tblGrid>
      <w:tr w:rsidR="004B340B" w:rsidRPr="00D7372F" w14:paraId="5CA3F403" w14:textId="77777777" w:rsidTr="000F173E">
        <w:trPr>
          <w:gridAfter w:val="1"/>
          <w:wAfter w:w="99" w:type="dxa"/>
          <w:trHeight w:hRule="exact" w:val="418"/>
          <w:jc w:val="center"/>
        </w:trPr>
        <w:tc>
          <w:tcPr>
            <w:tcW w:w="8721" w:type="dxa"/>
            <w:gridSpan w:val="3"/>
          </w:tcPr>
          <w:p w14:paraId="135FC8B8" w14:textId="77777777" w:rsidR="004B340B" w:rsidRPr="00D7372F" w:rsidRDefault="004B340B" w:rsidP="00652623">
            <w:pPr>
              <w:pStyle w:val="a3"/>
              <w:jc w:val="center"/>
              <w:rPr>
                <w:rFonts w:ascii="FrankRuehl" w:hAnsi="FrankRuehl" w:cs="FrankRuehl"/>
                <w:b/>
                <w:bCs/>
                <w:color w:val="000080"/>
                <w:sz w:val="28"/>
                <w:szCs w:val="28"/>
                <w:rtl/>
              </w:rPr>
            </w:pPr>
            <w:bookmarkStart w:id="0" w:name="LastJudge"/>
            <w:r w:rsidRPr="00D7372F">
              <w:rPr>
                <w:rFonts w:ascii="FrankRuehl" w:hAnsi="FrankRuehl" w:cs="FrankRuehl"/>
                <w:b/>
                <w:bCs/>
                <w:color w:val="000080"/>
                <w:sz w:val="28"/>
                <w:szCs w:val="28"/>
                <w:rtl/>
              </w:rPr>
              <w:t>בית משפט השלום בירושלים</w:t>
            </w:r>
          </w:p>
        </w:tc>
      </w:tr>
      <w:tr w:rsidR="004B340B" w:rsidRPr="00D7372F" w14:paraId="520CCDB0" w14:textId="77777777" w:rsidTr="000F173E">
        <w:trPr>
          <w:gridAfter w:val="1"/>
          <w:wAfter w:w="99" w:type="dxa"/>
          <w:trHeight w:val="337"/>
          <w:jc w:val="center"/>
        </w:trPr>
        <w:tc>
          <w:tcPr>
            <w:tcW w:w="5054" w:type="dxa"/>
            <w:gridSpan w:val="2"/>
          </w:tcPr>
          <w:p w14:paraId="18D507A3" w14:textId="77777777" w:rsidR="004B340B" w:rsidRPr="00D7372F" w:rsidRDefault="004B340B" w:rsidP="00652623">
            <w:pPr>
              <w:rPr>
                <w:rFonts w:ascii="FrankRuehl" w:hAnsi="FrankRuehl" w:cs="FrankRuehl"/>
                <w:b/>
                <w:bCs/>
                <w:sz w:val="28"/>
                <w:szCs w:val="28"/>
                <w:rtl/>
              </w:rPr>
            </w:pPr>
            <w:r w:rsidRPr="00D7372F">
              <w:rPr>
                <w:rFonts w:ascii="FrankRuehl" w:hAnsi="FrankRuehl" w:cs="FrankRuehl"/>
                <w:b/>
                <w:bCs/>
                <w:sz w:val="28"/>
                <w:szCs w:val="28"/>
                <w:rtl/>
              </w:rPr>
              <w:t>ת"פ 11597-06-19 מדינת ישראל נ' קינדה</w:t>
            </w:r>
          </w:p>
          <w:p w14:paraId="3F92A4F3" w14:textId="77777777" w:rsidR="004B340B" w:rsidRPr="00D7372F" w:rsidRDefault="004B340B" w:rsidP="00652623">
            <w:pPr>
              <w:pStyle w:val="a3"/>
              <w:rPr>
                <w:rFonts w:ascii="FrankRuehl" w:hAnsi="FrankRuehl" w:cs="FrankRuehl"/>
                <w:b/>
                <w:bCs/>
                <w:sz w:val="28"/>
                <w:szCs w:val="28"/>
                <w:rtl/>
              </w:rPr>
            </w:pPr>
          </w:p>
        </w:tc>
        <w:tc>
          <w:tcPr>
            <w:tcW w:w="3667" w:type="dxa"/>
          </w:tcPr>
          <w:p w14:paraId="77CEC29C" w14:textId="77777777" w:rsidR="004B340B" w:rsidRPr="00D7372F" w:rsidRDefault="004B340B" w:rsidP="00652623">
            <w:pPr>
              <w:pStyle w:val="a3"/>
              <w:jc w:val="right"/>
              <w:rPr>
                <w:rFonts w:cs="FrankRuehl"/>
                <w:sz w:val="28"/>
                <w:szCs w:val="28"/>
                <w:rtl/>
              </w:rPr>
            </w:pPr>
          </w:p>
        </w:tc>
      </w:tr>
      <w:tr w:rsidR="004B340B" w:rsidRPr="00D7372F" w14:paraId="2891EE38" w14:textId="77777777" w:rsidTr="000F17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03BABE2" w14:textId="77777777" w:rsidR="004B340B" w:rsidRPr="00D7372F" w:rsidRDefault="004B340B" w:rsidP="004B340B">
            <w:pPr>
              <w:jc w:val="both"/>
              <w:rPr>
                <w:rFonts w:ascii="FrankRuehl" w:hAnsi="FrankRuehl" w:cs="FrankRuehl"/>
                <w:b/>
                <w:bCs/>
                <w:sz w:val="28"/>
                <w:szCs w:val="28"/>
              </w:rPr>
            </w:pPr>
            <w:r w:rsidRPr="00D7372F">
              <w:rPr>
                <w:rFonts w:hint="cs"/>
                <w:rtl/>
              </w:rPr>
              <w:t xml:space="preserve"> </w:t>
            </w:r>
            <w:r w:rsidRPr="00D7372F">
              <w:rPr>
                <w:rFonts w:ascii="FrankRuehl" w:hAnsi="FrankRuehl" w:cs="FrankRuehl"/>
                <w:b/>
                <w:bCs/>
                <w:sz w:val="28"/>
                <w:szCs w:val="28"/>
                <w:rtl/>
              </w:rPr>
              <w:t xml:space="preserve">בפני </w:t>
            </w:r>
          </w:p>
        </w:tc>
        <w:tc>
          <w:tcPr>
            <w:tcW w:w="7897" w:type="dxa"/>
            <w:gridSpan w:val="3"/>
            <w:tcBorders>
              <w:top w:val="nil"/>
              <w:left w:val="nil"/>
              <w:bottom w:val="nil"/>
              <w:right w:val="nil"/>
            </w:tcBorders>
            <w:shd w:val="clear" w:color="auto" w:fill="auto"/>
          </w:tcPr>
          <w:p w14:paraId="1C3DD9DE" w14:textId="77777777" w:rsidR="004B340B" w:rsidRPr="00D7372F" w:rsidRDefault="004B340B" w:rsidP="00652623">
            <w:pPr>
              <w:rPr>
                <w:rFonts w:ascii="FrankRuehl" w:hAnsi="FrankRuehl" w:cs="FrankRuehl"/>
                <w:b/>
                <w:bCs/>
                <w:sz w:val="28"/>
                <w:szCs w:val="28"/>
                <w:rtl/>
              </w:rPr>
            </w:pPr>
            <w:r w:rsidRPr="00D7372F">
              <w:rPr>
                <w:rFonts w:ascii="FrankRuehl" w:hAnsi="FrankRuehl" w:cs="FrankRuehl"/>
                <w:b/>
                <w:bCs/>
                <w:sz w:val="28"/>
                <w:szCs w:val="28"/>
                <w:rtl/>
              </w:rPr>
              <w:t>כבוד השופט  דוד שאול גבאי ריכטר</w:t>
            </w:r>
          </w:p>
          <w:p w14:paraId="0BDBC82F" w14:textId="77777777" w:rsidR="004B340B" w:rsidRPr="00D7372F" w:rsidRDefault="004B340B" w:rsidP="00652623">
            <w:pPr>
              <w:rPr>
                <w:rFonts w:ascii="FrankRuehl" w:hAnsi="FrankRuehl" w:cs="FrankRuehl"/>
                <w:b/>
                <w:bCs/>
                <w:sz w:val="28"/>
                <w:szCs w:val="28"/>
                <w:rtl/>
              </w:rPr>
            </w:pPr>
          </w:p>
          <w:p w14:paraId="099B5ED6" w14:textId="77777777" w:rsidR="004B340B" w:rsidRPr="00D7372F" w:rsidRDefault="004B340B" w:rsidP="004B340B">
            <w:pPr>
              <w:jc w:val="both"/>
              <w:rPr>
                <w:rFonts w:ascii="FrankRuehl" w:hAnsi="FrankRuehl" w:cs="FrankRuehl"/>
                <w:b/>
                <w:bCs/>
                <w:sz w:val="28"/>
                <w:szCs w:val="28"/>
              </w:rPr>
            </w:pPr>
          </w:p>
        </w:tc>
      </w:tr>
      <w:tr w:rsidR="004B340B" w:rsidRPr="00D7372F" w14:paraId="413A91A4" w14:textId="77777777" w:rsidTr="000F17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16C8FD9" w14:textId="77777777" w:rsidR="004B340B" w:rsidRPr="00D7372F" w:rsidRDefault="004B340B" w:rsidP="004B340B">
            <w:pPr>
              <w:jc w:val="both"/>
              <w:rPr>
                <w:rFonts w:ascii="FrankRuehl" w:hAnsi="FrankRuehl" w:cs="FrankRuehl"/>
                <w:b/>
                <w:bCs/>
                <w:sz w:val="28"/>
                <w:szCs w:val="28"/>
              </w:rPr>
            </w:pPr>
            <w:bookmarkStart w:id="1" w:name="FirstAppellant"/>
            <w:r w:rsidRPr="00D7372F">
              <w:rPr>
                <w:rFonts w:ascii="FrankRuehl" w:hAnsi="FrankRuehl" w:cs="FrankRuehl"/>
                <w:b/>
                <w:bCs/>
                <w:sz w:val="28"/>
                <w:szCs w:val="28"/>
                <w:rtl/>
              </w:rPr>
              <w:t>בעניין:</w:t>
            </w:r>
          </w:p>
        </w:tc>
        <w:tc>
          <w:tcPr>
            <w:tcW w:w="4126" w:type="dxa"/>
            <w:tcBorders>
              <w:top w:val="nil"/>
              <w:left w:val="nil"/>
              <w:bottom w:val="nil"/>
              <w:right w:val="nil"/>
            </w:tcBorders>
            <w:shd w:val="clear" w:color="auto" w:fill="auto"/>
          </w:tcPr>
          <w:p w14:paraId="3CD71F78" w14:textId="77777777" w:rsidR="004B340B" w:rsidRPr="00D7372F" w:rsidRDefault="004B340B" w:rsidP="00652623">
            <w:pPr>
              <w:rPr>
                <w:rFonts w:ascii="FrankRuehl" w:hAnsi="FrankRuehl" w:cs="FrankRuehl"/>
                <w:b/>
                <w:bCs/>
                <w:sz w:val="28"/>
                <w:szCs w:val="28"/>
              </w:rPr>
            </w:pPr>
            <w:r w:rsidRPr="00D7372F">
              <w:rPr>
                <w:rFonts w:ascii="FrankRuehl" w:hAnsi="FrankRuehl" w:cs="FrankRuehl"/>
                <w:b/>
                <w:bCs/>
                <w:sz w:val="28"/>
                <w:szCs w:val="28"/>
                <w:rtl/>
              </w:rPr>
              <w:t>מדינת ישראל</w:t>
            </w:r>
          </w:p>
        </w:tc>
        <w:tc>
          <w:tcPr>
            <w:tcW w:w="3771" w:type="dxa"/>
            <w:gridSpan w:val="2"/>
            <w:tcBorders>
              <w:top w:val="nil"/>
              <w:left w:val="nil"/>
              <w:bottom w:val="nil"/>
              <w:right w:val="nil"/>
            </w:tcBorders>
            <w:shd w:val="clear" w:color="auto" w:fill="auto"/>
          </w:tcPr>
          <w:p w14:paraId="23DF1BCF" w14:textId="77777777" w:rsidR="004B340B" w:rsidRPr="00D7372F" w:rsidRDefault="004B340B" w:rsidP="004B340B">
            <w:pPr>
              <w:jc w:val="both"/>
              <w:rPr>
                <w:rFonts w:ascii="FrankRuehl" w:hAnsi="FrankRuehl" w:cs="FrankRuehl"/>
                <w:b/>
                <w:bCs/>
                <w:sz w:val="28"/>
                <w:szCs w:val="28"/>
              </w:rPr>
            </w:pPr>
          </w:p>
        </w:tc>
      </w:tr>
      <w:tr w:rsidR="004B340B" w:rsidRPr="00D7372F" w14:paraId="636951C1" w14:textId="77777777" w:rsidTr="000F17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EF21851" w14:textId="77777777" w:rsidR="004B340B" w:rsidRPr="00D7372F" w:rsidRDefault="004B340B" w:rsidP="004B340B">
            <w:pPr>
              <w:jc w:val="both"/>
              <w:rPr>
                <w:rFonts w:ascii="FrankRuehl" w:hAnsi="FrankRuehl" w:cs="FrankRuehl"/>
                <w:b/>
                <w:bCs/>
                <w:sz w:val="28"/>
                <w:szCs w:val="28"/>
                <w:rtl/>
              </w:rPr>
            </w:pPr>
            <w:bookmarkStart w:id="2" w:name="FirstLawyer"/>
            <w:bookmarkEnd w:id="1"/>
          </w:p>
        </w:tc>
        <w:tc>
          <w:tcPr>
            <w:tcW w:w="4126" w:type="dxa"/>
            <w:tcBorders>
              <w:top w:val="nil"/>
              <w:left w:val="nil"/>
              <w:bottom w:val="nil"/>
              <w:right w:val="nil"/>
            </w:tcBorders>
            <w:shd w:val="clear" w:color="auto" w:fill="auto"/>
          </w:tcPr>
          <w:p w14:paraId="289BD02A" w14:textId="77777777" w:rsidR="004B340B" w:rsidRPr="00D7372F" w:rsidRDefault="004B340B" w:rsidP="004B340B">
            <w:pPr>
              <w:jc w:val="both"/>
              <w:rPr>
                <w:rFonts w:ascii="FrankRuehl" w:hAnsi="FrankRuehl" w:cs="FrankRuehl"/>
                <w:b/>
                <w:bCs/>
                <w:sz w:val="28"/>
                <w:szCs w:val="28"/>
                <w:rtl/>
              </w:rPr>
            </w:pPr>
            <w:r w:rsidRPr="00D7372F">
              <w:rPr>
                <w:rFonts w:ascii="FrankRuehl" w:hAnsi="FrankRuehl" w:cs="FrankRuehl" w:hint="cs"/>
                <w:b/>
                <w:bCs/>
                <w:sz w:val="28"/>
                <w:szCs w:val="28"/>
                <w:rtl/>
              </w:rPr>
              <w:t>ע"י ב"כ עו"ד כרמית כהן מתביעות ירושלים</w:t>
            </w:r>
          </w:p>
        </w:tc>
        <w:tc>
          <w:tcPr>
            <w:tcW w:w="3771" w:type="dxa"/>
            <w:gridSpan w:val="2"/>
            <w:tcBorders>
              <w:top w:val="nil"/>
              <w:left w:val="nil"/>
              <w:bottom w:val="nil"/>
              <w:right w:val="nil"/>
            </w:tcBorders>
            <w:shd w:val="clear" w:color="auto" w:fill="auto"/>
          </w:tcPr>
          <w:p w14:paraId="7C8DB518" w14:textId="77777777" w:rsidR="004B340B" w:rsidRPr="00D7372F" w:rsidRDefault="004B340B" w:rsidP="004B340B">
            <w:pPr>
              <w:jc w:val="right"/>
              <w:rPr>
                <w:rFonts w:ascii="FrankRuehl" w:hAnsi="FrankRuehl" w:cs="FrankRuehl"/>
                <w:b/>
                <w:bCs/>
                <w:sz w:val="28"/>
                <w:szCs w:val="28"/>
                <w:rtl/>
              </w:rPr>
            </w:pPr>
            <w:r w:rsidRPr="00D7372F">
              <w:rPr>
                <w:rFonts w:ascii="FrankRuehl" w:hAnsi="FrankRuehl" w:cs="FrankRuehl"/>
                <w:b/>
                <w:bCs/>
                <w:sz w:val="28"/>
                <w:szCs w:val="28"/>
                <w:rtl/>
              </w:rPr>
              <w:t>המאשימה</w:t>
            </w:r>
          </w:p>
        </w:tc>
      </w:tr>
      <w:bookmarkEnd w:id="2"/>
      <w:tr w:rsidR="004B340B" w:rsidRPr="00D7372F" w14:paraId="080CB66E" w14:textId="77777777" w:rsidTr="000F17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A7232A7" w14:textId="77777777" w:rsidR="004B340B" w:rsidRPr="00D7372F" w:rsidRDefault="004B340B" w:rsidP="004B340B">
            <w:pPr>
              <w:jc w:val="both"/>
              <w:rPr>
                <w:rFonts w:ascii="FrankRuehl" w:hAnsi="FrankRuehl" w:cs="FrankRuehl"/>
                <w:b/>
                <w:bCs/>
                <w:sz w:val="28"/>
                <w:szCs w:val="28"/>
                <w:rtl/>
              </w:rPr>
            </w:pPr>
          </w:p>
        </w:tc>
        <w:tc>
          <w:tcPr>
            <w:tcW w:w="7897" w:type="dxa"/>
            <w:gridSpan w:val="3"/>
            <w:tcBorders>
              <w:top w:val="nil"/>
              <w:left w:val="nil"/>
              <w:bottom w:val="nil"/>
              <w:right w:val="nil"/>
            </w:tcBorders>
            <w:shd w:val="clear" w:color="auto" w:fill="auto"/>
          </w:tcPr>
          <w:p w14:paraId="6A0E0CD4" w14:textId="77777777" w:rsidR="004B340B" w:rsidRPr="00D7372F" w:rsidRDefault="004B340B" w:rsidP="004B340B">
            <w:pPr>
              <w:jc w:val="center"/>
              <w:rPr>
                <w:rFonts w:ascii="FrankRuehl" w:hAnsi="FrankRuehl" w:cs="FrankRuehl"/>
                <w:b/>
                <w:bCs/>
                <w:sz w:val="28"/>
                <w:szCs w:val="28"/>
                <w:rtl/>
              </w:rPr>
            </w:pPr>
          </w:p>
          <w:p w14:paraId="380F0AE4" w14:textId="77777777" w:rsidR="004B340B" w:rsidRPr="00D7372F" w:rsidRDefault="004B340B" w:rsidP="004B340B">
            <w:pPr>
              <w:jc w:val="center"/>
              <w:rPr>
                <w:rFonts w:ascii="FrankRuehl" w:hAnsi="FrankRuehl" w:cs="FrankRuehl"/>
                <w:b/>
                <w:bCs/>
                <w:sz w:val="28"/>
                <w:szCs w:val="28"/>
                <w:rtl/>
              </w:rPr>
            </w:pPr>
            <w:r w:rsidRPr="00D7372F">
              <w:rPr>
                <w:rFonts w:ascii="FrankRuehl" w:hAnsi="FrankRuehl" w:cs="FrankRuehl"/>
                <w:b/>
                <w:bCs/>
                <w:sz w:val="28"/>
                <w:szCs w:val="28"/>
                <w:rtl/>
              </w:rPr>
              <w:t>נגד</w:t>
            </w:r>
          </w:p>
          <w:p w14:paraId="3421998E" w14:textId="77777777" w:rsidR="004B340B" w:rsidRPr="00D7372F" w:rsidRDefault="004B340B" w:rsidP="004B340B">
            <w:pPr>
              <w:jc w:val="both"/>
              <w:rPr>
                <w:rFonts w:ascii="FrankRuehl" w:hAnsi="FrankRuehl" w:cs="FrankRuehl"/>
                <w:b/>
                <w:bCs/>
                <w:sz w:val="28"/>
                <w:szCs w:val="28"/>
              </w:rPr>
            </w:pPr>
          </w:p>
        </w:tc>
      </w:tr>
      <w:tr w:rsidR="004B340B" w:rsidRPr="00D7372F" w14:paraId="0C3B18B1" w14:textId="77777777" w:rsidTr="000F17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ABF4544" w14:textId="77777777" w:rsidR="004B340B" w:rsidRPr="00D7372F" w:rsidRDefault="004B340B" w:rsidP="00652623">
            <w:pPr>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46D14175" w14:textId="77777777" w:rsidR="004B340B" w:rsidRPr="00D7372F" w:rsidRDefault="004B340B" w:rsidP="00652623">
            <w:pPr>
              <w:rPr>
                <w:rFonts w:ascii="FrankRuehl" w:hAnsi="FrankRuehl" w:cs="FrankRuehl"/>
                <w:b/>
                <w:bCs/>
                <w:sz w:val="28"/>
                <w:szCs w:val="28"/>
                <w:rtl/>
              </w:rPr>
            </w:pPr>
            <w:r w:rsidRPr="00D7372F">
              <w:rPr>
                <w:rFonts w:ascii="FrankRuehl" w:hAnsi="FrankRuehl" w:cs="FrankRuehl"/>
                <w:b/>
                <w:bCs/>
                <w:sz w:val="28"/>
                <w:szCs w:val="28"/>
                <w:rtl/>
              </w:rPr>
              <w:t>ערן ליאל קינדה</w:t>
            </w:r>
            <w:r w:rsidRPr="00D7372F">
              <w:rPr>
                <w:rFonts w:ascii="FrankRuehl" w:hAnsi="FrankRuehl" w:cs="FrankRuehl"/>
                <w:b/>
                <w:bCs/>
                <w:sz w:val="28"/>
                <w:szCs w:val="28"/>
                <w:rtl/>
              </w:rPr>
              <w:br/>
            </w:r>
            <w:r w:rsidRPr="00D7372F">
              <w:rPr>
                <w:rFonts w:ascii="FrankRuehl" w:hAnsi="FrankRuehl" w:cs="FrankRuehl" w:hint="cs"/>
                <w:b/>
                <w:bCs/>
                <w:sz w:val="28"/>
                <w:szCs w:val="28"/>
                <w:rtl/>
              </w:rPr>
              <w:t>ע"י ב"כ עו"ד יפתח לנדאו</w:t>
            </w:r>
          </w:p>
        </w:tc>
        <w:tc>
          <w:tcPr>
            <w:tcW w:w="3771" w:type="dxa"/>
            <w:gridSpan w:val="2"/>
            <w:tcBorders>
              <w:top w:val="nil"/>
              <w:left w:val="nil"/>
              <w:bottom w:val="nil"/>
              <w:right w:val="nil"/>
            </w:tcBorders>
            <w:shd w:val="clear" w:color="auto" w:fill="auto"/>
          </w:tcPr>
          <w:p w14:paraId="64C8F3BA" w14:textId="77777777" w:rsidR="004B340B" w:rsidRPr="00D7372F" w:rsidRDefault="004B340B" w:rsidP="004B340B">
            <w:pPr>
              <w:jc w:val="right"/>
              <w:rPr>
                <w:rFonts w:ascii="FrankRuehl" w:hAnsi="FrankRuehl" w:cs="FrankRuehl"/>
                <w:b/>
                <w:bCs/>
                <w:sz w:val="28"/>
                <w:szCs w:val="28"/>
              </w:rPr>
            </w:pPr>
          </w:p>
        </w:tc>
      </w:tr>
      <w:tr w:rsidR="004B340B" w:rsidRPr="00D7372F" w14:paraId="56DA76F9" w14:textId="77777777" w:rsidTr="000F17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22EE3EA" w14:textId="77777777" w:rsidR="004B340B" w:rsidRPr="00D7372F" w:rsidRDefault="004B340B" w:rsidP="004B340B">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6BEA68E3" w14:textId="77777777" w:rsidR="004B340B" w:rsidRPr="00D7372F" w:rsidRDefault="004B340B" w:rsidP="004B340B">
            <w:pPr>
              <w:jc w:val="both"/>
              <w:rPr>
                <w:rFonts w:ascii="FrankRuehl" w:hAnsi="FrankRuehl" w:cs="FrankRuehl"/>
                <w:b/>
                <w:bCs/>
                <w:sz w:val="28"/>
                <w:szCs w:val="28"/>
                <w:rtl/>
              </w:rPr>
            </w:pPr>
          </w:p>
        </w:tc>
        <w:tc>
          <w:tcPr>
            <w:tcW w:w="3771" w:type="dxa"/>
            <w:gridSpan w:val="2"/>
            <w:tcBorders>
              <w:top w:val="nil"/>
              <w:left w:val="nil"/>
              <w:bottom w:val="nil"/>
              <w:right w:val="nil"/>
            </w:tcBorders>
            <w:shd w:val="clear" w:color="auto" w:fill="auto"/>
          </w:tcPr>
          <w:p w14:paraId="1AC6C75A" w14:textId="77777777" w:rsidR="004B340B" w:rsidRPr="00D7372F" w:rsidRDefault="004B340B" w:rsidP="004B340B">
            <w:pPr>
              <w:jc w:val="right"/>
              <w:rPr>
                <w:rFonts w:ascii="FrankRuehl" w:hAnsi="FrankRuehl" w:cs="FrankRuehl"/>
                <w:b/>
                <w:bCs/>
                <w:sz w:val="28"/>
                <w:szCs w:val="28"/>
              </w:rPr>
            </w:pPr>
            <w:r w:rsidRPr="00D7372F">
              <w:rPr>
                <w:rFonts w:ascii="FrankRuehl" w:hAnsi="FrankRuehl" w:cs="FrankRuehl"/>
                <w:b/>
                <w:bCs/>
                <w:sz w:val="28"/>
                <w:szCs w:val="28"/>
                <w:rtl/>
              </w:rPr>
              <w:t>הנאשם</w:t>
            </w:r>
          </w:p>
        </w:tc>
      </w:tr>
    </w:tbl>
    <w:p w14:paraId="16131FE7" w14:textId="77777777" w:rsidR="000F173E" w:rsidRDefault="000F173E" w:rsidP="00D7372F">
      <w:pPr>
        <w:rPr>
          <w:sz w:val="26"/>
          <w:szCs w:val="26"/>
          <w:rtl/>
        </w:rPr>
      </w:pPr>
    </w:p>
    <w:p w14:paraId="76BB948A" w14:textId="77777777" w:rsidR="000F173E" w:rsidRPr="000F173E" w:rsidRDefault="000F173E" w:rsidP="000F173E">
      <w:pPr>
        <w:spacing w:after="120" w:line="240" w:lineRule="exact"/>
        <w:ind w:left="283" w:hanging="283"/>
        <w:jc w:val="both"/>
        <w:rPr>
          <w:rFonts w:ascii="FrankRuehl" w:hAnsi="FrankRuehl" w:cs="FrankRuehl"/>
          <w:rtl/>
        </w:rPr>
      </w:pPr>
    </w:p>
    <w:p w14:paraId="153E781C" w14:textId="77777777" w:rsidR="008412F1" w:rsidRPr="008412F1" w:rsidRDefault="008412F1" w:rsidP="008412F1">
      <w:pPr>
        <w:spacing w:before="120" w:after="120" w:line="240" w:lineRule="exact"/>
        <w:ind w:left="283" w:hanging="283"/>
        <w:jc w:val="both"/>
        <w:rPr>
          <w:rFonts w:ascii="FrankRuehl" w:hAnsi="FrankRuehl" w:cs="FrankRuehl"/>
          <w:rtl/>
        </w:rPr>
      </w:pPr>
    </w:p>
    <w:p w14:paraId="189274F5" w14:textId="77777777" w:rsidR="008412F1" w:rsidRPr="008412F1" w:rsidRDefault="008412F1" w:rsidP="008412F1">
      <w:pPr>
        <w:spacing w:before="120" w:after="120" w:line="240" w:lineRule="exact"/>
        <w:ind w:left="283" w:hanging="283"/>
        <w:jc w:val="both"/>
        <w:rPr>
          <w:rFonts w:ascii="FrankRuehl" w:hAnsi="FrankRuehl" w:cs="FrankRuehl"/>
          <w:rtl/>
        </w:rPr>
      </w:pPr>
    </w:p>
    <w:p w14:paraId="459DA9FA" w14:textId="77777777" w:rsidR="009D403D" w:rsidRDefault="009D403D" w:rsidP="009D403D">
      <w:pPr>
        <w:rPr>
          <w:sz w:val="26"/>
          <w:szCs w:val="26"/>
          <w:rtl/>
        </w:rPr>
      </w:pPr>
      <w:bookmarkStart w:id="3" w:name="LawTable"/>
      <w:bookmarkEnd w:id="3"/>
    </w:p>
    <w:p w14:paraId="4C8EC6E4" w14:textId="77777777" w:rsidR="009D403D" w:rsidRPr="009D403D" w:rsidRDefault="009D403D" w:rsidP="009D403D">
      <w:pPr>
        <w:spacing w:before="120" w:after="120" w:line="240" w:lineRule="exact"/>
        <w:ind w:left="283" w:hanging="283"/>
        <w:jc w:val="both"/>
        <w:rPr>
          <w:rFonts w:ascii="FrankRuehl" w:hAnsi="FrankRuehl" w:cs="FrankRuehl"/>
          <w:rtl/>
        </w:rPr>
      </w:pPr>
    </w:p>
    <w:p w14:paraId="1C710853" w14:textId="77777777" w:rsidR="009D403D" w:rsidRPr="009D403D" w:rsidRDefault="009D403D" w:rsidP="009D403D">
      <w:pPr>
        <w:spacing w:before="120" w:after="120" w:line="240" w:lineRule="exact"/>
        <w:ind w:left="283" w:hanging="283"/>
        <w:jc w:val="both"/>
        <w:rPr>
          <w:rFonts w:ascii="FrankRuehl" w:hAnsi="FrankRuehl" w:cs="FrankRuehl"/>
          <w:rtl/>
        </w:rPr>
      </w:pPr>
    </w:p>
    <w:p w14:paraId="3759166B" w14:textId="77777777" w:rsidR="009D403D" w:rsidRPr="009D403D" w:rsidRDefault="009D403D" w:rsidP="009D403D">
      <w:pPr>
        <w:spacing w:before="120" w:after="120" w:line="240" w:lineRule="exact"/>
        <w:ind w:left="283" w:hanging="283"/>
        <w:jc w:val="both"/>
        <w:rPr>
          <w:rFonts w:ascii="FrankRuehl" w:hAnsi="FrankRuehl" w:cs="FrankRuehl"/>
          <w:rtl/>
        </w:rPr>
      </w:pPr>
      <w:r w:rsidRPr="009D403D">
        <w:rPr>
          <w:rFonts w:ascii="FrankRuehl" w:hAnsi="FrankRuehl" w:cs="FrankRuehl"/>
          <w:rtl/>
        </w:rPr>
        <w:t xml:space="preserve">חקיקה שאוזכרה: </w:t>
      </w:r>
    </w:p>
    <w:p w14:paraId="6FBDDE89" w14:textId="77777777" w:rsidR="009D403D" w:rsidRPr="009D403D" w:rsidRDefault="009D403D" w:rsidP="009D403D">
      <w:pPr>
        <w:spacing w:before="120" w:after="120" w:line="240" w:lineRule="exact"/>
        <w:ind w:left="283" w:hanging="283"/>
        <w:jc w:val="both"/>
        <w:rPr>
          <w:rFonts w:ascii="FrankRuehl" w:hAnsi="FrankRuehl" w:cs="FrankRuehl"/>
          <w:rtl/>
        </w:rPr>
      </w:pPr>
      <w:hyperlink r:id="rId7" w:history="1">
        <w:r w:rsidRPr="009D403D">
          <w:rPr>
            <w:rFonts w:ascii="FrankRuehl" w:hAnsi="FrankRuehl" w:cs="FrankRuehl"/>
            <w:color w:val="0000FF"/>
            <w:rtl/>
          </w:rPr>
          <w:t>פקודת הסמים המסוכנים [נוסח חדש], תשל"ג-1973</w:t>
        </w:r>
      </w:hyperlink>
      <w:r w:rsidRPr="009D403D">
        <w:rPr>
          <w:rFonts w:ascii="FrankRuehl" w:hAnsi="FrankRuehl" w:cs="FrankRuehl"/>
          <w:rtl/>
        </w:rPr>
        <w:t xml:space="preserve">: סע'  </w:t>
      </w:r>
      <w:hyperlink r:id="rId8" w:history="1">
        <w:r w:rsidRPr="009D403D">
          <w:rPr>
            <w:rFonts w:ascii="FrankRuehl" w:hAnsi="FrankRuehl" w:cs="FrankRuehl"/>
            <w:color w:val="0000FF"/>
            <w:rtl/>
          </w:rPr>
          <w:t>7(א)</w:t>
        </w:r>
      </w:hyperlink>
      <w:r w:rsidRPr="009D403D">
        <w:rPr>
          <w:rFonts w:ascii="FrankRuehl" w:hAnsi="FrankRuehl" w:cs="FrankRuehl"/>
          <w:rtl/>
        </w:rPr>
        <w:t xml:space="preserve">, </w:t>
      </w:r>
      <w:hyperlink r:id="rId9" w:history="1">
        <w:r w:rsidRPr="009D403D">
          <w:rPr>
            <w:rFonts w:ascii="FrankRuehl" w:hAnsi="FrankRuehl" w:cs="FrankRuehl"/>
            <w:color w:val="0000FF"/>
            <w:rtl/>
          </w:rPr>
          <w:t>7(ג)</w:t>
        </w:r>
      </w:hyperlink>
    </w:p>
    <w:p w14:paraId="620F1B8A" w14:textId="77777777" w:rsidR="009D403D" w:rsidRPr="009D403D" w:rsidRDefault="009D403D" w:rsidP="009D403D">
      <w:pPr>
        <w:spacing w:before="120" w:after="120" w:line="240" w:lineRule="exact"/>
        <w:ind w:left="283" w:hanging="283"/>
        <w:jc w:val="both"/>
        <w:rPr>
          <w:rFonts w:ascii="FrankRuehl" w:hAnsi="FrankRuehl" w:cs="FrankRuehl"/>
          <w:rtl/>
        </w:rPr>
      </w:pPr>
      <w:hyperlink r:id="rId10" w:history="1">
        <w:r w:rsidRPr="009D403D">
          <w:rPr>
            <w:rFonts w:ascii="FrankRuehl" w:hAnsi="FrankRuehl" w:cs="FrankRuehl"/>
            <w:color w:val="0000FF"/>
            <w:rtl/>
          </w:rPr>
          <w:t>חוק העונשין, תשל"ז-1977</w:t>
        </w:r>
      </w:hyperlink>
      <w:r w:rsidRPr="009D403D">
        <w:rPr>
          <w:rFonts w:ascii="FrankRuehl" w:hAnsi="FrankRuehl" w:cs="FrankRuehl"/>
          <w:rtl/>
        </w:rPr>
        <w:t xml:space="preserve">: סע'  </w:t>
      </w:r>
      <w:hyperlink r:id="rId11" w:history="1">
        <w:r w:rsidRPr="009D403D">
          <w:rPr>
            <w:rFonts w:ascii="FrankRuehl" w:hAnsi="FrankRuehl" w:cs="FrankRuehl"/>
            <w:color w:val="0000FF"/>
            <w:rtl/>
          </w:rPr>
          <w:t>40ט'</w:t>
        </w:r>
      </w:hyperlink>
      <w:r w:rsidRPr="009D403D">
        <w:rPr>
          <w:rFonts w:ascii="FrankRuehl" w:hAnsi="FrankRuehl" w:cs="FrankRuehl"/>
          <w:rtl/>
        </w:rPr>
        <w:t xml:space="preserve">, </w:t>
      </w:r>
      <w:hyperlink r:id="rId12" w:history="1">
        <w:r w:rsidRPr="009D403D">
          <w:rPr>
            <w:rFonts w:ascii="FrankRuehl" w:hAnsi="FrankRuehl" w:cs="FrankRuehl"/>
            <w:color w:val="0000FF"/>
            <w:rtl/>
          </w:rPr>
          <w:t>40יא</w:t>
        </w:r>
      </w:hyperlink>
    </w:p>
    <w:p w14:paraId="78A05B04" w14:textId="77777777" w:rsidR="009D403D" w:rsidRPr="009D403D" w:rsidRDefault="009D403D" w:rsidP="009D403D">
      <w:pPr>
        <w:rPr>
          <w:sz w:val="26"/>
          <w:szCs w:val="26"/>
          <w:rtl/>
        </w:rPr>
      </w:pPr>
      <w:bookmarkStart w:id="4" w:name="LawTable_End"/>
      <w:bookmarkEnd w:id="4"/>
    </w:p>
    <w:p w14:paraId="3AD09925" w14:textId="77777777" w:rsidR="004B340B" w:rsidRPr="008412F1" w:rsidRDefault="004B340B" w:rsidP="008412F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B340B" w14:paraId="37C6ED0F" w14:textId="77777777" w:rsidTr="004B340B">
        <w:trPr>
          <w:trHeight w:val="355"/>
          <w:jc w:val="center"/>
        </w:trPr>
        <w:tc>
          <w:tcPr>
            <w:tcW w:w="8820" w:type="dxa"/>
            <w:tcBorders>
              <w:top w:val="nil"/>
              <w:left w:val="nil"/>
              <w:bottom w:val="nil"/>
              <w:right w:val="nil"/>
            </w:tcBorders>
            <w:shd w:val="clear" w:color="auto" w:fill="auto"/>
          </w:tcPr>
          <w:p w14:paraId="6F900179" w14:textId="77777777" w:rsidR="00D7372F" w:rsidRPr="00D7372F" w:rsidRDefault="00D7372F" w:rsidP="00D7372F">
            <w:pPr>
              <w:jc w:val="center"/>
              <w:rPr>
                <w:rFonts w:ascii="FrankRuehl" w:hAnsi="FrankRuehl" w:cs="FrankRuehl"/>
                <w:b/>
                <w:bCs/>
                <w:sz w:val="32"/>
                <w:szCs w:val="32"/>
                <w:u w:val="single"/>
                <w:rtl/>
              </w:rPr>
            </w:pPr>
            <w:bookmarkStart w:id="5" w:name="PsakDin" w:colFirst="0" w:colLast="0"/>
            <w:bookmarkEnd w:id="0"/>
            <w:r w:rsidRPr="00D7372F">
              <w:rPr>
                <w:rFonts w:ascii="FrankRuehl" w:hAnsi="FrankRuehl" w:cs="FrankRuehl"/>
                <w:b/>
                <w:bCs/>
                <w:sz w:val="32"/>
                <w:szCs w:val="32"/>
                <w:u w:val="single"/>
                <w:rtl/>
              </w:rPr>
              <w:t>גזר דין</w:t>
            </w:r>
          </w:p>
          <w:p w14:paraId="0295616B" w14:textId="77777777" w:rsidR="004B340B" w:rsidRPr="00D7372F" w:rsidRDefault="004B340B" w:rsidP="00D7372F">
            <w:pPr>
              <w:jc w:val="center"/>
              <w:rPr>
                <w:rFonts w:ascii="FrankRuehl" w:hAnsi="FrankRuehl" w:cs="FrankRuehl"/>
                <w:bCs/>
                <w:sz w:val="32"/>
                <w:szCs w:val="32"/>
                <w:u w:val="single"/>
                <w:rtl/>
              </w:rPr>
            </w:pPr>
          </w:p>
        </w:tc>
      </w:tr>
      <w:bookmarkEnd w:id="5"/>
    </w:tbl>
    <w:p w14:paraId="65813237" w14:textId="77777777" w:rsidR="004B340B" w:rsidRPr="002B7D23" w:rsidRDefault="004B340B" w:rsidP="004B340B">
      <w:pPr>
        <w:rPr>
          <w:rFonts w:ascii="David" w:hAnsi="David"/>
          <w:sz w:val="26"/>
          <w:szCs w:val="26"/>
          <w:rtl/>
        </w:rPr>
      </w:pPr>
    </w:p>
    <w:p w14:paraId="287049B0" w14:textId="77777777" w:rsidR="004B340B" w:rsidRPr="002B7D23" w:rsidRDefault="004B340B" w:rsidP="004B340B">
      <w:pPr>
        <w:rPr>
          <w:rFonts w:ascii="David" w:hAnsi="David"/>
          <w:sz w:val="26"/>
          <w:szCs w:val="26"/>
          <w:rtl/>
        </w:rPr>
      </w:pPr>
    </w:p>
    <w:p w14:paraId="76C7B961" w14:textId="77777777" w:rsidR="004B340B" w:rsidRDefault="004B340B" w:rsidP="004B340B">
      <w:pPr>
        <w:spacing w:line="360" w:lineRule="auto"/>
        <w:rPr>
          <w:rFonts w:ascii="FrankRuehl" w:hAnsi="FrankRuehl" w:cs="FrankRuehl"/>
          <w:b/>
          <w:bCs/>
          <w:sz w:val="28"/>
          <w:szCs w:val="28"/>
          <w:u w:val="single"/>
        </w:rPr>
      </w:pPr>
      <w:r>
        <w:rPr>
          <w:rFonts w:ascii="FrankRuehl" w:hAnsi="FrankRuehl" w:cs="FrankRuehl"/>
          <w:b/>
          <w:bCs/>
          <w:sz w:val="28"/>
          <w:szCs w:val="28"/>
          <w:u w:val="single"/>
          <w:rtl/>
        </w:rPr>
        <w:t>כתב האישום</w:t>
      </w:r>
    </w:p>
    <w:p w14:paraId="671FB346" w14:textId="77777777" w:rsidR="004B340B" w:rsidRDefault="004B340B" w:rsidP="004B340B">
      <w:pPr>
        <w:spacing w:line="360" w:lineRule="auto"/>
        <w:jc w:val="both"/>
        <w:rPr>
          <w:rFonts w:cs="Times New Roman"/>
          <w:sz w:val="28"/>
          <w:szCs w:val="28"/>
          <w:rtl/>
        </w:rPr>
      </w:pPr>
      <w:bookmarkStart w:id="6" w:name="ABSTRACT_START"/>
      <w:bookmarkEnd w:id="6"/>
      <w:r>
        <w:rPr>
          <w:rFonts w:ascii="FrankRuehl" w:hAnsi="FrankRuehl" w:cs="FrankRuehl"/>
          <w:sz w:val="28"/>
          <w:szCs w:val="28"/>
          <w:rtl/>
        </w:rPr>
        <w:t xml:space="preserve">הנאשם הורשע על פי הודאתו בעבירות ובעובדות המנויות בכתב האישום, בכך שביום 7.10.2018, החזיק הנאשם בגב הכסא של הנהג ברצפת הרכב שבו ישב 99.27 גרם קנאביס. בגין כך, הורשע הנאשם בעבירה של </w:t>
      </w:r>
      <w:r>
        <w:rPr>
          <w:rFonts w:ascii="FrankRuehl" w:hAnsi="FrankRuehl" w:cs="FrankRuehl"/>
          <w:b/>
          <w:bCs/>
          <w:sz w:val="28"/>
          <w:szCs w:val="28"/>
          <w:rtl/>
        </w:rPr>
        <w:t>החזקת סם שלא לצריכה עצמית</w:t>
      </w:r>
      <w:r>
        <w:rPr>
          <w:rFonts w:ascii="FrankRuehl" w:hAnsi="FrankRuehl" w:cs="FrankRuehl"/>
          <w:sz w:val="28"/>
          <w:szCs w:val="28"/>
          <w:rtl/>
        </w:rPr>
        <w:t xml:space="preserve">, לפי </w:t>
      </w:r>
      <w:hyperlink r:id="rId13" w:history="1">
        <w:r w:rsidR="000F173E" w:rsidRPr="000F173E">
          <w:rPr>
            <w:rStyle w:val="Hyperlink"/>
            <w:rFonts w:ascii="FrankRuehl" w:hAnsi="FrankRuehl" w:cs="FrankRuehl"/>
            <w:sz w:val="28"/>
            <w:szCs w:val="28"/>
            <w:rtl/>
          </w:rPr>
          <w:t>סעיף 7(א)</w:t>
        </w:r>
      </w:hyperlink>
      <w:r>
        <w:rPr>
          <w:rFonts w:ascii="FrankRuehl" w:hAnsi="FrankRuehl" w:cs="FrankRuehl"/>
          <w:sz w:val="28"/>
          <w:szCs w:val="28"/>
          <w:rtl/>
        </w:rPr>
        <w:t xml:space="preserve"> + </w:t>
      </w:r>
      <w:hyperlink r:id="rId14" w:history="1">
        <w:r w:rsidR="000F173E" w:rsidRPr="000F173E">
          <w:rPr>
            <w:rStyle w:val="Hyperlink"/>
            <w:rFonts w:ascii="FrankRuehl" w:hAnsi="FrankRuehl" w:cs="FrankRuehl"/>
            <w:sz w:val="28"/>
            <w:szCs w:val="28"/>
            <w:rtl/>
          </w:rPr>
          <w:t>7(ג)</w:t>
        </w:r>
      </w:hyperlink>
      <w:r>
        <w:rPr>
          <w:rFonts w:ascii="FrankRuehl" w:hAnsi="FrankRuehl" w:cs="FrankRuehl"/>
          <w:sz w:val="28"/>
          <w:szCs w:val="28"/>
          <w:rtl/>
        </w:rPr>
        <w:t xml:space="preserve"> רישא ל</w:t>
      </w:r>
      <w:hyperlink r:id="rId15" w:history="1">
        <w:r w:rsidR="00D7372F" w:rsidRPr="00D7372F">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(נוסח חדש), התשל"ג – 1973.</w:t>
      </w:r>
    </w:p>
    <w:p w14:paraId="462D7A24" w14:textId="77777777" w:rsidR="004B340B" w:rsidRDefault="004B340B" w:rsidP="004B340B">
      <w:pPr>
        <w:spacing w:line="360" w:lineRule="auto"/>
        <w:jc w:val="both"/>
        <w:rPr>
          <w:rFonts w:cs="Times New Roman"/>
          <w:b/>
          <w:bCs/>
          <w:sz w:val="28"/>
          <w:szCs w:val="28"/>
          <w:u w:val="single"/>
          <w:rtl/>
        </w:rPr>
      </w:pPr>
    </w:p>
    <w:p w14:paraId="59B39EA1" w14:textId="77777777" w:rsidR="004B340B" w:rsidRDefault="004B340B" w:rsidP="004B340B">
      <w:pPr>
        <w:spacing w:line="360" w:lineRule="auto"/>
        <w:jc w:val="both"/>
        <w:rPr>
          <w:rFonts w:cs="Times New Roman"/>
          <w:b/>
          <w:bCs/>
          <w:sz w:val="28"/>
          <w:szCs w:val="28"/>
          <w:u w:val="single"/>
        </w:rPr>
      </w:pPr>
      <w:bookmarkStart w:id="7" w:name="ABSTRACT_END"/>
      <w:bookmarkEnd w:id="7"/>
      <w:r>
        <w:rPr>
          <w:rFonts w:ascii="FrankRuehl" w:hAnsi="FrankRuehl" w:cs="FrankRuehl"/>
          <w:b/>
          <w:bCs/>
          <w:sz w:val="28"/>
          <w:szCs w:val="28"/>
          <w:u w:val="single"/>
          <w:rtl/>
        </w:rPr>
        <w:t>מהלך הדיון</w:t>
      </w:r>
    </w:p>
    <w:p w14:paraId="5AD96160" w14:textId="77777777" w:rsidR="004B340B" w:rsidRDefault="004B340B" w:rsidP="004B340B">
      <w:pPr>
        <w:spacing w:line="360" w:lineRule="auto"/>
        <w:jc w:val="both"/>
        <w:rPr>
          <w:rFonts w:ascii="FrankRuehl" w:hAnsi="FrankRuehl" w:cs="FrankRuehl"/>
          <w:sz w:val="28"/>
          <w:szCs w:val="28"/>
        </w:rPr>
      </w:pPr>
      <w:r>
        <w:rPr>
          <w:rFonts w:ascii="FrankRuehl" w:hAnsi="FrankRuehl" w:cs="FrankRuehl"/>
          <w:sz w:val="28"/>
          <w:szCs w:val="28"/>
          <w:rtl/>
        </w:rPr>
        <w:lastRenderedPageBreak/>
        <w:t>הנאשם הורשע על פי הודאתו בכתב האישום, במסגרת הסדר טיעון, ללא הסכמה עונשית ונשלח לשירות המבחן.</w:t>
      </w:r>
    </w:p>
    <w:p w14:paraId="60798660" w14:textId="77777777" w:rsidR="004B340B" w:rsidRDefault="004B340B" w:rsidP="004B340B">
      <w:pPr>
        <w:spacing w:line="360" w:lineRule="auto"/>
        <w:jc w:val="both"/>
        <w:rPr>
          <w:rFonts w:ascii="FrankRuehl" w:hAnsi="FrankRuehl" w:cs="FrankRuehl"/>
          <w:b/>
          <w:bCs/>
          <w:sz w:val="28"/>
          <w:szCs w:val="28"/>
          <w:u w:val="single"/>
        </w:rPr>
      </w:pPr>
    </w:p>
    <w:p w14:paraId="3124FD4C" w14:textId="77777777" w:rsidR="004B340B" w:rsidRDefault="004B340B" w:rsidP="004B340B">
      <w:pPr>
        <w:spacing w:line="360" w:lineRule="auto"/>
        <w:jc w:val="both"/>
        <w:rPr>
          <w:rFonts w:cs="Times New Roman"/>
          <w:b/>
          <w:bCs/>
          <w:sz w:val="28"/>
          <w:szCs w:val="28"/>
          <w:u w:val="single"/>
          <w:rtl/>
        </w:rPr>
      </w:pPr>
      <w:r>
        <w:rPr>
          <w:rFonts w:ascii="FrankRuehl" w:hAnsi="FrankRuehl" w:cs="FrankRuehl"/>
          <w:b/>
          <w:bCs/>
          <w:sz w:val="28"/>
          <w:szCs w:val="28"/>
          <w:u w:val="single"/>
          <w:rtl/>
        </w:rPr>
        <w:t>תסקיר שירות המבחן</w:t>
      </w:r>
    </w:p>
    <w:p w14:paraId="73162014" w14:textId="77777777" w:rsidR="004B340B" w:rsidRDefault="004B340B" w:rsidP="004B340B">
      <w:pPr>
        <w:spacing w:line="360" w:lineRule="auto"/>
        <w:jc w:val="both"/>
        <w:rPr>
          <w:rFonts w:cs="Times New Roman"/>
          <w:sz w:val="28"/>
          <w:szCs w:val="28"/>
        </w:rPr>
      </w:pPr>
      <w:r>
        <w:rPr>
          <w:rFonts w:ascii="FrankRuehl" w:hAnsi="FrankRuehl" w:cs="FrankRuehl"/>
          <w:sz w:val="28"/>
          <w:szCs w:val="28"/>
          <w:rtl/>
        </w:rPr>
        <w:t xml:space="preserve">מהתסקיר שהוגש בעניינו של הנאשם עולה כי הנאשם בן </w:t>
      </w:r>
      <w:r>
        <w:rPr>
          <w:rFonts w:ascii="FrankRuehl" w:hAnsi="FrankRuehl" w:cs="FrankRuehl" w:hint="cs"/>
          <w:sz w:val="28"/>
          <w:szCs w:val="28"/>
          <w:rtl/>
        </w:rPr>
        <w:t>27</w:t>
      </w:r>
      <w:r>
        <w:rPr>
          <w:rFonts w:ascii="FrankRuehl" w:hAnsi="FrankRuehl" w:cs="FrankRuehl"/>
          <w:sz w:val="28"/>
          <w:szCs w:val="28"/>
          <w:rtl/>
        </w:rPr>
        <w:t xml:space="preserve">, רווק ומתגורר בבית הוריו בעיר אשקלון. כיום עובד במשרה חלקית במחלקת גזם של עיריית אשקלון ולדבריו נמצא בהליך של תביעת נכות מול המל"ל, </w:t>
      </w:r>
      <w:r>
        <w:rPr>
          <w:rFonts w:ascii="FrankRuehl" w:hAnsi="FrankRuehl" w:cs="FrankRuehl" w:hint="cs"/>
          <w:sz w:val="28"/>
          <w:szCs w:val="28"/>
          <w:rtl/>
        </w:rPr>
        <w:t>בשל</w:t>
      </w:r>
      <w:r>
        <w:rPr>
          <w:rFonts w:ascii="FrankRuehl" w:hAnsi="FrankRuehl" w:cs="FrankRuehl"/>
          <w:sz w:val="28"/>
          <w:szCs w:val="28"/>
          <w:rtl/>
        </w:rPr>
        <w:t xml:space="preserve"> תאונת דרכים</w:t>
      </w:r>
      <w:r>
        <w:rPr>
          <w:rFonts w:ascii="FrankRuehl" w:hAnsi="FrankRuehl" w:cs="FrankRuehl" w:hint="cs"/>
          <w:sz w:val="28"/>
          <w:szCs w:val="28"/>
          <w:rtl/>
        </w:rPr>
        <w:t xml:space="preserve"> שעבר</w:t>
      </w:r>
      <w:r>
        <w:rPr>
          <w:rFonts w:ascii="FrankRuehl" w:hAnsi="FrankRuehl" w:cs="FrankRuehl"/>
          <w:sz w:val="28"/>
          <w:szCs w:val="28"/>
          <w:rtl/>
        </w:rPr>
        <w:t>. מסקירת קורות חייו עולה, כי</w:t>
      </w:r>
      <w:r w:rsidR="00D7372F">
        <w:rPr>
          <w:rFonts w:ascii="FrankRuehl" w:hAnsi="FrankRuehl" w:cs="FrankRuehl"/>
          <w:sz w:val="28"/>
          <w:szCs w:val="28"/>
          <w:rtl/>
        </w:rPr>
        <w:t xml:space="preserve"> </w:t>
      </w:r>
      <w:r>
        <w:rPr>
          <w:rFonts w:ascii="FrankRuehl" w:hAnsi="FrankRuehl" w:cs="FrankRuehl"/>
          <w:sz w:val="28"/>
          <w:szCs w:val="28"/>
          <w:rtl/>
        </w:rPr>
        <w:t xml:space="preserve"> הנאשם סיים 12 שנות לימוד עם בגרות חלקית במגמת חשמל. בסיום לימודיו התגייס לצה"ל ושובץ בבסיס טירונות לאוכלוסיות מיוחדות והשתחרר לאחר חודשיים בשל אי התאמה. לאחר שחרורו, החל לעבוד כמוכר בחנות עד שעבר תאונת דרכים בשנת 2017 כהולך רגל. הנאשם שיתף</w:t>
      </w:r>
      <w:r>
        <w:rPr>
          <w:rFonts w:ascii="FrankRuehl" w:hAnsi="FrankRuehl" w:cs="FrankRuehl" w:hint="cs"/>
          <w:sz w:val="28"/>
          <w:szCs w:val="28"/>
          <w:rtl/>
        </w:rPr>
        <w:t>,</w:t>
      </w:r>
      <w:r>
        <w:rPr>
          <w:rFonts w:ascii="FrankRuehl" w:hAnsi="FrankRuehl" w:cs="FrankRuehl"/>
          <w:sz w:val="28"/>
          <w:szCs w:val="28"/>
          <w:rtl/>
        </w:rPr>
        <w:t xml:space="preserve"> כי נפצע קשה ברגלו ובמשך שלוש שנים עבר טיפולים, ניתוחים ואשפוזים. כן שיתף, כי לאחר התאונה, מצבו הנפשי התדרדר, </w:t>
      </w:r>
      <w:r>
        <w:rPr>
          <w:rFonts w:ascii="FrankRuehl" w:hAnsi="FrankRuehl" w:cs="FrankRuehl" w:hint="cs"/>
          <w:sz w:val="28"/>
          <w:szCs w:val="28"/>
          <w:rtl/>
        </w:rPr>
        <w:t xml:space="preserve">הוא </w:t>
      </w:r>
      <w:r>
        <w:rPr>
          <w:rFonts w:ascii="FrankRuehl" w:hAnsi="FrankRuehl" w:cs="FrankRuehl"/>
          <w:sz w:val="28"/>
          <w:szCs w:val="28"/>
          <w:rtl/>
        </w:rPr>
        <w:t>חווה דכאון</w:t>
      </w:r>
      <w:r>
        <w:rPr>
          <w:rFonts w:ascii="FrankRuehl" w:hAnsi="FrankRuehl" w:cs="FrankRuehl" w:hint="cs"/>
          <w:sz w:val="28"/>
          <w:szCs w:val="28"/>
          <w:rtl/>
        </w:rPr>
        <w:t>,</w:t>
      </w:r>
      <w:r>
        <w:rPr>
          <w:rFonts w:ascii="FrankRuehl" w:hAnsi="FrankRuehl" w:cs="FrankRuehl"/>
          <w:sz w:val="28"/>
          <w:szCs w:val="28"/>
          <w:rtl/>
        </w:rPr>
        <w:t xml:space="preserve"> ובסופו של יום אובחן כפוסט טראומתי. בעברו הפלילי הרשעה אחת משנת 2017 בגין אירוע אלימות משנת 2015. אשר לשימוש בסמים, </w:t>
      </w:r>
      <w:r>
        <w:rPr>
          <w:rFonts w:ascii="FrankRuehl" w:hAnsi="FrankRuehl" w:cs="FrankRuehl" w:hint="cs"/>
          <w:sz w:val="28"/>
          <w:szCs w:val="28"/>
          <w:rtl/>
        </w:rPr>
        <w:t xml:space="preserve">סיפר </w:t>
      </w:r>
      <w:r>
        <w:rPr>
          <w:rFonts w:ascii="FrankRuehl" w:hAnsi="FrankRuehl" w:cs="FrankRuehl"/>
          <w:sz w:val="28"/>
          <w:szCs w:val="28"/>
          <w:rtl/>
        </w:rPr>
        <w:t>הנאשם</w:t>
      </w:r>
      <w:r>
        <w:rPr>
          <w:rFonts w:ascii="FrankRuehl" w:hAnsi="FrankRuehl" w:cs="FrankRuehl" w:hint="cs"/>
          <w:sz w:val="28"/>
          <w:szCs w:val="28"/>
          <w:rtl/>
        </w:rPr>
        <w:t>,</w:t>
      </w:r>
      <w:r>
        <w:rPr>
          <w:rFonts w:ascii="FrankRuehl" w:hAnsi="FrankRuehl" w:cs="FrankRuehl"/>
          <w:sz w:val="28"/>
          <w:szCs w:val="28"/>
          <w:rtl/>
        </w:rPr>
        <w:t xml:space="preserve"> כי החל להשתמש בקנאביס כשנה לאחר התאונה על מנת לשכך את כאביו, זאת לאחר שהתרופות שניתנו לו הפסיקו להשפיע</w:t>
      </w:r>
      <w:r>
        <w:rPr>
          <w:rFonts w:ascii="FrankRuehl" w:hAnsi="FrankRuehl" w:cs="FrankRuehl" w:hint="cs"/>
          <w:sz w:val="28"/>
          <w:szCs w:val="28"/>
          <w:rtl/>
        </w:rPr>
        <w:t xml:space="preserve"> עליו</w:t>
      </w:r>
      <w:r>
        <w:rPr>
          <w:rFonts w:ascii="FrankRuehl" w:hAnsi="FrankRuehl" w:cs="FrankRuehl"/>
          <w:sz w:val="28"/>
          <w:szCs w:val="28"/>
          <w:rtl/>
        </w:rPr>
        <w:t xml:space="preserve">. מבדיקה פסיכיאטרית שעבר בחודש ינואר השנה, עולה כי הנאשם פיתח תלות לאופיאטים והוצע לו להשתלב בגמילה, אך הנאשם סירב. שירות המבחן מסר כי בשלושה מתוך ארבעה מועדים בהם ביצע בדיקות גילוי שרידי סם, הבדיקות נמצאו נקיות. באשר לעבירה בה הורשע, הנאשם מסר כי רכש כמות גדולה, כי באותה עת צרך כמות גבוהה בעקבות כאבים עזים. שירות המבחן התרשם </w:t>
      </w:r>
      <w:r>
        <w:rPr>
          <w:rFonts w:ascii="FrankRuehl" w:hAnsi="FrankRuehl" w:cs="FrankRuehl" w:hint="cs"/>
          <w:sz w:val="28"/>
          <w:szCs w:val="28"/>
          <w:rtl/>
        </w:rPr>
        <w:t xml:space="preserve">כי </w:t>
      </w:r>
      <w:r>
        <w:rPr>
          <w:rFonts w:ascii="FrankRuehl" w:hAnsi="FrankRuehl" w:cs="FrankRuehl"/>
          <w:sz w:val="28"/>
          <w:szCs w:val="28"/>
          <w:rtl/>
        </w:rPr>
        <w:t xml:space="preserve">הנאשם קיבל אחריות על מעשיו וכיום מבין שהיה עליו לנהוג אחרת. שירות המבחן הציע טיפול לנאשם, אך הוא סירב, לכן </w:t>
      </w:r>
      <w:r>
        <w:rPr>
          <w:rFonts w:ascii="FrankRuehl" w:hAnsi="FrankRuehl" w:cs="FrankRuehl" w:hint="cs"/>
          <w:sz w:val="28"/>
          <w:szCs w:val="28"/>
          <w:rtl/>
        </w:rPr>
        <w:t xml:space="preserve">לא בא השירות </w:t>
      </w:r>
      <w:r>
        <w:rPr>
          <w:rFonts w:ascii="FrankRuehl" w:hAnsi="FrankRuehl" w:cs="FrankRuehl"/>
          <w:sz w:val="28"/>
          <w:szCs w:val="28"/>
          <w:rtl/>
        </w:rPr>
        <w:t>בהמלצה טיפולית בעניינו.</w:t>
      </w:r>
    </w:p>
    <w:p w14:paraId="32D98671" w14:textId="77777777" w:rsidR="004B340B" w:rsidRPr="007560F2" w:rsidRDefault="004B340B" w:rsidP="004B340B">
      <w:pPr>
        <w:spacing w:line="360" w:lineRule="auto"/>
        <w:jc w:val="both"/>
        <w:rPr>
          <w:rFonts w:cs="Times New Roman"/>
          <w:b/>
          <w:bCs/>
          <w:sz w:val="28"/>
          <w:szCs w:val="28"/>
          <w:u w:val="single"/>
        </w:rPr>
      </w:pPr>
    </w:p>
    <w:p w14:paraId="5E077B89" w14:textId="77777777" w:rsidR="004B340B" w:rsidRDefault="004B340B" w:rsidP="004B340B">
      <w:pPr>
        <w:spacing w:line="360" w:lineRule="auto"/>
        <w:jc w:val="both"/>
        <w:rPr>
          <w:rFonts w:ascii="FrankRuehl" w:hAnsi="FrankRuehl" w:cs="FrankRuehl"/>
          <w:b/>
          <w:bCs/>
          <w:sz w:val="28"/>
          <w:szCs w:val="28"/>
          <w:u w:val="single"/>
        </w:rPr>
      </w:pPr>
      <w:r>
        <w:rPr>
          <w:rFonts w:ascii="FrankRuehl" w:hAnsi="FrankRuehl" w:cs="FrankRuehl"/>
          <w:b/>
          <w:bCs/>
          <w:sz w:val="28"/>
          <w:szCs w:val="28"/>
          <w:u w:val="single"/>
          <w:rtl/>
        </w:rPr>
        <w:t>ראיות לעונש</w:t>
      </w:r>
    </w:p>
    <w:p w14:paraId="601B127B" w14:textId="77777777" w:rsidR="004B340B" w:rsidRDefault="004B340B" w:rsidP="004B340B">
      <w:pPr>
        <w:spacing w:line="360" w:lineRule="auto"/>
        <w:jc w:val="both"/>
        <w:rPr>
          <w:rFonts w:ascii="FrankRuehl" w:hAnsi="FrankRuehl" w:cs="FrankRuehl"/>
          <w:sz w:val="28"/>
          <w:szCs w:val="28"/>
          <w:rtl/>
        </w:rPr>
      </w:pPr>
      <w:r>
        <w:rPr>
          <w:rFonts w:ascii="FrankRuehl" w:hAnsi="FrankRuehl" w:cs="FrankRuehl" w:hint="cs"/>
          <w:sz w:val="28"/>
          <w:szCs w:val="28"/>
          <w:rtl/>
        </w:rPr>
        <w:t>הנאשם בעל הרשעה בודדת בעבירות אלימות בגינן נגזר עליו מאסר מותנה בשנת 2017 (עבירות משנת 2015).</w:t>
      </w:r>
    </w:p>
    <w:p w14:paraId="09A0DF1D" w14:textId="77777777" w:rsidR="004B340B" w:rsidRDefault="004B340B" w:rsidP="004B340B">
      <w:pPr>
        <w:spacing w:line="360" w:lineRule="auto"/>
        <w:jc w:val="both"/>
        <w:rPr>
          <w:rFonts w:cs="Times New Roman"/>
          <w:b/>
          <w:bCs/>
          <w:sz w:val="28"/>
          <w:szCs w:val="28"/>
          <w:u w:val="single"/>
          <w:rtl/>
        </w:rPr>
      </w:pPr>
    </w:p>
    <w:p w14:paraId="7B9C1A9F" w14:textId="77777777" w:rsidR="004B340B" w:rsidRDefault="004B340B" w:rsidP="004B340B">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טיעונים לעונש</w:t>
      </w:r>
    </w:p>
    <w:p w14:paraId="2EB643B8" w14:textId="77777777" w:rsidR="004B340B" w:rsidRDefault="004B340B" w:rsidP="004B340B">
      <w:pPr>
        <w:spacing w:line="360" w:lineRule="auto"/>
        <w:jc w:val="both"/>
        <w:rPr>
          <w:rFonts w:ascii="FrankRuehl" w:hAnsi="FrankRuehl" w:cs="FrankRuehl"/>
          <w:sz w:val="28"/>
          <w:szCs w:val="28"/>
          <w:rtl/>
        </w:rPr>
      </w:pPr>
      <w:r>
        <w:rPr>
          <w:rFonts w:ascii="FrankRuehl" w:hAnsi="FrankRuehl" w:cs="FrankRuehl"/>
          <w:sz w:val="28"/>
          <w:szCs w:val="28"/>
          <w:rtl/>
        </w:rPr>
        <w:t xml:space="preserve">הצדדים לא הגיעו להסכמה עונשית. </w:t>
      </w:r>
    </w:p>
    <w:p w14:paraId="2150AA5C" w14:textId="77777777" w:rsidR="004B340B" w:rsidRDefault="004B340B" w:rsidP="004B340B">
      <w:pPr>
        <w:spacing w:line="360" w:lineRule="auto"/>
        <w:jc w:val="both"/>
        <w:rPr>
          <w:rFonts w:ascii="FrankRuehl" w:hAnsi="FrankRuehl" w:cs="FrankRuehl"/>
          <w:sz w:val="28"/>
          <w:szCs w:val="28"/>
          <w:rtl/>
        </w:rPr>
      </w:pPr>
      <w:r>
        <w:rPr>
          <w:rFonts w:ascii="FrankRuehl" w:hAnsi="FrankRuehl" w:cs="FrankRuehl"/>
          <w:sz w:val="28"/>
          <w:szCs w:val="28"/>
          <w:rtl/>
        </w:rPr>
        <w:t xml:space="preserve">מחד, ב"כ המאשימה </w:t>
      </w:r>
      <w:r>
        <w:rPr>
          <w:rFonts w:ascii="FrankRuehl" w:hAnsi="FrankRuehl" w:cs="FrankRuehl" w:hint="cs"/>
          <w:sz w:val="28"/>
          <w:szCs w:val="28"/>
          <w:rtl/>
        </w:rPr>
        <w:t xml:space="preserve">עתרה להטיל על הנאשם מאסר שיכול וירוצה בעבודות שירות וענישה נלווית. </w:t>
      </w:r>
    </w:p>
    <w:p w14:paraId="2EA44DF6" w14:textId="77777777" w:rsidR="004B340B" w:rsidRDefault="004B340B" w:rsidP="004B340B">
      <w:pPr>
        <w:spacing w:line="360" w:lineRule="auto"/>
        <w:jc w:val="both"/>
        <w:rPr>
          <w:rFonts w:ascii="FrankRuehl" w:hAnsi="FrankRuehl" w:cs="FrankRuehl"/>
          <w:sz w:val="28"/>
          <w:szCs w:val="28"/>
          <w:rtl/>
        </w:rPr>
      </w:pPr>
      <w:r>
        <w:rPr>
          <w:rFonts w:ascii="FrankRuehl" w:hAnsi="FrankRuehl" w:cs="FrankRuehl"/>
          <w:sz w:val="28"/>
          <w:szCs w:val="28"/>
          <w:rtl/>
        </w:rPr>
        <w:lastRenderedPageBreak/>
        <w:t xml:space="preserve">מאידך, הסניגור </w:t>
      </w:r>
      <w:r>
        <w:rPr>
          <w:rFonts w:ascii="FrankRuehl" w:hAnsi="FrankRuehl" w:cs="FrankRuehl" w:hint="cs"/>
          <w:sz w:val="28"/>
          <w:szCs w:val="28"/>
          <w:rtl/>
        </w:rPr>
        <w:t>ביקש להסתפק במאסר מותנה וקנס לאחר שעמד על נסיבותיו האישיות של הנאשם.</w:t>
      </w:r>
    </w:p>
    <w:p w14:paraId="704F953B" w14:textId="77777777" w:rsidR="004B340B" w:rsidRDefault="004B340B" w:rsidP="004B340B">
      <w:pPr>
        <w:spacing w:line="360" w:lineRule="auto"/>
        <w:jc w:val="both"/>
        <w:rPr>
          <w:rFonts w:ascii="FrankRuehl" w:hAnsi="FrankRuehl" w:cs="FrankRuehl"/>
          <w:b/>
          <w:bCs/>
          <w:sz w:val="28"/>
          <w:szCs w:val="28"/>
          <w:u w:val="single"/>
          <w:rtl/>
        </w:rPr>
      </w:pPr>
    </w:p>
    <w:p w14:paraId="381CE17C" w14:textId="77777777" w:rsidR="004B340B" w:rsidRDefault="004B340B" w:rsidP="004B340B">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 xml:space="preserve">קביעת מתחם הענישה </w:t>
      </w:r>
      <w:r>
        <w:rPr>
          <w:rFonts w:ascii="FrankRuehl" w:hAnsi="FrankRuehl" w:cs="FrankRuehl"/>
          <w:sz w:val="28"/>
          <w:szCs w:val="28"/>
          <w:rtl/>
        </w:rPr>
        <w:t xml:space="preserve">– מתחם הענישה צריך להתייחס לעקרון ההלימה, הנוגע ליחס לערך החברתי המוגן, מידת הפגיעה בו, מידת אשמו של הנאשם, מדיניות הענישה הנוהגת ונסיבות ביצוע העבירה. </w:t>
      </w:r>
    </w:p>
    <w:p w14:paraId="47031F00" w14:textId="77777777" w:rsidR="004B340B" w:rsidRDefault="004B340B" w:rsidP="004B340B">
      <w:pPr>
        <w:spacing w:line="360" w:lineRule="auto"/>
        <w:jc w:val="both"/>
        <w:rPr>
          <w:rFonts w:ascii="FrankRuehl" w:hAnsi="FrankRuehl" w:cs="FrankRuehl"/>
          <w:b/>
          <w:bCs/>
          <w:sz w:val="28"/>
          <w:szCs w:val="28"/>
          <w:u w:val="single"/>
          <w:rtl/>
        </w:rPr>
      </w:pPr>
    </w:p>
    <w:p w14:paraId="5DC90B61" w14:textId="77777777" w:rsidR="004B340B" w:rsidRDefault="004B340B" w:rsidP="004B340B">
      <w:pPr>
        <w:spacing w:line="360" w:lineRule="auto"/>
        <w:jc w:val="both"/>
        <w:rPr>
          <w:rFonts w:ascii="FrankRuehl" w:hAnsi="FrankRuehl" w:cs="FrankRuehl"/>
          <w:sz w:val="28"/>
          <w:szCs w:val="28"/>
          <w:rtl/>
        </w:rPr>
      </w:pPr>
      <w:r>
        <w:rPr>
          <w:rFonts w:ascii="FrankRuehl" w:hAnsi="FrankRuehl" w:cs="FrankRuehl"/>
          <w:b/>
          <w:bCs/>
          <w:sz w:val="28"/>
          <w:szCs w:val="28"/>
          <w:u w:val="single"/>
          <w:rtl/>
        </w:rPr>
        <w:t xml:space="preserve">אשר לערך המוגן </w:t>
      </w:r>
      <w:r>
        <w:rPr>
          <w:rFonts w:ascii="FrankRuehl" w:hAnsi="FrankRuehl" w:cs="FrankRuehl"/>
          <w:sz w:val="28"/>
          <w:szCs w:val="28"/>
          <w:rtl/>
        </w:rPr>
        <w:t xml:space="preserve">– </w:t>
      </w:r>
      <w:r>
        <w:rPr>
          <w:rFonts w:ascii="FrankRuehl" w:hAnsi="FrankRuehl" w:cs="FrankRuehl" w:hint="cs"/>
          <w:sz w:val="28"/>
          <w:szCs w:val="28"/>
          <w:rtl/>
        </w:rPr>
        <w:t>עבירות סמים פוגעות בבריאות הציבור ובביטחונו. כשמדובר ב"סם קל" מסוג קנביס או חשיש בכמויות לא גדולות כבמקרנו, מידת הפגיעה בערכים המוגנים אינם גבוהה.</w:t>
      </w:r>
    </w:p>
    <w:p w14:paraId="04C673EA" w14:textId="77777777" w:rsidR="004B340B" w:rsidRDefault="004B340B" w:rsidP="004B340B">
      <w:pPr>
        <w:spacing w:line="360" w:lineRule="auto"/>
        <w:jc w:val="both"/>
        <w:rPr>
          <w:rFonts w:cs="Times New Roman"/>
          <w:sz w:val="28"/>
          <w:szCs w:val="28"/>
          <w:rtl/>
        </w:rPr>
      </w:pPr>
    </w:p>
    <w:p w14:paraId="4C598C28" w14:textId="77777777" w:rsidR="004B340B" w:rsidRDefault="004B340B" w:rsidP="004B340B">
      <w:pPr>
        <w:spacing w:line="360" w:lineRule="auto"/>
        <w:jc w:val="both"/>
        <w:rPr>
          <w:rFonts w:ascii="FrankRuehl" w:hAnsi="FrankRuehl" w:cs="FrankRuehl"/>
          <w:b/>
          <w:bCs/>
          <w:sz w:val="28"/>
          <w:szCs w:val="28"/>
          <w:rtl/>
        </w:rPr>
      </w:pPr>
    </w:p>
    <w:p w14:paraId="2262C48F" w14:textId="77777777" w:rsidR="004B340B" w:rsidRDefault="004B340B" w:rsidP="004B340B">
      <w:pPr>
        <w:spacing w:line="360" w:lineRule="auto"/>
        <w:jc w:val="both"/>
        <w:rPr>
          <w:rFonts w:ascii="FrankRuehl" w:hAnsi="FrankRuehl" w:cs="FrankRuehl"/>
          <w:sz w:val="28"/>
          <w:szCs w:val="28"/>
        </w:rPr>
      </w:pPr>
    </w:p>
    <w:p w14:paraId="421B5640" w14:textId="77777777" w:rsidR="004B340B" w:rsidRDefault="004B340B" w:rsidP="004B340B">
      <w:pPr>
        <w:spacing w:after="160" w:line="360" w:lineRule="auto"/>
        <w:jc w:val="both"/>
        <w:rPr>
          <w:rFonts w:ascii="FrankRuehl" w:hAnsi="FrankRuehl" w:cs="FrankRuehl"/>
          <w:sz w:val="28"/>
          <w:szCs w:val="28"/>
          <w:rtl/>
        </w:rPr>
      </w:pPr>
      <w:r>
        <w:rPr>
          <w:rFonts w:ascii="FrankRuehl" w:hAnsi="FrankRuehl" w:cs="FrankRuehl"/>
          <w:b/>
          <w:bCs/>
          <w:sz w:val="28"/>
          <w:szCs w:val="28"/>
          <w:u w:val="single"/>
          <w:rtl/>
        </w:rPr>
        <w:t xml:space="preserve">נסיבות הקשורות בביצוע העבירה, לפי </w:t>
      </w:r>
      <w:hyperlink r:id="rId16" w:history="1">
        <w:r w:rsidR="000F173E" w:rsidRPr="000F173E">
          <w:rPr>
            <w:rStyle w:val="Hyperlink"/>
            <w:rFonts w:ascii="FrankRuehl" w:hAnsi="FrankRuehl" w:cs="FrankRuehl"/>
            <w:b/>
            <w:bCs/>
            <w:sz w:val="28"/>
            <w:szCs w:val="28"/>
            <w:rtl/>
          </w:rPr>
          <w:t>סעיף 40ט'</w:t>
        </w:r>
      </w:hyperlink>
      <w:r>
        <w:rPr>
          <w:rFonts w:ascii="FrankRuehl" w:hAnsi="FrankRuehl" w:cs="FrankRuehl"/>
          <w:b/>
          <w:bCs/>
          <w:sz w:val="28"/>
          <w:szCs w:val="28"/>
          <w:u w:val="single"/>
          <w:rtl/>
        </w:rPr>
        <w:t xml:space="preserve"> ל</w:t>
      </w:r>
      <w:hyperlink r:id="rId17" w:history="1">
        <w:r w:rsidR="00D7372F" w:rsidRPr="00D7372F">
          <w:rPr>
            <w:rFonts w:ascii="FrankRuehl" w:hAnsi="FrankRuehl" w:cs="FrankRuehl"/>
            <w:b/>
            <w:bCs/>
            <w:color w:val="0000FF"/>
            <w:sz w:val="28"/>
            <w:szCs w:val="28"/>
            <w:u w:val="single"/>
            <w:rtl/>
          </w:rPr>
          <w:t>חוק העונשין</w:t>
        </w:r>
      </w:hyperlink>
      <w:r>
        <w:rPr>
          <w:rFonts w:ascii="FrankRuehl" w:hAnsi="FrankRuehl" w:cs="FrankRuehl"/>
          <w:b/>
          <w:bCs/>
          <w:sz w:val="28"/>
          <w:szCs w:val="28"/>
          <w:rtl/>
        </w:rPr>
        <w:t xml:space="preserve"> – </w:t>
      </w:r>
      <w:r>
        <w:rPr>
          <w:rFonts w:ascii="FrankRuehl" w:hAnsi="FrankRuehl" w:cs="FrankRuehl"/>
          <w:sz w:val="28"/>
          <w:szCs w:val="28"/>
          <w:rtl/>
        </w:rPr>
        <w:t>בין הנסיבות הקשורות בביצוע העבירה יש לשקול את אלה, לעניין קביעת המתחם:</w:t>
      </w:r>
      <w:r w:rsidR="00D7372F">
        <w:rPr>
          <w:rFonts w:cs="Times New Roman"/>
          <w:sz w:val="28"/>
          <w:szCs w:val="28"/>
        </w:rPr>
        <w:t xml:space="preserve"> </w:t>
      </w:r>
      <w:r>
        <w:rPr>
          <w:rFonts w:cs="Times New Roman"/>
          <w:sz w:val="28"/>
          <w:szCs w:val="28"/>
        </w:rPr>
        <w:t xml:space="preserve"> </w:t>
      </w:r>
      <w:r>
        <w:rPr>
          <w:rFonts w:ascii="FrankRuehl" w:hAnsi="FrankRuehl" w:cs="FrankRuehl"/>
          <w:sz w:val="28"/>
          <w:szCs w:val="28"/>
          <w:rtl/>
        </w:rPr>
        <w:t xml:space="preserve">ניתן לקבוע כי היה תכנון מוקדם לביצוע העבירות שכן הסמים </w:t>
      </w:r>
      <w:r>
        <w:rPr>
          <w:rFonts w:ascii="FrankRuehl" w:hAnsi="FrankRuehl" w:cs="FrankRuehl" w:hint="cs"/>
          <w:sz w:val="28"/>
          <w:szCs w:val="28"/>
          <w:rtl/>
        </w:rPr>
        <w:t xml:space="preserve">נמצאו </w:t>
      </w:r>
      <w:r>
        <w:rPr>
          <w:rFonts w:ascii="FrankRuehl" w:hAnsi="FrankRuehl" w:cs="FrankRuehl"/>
          <w:sz w:val="28"/>
          <w:szCs w:val="28"/>
          <w:rtl/>
        </w:rPr>
        <w:t>ברכב שבו נהג הנאשם והוא סיפר כי רכש את ה</w:t>
      </w:r>
      <w:r>
        <w:rPr>
          <w:rFonts w:ascii="FrankRuehl" w:hAnsi="FrankRuehl" w:cs="FrankRuehl" w:hint="cs"/>
          <w:sz w:val="28"/>
          <w:szCs w:val="28"/>
          <w:rtl/>
        </w:rPr>
        <w:t>ס</w:t>
      </w:r>
      <w:r>
        <w:rPr>
          <w:rFonts w:ascii="FrankRuehl" w:hAnsi="FrankRuehl" w:cs="FrankRuehl"/>
          <w:sz w:val="28"/>
          <w:szCs w:val="28"/>
          <w:rtl/>
        </w:rPr>
        <w:t xml:space="preserve">מים לשימושו העצמי. </w:t>
      </w:r>
      <w:r>
        <w:rPr>
          <w:rFonts w:ascii="FrankRuehl" w:hAnsi="FrankRuehl" w:cs="FrankRuehl" w:hint="cs"/>
          <w:sz w:val="28"/>
          <w:szCs w:val="28"/>
          <w:rtl/>
        </w:rPr>
        <w:t xml:space="preserve">הנסיבות נוטות לקבל את גרסת הנאשם שהסמים נועדו לצריכתו העצמית. הנאשם אחראי למעשים. בפועל נגרם נזק מוגבל וכך גם פוטנציאל הנזק. </w:t>
      </w:r>
    </w:p>
    <w:p w14:paraId="2DC8A6D9" w14:textId="77777777" w:rsidR="004B340B" w:rsidRDefault="004B340B" w:rsidP="004B340B">
      <w:pPr>
        <w:spacing w:after="160" w:line="360" w:lineRule="auto"/>
        <w:jc w:val="both"/>
        <w:rPr>
          <w:rFonts w:ascii="FrankRuehl" w:hAnsi="FrankRuehl" w:cs="FrankRuehl"/>
          <w:sz w:val="28"/>
          <w:szCs w:val="28"/>
          <w:rtl/>
        </w:rPr>
      </w:pPr>
      <w:r>
        <w:rPr>
          <w:rFonts w:ascii="FrankRuehl" w:hAnsi="FrankRuehl" w:cs="FrankRuehl"/>
          <w:b/>
          <w:bCs/>
          <w:sz w:val="28"/>
          <w:szCs w:val="28"/>
          <w:u w:val="single"/>
          <w:rtl/>
        </w:rPr>
        <w:t>מדיניות הענישה הנוהגת</w:t>
      </w:r>
      <w:r>
        <w:rPr>
          <w:rFonts w:ascii="FrankRuehl" w:hAnsi="FrankRuehl" w:cs="FrankRuehl"/>
          <w:b/>
          <w:bCs/>
          <w:sz w:val="28"/>
          <w:szCs w:val="28"/>
          <w:rtl/>
        </w:rPr>
        <w:t xml:space="preserve"> – </w:t>
      </w:r>
      <w:r>
        <w:rPr>
          <w:rFonts w:ascii="FrankRuehl" w:hAnsi="FrankRuehl" w:cs="FrankRuehl"/>
          <w:sz w:val="28"/>
          <w:szCs w:val="28"/>
          <w:rtl/>
        </w:rPr>
        <w:t>סקירת הפסיקה בנסיבות דומות מלמדת על טווח עונשי רחב המוטל על נאשמים. מפנה ל</w:t>
      </w:r>
      <w:hyperlink r:id="rId18" w:history="1">
        <w:r w:rsidR="00D7372F" w:rsidRPr="00D7372F">
          <w:rPr>
            <w:rFonts w:ascii="FrankRuehl" w:hAnsi="FrankRuehl" w:cs="FrankRuehl"/>
            <w:color w:val="0000FF"/>
            <w:sz w:val="28"/>
            <w:szCs w:val="28"/>
            <w:u w:val="single"/>
            <w:rtl/>
          </w:rPr>
          <w:t>ת"פ (קרית שמונה) 14998-08-16</w:t>
        </w:r>
      </w:hyperlink>
      <w:r>
        <w:rPr>
          <w:rFonts w:ascii="FrankRuehl" w:hAnsi="FrankRuehl" w:cs="FrankRuehl"/>
          <w:sz w:val="28"/>
          <w:szCs w:val="28"/>
          <w:rtl/>
        </w:rPr>
        <w:t xml:space="preserve">, </w:t>
      </w:r>
      <w:r>
        <w:rPr>
          <w:rFonts w:ascii="FrankRuehl" w:hAnsi="FrankRuehl" w:cs="FrankRuehl"/>
          <w:b/>
          <w:bCs/>
          <w:sz w:val="28"/>
          <w:szCs w:val="28"/>
          <w:u w:val="single"/>
          <w:rtl/>
        </w:rPr>
        <w:t>מדינת ישראל</w:t>
      </w:r>
      <w:r>
        <w:rPr>
          <w:rFonts w:ascii="FrankRuehl" w:hAnsi="FrankRuehl" w:cs="FrankRuehl"/>
          <w:sz w:val="28"/>
          <w:szCs w:val="28"/>
          <w:rtl/>
        </w:rPr>
        <w:t xml:space="preserve"> נ' </w:t>
      </w:r>
      <w:r>
        <w:rPr>
          <w:rFonts w:ascii="FrankRuehl" w:hAnsi="FrankRuehl" w:cs="FrankRuehl"/>
          <w:b/>
          <w:bCs/>
          <w:sz w:val="28"/>
          <w:szCs w:val="28"/>
          <w:u w:val="single"/>
          <w:rtl/>
        </w:rPr>
        <w:t>כהן</w:t>
      </w:r>
      <w:r>
        <w:rPr>
          <w:rFonts w:ascii="FrankRuehl" w:hAnsi="FrankRuehl" w:cs="FrankRuehl"/>
          <w:sz w:val="28"/>
          <w:szCs w:val="28"/>
          <w:rtl/>
        </w:rPr>
        <w:t xml:space="preserve">, שם סקר ביהמ"ש בהרחבה את הפסיקה הנוהגת המגוונת בתחום זה וקבע כי בנסיבות העניין מתחם הענישה צריך לעמוד על בין מאסר מותנה עד 12 חודשי מאסר. באותו תיק , בנוסף לעבירת החזקת סמים לשימוש עצמי, הורשע הנאשם בסחר בסמים ולאחר תסקיר חיובי הטיל ביהמ"ש מאסר מותנה, של"צ, קנס ופסילה. לא הוגש ערעור על פסק דין זה. בנסיבות חמורות בהרבה, בית המשפט העליון מסתפק לעתים קרובות בענישה הכוללת רכיב של מאסר בעבודות שירות: ר' לדוגמה: רע"פ </w:t>
      </w:r>
      <w:hyperlink r:id="rId19" w:history="1">
        <w:r w:rsidR="008412F1" w:rsidRPr="008412F1">
          <w:rPr>
            <w:rFonts w:ascii="FrankRuehl" w:hAnsi="FrankRuehl" w:cs="FrankRuehl"/>
            <w:color w:val="0000FF"/>
            <w:sz w:val="28"/>
            <w:szCs w:val="28"/>
            <w:u w:val="single"/>
            <w:rtl/>
          </w:rPr>
          <w:t xml:space="preserve">6161/16 </w:t>
        </w:r>
      </w:hyperlink>
      <w:r>
        <w:rPr>
          <w:rFonts w:ascii="FrankRuehl" w:hAnsi="FrankRuehl" w:cs="FrankRuehl"/>
          <w:sz w:val="28"/>
          <w:szCs w:val="28"/>
          <w:rtl/>
        </w:rPr>
        <w:t xml:space="preserve"> </w:t>
      </w:r>
      <w:r>
        <w:rPr>
          <w:rFonts w:ascii="FrankRuehl" w:hAnsi="FrankRuehl" w:cs="FrankRuehl"/>
          <w:b/>
          <w:bCs/>
          <w:sz w:val="28"/>
          <w:szCs w:val="28"/>
          <w:u w:val="single"/>
          <w:rtl/>
        </w:rPr>
        <w:t>יזרעאלוב</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20.2.2017); </w:t>
      </w:r>
      <w:hyperlink r:id="rId20" w:history="1">
        <w:r w:rsidR="00D7372F" w:rsidRPr="00D7372F">
          <w:rPr>
            <w:rFonts w:ascii="FrankRuehl" w:hAnsi="FrankRuehl" w:cs="FrankRuehl"/>
            <w:color w:val="0000FF"/>
            <w:sz w:val="28"/>
            <w:szCs w:val="28"/>
            <w:u w:val="single"/>
            <w:rtl/>
          </w:rPr>
          <w:t>רע"פ 5478/19</w:t>
        </w:r>
      </w:hyperlink>
      <w:r>
        <w:rPr>
          <w:rFonts w:ascii="FrankRuehl" w:hAnsi="FrankRuehl" w:cs="FrankRuehl"/>
          <w:sz w:val="28"/>
          <w:szCs w:val="28"/>
          <w:rtl/>
        </w:rPr>
        <w:t xml:space="preserve"> </w:t>
      </w:r>
      <w:r>
        <w:rPr>
          <w:rFonts w:ascii="FrankRuehl" w:hAnsi="FrankRuehl" w:cs="FrankRuehl"/>
          <w:b/>
          <w:bCs/>
          <w:sz w:val="28"/>
          <w:szCs w:val="28"/>
          <w:u w:val="single"/>
          <w:rtl/>
        </w:rPr>
        <w:t>לוין</w:t>
      </w:r>
      <w:r>
        <w:rPr>
          <w:rFonts w:ascii="FrankRuehl" w:hAnsi="FrankRuehl" w:cs="FrankRuehl"/>
          <w:sz w:val="28"/>
          <w:szCs w:val="28"/>
          <w:rtl/>
        </w:rPr>
        <w:t xml:space="preserve"> נ' </w:t>
      </w:r>
      <w:r>
        <w:rPr>
          <w:rFonts w:ascii="FrankRuehl" w:hAnsi="FrankRuehl" w:cs="FrankRuehl"/>
          <w:b/>
          <w:bCs/>
          <w:sz w:val="28"/>
          <w:szCs w:val="28"/>
          <w:u w:val="single"/>
          <w:rtl/>
        </w:rPr>
        <w:t>מ"י</w:t>
      </w:r>
      <w:r w:rsidR="00D7372F">
        <w:rPr>
          <w:rFonts w:ascii="FrankRuehl" w:hAnsi="FrankRuehl" w:cs="FrankRuehl"/>
          <w:sz w:val="28"/>
          <w:szCs w:val="28"/>
          <w:rtl/>
        </w:rPr>
        <w:t xml:space="preserve"> </w:t>
      </w:r>
      <w:r>
        <w:rPr>
          <w:rFonts w:ascii="FrankRuehl" w:hAnsi="FrankRuehl" w:cs="FrankRuehl"/>
          <w:sz w:val="28"/>
          <w:szCs w:val="28"/>
          <w:rtl/>
        </w:rPr>
        <w:t xml:space="preserve"> (מיום 25.8.2019), שם הסתפק בית המשפט העליון בעונש של של"ץ בנסיבות חמורות יותר של סחר במספר מקרים. </w:t>
      </w:r>
    </w:p>
    <w:p w14:paraId="05B5A542" w14:textId="77777777" w:rsidR="004B340B" w:rsidRDefault="004B340B" w:rsidP="004B340B">
      <w:pPr>
        <w:spacing w:line="360" w:lineRule="auto"/>
        <w:jc w:val="both"/>
        <w:rPr>
          <w:rFonts w:ascii="FrankRuehl" w:hAnsi="FrankRuehl" w:cs="FrankRuehl"/>
          <w:sz w:val="28"/>
          <w:szCs w:val="28"/>
        </w:rPr>
      </w:pPr>
    </w:p>
    <w:p w14:paraId="249180F6" w14:textId="77777777" w:rsidR="004B340B" w:rsidRDefault="004B340B" w:rsidP="004B340B">
      <w:pPr>
        <w:spacing w:line="360" w:lineRule="auto"/>
        <w:jc w:val="both"/>
        <w:rPr>
          <w:rFonts w:ascii="FrankRuehl" w:hAnsi="FrankRuehl" w:cs="FrankRuehl"/>
          <w:b/>
          <w:bCs/>
          <w:sz w:val="28"/>
          <w:szCs w:val="28"/>
          <w:rtl/>
        </w:rPr>
      </w:pPr>
      <w:r>
        <w:rPr>
          <w:rFonts w:ascii="FrankRuehl" w:hAnsi="FrankRuehl" w:cs="FrankRuehl"/>
          <w:b/>
          <w:bCs/>
          <w:sz w:val="28"/>
          <w:szCs w:val="28"/>
          <w:u w:val="single"/>
          <w:rtl/>
        </w:rPr>
        <w:t>מתחם הענישה</w:t>
      </w:r>
      <w:r>
        <w:rPr>
          <w:rFonts w:ascii="FrankRuehl" w:hAnsi="FrankRuehl" w:cs="FrankRuehl"/>
          <w:b/>
          <w:bCs/>
          <w:sz w:val="28"/>
          <w:szCs w:val="28"/>
          <w:rtl/>
        </w:rPr>
        <w:t xml:space="preserve"> – </w:t>
      </w:r>
      <w:r>
        <w:rPr>
          <w:rFonts w:ascii="FrankRuehl" w:hAnsi="FrankRuehl" w:cs="FrankRuehl"/>
          <w:sz w:val="28"/>
          <w:szCs w:val="28"/>
          <w:rtl/>
        </w:rPr>
        <w:t>לפיכך, מתחם הענישה</w:t>
      </w:r>
      <w:r w:rsidR="00D7372F">
        <w:rPr>
          <w:rFonts w:ascii="FrankRuehl" w:hAnsi="FrankRuehl" w:cs="FrankRuehl"/>
          <w:sz w:val="28"/>
          <w:szCs w:val="28"/>
          <w:rtl/>
        </w:rPr>
        <w:t xml:space="preserve"> </w:t>
      </w:r>
      <w:r>
        <w:rPr>
          <w:rFonts w:ascii="FrankRuehl" w:hAnsi="FrankRuehl" w:cs="FrankRuehl"/>
          <w:sz w:val="28"/>
          <w:szCs w:val="28"/>
          <w:rtl/>
        </w:rPr>
        <w:t xml:space="preserve"> צריך לעמוד על מאסר על תנאי, של"ץ ועד 8 חודשי מאסר בפועל.</w:t>
      </w:r>
    </w:p>
    <w:p w14:paraId="7D0D28BE" w14:textId="77777777" w:rsidR="004B340B" w:rsidRDefault="004B340B" w:rsidP="004B340B">
      <w:pPr>
        <w:spacing w:line="360" w:lineRule="auto"/>
        <w:jc w:val="both"/>
        <w:rPr>
          <w:rFonts w:cs="Times New Roman"/>
          <w:b/>
          <w:bCs/>
          <w:sz w:val="28"/>
          <w:szCs w:val="28"/>
          <w:rtl/>
        </w:rPr>
      </w:pPr>
    </w:p>
    <w:p w14:paraId="7CE0F6E2" w14:textId="77777777" w:rsidR="004B340B" w:rsidRDefault="004B340B" w:rsidP="004B340B">
      <w:pPr>
        <w:spacing w:line="360" w:lineRule="auto"/>
        <w:jc w:val="both"/>
        <w:rPr>
          <w:rFonts w:ascii="FrankRuehl" w:hAnsi="FrankRuehl" w:cs="FrankRuehl"/>
          <w:sz w:val="28"/>
          <w:szCs w:val="28"/>
          <w:rtl/>
        </w:rPr>
      </w:pPr>
      <w:r>
        <w:rPr>
          <w:rFonts w:ascii="FrankRuehl" w:hAnsi="FrankRuehl" w:cs="FrankRuehl"/>
          <w:b/>
          <w:bCs/>
          <w:sz w:val="28"/>
          <w:szCs w:val="28"/>
          <w:u w:val="single"/>
          <w:rtl/>
        </w:rPr>
        <w:t xml:space="preserve">נסיבות שאינן קשורות בביצוע העבירה לפי </w:t>
      </w:r>
      <w:hyperlink r:id="rId21" w:history="1">
        <w:r w:rsidR="000F173E" w:rsidRPr="000F173E">
          <w:rPr>
            <w:rStyle w:val="Hyperlink"/>
            <w:rFonts w:ascii="FrankRuehl" w:hAnsi="FrankRuehl" w:cs="FrankRuehl"/>
            <w:b/>
            <w:bCs/>
            <w:sz w:val="28"/>
            <w:szCs w:val="28"/>
            <w:rtl/>
          </w:rPr>
          <w:t>סעיף 40י"א</w:t>
        </w:r>
      </w:hyperlink>
      <w:r>
        <w:rPr>
          <w:rFonts w:ascii="FrankRuehl" w:hAnsi="FrankRuehl" w:cs="FrankRuehl"/>
          <w:b/>
          <w:bCs/>
          <w:sz w:val="28"/>
          <w:szCs w:val="28"/>
          <w:u w:val="single"/>
          <w:rtl/>
        </w:rPr>
        <w:t xml:space="preserve"> ל</w:t>
      </w:r>
      <w:hyperlink r:id="rId22" w:history="1">
        <w:r w:rsidR="00D7372F" w:rsidRPr="00D7372F">
          <w:rPr>
            <w:rFonts w:ascii="FrankRuehl" w:hAnsi="FrankRuehl" w:cs="FrankRuehl"/>
            <w:b/>
            <w:bCs/>
            <w:color w:val="0000FF"/>
            <w:sz w:val="28"/>
            <w:szCs w:val="28"/>
            <w:u w:val="single"/>
            <w:rtl/>
          </w:rPr>
          <w:t>חוק העונשין</w:t>
        </w:r>
      </w:hyperlink>
      <w:r>
        <w:rPr>
          <w:rFonts w:ascii="FrankRuehl" w:hAnsi="FrankRuehl" w:cs="FrankRuehl"/>
          <w:b/>
          <w:bCs/>
          <w:sz w:val="28"/>
          <w:szCs w:val="28"/>
          <w:rtl/>
        </w:rPr>
        <w:t xml:space="preserve"> – </w:t>
      </w:r>
      <w:r>
        <w:rPr>
          <w:rFonts w:ascii="FrankRuehl" w:hAnsi="FrankRuehl" w:cs="FrankRuehl"/>
          <w:sz w:val="28"/>
          <w:szCs w:val="28"/>
          <w:rtl/>
        </w:rPr>
        <w:t>ניתן</w:t>
      </w:r>
      <w:r w:rsidR="00D7372F">
        <w:rPr>
          <w:rFonts w:ascii="FrankRuehl" w:hAnsi="FrankRuehl" w:cs="FrankRuehl"/>
          <w:sz w:val="28"/>
          <w:szCs w:val="28"/>
          <w:rtl/>
        </w:rPr>
        <w:t xml:space="preserve"> </w:t>
      </w:r>
      <w:r>
        <w:rPr>
          <w:rFonts w:ascii="FrankRuehl" w:hAnsi="FrankRuehl" w:cs="FrankRuehl"/>
          <w:sz w:val="28"/>
          <w:szCs w:val="28"/>
          <w:rtl/>
        </w:rPr>
        <w:t xml:space="preserve"> לתת משקל לנסיבות הבאות שאינן קשורות בביצוע העבירה, במסגרת גזירת העונש בתוך המתחם:</w:t>
      </w:r>
      <w:r>
        <w:rPr>
          <w:rFonts w:ascii="FrankRuehl" w:hAnsi="FrankRuehl" w:cs="FrankRuehl" w:hint="cs"/>
          <w:sz w:val="28"/>
          <w:szCs w:val="28"/>
          <w:rtl/>
        </w:rPr>
        <w:t xml:space="preserve"> הנאשם קיבל אחריות למעשים, עברו הפלילי ישן ואינו ממין העניין. הנאשם חדל להשתמש בסמים כפי שהבדיקות מעידות והוא עובד באופן יציב וקבוע. </w:t>
      </w:r>
    </w:p>
    <w:p w14:paraId="5D6C31AA" w14:textId="77777777" w:rsidR="004B340B" w:rsidRDefault="004B340B" w:rsidP="004B340B">
      <w:pPr>
        <w:spacing w:line="360" w:lineRule="auto"/>
        <w:jc w:val="both"/>
        <w:rPr>
          <w:rFonts w:ascii="FrankRuehl" w:hAnsi="FrankRuehl" w:cs="FrankRuehl"/>
          <w:b/>
          <w:bCs/>
          <w:sz w:val="28"/>
          <w:szCs w:val="28"/>
          <w:u w:val="single"/>
          <w:rtl/>
        </w:rPr>
      </w:pPr>
    </w:p>
    <w:p w14:paraId="1ABA2073" w14:textId="77777777" w:rsidR="004B340B" w:rsidRPr="00F54337" w:rsidRDefault="004B340B" w:rsidP="004B340B">
      <w:pPr>
        <w:spacing w:line="360" w:lineRule="auto"/>
        <w:jc w:val="both"/>
        <w:rPr>
          <w:rFonts w:ascii="FrankRuehl" w:hAnsi="FrankRuehl" w:cs="FrankRuehl"/>
          <w:sz w:val="28"/>
          <w:szCs w:val="28"/>
          <w:rtl/>
        </w:rPr>
      </w:pPr>
      <w:r>
        <w:rPr>
          <w:rFonts w:ascii="FrankRuehl" w:hAnsi="FrankRuehl" w:cs="FrankRuehl" w:hint="cs"/>
          <w:b/>
          <w:bCs/>
          <w:sz w:val="28"/>
          <w:szCs w:val="28"/>
          <w:u w:val="single"/>
          <w:rtl/>
        </w:rPr>
        <w:t>מיקום במתחם</w:t>
      </w:r>
      <w:r w:rsidRPr="00F54337">
        <w:rPr>
          <w:rFonts w:ascii="FrankRuehl" w:hAnsi="FrankRuehl" w:cs="FrankRuehl" w:hint="cs"/>
          <w:sz w:val="28"/>
          <w:szCs w:val="28"/>
          <w:rtl/>
        </w:rPr>
        <w:t xml:space="preserve"> </w:t>
      </w:r>
      <w:r w:rsidRPr="00F54337">
        <w:rPr>
          <w:rFonts w:ascii="FrankRuehl" w:hAnsi="FrankRuehl" w:cs="FrankRuehl"/>
          <w:sz w:val="28"/>
          <w:szCs w:val="28"/>
          <w:rtl/>
        </w:rPr>
        <w:t>–</w:t>
      </w:r>
      <w:r w:rsidRPr="00F54337">
        <w:rPr>
          <w:rFonts w:ascii="FrankRuehl" w:hAnsi="FrankRuehl" w:cs="FrankRuehl" w:hint="cs"/>
          <w:sz w:val="28"/>
          <w:szCs w:val="28"/>
          <w:rtl/>
        </w:rPr>
        <w:t xml:space="preserve"> יש למקם את הנאשם בתחתית המתחם.</w:t>
      </w:r>
    </w:p>
    <w:p w14:paraId="717B9F83" w14:textId="77777777" w:rsidR="004B340B" w:rsidRDefault="004B340B" w:rsidP="004B340B">
      <w:pPr>
        <w:spacing w:line="360" w:lineRule="auto"/>
        <w:jc w:val="both"/>
        <w:rPr>
          <w:rFonts w:ascii="FrankRuehl" w:hAnsi="FrankRuehl" w:cs="FrankRuehl"/>
          <w:b/>
          <w:bCs/>
          <w:sz w:val="28"/>
          <w:szCs w:val="28"/>
          <w:u w:val="single"/>
          <w:rtl/>
        </w:rPr>
      </w:pPr>
    </w:p>
    <w:p w14:paraId="2EA34639" w14:textId="77777777" w:rsidR="004B340B" w:rsidRDefault="004B340B" w:rsidP="004B340B">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גזירת הדין</w:t>
      </w:r>
    </w:p>
    <w:p w14:paraId="48C9C642" w14:textId="77777777" w:rsidR="004B340B" w:rsidRDefault="004B340B" w:rsidP="004B340B">
      <w:pPr>
        <w:spacing w:line="360" w:lineRule="auto"/>
        <w:jc w:val="both"/>
        <w:rPr>
          <w:rFonts w:ascii="FrankRuehl" w:hAnsi="FrankRuehl" w:cs="FrankRuehl"/>
          <w:sz w:val="28"/>
          <w:szCs w:val="28"/>
          <w:rtl/>
        </w:rPr>
      </w:pPr>
      <w:r>
        <w:rPr>
          <w:rFonts w:ascii="FrankRuehl" w:hAnsi="FrankRuehl" w:cs="FrankRuehl"/>
          <w:sz w:val="28"/>
          <w:szCs w:val="28"/>
          <w:rtl/>
        </w:rPr>
        <w:t>לפיכך, אני מחליט לגזור על הנאשם את העונשים הבאים:</w:t>
      </w:r>
    </w:p>
    <w:p w14:paraId="7FC7ABBD" w14:textId="77777777" w:rsidR="004B340B" w:rsidRDefault="004B340B" w:rsidP="004B340B">
      <w:pPr>
        <w:numPr>
          <w:ilvl w:val="0"/>
          <w:numId w:val="1"/>
        </w:numPr>
        <w:spacing w:after="160" w:line="360" w:lineRule="auto"/>
        <w:contextualSpacing/>
        <w:jc w:val="both"/>
        <w:rPr>
          <w:rFonts w:ascii="FrankRuehl" w:hAnsi="FrankRuehl" w:cs="FrankRuehl"/>
          <w:sz w:val="28"/>
          <w:szCs w:val="28"/>
        </w:rPr>
      </w:pPr>
      <w:r>
        <w:rPr>
          <w:rFonts w:ascii="FrankRuehl" w:hAnsi="FrankRuehl" w:cs="FrankRuehl" w:hint="cs"/>
          <w:sz w:val="28"/>
          <w:szCs w:val="28"/>
          <w:rtl/>
        </w:rPr>
        <w:t>חודש מאסר שלא ירוצה, אלא אם יעבור הנאשם כל עבירת עוון לפי פקודת הסמים בתוך שנתיים מהיום;</w:t>
      </w:r>
    </w:p>
    <w:p w14:paraId="2A1462BB" w14:textId="77777777" w:rsidR="004B340B" w:rsidRDefault="004B340B" w:rsidP="004B340B">
      <w:pPr>
        <w:numPr>
          <w:ilvl w:val="0"/>
          <w:numId w:val="1"/>
        </w:numPr>
        <w:spacing w:after="160" w:line="360" w:lineRule="auto"/>
        <w:contextualSpacing/>
        <w:jc w:val="both"/>
        <w:rPr>
          <w:rFonts w:ascii="FrankRuehl" w:hAnsi="FrankRuehl" w:cs="FrankRuehl"/>
          <w:sz w:val="28"/>
          <w:szCs w:val="28"/>
        </w:rPr>
      </w:pPr>
      <w:r>
        <w:rPr>
          <w:rFonts w:ascii="FrankRuehl" w:hAnsi="FrankRuehl" w:cs="FrankRuehl" w:hint="cs"/>
          <w:sz w:val="28"/>
          <w:szCs w:val="28"/>
          <w:rtl/>
        </w:rPr>
        <w:t>5 חודשי מאסר שלא ירוצו, אלא אם יעבור הנאשם כל עבירת פשע לפי פקודת הסמים בתוך שנתיים מהיום;</w:t>
      </w:r>
    </w:p>
    <w:p w14:paraId="6B1C5727" w14:textId="77777777" w:rsidR="004B340B" w:rsidRDefault="004B340B" w:rsidP="004B340B">
      <w:pPr>
        <w:numPr>
          <w:ilvl w:val="0"/>
          <w:numId w:val="1"/>
        </w:numPr>
        <w:spacing w:after="160" w:line="360" w:lineRule="auto"/>
        <w:contextualSpacing/>
        <w:jc w:val="both"/>
        <w:rPr>
          <w:rFonts w:ascii="FrankRuehl" w:hAnsi="FrankRuehl" w:cs="FrankRuehl"/>
          <w:sz w:val="28"/>
          <w:szCs w:val="28"/>
          <w:rtl/>
        </w:rPr>
      </w:pPr>
      <w:r>
        <w:rPr>
          <w:rFonts w:ascii="FrankRuehl" w:hAnsi="FrankRuehl" w:cs="FrankRuehl"/>
          <w:sz w:val="28"/>
          <w:szCs w:val="28"/>
          <w:rtl/>
        </w:rPr>
        <w:t>קנס בסך</w:t>
      </w:r>
      <w:r w:rsidR="00D7372F">
        <w:rPr>
          <w:rFonts w:ascii="FrankRuehl" w:hAnsi="FrankRuehl" w:cs="FrankRuehl"/>
          <w:sz w:val="28"/>
          <w:szCs w:val="28"/>
          <w:rtl/>
        </w:rPr>
        <w:t xml:space="preserve">  </w:t>
      </w:r>
      <w:r>
        <w:rPr>
          <w:rFonts w:ascii="FrankRuehl" w:hAnsi="FrankRuehl" w:cs="FrankRuehl" w:hint="cs"/>
          <w:sz w:val="28"/>
          <w:szCs w:val="28"/>
          <w:rtl/>
        </w:rPr>
        <w:t xml:space="preserve">1,000 </w:t>
      </w:r>
      <w:r>
        <w:rPr>
          <w:rFonts w:ascii="FrankRuehl" w:hAnsi="FrankRuehl" w:cs="FrankRuehl"/>
          <w:sz w:val="28"/>
          <w:szCs w:val="28"/>
          <w:rtl/>
        </w:rPr>
        <w:t>₪, או</w:t>
      </w:r>
      <w:r w:rsidR="00D7372F">
        <w:rPr>
          <w:rFonts w:ascii="FrankRuehl" w:hAnsi="FrankRuehl" w:cs="FrankRuehl"/>
          <w:sz w:val="28"/>
          <w:szCs w:val="28"/>
          <w:rtl/>
        </w:rPr>
        <w:t xml:space="preserve"> </w:t>
      </w:r>
      <w:r>
        <w:rPr>
          <w:rFonts w:ascii="FrankRuehl" w:hAnsi="FrankRuehl" w:cs="FrankRuehl"/>
          <w:sz w:val="28"/>
          <w:szCs w:val="28"/>
          <w:rtl/>
        </w:rPr>
        <w:t xml:space="preserve"> </w:t>
      </w:r>
      <w:r>
        <w:rPr>
          <w:rFonts w:ascii="FrankRuehl" w:hAnsi="FrankRuehl" w:cs="FrankRuehl" w:hint="cs"/>
          <w:sz w:val="28"/>
          <w:szCs w:val="28"/>
          <w:rtl/>
        </w:rPr>
        <w:t xml:space="preserve">4 </w:t>
      </w:r>
      <w:r>
        <w:rPr>
          <w:rFonts w:ascii="FrankRuehl" w:hAnsi="FrankRuehl" w:cs="FrankRuehl"/>
          <w:sz w:val="28"/>
          <w:szCs w:val="28"/>
          <w:rtl/>
        </w:rPr>
        <w:t>ימי מאסר תמורתו אם לא ישולם. הקנס ישולם</w:t>
      </w:r>
      <w:r w:rsidR="00D7372F">
        <w:rPr>
          <w:rFonts w:ascii="FrankRuehl" w:hAnsi="FrankRuehl" w:cs="FrankRuehl"/>
          <w:sz w:val="28"/>
          <w:szCs w:val="28"/>
          <w:rtl/>
        </w:rPr>
        <w:t xml:space="preserve"> </w:t>
      </w:r>
      <w:r>
        <w:rPr>
          <w:rFonts w:ascii="FrankRuehl" w:hAnsi="FrankRuehl" w:cs="FrankRuehl"/>
          <w:sz w:val="28"/>
          <w:szCs w:val="28"/>
          <w:rtl/>
        </w:rPr>
        <w:t xml:space="preserve"> ב-</w:t>
      </w:r>
      <w:r>
        <w:rPr>
          <w:rFonts w:ascii="FrankRuehl" w:hAnsi="FrankRuehl" w:cs="FrankRuehl" w:hint="cs"/>
          <w:sz w:val="28"/>
          <w:szCs w:val="28"/>
          <w:rtl/>
        </w:rPr>
        <w:t>4</w:t>
      </w:r>
      <w:r>
        <w:rPr>
          <w:rFonts w:ascii="FrankRuehl" w:hAnsi="FrankRuehl" w:cs="FrankRuehl"/>
          <w:sz w:val="28"/>
          <w:szCs w:val="28"/>
          <w:rtl/>
        </w:rPr>
        <w:t xml:space="preserve"> תשלומים שווים ורצופים ב-</w:t>
      </w:r>
      <w:r>
        <w:rPr>
          <w:rFonts w:ascii="FrankRuehl" w:hAnsi="FrankRuehl" w:cs="FrankRuehl" w:hint="cs"/>
          <w:sz w:val="28"/>
          <w:szCs w:val="28"/>
          <w:rtl/>
        </w:rPr>
        <w:t>1</w:t>
      </w:r>
      <w:r>
        <w:rPr>
          <w:rFonts w:ascii="FrankRuehl" w:hAnsi="FrankRuehl" w:cs="FrankRuehl"/>
          <w:sz w:val="28"/>
          <w:szCs w:val="28"/>
          <w:rtl/>
        </w:rPr>
        <w:t xml:space="preserve"> בכל</w:t>
      </w:r>
      <w:r w:rsidR="00D7372F">
        <w:rPr>
          <w:rFonts w:ascii="FrankRuehl" w:hAnsi="FrankRuehl" w:cs="FrankRuehl"/>
          <w:sz w:val="28"/>
          <w:szCs w:val="28"/>
          <w:rtl/>
        </w:rPr>
        <w:t xml:space="preserve"> </w:t>
      </w:r>
      <w:r>
        <w:rPr>
          <w:rFonts w:ascii="FrankRuehl" w:hAnsi="FrankRuehl" w:cs="FrankRuehl"/>
          <w:sz w:val="28"/>
          <w:szCs w:val="28"/>
          <w:rtl/>
        </w:rPr>
        <w:t xml:space="preserve"> חודש</w:t>
      </w:r>
      <w:r>
        <w:rPr>
          <w:rFonts w:ascii="FrankRuehl" w:hAnsi="FrankRuehl" w:cs="FrankRuehl" w:hint="cs"/>
          <w:sz w:val="28"/>
          <w:szCs w:val="28"/>
          <w:rtl/>
        </w:rPr>
        <w:t xml:space="preserve"> החל מיום 1.5.2022</w:t>
      </w:r>
      <w:r>
        <w:rPr>
          <w:rFonts w:ascii="FrankRuehl" w:hAnsi="FrankRuehl" w:cs="FrankRuehl"/>
          <w:sz w:val="28"/>
          <w:szCs w:val="28"/>
          <w:rtl/>
        </w:rPr>
        <w:t>. לא ישולם תשלום במועד או לא ישולם כלל, יעמוד הקנס לפירעון מיידי. מורה על קיזוז הקנס מההפקדה שבתיק, על אף כל הודעת עיקול. ככל שתיוותר יתרת חובה, תשולם כפי שקבעתי. ככל שתיוותר יתרת זכות תוחזר לנאשם בכפוף להיעדר כל הוראת עיקול;</w:t>
      </w:r>
    </w:p>
    <w:p w14:paraId="39486E5A" w14:textId="77777777" w:rsidR="004B340B" w:rsidRDefault="004B340B" w:rsidP="004B340B">
      <w:pPr>
        <w:numPr>
          <w:ilvl w:val="0"/>
          <w:numId w:val="1"/>
        </w:numPr>
        <w:spacing w:after="160" w:line="360" w:lineRule="auto"/>
        <w:contextualSpacing/>
        <w:jc w:val="both"/>
        <w:rPr>
          <w:rFonts w:ascii="FrankRuehl" w:hAnsi="FrankRuehl" w:cs="FrankRuehl"/>
          <w:sz w:val="28"/>
          <w:szCs w:val="28"/>
          <w:rtl/>
        </w:rPr>
      </w:pPr>
      <w:r>
        <w:rPr>
          <w:rFonts w:ascii="FrankRuehl" w:hAnsi="FrankRuehl" w:cs="FrankRuehl"/>
          <w:sz w:val="28"/>
          <w:szCs w:val="28"/>
          <w:rtl/>
        </w:rPr>
        <w:t xml:space="preserve">התחייבות בסך </w:t>
      </w:r>
      <w:r>
        <w:rPr>
          <w:rFonts w:ascii="FrankRuehl" w:hAnsi="FrankRuehl" w:cs="FrankRuehl" w:hint="cs"/>
          <w:sz w:val="28"/>
          <w:szCs w:val="28"/>
          <w:rtl/>
        </w:rPr>
        <w:t xml:space="preserve">5,000 </w:t>
      </w:r>
      <w:r>
        <w:rPr>
          <w:rFonts w:ascii="FrankRuehl" w:hAnsi="FrankRuehl" w:cs="FrankRuehl"/>
          <w:sz w:val="28"/>
          <w:szCs w:val="28"/>
          <w:rtl/>
        </w:rPr>
        <w:t xml:space="preserve">₪ שלא לעבור כל </w:t>
      </w:r>
      <w:r>
        <w:rPr>
          <w:rFonts w:ascii="FrankRuehl" w:hAnsi="FrankRuehl" w:cs="FrankRuehl" w:hint="cs"/>
          <w:sz w:val="28"/>
          <w:szCs w:val="28"/>
          <w:rtl/>
        </w:rPr>
        <w:t xml:space="preserve">עבירה לפי פקודת הסמים במשך </w:t>
      </w:r>
      <w:r>
        <w:rPr>
          <w:rFonts w:ascii="FrankRuehl" w:hAnsi="FrankRuehl" w:cs="FrankRuehl"/>
          <w:sz w:val="28"/>
          <w:szCs w:val="28"/>
          <w:rtl/>
        </w:rPr>
        <w:t>שנתיים מהיום. הובהר לנאשם שמשמעות ההתחייבות היא, כי אם יעבור את העבירה בתוך התקופה שצוינה, בית המשפט שיגזור את הדין יהא חייב לחלט את ההתחייבות כקנס.</w:t>
      </w:r>
    </w:p>
    <w:p w14:paraId="2ABE3DDA" w14:textId="77777777" w:rsidR="004B340B" w:rsidRDefault="004B340B" w:rsidP="004B340B">
      <w:pPr>
        <w:spacing w:line="360" w:lineRule="auto"/>
        <w:rPr>
          <w:rFonts w:ascii="FrankRuehl" w:hAnsi="FrankRuehl" w:cs="FrankRuehl"/>
          <w:sz w:val="28"/>
          <w:szCs w:val="28"/>
        </w:rPr>
      </w:pPr>
    </w:p>
    <w:p w14:paraId="5F578ECA" w14:textId="77777777" w:rsidR="004B340B" w:rsidRDefault="004B340B" w:rsidP="004B340B">
      <w:pPr>
        <w:spacing w:line="360" w:lineRule="auto"/>
        <w:rPr>
          <w:rFonts w:ascii="FrankRuehl" w:hAnsi="FrankRuehl" w:cs="FrankRuehl"/>
          <w:sz w:val="28"/>
          <w:szCs w:val="28"/>
          <w:rtl/>
        </w:rPr>
      </w:pPr>
      <w:r>
        <w:rPr>
          <w:rFonts w:ascii="FrankRuehl" w:hAnsi="FrankRuehl" w:cs="FrankRuehl"/>
          <w:sz w:val="28"/>
          <w:szCs w:val="28"/>
          <w:rtl/>
        </w:rPr>
        <w:t>מורה על השמדת הסמים.</w:t>
      </w:r>
      <w:r>
        <w:rPr>
          <w:rFonts w:ascii="FrankRuehl" w:hAnsi="FrankRuehl" w:cs="FrankRuehl" w:hint="cs"/>
          <w:sz w:val="28"/>
          <w:szCs w:val="28"/>
          <w:rtl/>
        </w:rPr>
        <w:t xml:space="preserve"> </w:t>
      </w:r>
    </w:p>
    <w:p w14:paraId="3D0DB6DF" w14:textId="77777777" w:rsidR="004B340B" w:rsidRDefault="004B340B" w:rsidP="004B340B">
      <w:pPr>
        <w:spacing w:line="360" w:lineRule="auto"/>
        <w:rPr>
          <w:rFonts w:ascii="FrankRuehl" w:hAnsi="FrankRuehl" w:cs="FrankRuehl"/>
          <w:sz w:val="28"/>
          <w:szCs w:val="28"/>
          <w:rtl/>
        </w:rPr>
      </w:pPr>
    </w:p>
    <w:p w14:paraId="522D5A88" w14:textId="77777777" w:rsidR="004B340B" w:rsidRDefault="004B340B" w:rsidP="004B340B">
      <w:pPr>
        <w:spacing w:line="360" w:lineRule="auto"/>
        <w:jc w:val="both"/>
        <w:rPr>
          <w:rFonts w:ascii="FrankRuehl" w:hAnsi="FrankRuehl" w:cs="FrankRuehl"/>
          <w:sz w:val="28"/>
          <w:szCs w:val="28"/>
          <w:rtl/>
        </w:rPr>
      </w:pPr>
      <w:r>
        <w:rPr>
          <w:rFonts w:ascii="FrankRuehl" w:hAnsi="FrankRuehl" w:cs="FrankRuehl" w:hint="cs"/>
          <w:sz w:val="28"/>
          <w:szCs w:val="28"/>
          <w:rtl/>
        </w:rPr>
        <w:t>בנסיבות ביצוע העבירה, סברתי שיש מקום להשיב לנאשם כל סכום שנתפס וכן להשיב לו טלפונים שנתפסו ככל שטרם הושבו.</w:t>
      </w:r>
    </w:p>
    <w:p w14:paraId="30F70539" w14:textId="77777777" w:rsidR="004B340B" w:rsidRDefault="004B340B" w:rsidP="004B340B">
      <w:pPr>
        <w:spacing w:line="360" w:lineRule="auto"/>
        <w:rPr>
          <w:rFonts w:ascii="FrankRuehl" w:hAnsi="FrankRuehl" w:cs="FrankRuehl"/>
          <w:sz w:val="28"/>
          <w:szCs w:val="28"/>
          <w:rtl/>
        </w:rPr>
      </w:pPr>
    </w:p>
    <w:p w14:paraId="0F90322D" w14:textId="77777777" w:rsidR="004B340B" w:rsidRDefault="004B340B" w:rsidP="004B340B">
      <w:pPr>
        <w:spacing w:line="360" w:lineRule="auto"/>
        <w:rPr>
          <w:rFonts w:ascii="FrankRuehl" w:hAnsi="FrankRuehl" w:cs="FrankRuehl"/>
          <w:sz w:val="28"/>
          <w:szCs w:val="28"/>
          <w:rtl/>
        </w:rPr>
      </w:pPr>
      <w:r>
        <w:rPr>
          <w:rFonts w:ascii="FrankRuehl" w:hAnsi="FrankRuehl" w:cs="FrankRuehl"/>
          <w:sz w:val="28"/>
          <w:szCs w:val="28"/>
          <w:rtl/>
        </w:rPr>
        <w:t>יש לשלוח לשירות המבחן.</w:t>
      </w:r>
    </w:p>
    <w:p w14:paraId="29E1B35A" w14:textId="77777777" w:rsidR="004B340B" w:rsidRDefault="004B340B" w:rsidP="004B340B">
      <w:pPr>
        <w:rPr>
          <w:rFonts w:ascii="FrankRuehl" w:hAnsi="FrankRuehl" w:cs="FrankRuehl"/>
          <w:sz w:val="28"/>
          <w:szCs w:val="28"/>
          <w:rtl/>
        </w:rPr>
      </w:pPr>
    </w:p>
    <w:p w14:paraId="52AA56B7" w14:textId="77777777" w:rsidR="004B340B" w:rsidRDefault="00D7372F" w:rsidP="004B340B">
      <w:pPr>
        <w:rPr>
          <w:rFonts w:cs="Times New Roman"/>
        </w:rPr>
      </w:pPr>
      <w:r w:rsidRPr="00D7372F">
        <w:rPr>
          <w:rFonts w:ascii="FrankRuehl" w:hAnsi="FrankRuehl" w:cs="FrankRuehl"/>
          <w:color w:val="FFFFFF"/>
          <w:sz w:val="2"/>
          <w:szCs w:val="2"/>
          <w:rtl/>
        </w:rPr>
        <w:t>5129371</w:t>
      </w:r>
      <w:r w:rsidR="004B340B">
        <w:rPr>
          <w:rFonts w:ascii="FrankRuehl" w:hAnsi="FrankRuehl" w:cs="FrankRuehl"/>
          <w:sz w:val="28"/>
          <w:szCs w:val="28"/>
          <w:rtl/>
        </w:rPr>
        <w:t>זכות ערעור כחוק לבית המשפט המחוזי בירושלים בתוך 45 יום מהיום.</w:t>
      </w:r>
    </w:p>
    <w:p w14:paraId="6BCD8E35" w14:textId="77777777" w:rsidR="004B340B" w:rsidRPr="00D7372F" w:rsidRDefault="00D7372F" w:rsidP="004B340B">
      <w:pPr>
        <w:rPr>
          <w:rFonts w:ascii="David" w:hAnsi="David"/>
          <w:color w:val="FFFFFF"/>
          <w:sz w:val="2"/>
          <w:szCs w:val="2"/>
          <w:rtl/>
        </w:rPr>
      </w:pPr>
      <w:r w:rsidRPr="00D7372F">
        <w:rPr>
          <w:rFonts w:ascii="David" w:hAnsi="David"/>
          <w:color w:val="FFFFFF"/>
          <w:sz w:val="2"/>
          <w:szCs w:val="2"/>
          <w:rtl/>
        </w:rPr>
        <w:t>54678313</w:t>
      </w:r>
    </w:p>
    <w:p w14:paraId="47D57E64" w14:textId="77777777" w:rsidR="004B340B" w:rsidRPr="002B7D23" w:rsidRDefault="004B340B" w:rsidP="004B340B">
      <w:pPr>
        <w:rPr>
          <w:rFonts w:ascii="David" w:hAnsi="David"/>
          <w:sz w:val="26"/>
          <w:szCs w:val="26"/>
          <w:rtl/>
        </w:rPr>
      </w:pPr>
    </w:p>
    <w:p w14:paraId="645E94F9" w14:textId="77777777" w:rsidR="004B340B" w:rsidRPr="002B7D23" w:rsidRDefault="00D7372F" w:rsidP="004B340B">
      <w:pPr>
        <w:rPr>
          <w:rFonts w:ascii="David" w:hAnsi="David"/>
          <w:sz w:val="26"/>
          <w:szCs w:val="26"/>
          <w:rtl/>
        </w:rPr>
      </w:pPr>
      <w:bookmarkStart w:id="8" w:name="Nitan"/>
      <w:r>
        <w:rPr>
          <w:rFonts w:ascii="David" w:hAnsi="David"/>
          <w:sz w:val="26"/>
          <w:szCs w:val="26"/>
          <w:rtl/>
        </w:rPr>
        <w:t xml:space="preserve">ניתן היום,  ד' באדר ב', התשפ"ב, 7 במרץ 2022 במעמד  הצדדים. </w:t>
      </w:r>
      <w:bookmarkEnd w:id="8"/>
    </w:p>
    <w:p w14:paraId="1B85FBB6" w14:textId="77777777" w:rsidR="00D7372F" w:rsidRDefault="00D7372F" w:rsidP="00D7372F">
      <w:pPr>
        <w:rPr>
          <w:rtl/>
        </w:rPr>
      </w:pPr>
    </w:p>
    <w:p w14:paraId="7E163421" w14:textId="77777777" w:rsidR="00D7372F" w:rsidRDefault="00D7372F" w:rsidP="00D7372F">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34DACCFA" w14:textId="77777777" w:rsidR="000F173E" w:rsidRPr="000F173E" w:rsidRDefault="000F173E" w:rsidP="000F173E">
      <w:pPr>
        <w:keepNext/>
        <w:rPr>
          <w:rFonts w:ascii="David" w:hAnsi="David"/>
          <w:color w:val="000000"/>
          <w:sz w:val="22"/>
          <w:szCs w:val="22"/>
          <w:rtl/>
        </w:rPr>
      </w:pPr>
    </w:p>
    <w:p w14:paraId="48F65761" w14:textId="77777777" w:rsidR="000F173E" w:rsidRPr="000F173E" w:rsidRDefault="000F173E" w:rsidP="000F173E">
      <w:pPr>
        <w:keepNext/>
        <w:rPr>
          <w:rFonts w:ascii="David" w:hAnsi="David"/>
          <w:color w:val="000000"/>
          <w:sz w:val="22"/>
          <w:szCs w:val="22"/>
          <w:rtl/>
        </w:rPr>
      </w:pPr>
      <w:r w:rsidRPr="000F173E">
        <w:rPr>
          <w:rFonts w:ascii="David" w:hAnsi="David"/>
          <w:color w:val="000000"/>
          <w:sz w:val="22"/>
          <w:szCs w:val="22"/>
          <w:rtl/>
        </w:rPr>
        <w:t>דוד שאול גבאי ריכטר 54678313-/</w:t>
      </w:r>
    </w:p>
    <w:p w14:paraId="2D8305CC" w14:textId="77777777" w:rsidR="00D7372F" w:rsidRPr="00D7372F" w:rsidRDefault="000F173E" w:rsidP="000F173E">
      <w:pPr>
        <w:rPr>
          <w:color w:val="0000FF"/>
          <w:u w:val="single"/>
        </w:rPr>
      </w:pPr>
      <w:r w:rsidRPr="000F173E">
        <w:rPr>
          <w:color w:val="000000"/>
          <w:u w:val="single"/>
          <w:rtl/>
        </w:rPr>
        <w:t>נוסח מסמך זה כפוף לשינויי ניסוח ועריכה</w:t>
      </w:r>
    </w:p>
    <w:sectPr w:rsidR="00D7372F" w:rsidRPr="00D7372F" w:rsidSect="000F173E">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B681D" w14:textId="77777777" w:rsidR="004C0C9C" w:rsidRDefault="004C0C9C" w:rsidP="00F46B97">
      <w:r>
        <w:separator/>
      </w:r>
    </w:p>
  </w:endnote>
  <w:endnote w:type="continuationSeparator" w:id="0">
    <w:p w14:paraId="2221E42F" w14:textId="77777777" w:rsidR="004C0C9C" w:rsidRDefault="004C0C9C" w:rsidP="00F46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4CA24" w14:textId="77777777" w:rsidR="000F173E" w:rsidRDefault="000F173E" w:rsidP="000F173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60B84BE" w14:textId="77777777" w:rsidR="00652623" w:rsidRPr="000F173E" w:rsidRDefault="000F173E" w:rsidP="000F173E">
    <w:pPr>
      <w:pStyle w:val="a5"/>
      <w:pBdr>
        <w:top w:val="single" w:sz="4" w:space="1" w:color="auto"/>
        <w:between w:val="single" w:sz="4" w:space="0" w:color="auto"/>
      </w:pBdr>
      <w:spacing w:after="60"/>
      <w:jc w:val="center"/>
      <w:rPr>
        <w:rFonts w:ascii="FrankRuehl" w:hAnsi="FrankRuehl" w:cs="FrankRuehl"/>
        <w:color w:val="000000"/>
      </w:rPr>
    </w:pPr>
    <w:r w:rsidRPr="000F173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CDD7F" w14:textId="77777777" w:rsidR="000F173E" w:rsidRDefault="000F173E" w:rsidP="000F173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26021">
      <w:rPr>
        <w:rFonts w:ascii="FrankRuehl" w:hAnsi="FrankRuehl" w:cs="FrankRuehl"/>
        <w:noProof/>
        <w:rtl/>
      </w:rPr>
      <w:t>1</w:t>
    </w:r>
    <w:r>
      <w:rPr>
        <w:rFonts w:ascii="FrankRuehl" w:hAnsi="FrankRuehl" w:cs="FrankRuehl"/>
        <w:rtl/>
      </w:rPr>
      <w:fldChar w:fldCharType="end"/>
    </w:r>
  </w:p>
  <w:p w14:paraId="37BA2BF3" w14:textId="77777777" w:rsidR="00652623" w:rsidRPr="000F173E" w:rsidRDefault="000F173E" w:rsidP="000F173E">
    <w:pPr>
      <w:pStyle w:val="a5"/>
      <w:pBdr>
        <w:top w:val="single" w:sz="4" w:space="1" w:color="auto"/>
        <w:between w:val="single" w:sz="4" w:space="0" w:color="auto"/>
      </w:pBdr>
      <w:spacing w:after="60"/>
      <w:jc w:val="center"/>
      <w:rPr>
        <w:rFonts w:ascii="FrankRuehl" w:hAnsi="FrankRuehl" w:cs="FrankRuehl"/>
        <w:color w:val="000000"/>
      </w:rPr>
    </w:pPr>
    <w:r w:rsidRPr="000F173E">
      <w:rPr>
        <w:rFonts w:ascii="FrankRuehl" w:hAnsi="FrankRuehl" w:cs="FrankRuehl"/>
        <w:color w:val="000000"/>
      </w:rPr>
      <w:pict w14:anchorId="2D517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36951" w14:textId="77777777" w:rsidR="004C0C9C" w:rsidRDefault="004C0C9C" w:rsidP="00F46B97">
      <w:r>
        <w:separator/>
      </w:r>
    </w:p>
  </w:footnote>
  <w:footnote w:type="continuationSeparator" w:id="0">
    <w:p w14:paraId="53B67008" w14:textId="77777777" w:rsidR="004C0C9C" w:rsidRDefault="004C0C9C" w:rsidP="00F46B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8A4D7" w14:textId="77777777" w:rsidR="00D7372F" w:rsidRPr="000F173E" w:rsidRDefault="000F173E" w:rsidP="000F173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11597-06-19</w:t>
    </w:r>
    <w:r>
      <w:rPr>
        <w:rFonts w:ascii="David" w:hAnsi="David"/>
        <w:color w:val="000000"/>
        <w:sz w:val="22"/>
        <w:szCs w:val="22"/>
        <w:rtl/>
      </w:rPr>
      <w:tab/>
      <w:t xml:space="preserve"> מדינת ישראל נ' ערן ליאל קינדה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E8611" w14:textId="77777777" w:rsidR="00D7372F" w:rsidRPr="000F173E" w:rsidRDefault="000F173E" w:rsidP="000F173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11597-06-19</w:t>
    </w:r>
    <w:r>
      <w:rPr>
        <w:rFonts w:ascii="David" w:hAnsi="David"/>
        <w:color w:val="000000"/>
        <w:sz w:val="22"/>
        <w:szCs w:val="22"/>
        <w:rtl/>
      </w:rPr>
      <w:tab/>
      <w:t xml:space="preserve"> מדינת ישראל נ' ערן ליאל קינדה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4552928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B340B"/>
    <w:rsid w:val="000813D2"/>
    <w:rsid w:val="000E0460"/>
    <w:rsid w:val="000F173E"/>
    <w:rsid w:val="001B5A3B"/>
    <w:rsid w:val="004453C3"/>
    <w:rsid w:val="004B340B"/>
    <w:rsid w:val="004C0C9C"/>
    <w:rsid w:val="00652623"/>
    <w:rsid w:val="007328A3"/>
    <w:rsid w:val="008412F1"/>
    <w:rsid w:val="00926021"/>
    <w:rsid w:val="00983786"/>
    <w:rsid w:val="009D403D"/>
    <w:rsid w:val="00D7372F"/>
    <w:rsid w:val="00E12FB8"/>
    <w:rsid w:val="00F46B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EF9003"/>
  <w15:chartTrackingRefBased/>
  <w15:docId w15:val="{DF52A468-88F7-4814-980F-4C031507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340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B340B"/>
    <w:pPr>
      <w:tabs>
        <w:tab w:val="center" w:pos="4153"/>
        <w:tab w:val="right" w:pos="8306"/>
      </w:tabs>
    </w:pPr>
  </w:style>
  <w:style w:type="character" w:customStyle="1" w:styleId="a4">
    <w:name w:val="כותרת עליונה תו"/>
    <w:link w:val="a3"/>
    <w:rsid w:val="004B340B"/>
    <w:rPr>
      <w:rFonts w:ascii="Times New Roman" w:eastAsia="Times New Roman" w:hAnsi="Times New Roman" w:cs="David"/>
      <w:sz w:val="24"/>
      <w:szCs w:val="24"/>
    </w:rPr>
  </w:style>
  <w:style w:type="paragraph" w:styleId="a5">
    <w:name w:val="footer"/>
    <w:basedOn w:val="a"/>
    <w:link w:val="a6"/>
    <w:rsid w:val="004B340B"/>
    <w:pPr>
      <w:tabs>
        <w:tab w:val="center" w:pos="4153"/>
        <w:tab w:val="right" w:pos="8306"/>
      </w:tabs>
    </w:pPr>
  </w:style>
  <w:style w:type="character" w:customStyle="1" w:styleId="a6">
    <w:name w:val="כותרת תחתונה תו"/>
    <w:link w:val="a5"/>
    <w:rsid w:val="004B340B"/>
    <w:rPr>
      <w:rFonts w:ascii="Times New Roman" w:eastAsia="Times New Roman" w:hAnsi="Times New Roman" w:cs="David"/>
      <w:sz w:val="24"/>
      <w:szCs w:val="24"/>
    </w:rPr>
  </w:style>
  <w:style w:type="table" w:styleId="a7">
    <w:name w:val="Table Grid"/>
    <w:basedOn w:val="a1"/>
    <w:rsid w:val="004B340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B340B"/>
  </w:style>
  <w:style w:type="character" w:styleId="Hyperlink">
    <w:name w:val="Hyperlink"/>
    <w:rsid w:val="00D737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 TargetMode="External"/><Relationship Id="rId18" Type="http://schemas.openxmlformats.org/officeDocument/2006/relationships/hyperlink" Target="http://www.nevo.co.il/case/21914524"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70301/40ja"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40i" TargetMode="External"/><Relationship Id="rId20" Type="http://schemas.openxmlformats.org/officeDocument/2006/relationships/hyperlink" Target="http://www.nevo.co.il/case/2597584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2147765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70301"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1070</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6410</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7995492</vt:i4>
      </vt:variant>
      <vt:variant>
        <vt:i4>45</vt:i4>
      </vt:variant>
      <vt:variant>
        <vt:i4>0</vt:i4>
      </vt:variant>
      <vt:variant>
        <vt:i4>5</vt:i4>
      </vt:variant>
      <vt:variant>
        <vt:lpwstr>http://www.nevo.co.il/law/70301</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3801214</vt:i4>
      </vt:variant>
      <vt:variant>
        <vt:i4>39</vt:i4>
      </vt:variant>
      <vt:variant>
        <vt:i4>0</vt:i4>
      </vt:variant>
      <vt:variant>
        <vt:i4>5</vt:i4>
      </vt:variant>
      <vt:variant>
        <vt:lpwstr>http://www.nevo.co.il/case/25975844</vt:lpwstr>
      </vt:variant>
      <vt:variant>
        <vt:lpwstr/>
      </vt:variant>
      <vt:variant>
        <vt:i4>3407988</vt:i4>
      </vt:variant>
      <vt:variant>
        <vt:i4>36</vt:i4>
      </vt:variant>
      <vt:variant>
        <vt:i4>0</vt:i4>
      </vt:variant>
      <vt:variant>
        <vt:i4>5</vt:i4>
      </vt:variant>
      <vt:variant>
        <vt:lpwstr>http://www.nevo.co.il/case/21477656</vt:lpwstr>
      </vt:variant>
      <vt:variant>
        <vt:lpwstr/>
      </vt:variant>
      <vt:variant>
        <vt:i4>3997809</vt:i4>
      </vt:variant>
      <vt:variant>
        <vt:i4>33</vt:i4>
      </vt:variant>
      <vt:variant>
        <vt:i4>0</vt:i4>
      </vt:variant>
      <vt:variant>
        <vt:i4>5</vt:i4>
      </vt:variant>
      <vt:variant>
        <vt:lpwstr>http://www.nevo.co.il/case/21914524</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2025-04-23T00:11:00Z</dcterms:created>
  <dcterms:modified xsi:type="dcterms:W3CDTF">2025-04-23T00:11:00Z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11597</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ערן ליאל קינדה</vt:lpwstr>
  </property>
  <property fmtid="{D5CDD505-2E9C-101B-9397-08002B2CF9AE}" pid="10" name="LAWYER">
    <vt:lpwstr>כרמית כהן;יפתח לנדאו</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20220307</vt:lpwstr>
  </property>
  <property fmtid="{D5CDD505-2E9C-101B-9397-08002B2CF9AE}" pid="14" name="TYPE_N_DATE">
    <vt:lpwstr>38020220307</vt:lpwstr>
  </property>
  <property fmtid="{D5CDD505-2E9C-101B-9397-08002B2CF9AE}" pid="15" name="WORDNUMPAGES">
    <vt:lpwstr>5</vt:lpwstr>
  </property>
  <property fmtid="{D5CDD505-2E9C-101B-9397-08002B2CF9AE}" pid="16" name="TYPE_ABS_DATE">
    <vt:lpwstr>380020220307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21914524;21477656;25975844</vt:lpwstr>
  </property>
  <property fmtid="{D5CDD505-2E9C-101B-9397-08002B2CF9AE}" pid="36" name="LAWLISTTMP1">
    <vt:lpwstr>4216/007.a;007.c</vt:lpwstr>
  </property>
  <property fmtid="{D5CDD505-2E9C-101B-9397-08002B2CF9AE}" pid="37" name="LAWLISTTMP2">
    <vt:lpwstr>70301/040i;40ja</vt:lpwstr>
  </property>
</Properties>
</file>