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226775" w:rsidRPr="00791277" w14:paraId="0F08E09C" w14:textId="77777777" w:rsidTr="008D6EE8">
        <w:trPr>
          <w:trHeight w:hRule="exact" w:val="418"/>
          <w:jc w:val="center"/>
        </w:trPr>
        <w:tc>
          <w:tcPr>
            <w:tcW w:w="8721" w:type="dxa"/>
            <w:gridSpan w:val="2"/>
          </w:tcPr>
          <w:p w14:paraId="2C6A8F51" w14:textId="77777777" w:rsidR="00226775" w:rsidRPr="00791277" w:rsidRDefault="00226775" w:rsidP="00AD4B01">
            <w:pPr>
              <w:pStyle w:val="a3"/>
              <w:jc w:val="center"/>
              <w:rPr>
                <w:rFonts w:ascii="Tahoma" w:hAnsi="Tahoma" w:cs="Tahoma"/>
                <w:color w:val="000080"/>
                <w:rtl/>
              </w:rPr>
            </w:pPr>
            <w:bookmarkStart w:id="0" w:name="LastJudge"/>
            <w:r w:rsidRPr="00791277">
              <w:rPr>
                <w:rFonts w:ascii="Tahoma" w:hAnsi="Tahoma" w:cs="Tahoma"/>
                <w:b/>
                <w:bCs/>
                <w:color w:val="000080"/>
                <w:rtl/>
              </w:rPr>
              <w:t>בית משפט השלום בבאר שבע</w:t>
            </w:r>
          </w:p>
        </w:tc>
      </w:tr>
      <w:tr w:rsidR="00226775" w:rsidRPr="00791277" w14:paraId="23CD928D" w14:textId="77777777" w:rsidTr="008D6EE8">
        <w:trPr>
          <w:trHeight w:val="337"/>
          <w:jc w:val="center"/>
        </w:trPr>
        <w:tc>
          <w:tcPr>
            <w:tcW w:w="5055" w:type="dxa"/>
          </w:tcPr>
          <w:p w14:paraId="629D6D67" w14:textId="77777777" w:rsidR="00226775" w:rsidRPr="00791277" w:rsidRDefault="00226775" w:rsidP="00AD4B01">
            <w:pPr>
              <w:rPr>
                <w:rFonts w:cs="FrankRuehl"/>
                <w:sz w:val="28"/>
                <w:szCs w:val="28"/>
                <w:rtl/>
              </w:rPr>
            </w:pPr>
            <w:r w:rsidRPr="00791277">
              <w:rPr>
                <w:rFonts w:ascii="David" w:hAnsi="David"/>
                <w:b/>
                <w:bCs/>
                <w:sz w:val="28"/>
                <w:szCs w:val="28"/>
                <w:rtl/>
              </w:rPr>
              <w:t>ת"פ 18280-06-19 מדינת ישראל נ' יוחייב</w:t>
            </w:r>
          </w:p>
        </w:tc>
        <w:tc>
          <w:tcPr>
            <w:tcW w:w="3666" w:type="dxa"/>
          </w:tcPr>
          <w:p w14:paraId="4C7AF31E" w14:textId="77777777" w:rsidR="00226775" w:rsidRPr="00791277" w:rsidRDefault="00226775" w:rsidP="00AD4B01">
            <w:pPr>
              <w:pStyle w:val="a3"/>
              <w:jc w:val="right"/>
              <w:rPr>
                <w:rFonts w:cs="FrankRuehl"/>
                <w:sz w:val="28"/>
                <w:szCs w:val="28"/>
                <w:rtl/>
              </w:rPr>
            </w:pPr>
          </w:p>
        </w:tc>
      </w:tr>
    </w:tbl>
    <w:p w14:paraId="207BFE18" w14:textId="77777777" w:rsidR="00226775" w:rsidRPr="00791277" w:rsidRDefault="00226775" w:rsidP="00226775">
      <w:pPr>
        <w:pStyle w:val="a3"/>
        <w:rPr>
          <w:rtl/>
        </w:rPr>
      </w:pPr>
      <w:r w:rsidRPr="00791277">
        <w:rPr>
          <w:rFonts w:hint="cs"/>
          <w:rtl/>
        </w:rPr>
        <w:t xml:space="preserve"> </w:t>
      </w:r>
    </w:p>
    <w:p w14:paraId="4FCFB483" w14:textId="77777777" w:rsidR="00226775" w:rsidRPr="00791277" w:rsidRDefault="00226775" w:rsidP="00226775">
      <w:pPr>
        <w:rPr>
          <w:sz w:val="26"/>
          <w:szCs w:val="26"/>
          <w:rtl/>
        </w:rPr>
      </w:pPr>
    </w:p>
    <w:p w14:paraId="6E4CDE9A" w14:textId="77777777" w:rsidR="00226775" w:rsidRPr="00791277" w:rsidRDefault="00226775" w:rsidP="00226775">
      <w:pPr>
        <w:rPr>
          <w:sz w:val="26"/>
          <w:szCs w:val="26"/>
          <w:rtl/>
        </w:rPr>
      </w:pPr>
    </w:p>
    <w:tbl>
      <w:tblPr>
        <w:bidiVisual/>
        <w:tblW w:w="8535" w:type="dxa"/>
        <w:tblInd w:w="244" w:type="dxa"/>
        <w:tblLook w:val="01E0" w:firstRow="1" w:lastRow="1" w:firstColumn="1" w:lastColumn="1" w:noHBand="0" w:noVBand="0"/>
      </w:tblPr>
      <w:tblGrid>
        <w:gridCol w:w="2608"/>
        <w:gridCol w:w="5927"/>
      </w:tblGrid>
      <w:tr w:rsidR="00226775" w:rsidRPr="00791277" w14:paraId="4D2FA385" w14:textId="77777777" w:rsidTr="00226775">
        <w:tc>
          <w:tcPr>
            <w:tcW w:w="8535" w:type="dxa"/>
            <w:gridSpan w:val="2"/>
            <w:shd w:val="clear" w:color="auto" w:fill="auto"/>
          </w:tcPr>
          <w:p w14:paraId="1604B20F" w14:textId="77777777" w:rsidR="00226775" w:rsidRPr="00791277" w:rsidRDefault="00226775" w:rsidP="00226775">
            <w:pPr>
              <w:spacing w:line="360" w:lineRule="auto"/>
              <w:jc w:val="both"/>
              <w:rPr>
                <w:b/>
                <w:bCs/>
                <w:sz w:val="26"/>
                <w:szCs w:val="26"/>
                <w:rtl/>
              </w:rPr>
            </w:pPr>
            <w:r w:rsidRPr="00791277">
              <w:rPr>
                <w:b/>
                <w:bCs/>
                <w:sz w:val="26"/>
                <w:szCs w:val="26"/>
                <w:rtl/>
              </w:rPr>
              <w:t xml:space="preserve">לפני כבוד השופטת זהר דולב להמן </w:t>
            </w:r>
          </w:p>
        </w:tc>
      </w:tr>
      <w:tr w:rsidR="00226775" w:rsidRPr="00791277" w14:paraId="173CF8FC" w14:textId="77777777" w:rsidTr="00226775">
        <w:trPr>
          <w:cantSplit/>
          <w:trHeight w:val="724"/>
        </w:trPr>
        <w:tc>
          <w:tcPr>
            <w:tcW w:w="2608" w:type="dxa"/>
            <w:shd w:val="clear" w:color="auto" w:fill="auto"/>
          </w:tcPr>
          <w:p w14:paraId="37A0F664" w14:textId="77777777" w:rsidR="00226775" w:rsidRPr="00791277" w:rsidRDefault="00226775" w:rsidP="00226775">
            <w:pPr>
              <w:ind w:left="26"/>
              <w:rPr>
                <w:b/>
                <w:bCs/>
                <w:sz w:val="26"/>
                <w:szCs w:val="26"/>
                <w:rtl/>
              </w:rPr>
            </w:pPr>
            <w:bookmarkStart w:id="1" w:name="FirstAppellant"/>
            <w:bookmarkStart w:id="2" w:name="FirstLawyer"/>
          </w:p>
          <w:p w14:paraId="35192256" w14:textId="77777777" w:rsidR="00226775" w:rsidRPr="00791277" w:rsidRDefault="00226775" w:rsidP="00226775">
            <w:pPr>
              <w:ind w:left="26"/>
              <w:rPr>
                <w:b/>
                <w:bCs/>
                <w:sz w:val="26"/>
                <w:szCs w:val="26"/>
                <w:rtl/>
              </w:rPr>
            </w:pPr>
            <w:r w:rsidRPr="00791277">
              <w:rPr>
                <w:b/>
                <w:bCs/>
                <w:sz w:val="26"/>
                <w:szCs w:val="26"/>
                <w:rtl/>
              </w:rPr>
              <w:t>המאשימה</w:t>
            </w:r>
          </w:p>
        </w:tc>
        <w:tc>
          <w:tcPr>
            <w:tcW w:w="5922" w:type="dxa"/>
            <w:shd w:val="clear" w:color="auto" w:fill="auto"/>
          </w:tcPr>
          <w:p w14:paraId="20470613" w14:textId="77777777" w:rsidR="00226775" w:rsidRPr="00791277" w:rsidRDefault="00226775" w:rsidP="00AD4B01">
            <w:pPr>
              <w:rPr>
                <w:rFonts w:cs="Times New Roman"/>
                <w:rtl/>
              </w:rPr>
            </w:pPr>
          </w:p>
          <w:p w14:paraId="5FC0CFA8" w14:textId="77777777" w:rsidR="00226775" w:rsidRPr="00791277" w:rsidRDefault="00226775" w:rsidP="00AD4B01">
            <w:pPr>
              <w:rPr>
                <w:rtl/>
              </w:rPr>
            </w:pPr>
            <w:r w:rsidRPr="00791277">
              <w:rPr>
                <w:rtl/>
              </w:rPr>
              <w:t xml:space="preserve"> </w:t>
            </w:r>
            <w:r w:rsidRPr="00791277">
              <w:rPr>
                <w:b/>
                <w:bCs/>
                <w:sz w:val="26"/>
                <w:szCs w:val="26"/>
                <w:rtl/>
              </w:rPr>
              <w:t>מדינת ישראל</w:t>
            </w:r>
          </w:p>
          <w:p w14:paraId="02EB4830" w14:textId="77777777" w:rsidR="00226775" w:rsidRPr="00791277" w:rsidRDefault="00226775" w:rsidP="00AD4B01">
            <w:pPr>
              <w:rPr>
                <w:b/>
                <w:bCs/>
                <w:sz w:val="26"/>
                <w:szCs w:val="26"/>
                <w:rtl/>
              </w:rPr>
            </w:pPr>
            <w:r w:rsidRPr="00791277">
              <w:rPr>
                <w:rtl/>
              </w:rPr>
              <w:t>ע"י ב"כ עו"ד לי גורמן</w:t>
            </w:r>
            <w:r w:rsidRPr="00791277">
              <w:rPr>
                <w:b/>
                <w:bCs/>
                <w:rtl/>
              </w:rPr>
              <w:t xml:space="preserve"> </w:t>
            </w:r>
          </w:p>
        </w:tc>
      </w:tr>
      <w:bookmarkEnd w:id="1"/>
      <w:bookmarkEnd w:id="2"/>
      <w:tr w:rsidR="00226775" w:rsidRPr="00791277" w14:paraId="06EF3405" w14:textId="77777777" w:rsidTr="00226775">
        <w:tc>
          <w:tcPr>
            <w:tcW w:w="8530" w:type="dxa"/>
            <w:gridSpan w:val="2"/>
            <w:shd w:val="clear" w:color="auto" w:fill="auto"/>
            <w:vAlign w:val="center"/>
          </w:tcPr>
          <w:p w14:paraId="1928A116" w14:textId="77777777" w:rsidR="00226775" w:rsidRPr="00791277" w:rsidRDefault="00226775" w:rsidP="00226775">
            <w:pPr>
              <w:jc w:val="center"/>
              <w:rPr>
                <w:rFonts w:ascii="Arial" w:hAnsi="Arial"/>
                <w:b/>
                <w:bCs/>
                <w:sz w:val="26"/>
                <w:szCs w:val="26"/>
                <w:rtl/>
              </w:rPr>
            </w:pPr>
          </w:p>
          <w:p w14:paraId="46B882B0" w14:textId="77777777" w:rsidR="00226775" w:rsidRPr="00791277" w:rsidRDefault="00226775" w:rsidP="00226775">
            <w:pPr>
              <w:jc w:val="center"/>
              <w:rPr>
                <w:rFonts w:ascii="Arial" w:hAnsi="Arial"/>
                <w:b/>
                <w:bCs/>
                <w:sz w:val="26"/>
                <w:szCs w:val="26"/>
                <w:rtl/>
              </w:rPr>
            </w:pPr>
            <w:r w:rsidRPr="00791277">
              <w:rPr>
                <w:rFonts w:ascii="Arial" w:hAnsi="Arial"/>
                <w:b/>
                <w:bCs/>
                <w:sz w:val="26"/>
                <w:szCs w:val="26"/>
                <w:rtl/>
              </w:rPr>
              <w:t>נגד</w:t>
            </w:r>
          </w:p>
          <w:p w14:paraId="2F7A6E88" w14:textId="77777777" w:rsidR="00226775" w:rsidRPr="00791277" w:rsidRDefault="00226775" w:rsidP="00AD4B01">
            <w:pPr>
              <w:rPr>
                <w:rFonts w:ascii="Arial" w:hAnsi="Arial"/>
                <w:b/>
                <w:bCs/>
                <w:sz w:val="26"/>
                <w:szCs w:val="26"/>
                <w:rtl/>
              </w:rPr>
            </w:pPr>
          </w:p>
        </w:tc>
      </w:tr>
      <w:tr w:rsidR="00226775" w:rsidRPr="00791277" w14:paraId="2B0AFCC9" w14:textId="77777777" w:rsidTr="00226775">
        <w:tc>
          <w:tcPr>
            <w:tcW w:w="2608" w:type="dxa"/>
            <w:shd w:val="clear" w:color="auto" w:fill="auto"/>
          </w:tcPr>
          <w:p w14:paraId="21AB6AC7" w14:textId="77777777" w:rsidR="00226775" w:rsidRPr="00791277" w:rsidRDefault="00226775" w:rsidP="00226775">
            <w:pPr>
              <w:ind w:left="26"/>
              <w:rPr>
                <w:b/>
                <w:bCs/>
                <w:sz w:val="26"/>
                <w:szCs w:val="26"/>
              </w:rPr>
            </w:pPr>
            <w:r w:rsidRPr="00791277">
              <w:rPr>
                <w:b/>
                <w:bCs/>
                <w:sz w:val="26"/>
                <w:szCs w:val="26"/>
                <w:rtl/>
              </w:rPr>
              <w:t>הנאשם</w:t>
            </w:r>
          </w:p>
        </w:tc>
        <w:tc>
          <w:tcPr>
            <w:tcW w:w="5922" w:type="dxa"/>
            <w:shd w:val="clear" w:color="auto" w:fill="auto"/>
          </w:tcPr>
          <w:p w14:paraId="482C084B" w14:textId="77777777" w:rsidR="00226775" w:rsidRPr="00791277" w:rsidRDefault="00226775" w:rsidP="00AD4B01">
            <w:pPr>
              <w:rPr>
                <w:rtl/>
              </w:rPr>
            </w:pPr>
            <w:r w:rsidRPr="00791277">
              <w:rPr>
                <w:rtl/>
              </w:rPr>
              <w:t xml:space="preserve"> </w:t>
            </w:r>
            <w:r w:rsidRPr="00791277">
              <w:rPr>
                <w:b/>
                <w:bCs/>
                <w:sz w:val="26"/>
                <w:szCs w:val="26"/>
                <w:rtl/>
              </w:rPr>
              <w:t>אלי יוחייב</w:t>
            </w:r>
            <w:r w:rsidRPr="00791277">
              <w:rPr>
                <w:rtl/>
              </w:rPr>
              <w:t xml:space="preserve"> - בעצמו</w:t>
            </w:r>
          </w:p>
          <w:p w14:paraId="5C470155" w14:textId="77777777" w:rsidR="00226775" w:rsidRPr="00791277" w:rsidRDefault="00226775" w:rsidP="00AD4B01">
            <w:pPr>
              <w:rPr>
                <w:b/>
                <w:bCs/>
                <w:sz w:val="26"/>
                <w:szCs w:val="26"/>
                <w:rtl/>
              </w:rPr>
            </w:pPr>
            <w:r w:rsidRPr="00791277">
              <w:rPr>
                <w:rtl/>
              </w:rPr>
              <w:t>ע"י ב"כ עו"ד ורד אברהם</w:t>
            </w:r>
            <w:r w:rsidRPr="00791277">
              <w:rPr>
                <w:b/>
                <w:bCs/>
                <w:rtl/>
              </w:rPr>
              <w:t xml:space="preserve"> </w:t>
            </w:r>
          </w:p>
        </w:tc>
      </w:tr>
    </w:tbl>
    <w:p w14:paraId="5F907BDE" w14:textId="77777777" w:rsidR="00226775" w:rsidRPr="00791277" w:rsidRDefault="00226775" w:rsidP="00226775">
      <w:pPr>
        <w:rPr>
          <w:sz w:val="26"/>
          <w:szCs w:val="26"/>
        </w:rPr>
      </w:pPr>
    </w:p>
    <w:p w14:paraId="44ECCD1D" w14:textId="77777777" w:rsidR="00791277" w:rsidRPr="00791277" w:rsidRDefault="00791277" w:rsidP="00791277">
      <w:pPr>
        <w:spacing w:before="120" w:after="120" w:line="240" w:lineRule="exact"/>
        <w:ind w:left="283" w:hanging="283"/>
        <w:jc w:val="both"/>
        <w:rPr>
          <w:rFonts w:ascii="FrankRuehl" w:hAnsi="FrankRuehl" w:cs="FrankRuehl"/>
          <w:rtl/>
        </w:rPr>
      </w:pPr>
    </w:p>
    <w:p w14:paraId="4B85A6BA" w14:textId="77777777" w:rsidR="00791277" w:rsidRPr="00791277" w:rsidRDefault="00791277" w:rsidP="00791277">
      <w:pPr>
        <w:rPr>
          <w:rFonts w:ascii="Arial" w:hAnsi="Arial"/>
          <w:sz w:val="26"/>
          <w:szCs w:val="26"/>
          <w:rtl/>
        </w:rPr>
      </w:pPr>
    </w:p>
    <w:p w14:paraId="615A1B90" w14:textId="77777777" w:rsidR="008D6EE8" w:rsidRPr="008D6EE8" w:rsidRDefault="008D6EE8" w:rsidP="008D6EE8">
      <w:pPr>
        <w:spacing w:before="120" w:after="120" w:line="240" w:lineRule="exact"/>
        <w:ind w:left="283" w:hanging="283"/>
        <w:jc w:val="both"/>
        <w:rPr>
          <w:rFonts w:ascii="FrankRuehl" w:hAnsi="FrankRuehl" w:cs="FrankRuehl"/>
          <w:rtl/>
        </w:rPr>
      </w:pPr>
    </w:p>
    <w:p w14:paraId="58E05607" w14:textId="77777777" w:rsidR="00F60D96" w:rsidRPr="00F60D96" w:rsidRDefault="00F60D96" w:rsidP="00F60D96">
      <w:pPr>
        <w:spacing w:before="120" w:after="120" w:line="240" w:lineRule="exact"/>
        <w:ind w:left="283" w:hanging="283"/>
        <w:jc w:val="both"/>
        <w:rPr>
          <w:rFonts w:ascii="FrankRuehl" w:hAnsi="FrankRuehl" w:cs="FrankRuehl"/>
          <w:rtl/>
        </w:rPr>
      </w:pPr>
    </w:p>
    <w:p w14:paraId="315127E8" w14:textId="77777777" w:rsidR="00036C29" w:rsidRDefault="00036C29" w:rsidP="00036C29">
      <w:pPr>
        <w:rPr>
          <w:rFonts w:ascii="Arial" w:hAnsi="Arial"/>
          <w:sz w:val="26"/>
          <w:szCs w:val="26"/>
          <w:rtl/>
        </w:rPr>
      </w:pPr>
      <w:bookmarkStart w:id="3" w:name="LawTable"/>
      <w:bookmarkEnd w:id="3"/>
    </w:p>
    <w:p w14:paraId="1174AF33" w14:textId="77777777" w:rsidR="00036C29" w:rsidRPr="00036C29" w:rsidRDefault="00036C29" w:rsidP="00036C29">
      <w:pPr>
        <w:spacing w:before="120" w:after="120" w:line="240" w:lineRule="exact"/>
        <w:ind w:left="283" w:hanging="283"/>
        <w:jc w:val="both"/>
        <w:rPr>
          <w:rFonts w:ascii="FrankRuehl" w:hAnsi="FrankRuehl" w:cs="FrankRuehl"/>
          <w:rtl/>
        </w:rPr>
      </w:pPr>
    </w:p>
    <w:p w14:paraId="4471E8AE" w14:textId="77777777" w:rsidR="00036C29" w:rsidRPr="00036C29" w:rsidRDefault="00036C29" w:rsidP="00036C29">
      <w:pPr>
        <w:spacing w:before="120" w:after="120" w:line="240" w:lineRule="exact"/>
        <w:ind w:left="283" w:hanging="283"/>
        <w:jc w:val="both"/>
        <w:rPr>
          <w:rFonts w:ascii="FrankRuehl" w:hAnsi="FrankRuehl" w:cs="FrankRuehl"/>
          <w:rtl/>
        </w:rPr>
      </w:pPr>
    </w:p>
    <w:p w14:paraId="60F83B0B" w14:textId="77777777" w:rsidR="00036C29" w:rsidRPr="00036C29" w:rsidRDefault="00036C29" w:rsidP="00036C29">
      <w:pPr>
        <w:spacing w:before="120" w:after="120" w:line="240" w:lineRule="exact"/>
        <w:ind w:left="283" w:hanging="283"/>
        <w:jc w:val="both"/>
        <w:rPr>
          <w:rFonts w:ascii="FrankRuehl" w:hAnsi="FrankRuehl" w:cs="FrankRuehl"/>
          <w:rtl/>
        </w:rPr>
      </w:pPr>
      <w:r w:rsidRPr="00036C29">
        <w:rPr>
          <w:rFonts w:ascii="FrankRuehl" w:hAnsi="FrankRuehl" w:cs="FrankRuehl"/>
          <w:rtl/>
        </w:rPr>
        <w:t xml:space="preserve">חקיקה שאוזכרה: </w:t>
      </w:r>
    </w:p>
    <w:p w14:paraId="2DFDFB0D" w14:textId="77777777" w:rsidR="00036C29" w:rsidRPr="00036C29" w:rsidRDefault="00036C29" w:rsidP="00036C29">
      <w:pPr>
        <w:spacing w:before="120" w:after="120" w:line="240" w:lineRule="exact"/>
        <w:ind w:left="283" w:hanging="283"/>
        <w:jc w:val="both"/>
        <w:rPr>
          <w:rFonts w:ascii="FrankRuehl" w:hAnsi="FrankRuehl" w:cs="FrankRuehl"/>
          <w:rtl/>
        </w:rPr>
      </w:pPr>
      <w:hyperlink r:id="rId7" w:history="1">
        <w:r w:rsidRPr="00036C29">
          <w:rPr>
            <w:rFonts w:ascii="FrankRuehl" w:hAnsi="FrankRuehl" w:cs="FrankRuehl"/>
            <w:color w:val="0000FF"/>
            <w:rtl/>
          </w:rPr>
          <w:t>פקודת הסמים המסוכנים [נוסח חדש], תשל"ג-1973</w:t>
        </w:r>
      </w:hyperlink>
      <w:r w:rsidRPr="00036C29">
        <w:rPr>
          <w:rFonts w:ascii="FrankRuehl" w:hAnsi="FrankRuehl" w:cs="FrankRuehl"/>
          <w:rtl/>
        </w:rPr>
        <w:t xml:space="preserve">: סע'  </w:t>
      </w:r>
      <w:hyperlink r:id="rId8" w:history="1">
        <w:r w:rsidRPr="00036C29">
          <w:rPr>
            <w:rFonts w:ascii="FrankRuehl" w:hAnsi="FrankRuehl" w:cs="FrankRuehl"/>
            <w:color w:val="0000FF"/>
            <w:rtl/>
          </w:rPr>
          <w:t>7(א)</w:t>
        </w:r>
      </w:hyperlink>
      <w:r w:rsidRPr="00036C29">
        <w:rPr>
          <w:rFonts w:ascii="FrankRuehl" w:hAnsi="FrankRuehl" w:cs="FrankRuehl"/>
          <w:rtl/>
        </w:rPr>
        <w:t xml:space="preserve">, </w:t>
      </w:r>
      <w:hyperlink r:id="rId9" w:history="1">
        <w:r w:rsidRPr="00036C29">
          <w:rPr>
            <w:rFonts w:ascii="FrankRuehl" w:hAnsi="FrankRuehl" w:cs="FrankRuehl"/>
            <w:color w:val="0000FF"/>
            <w:rtl/>
          </w:rPr>
          <w:t>7(ג)</w:t>
        </w:r>
      </w:hyperlink>
      <w:r w:rsidRPr="00036C29">
        <w:rPr>
          <w:rFonts w:ascii="FrankRuehl" w:hAnsi="FrankRuehl" w:cs="FrankRuehl"/>
          <w:rtl/>
        </w:rPr>
        <w:t xml:space="preserve">, </w:t>
      </w:r>
      <w:hyperlink r:id="rId10" w:history="1">
        <w:r w:rsidRPr="00036C29">
          <w:rPr>
            <w:rFonts w:ascii="FrankRuehl" w:hAnsi="FrankRuehl" w:cs="FrankRuehl"/>
            <w:color w:val="0000FF"/>
            <w:rtl/>
          </w:rPr>
          <w:t>37א</w:t>
        </w:r>
      </w:hyperlink>
    </w:p>
    <w:p w14:paraId="0394E457" w14:textId="77777777" w:rsidR="00036C29" w:rsidRPr="00036C29" w:rsidRDefault="00036C29" w:rsidP="00036C29">
      <w:pPr>
        <w:spacing w:before="120" w:after="120" w:line="240" w:lineRule="exact"/>
        <w:ind w:left="283" w:hanging="283"/>
        <w:jc w:val="both"/>
        <w:rPr>
          <w:rFonts w:ascii="FrankRuehl" w:hAnsi="FrankRuehl" w:cs="FrankRuehl"/>
          <w:rtl/>
        </w:rPr>
      </w:pPr>
      <w:hyperlink r:id="rId11" w:history="1">
        <w:r w:rsidRPr="00036C29">
          <w:rPr>
            <w:rFonts w:ascii="FrankRuehl" w:hAnsi="FrankRuehl" w:cs="FrankRuehl"/>
            <w:color w:val="0000FF"/>
            <w:rtl/>
          </w:rPr>
          <w:t>חוק העונשין, תשל"ז-1977</w:t>
        </w:r>
      </w:hyperlink>
      <w:r w:rsidRPr="00036C29">
        <w:rPr>
          <w:rFonts w:ascii="FrankRuehl" w:hAnsi="FrankRuehl" w:cs="FrankRuehl"/>
          <w:rtl/>
        </w:rPr>
        <w:t xml:space="preserve">: סע'  </w:t>
      </w:r>
      <w:hyperlink r:id="rId12" w:history="1">
        <w:r w:rsidRPr="00036C29">
          <w:rPr>
            <w:rFonts w:ascii="FrankRuehl" w:hAnsi="FrankRuehl" w:cs="FrankRuehl"/>
            <w:color w:val="0000FF"/>
            <w:rtl/>
          </w:rPr>
          <w:t>40ג(א)</w:t>
        </w:r>
      </w:hyperlink>
      <w:r w:rsidRPr="00036C29">
        <w:rPr>
          <w:rFonts w:ascii="FrankRuehl" w:hAnsi="FrankRuehl" w:cs="FrankRuehl"/>
          <w:rtl/>
        </w:rPr>
        <w:t xml:space="preserve">, </w:t>
      </w:r>
      <w:hyperlink r:id="rId13" w:history="1">
        <w:r w:rsidRPr="00036C29">
          <w:rPr>
            <w:rFonts w:ascii="FrankRuehl" w:hAnsi="FrankRuehl" w:cs="FrankRuehl"/>
            <w:color w:val="0000FF"/>
            <w:rtl/>
          </w:rPr>
          <w:t>40ג(ב)</w:t>
        </w:r>
      </w:hyperlink>
      <w:r w:rsidRPr="00036C29">
        <w:rPr>
          <w:rFonts w:ascii="FrankRuehl" w:hAnsi="FrankRuehl" w:cs="FrankRuehl"/>
          <w:rtl/>
        </w:rPr>
        <w:t xml:space="preserve">, </w:t>
      </w:r>
      <w:hyperlink r:id="rId14" w:history="1">
        <w:r w:rsidRPr="00036C29">
          <w:rPr>
            <w:rFonts w:ascii="FrankRuehl" w:hAnsi="FrankRuehl" w:cs="FrankRuehl"/>
            <w:color w:val="0000FF"/>
            <w:rtl/>
          </w:rPr>
          <w:t>40ד</w:t>
        </w:r>
      </w:hyperlink>
      <w:r w:rsidRPr="00036C29">
        <w:rPr>
          <w:rFonts w:ascii="FrankRuehl" w:hAnsi="FrankRuehl" w:cs="FrankRuehl"/>
          <w:rtl/>
        </w:rPr>
        <w:t xml:space="preserve">, </w:t>
      </w:r>
      <w:hyperlink r:id="rId15" w:history="1">
        <w:r w:rsidRPr="00036C29">
          <w:rPr>
            <w:rFonts w:ascii="FrankRuehl" w:hAnsi="FrankRuehl" w:cs="FrankRuehl"/>
            <w:color w:val="0000FF"/>
            <w:rtl/>
          </w:rPr>
          <w:t>40ו</w:t>
        </w:r>
      </w:hyperlink>
      <w:r w:rsidRPr="00036C29">
        <w:rPr>
          <w:rFonts w:ascii="FrankRuehl" w:hAnsi="FrankRuehl" w:cs="FrankRuehl"/>
          <w:rtl/>
        </w:rPr>
        <w:t xml:space="preserve">, </w:t>
      </w:r>
      <w:hyperlink r:id="rId16" w:history="1">
        <w:r w:rsidRPr="00036C29">
          <w:rPr>
            <w:rFonts w:ascii="FrankRuehl" w:hAnsi="FrankRuehl" w:cs="FrankRuehl"/>
            <w:color w:val="0000FF"/>
            <w:rtl/>
          </w:rPr>
          <w:t>40ז</w:t>
        </w:r>
      </w:hyperlink>
      <w:r w:rsidRPr="00036C29">
        <w:rPr>
          <w:rFonts w:ascii="FrankRuehl" w:hAnsi="FrankRuehl" w:cs="FrankRuehl"/>
          <w:rtl/>
        </w:rPr>
        <w:t xml:space="preserve">, </w:t>
      </w:r>
      <w:hyperlink r:id="rId17" w:history="1">
        <w:r w:rsidRPr="00036C29">
          <w:rPr>
            <w:rFonts w:ascii="FrankRuehl" w:hAnsi="FrankRuehl" w:cs="FrankRuehl"/>
            <w:color w:val="0000FF"/>
            <w:rtl/>
          </w:rPr>
          <w:t>40ח</w:t>
        </w:r>
      </w:hyperlink>
      <w:r w:rsidRPr="00036C29">
        <w:rPr>
          <w:rFonts w:ascii="FrankRuehl" w:hAnsi="FrankRuehl" w:cs="FrankRuehl"/>
          <w:rtl/>
        </w:rPr>
        <w:t xml:space="preserve">, </w:t>
      </w:r>
      <w:hyperlink r:id="rId18" w:history="1">
        <w:r w:rsidRPr="00036C29">
          <w:rPr>
            <w:rFonts w:ascii="FrankRuehl" w:hAnsi="FrankRuehl" w:cs="FrankRuehl"/>
            <w:color w:val="0000FF"/>
            <w:rtl/>
          </w:rPr>
          <w:t>56</w:t>
        </w:r>
      </w:hyperlink>
      <w:r w:rsidRPr="00036C29">
        <w:rPr>
          <w:rFonts w:ascii="FrankRuehl" w:hAnsi="FrankRuehl" w:cs="FrankRuehl"/>
          <w:rtl/>
        </w:rPr>
        <w:t xml:space="preserve">, </w:t>
      </w:r>
      <w:hyperlink r:id="rId19" w:history="1">
        <w:r w:rsidRPr="00036C29">
          <w:rPr>
            <w:rFonts w:ascii="FrankRuehl" w:hAnsi="FrankRuehl" w:cs="FrankRuehl"/>
            <w:color w:val="0000FF"/>
            <w:rtl/>
          </w:rPr>
          <w:t>56(ב)</w:t>
        </w:r>
      </w:hyperlink>
      <w:r w:rsidRPr="00036C29">
        <w:rPr>
          <w:rFonts w:ascii="FrankRuehl" w:hAnsi="FrankRuehl" w:cs="FrankRuehl"/>
          <w:rtl/>
        </w:rPr>
        <w:t xml:space="preserve">, </w:t>
      </w:r>
      <w:hyperlink r:id="rId20" w:history="1">
        <w:r w:rsidRPr="00036C29">
          <w:rPr>
            <w:rFonts w:ascii="FrankRuehl" w:hAnsi="FrankRuehl" w:cs="FrankRuehl"/>
            <w:color w:val="0000FF"/>
            <w:rtl/>
          </w:rPr>
          <w:t>85</w:t>
        </w:r>
      </w:hyperlink>
      <w:r w:rsidRPr="00036C29">
        <w:rPr>
          <w:rFonts w:ascii="FrankRuehl" w:hAnsi="FrankRuehl" w:cs="FrankRuehl"/>
          <w:rtl/>
        </w:rPr>
        <w:t xml:space="preserve">, </w:t>
      </w:r>
      <w:hyperlink r:id="rId21" w:history="1">
        <w:r w:rsidRPr="00036C29">
          <w:rPr>
            <w:rFonts w:ascii="FrankRuehl" w:hAnsi="FrankRuehl" w:cs="FrankRuehl"/>
            <w:color w:val="0000FF"/>
            <w:rtl/>
          </w:rPr>
          <w:t>85(א)</w:t>
        </w:r>
      </w:hyperlink>
      <w:r w:rsidRPr="00036C29">
        <w:rPr>
          <w:rFonts w:ascii="FrankRuehl" w:hAnsi="FrankRuehl" w:cs="FrankRuehl"/>
          <w:rtl/>
        </w:rPr>
        <w:t xml:space="preserve">, </w:t>
      </w:r>
      <w:hyperlink r:id="rId22" w:history="1">
        <w:r w:rsidRPr="00036C29">
          <w:rPr>
            <w:rFonts w:ascii="FrankRuehl" w:hAnsi="FrankRuehl" w:cs="FrankRuehl"/>
            <w:color w:val="0000FF"/>
            <w:rtl/>
          </w:rPr>
          <w:t>40יא</w:t>
        </w:r>
      </w:hyperlink>
      <w:r w:rsidRPr="00036C29">
        <w:rPr>
          <w:rFonts w:ascii="FrankRuehl" w:hAnsi="FrankRuehl" w:cs="FrankRuehl"/>
          <w:rtl/>
        </w:rPr>
        <w:t xml:space="preserve">, </w:t>
      </w:r>
      <w:hyperlink r:id="rId23" w:history="1">
        <w:r w:rsidRPr="00036C29">
          <w:rPr>
            <w:rFonts w:ascii="FrankRuehl" w:hAnsi="FrankRuehl" w:cs="FrankRuehl"/>
            <w:color w:val="0000FF"/>
            <w:rtl/>
          </w:rPr>
          <w:t>40יט</w:t>
        </w:r>
      </w:hyperlink>
    </w:p>
    <w:p w14:paraId="02087D14" w14:textId="77777777" w:rsidR="00036C29" w:rsidRPr="00036C29" w:rsidRDefault="00036C29" w:rsidP="00036C29">
      <w:pPr>
        <w:spacing w:before="120" w:after="120" w:line="240" w:lineRule="exact"/>
        <w:ind w:left="283" w:hanging="283"/>
        <w:jc w:val="both"/>
        <w:rPr>
          <w:rFonts w:ascii="FrankRuehl" w:hAnsi="FrankRuehl" w:cs="FrankRuehl"/>
          <w:rtl/>
        </w:rPr>
      </w:pPr>
      <w:hyperlink r:id="rId24" w:history="1">
        <w:r w:rsidRPr="00036C29">
          <w:rPr>
            <w:rFonts w:ascii="FrankRuehl" w:hAnsi="FrankRuehl" w:cs="FrankRuehl"/>
            <w:color w:val="0000FF"/>
            <w:rtl/>
          </w:rPr>
          <w:t>פקודת התעבורה [נוסח חדש]</w:t>
        </w:r>
      </w:hyperlink>
      <w:r w:rsidRPr="00036C29">
        <w:rPr>
          <w:rFonts w:ascii="FrankRuehl" w:hAnsi="FrankRuehl" w:cs="FrankRuehl"/>
          <w:rtl/>
        </w:rPr>
        <w:t xml:space="preserve">: סע'  </w:t>
      </w:r>
      <w:hyperlink r:id="rId25" w:history="1">
        <w:r w:rsidRPr="00036C29">
          <w:rPr>
            <w:rFonts w:ascii="FrankRuehl" w:hAnsi="FrankRuehl" w:cs="FrankRuehl"/>
            <w:color w:val="0000FF"/>
            <w:rtl/>
          </w:rPr>
          <w:t>36(ו)</w:t>
        </w:r>
      </w:hyperlink>
    </w:p>
    <w:p w14:paraId="1AB326D5" w14:textId="77777777" w:rsidR="00036C29" w:rsidRPr="00036C29" w:rsidRDefault="00036C29" w:rsidP="00036C29">
      <w:pPr>
        <w:rPr>
          <w:rFonts w:ascii="Arial" w:hAnsi="Arial"/>
          <w:sz w:val="26"/>
          <w:szCs w:val="26"/>
          <w:rtl/>
        </w:rPr>
      </w:pPr>
      <w:bookmarkStart w:id="4" w:name="LawTable_End"/>
      <w:bookmarkEnd w:id="4"/>
    </w:p>
    <w:p w14:paraId="65E5868E" w14:textId="77777777" w:rsidR="00226775" w:rsidRPr="00F60D96" w:rsidRDefault="00226775" w:rsidP="00F60D96">
      <w:pPr>
        <w:rPr>
          <w:rFonts w:ascii="Arial" w:hAnsi="Arial"/>
          <w:sz w:val="26"/>
          <w:szCs w:val="26"/>
          <w:rtl/>
        </w:rPr>
      </w:pPr>
    </w:p>
    <w:tbl>
      <w:tblPr>
        <w:bidiVisual/>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5"/>
      </w:tblGrid>
      <w:tr w:rsidR="00226775" w:rsidRPr="00E85948" w14:paraId="36E4E5DC" w14:textId="77777777" w:rsidTr="00226775">
        <w:trPr>
          <w:trHeight w:val="624"/>
          <w:jc w:val="center"/>
        </w:trPr>
        <w:tc>
          <w:tcPr>
            <w:tcW w:w="8505" w:type="dxa"/>
            <w:tcBorders>
              <w:top w:val="nil"/>
              <w:left w:val="nil"/>
              <w:bottom w:val="nil"/>
              <w:right w:val="nil"/>
            </w:tcBorders>
            <w:shd w:val="clear" w:color="auto" w:fill="auto"/>
            <w:vAlign w:val="center"/>
          </w:tcPr>
          <w:p w14:paraId="3167E9E0" w14:textId="77777777" w:rsidR="00791277" w:rsidRPr="00791277" w:rsidRDefault="00791277" w:rsidP="00791277">
            <w:pPr>
              <w:jc w:val="center"/>
              <w:rPr>
                <w:rFonts w:ascii="David" w:hAnsi="David"/>
                <w:b/>
                <w:bCs/>
                <w:sz w:val="32"/>
                <w:szCs w:val="32"/>
                <w:u w:val="single"/>
                <w:rtl/>
              </w:rPr>
            </w:pPr>
            <w:bookmarkStart w:id="5" w:name="PsakDin" w:colFirst="0" w:colLast="0"/>
            <w:bookmarkEnd w:id="0"/>
            <w:r w:rsidRPr="00791277">
              <w:rPr>
                <w:rFonts w:ascii="David" w:hAnsi="David"/>
                <w:b/>
                <w:bCs/>
                <w:sz w:val="32"/>
                <w:szCs w:val="32"/>
                <w:u w:val="single"/>
                <w:rtl/>
              </w:rPr>
              <w:t>גזר דין</w:t>
            </w:r>
          </w:p>
          <w:p w14:paraId="7A840C9D" w14:textId="77777777" w:rsidR="00226775" w:rsidRPr="00791277" w:rsidRDefault="00226775" w:rsidP="00791277">
            <w:pPr>
              <w:jc w:val="center"/>
              <w:rPr>
                <w:rFonts w:ascii="David" w:hAnsi="David"/>
                <w:bCs/>
                <w:sz w:val="32"/>
                <w:szCs w:val="32"/>
                <w:u w:val="single"/>
                <w:rtl/>
              </w:rPr>
            </w:pPr>
          </w:p>
        </w:tc>
      </w:tr>
      <w:bookmarkEnd w:id="5"/>
    </w:tbl>
    <w:p w14:paraId="06530876" w14:textId="77777777" w:rsidR="00226775" w:rsidRPr="00E85948" w:rsidRDefault="00226775" w:rsidP="00226775">
      <w:pPr>
        <w:rPr>
          <w:rFonts w:ascii="Arial" w:hAnsi="Arial"/>
          <w:b/>
          <w:bCs/>
          <w:sz w:val="26"/>
          <w:szCs w:val="26"/>
          <w:rtl/>
        </w:rPr>
      </w:pPr>
    </w:p>
    <w:p w14:paraId="3A783AAF" w14:textId="77777777" w:rsidR="00226775" w:rsidRDefault="00226775" w:rsidP="00226775">
      <w:pPr>
        <w:spacing w:line="360" w:lineRule="auto"/>
        <w:rPr>
          <w:b/>
          <w:bCs/>
        </w:rPr>
      </w:pPr>
      <w:r>
        <w:rPr>
          <w:b/>
          <w:bCs/>
          <w:rtl/>
        </w:rPr>
        <w:t>כתב האישום, הסדר הטיעון, הכרעת הדין והשתלשלות העניינים בתיק</w:t>
      </w:r>
    </w:p>
    <w:p w14:paraId="31701EAC" w14:textId="77777777" w:rsidR="00226775" w:rsidRDefault="00226775" w:rsidP="00226775">
      <w:pPr>
        <w:pStyle w:val="a9"/>
        <w:numPr>
          <w:ilvl w:val="0"/>
          <w:numId w:val="1"/>
        </w:numPr>
        <w:spacing w:line="360" w:lineRule="auto"/>
        <w:ind w:left="360"/>
        <w:contextualSpacing w:val="0"/>
        <w:jc w:val="both"/>
      </w:pPr>
      <w:r>
        <w:rPr>
          <w:rtl/>
        </w:rPr>
        <w:t xml:space="preserve">ביום 3.6.20 הוצג הסדר טיעון בין הצדדים, במסגרתו הוגש כתב אישום מתוקן (להלן: </w:t>
      </w:r>
      <w:r>
        <w:rPr>
          <w:b/>
          <w:bCs/>
          <w:rtl/>
        </w:rPr>
        <w:t>כתב האישום</w:t>
      </w:r>
      <w:r>
        <w:rPr>
          <w:rtl/>
        </w:rPr>
        <w:t xml:space="preserve">), הנאשם הודה בעובדות כתב האישום ובהתאם להסכמת הצדדים הופנה הנאשם, לאחר הרשעתו, לשירות המבחן, לצורך עריכת תסקיר לעונש בעניינו. לא היתה הסכמה לענין העונש. </w:t>
      </w:r>
    </w:p>
    <w:p w14:paraId="355570D2" w14:textId="77777777" w:rsidR="00226775" w:rsidRDefault="00226775" w:rsidP="00226775">
      <w:pPr>
        <w:pStyle w:val="a9"/>
        <w:numPr>
          <w:ilvl w:val="0"/>
          <w:numId w:val="1"/>
        </w:numPr>
        <w:spacing w:before="240" w:line="360" w:lineRule="auto"/>
        <w:ind w:left="357" w:hanging="357"/>
        <w:contextualSpacing w:val="0"/>
        <w:jc w:val="both"/>
      </w:pPr>
      <w:bookmarkStart w:id="6" w:name="ABSTRACT_START"/>
      <w:bookmarkEnd w:id="6"/>
      <w:r>
        <w:rPr>
          <w:rtl/>
        </w:rPr>
        <w:t>על פי עובדות כתב האישום בהן הודה והורשע, ב-5.6.19 סמוך לשעה 13:30, ברחוב מרחבים 1301, דירה 7 בדימונה, החזיק 38.5 גרם קנבוס לצריכה עצמית. בהתאם לכך הורשע הנאשם ב-</w:t>
      </w:r>
      <w:r>
        <w:rPr>
          <w:b/>
          <w:bCs/>
          <w:rtl/>
        </w:rPr>
        <w:lastRenderedPageBreak/>
        <w:t>החזקת סמים לצריכה עצמית</w:t>
      </w:r>
      <w:r>
        <w:rPr>
          <w:rtl/>
        </w:rPr>
        <w:t xml:space="preserve">, בהתאם </w:t>
      </w:r>
      <w:hyperlink r:id="rId26" w:history="1">
        <w:r w:rsidR="008D6EE8" w:rsidRPr="008D6EE8">
          <w:rPr>
            <w:rStyle w:val="Hyperlink"/>
            <w:rtl/>
          </w:rPr>
          <w:t>לסעיפים 7(א)</w:t>
        </w:r>
      </w:hyperlink>
      <w:r>
        <w:rPr>
          <w:rtl/>
        </w:rPr>
        <w:t xml:space="preserve"> ו-</w:t>
      </w:r>
      <w:hyperlink r:id="rId27" w:history="1">
        <w:r w:rsidR="008D6EE8" w:rsidRPr="008D6EE8">
          <w:rPr>
            <w:rStyle w:val="Hyperlink"/>
            <w:rtl/>
          </w:rPr>
          <w:t>7(ג)</w:t>
        </w:r>
      </w:hyperlink>
      <w:r>
        <w:rPr>
          <w:rtl/>
        </w:rPr>
        <w:t xml:space="preserve"> סיפא ל-</w:t>
      </w:r>
      <w:hyperlink r:id="rId28" w:history="1">
        <w:r w:rsidR="00791277" w:rsidRPr="00791277">
          <w:rPr>
            <w:rFonts w:ascii="Miriam" w:hAnsi="Miriam" w:cs="Miriam"/>
            <w:b/>
            <w:bCs/>
            <w:color w:val="0000FF"/>
            <w:sz w:val="18"/>
            <w:szCs w:val="22"/>
            <w:u w:val="single"/>
            <w:rtl/>
          </w:rPr>
          <w:t>פקודת הסמים המסוכנים</w:t>
        </w:r>
      </w:hyperlink>
      <w:r>
        <w:rPr>
          <w:rFonts w:ascii="Miriam" w:hAnsi="Miriam" w:cs="Miriam"/>
          <w:b/>
          <w:bCs/>
          <w:sz w:val="18"/>
          <w:szCs w:val="22"/>
          <w:rtl/>
        </w:rPr>
        <w:t xml:space="preserve"> [נוסח חדש]</w:t>
      </w:r>
      <w:r>
        <w:rPr>
          <w:rtl/>
        </w:rPr>
        <w:t xml:space="preserve">, התשל"ג-1973 (להלן: </w:t>
      </w:r>
      <w:r>
        <w:rPr>
          <w:rFonts w:ascii="Miriam" w:hAnsi="Miriam" w:cs="Miriam"/>
          <w:b/>
          <w:bCs/>
          <w:sz w:val="18"/>
          <w:szCs w:val="22"/>
          <w:rtl/>
        </w:rPr>
        <w:t>פקודת הסמים</w:t>
      </w:r>
      <w:r>
        <w:rPr>
          <w:rtl/>
        </w:rPr>
        <w:t>).</w:t>
      </w:r>
    </w:p>
    <w:p w14:paraId="29D5F4F1" w14:textId="77777777" w:rsidR="00226775" w:rsidRDefault="00226775" w:rsidP="00226775">
      <w:pPr>
        <w:pStyle w:val="a9"/>
        <w:numPr>
          <w:ilvl w:val="0"/>
          <w:numId w:val="1"/>
        </w:numPr>
        <w:spacing w:before="240" w:line="360" w:lineRule="auto"/>
        <w:ind w:left="357" w:hanging="357"/>
        <w:contextualSpacing w:val="0"/>
        <w:jc w:val="both"/>
      </w:pPr>
      <w:bookmarkStart w:id="7" w:name="ABSTRACT_END"/>
      <w:bookmarkEnd w:id="7"/>
      <w:r>
        <w:rPr>
          <w:rtl/>
        </w:rPr>
        <w:t xml:space="preserve">הדיונים בתיק נדחו מעת לעת מסיבות שונות, לרבות לבקשת שירות המבחן, ולבסוף ביום 28.12.21 נשמעו טיעונים לעונש, תוך שנקבע כי דינו שלא הנאשם לא יגזר עד שיוגש תסקיר סופי, תוך התייחסות הן לשיתוף הפעולה של הנאשם והן לנושא הארכת המאסרים המותנים. משכך הדיון נדחה ליום 9.3.22 ולאחר מכן בשל אילוצי בית המשפט מועד זה נדחה ליום 30.3.22. </w:t>
      </w:r>
      <w:r>
        <w:rPr>
          <w:rFonts w:hint="cs"/>
          <w:rtl/>
        </w:rPr>
        <w:t xml:space="preserve">ביום 30.3.22 התייחסו הצדדים לתסקיר מיום 8.3.22. הנאשם סיפר כי בנו הבכור נולד לאחרונה ושב והתחייב להמשיך בטיפול. </w:t>
      </w:r>
    </w:p>
    <w:p w14:paraId="1022946D" w14:textId="77777777" w:rsidR="00226775" w:rsidRDefault="00226775" w:rsidP="00226775">
      <w:pPr>
        <w:spacing w:before="240" w:line="360" w:lineRule="auto"/>
        <w:jc w:val="both"/>
        <w:rPr>
          <w:rFonts w:ascii="David" w:hAnsi="David"/>
          <w:b/>
          <w:bCs/>
          <w:rtl/>
        </w:rPr>
      </w:pPr>
      <w:r>
        <w:rPr>
          <w:rFonts w:ascii="David" w:hAnsi="David"/>
          <w:b/>
          <w:bCs/>
          <w:rtl/>
        </w:rPr>
        <w:t>קביעת מתחם העונש ההולם</w:t>
      </w:r>
    </w:p>
    <w:p w14:paraId="19A4C908" w14:textId="77777777" w:rsidR="00226775" w:rsidRDefault="00226775" w:rsidP="00226775">
      <w:pPr>
        <w:pStyle w:val="a9"/>
        <w:numPr>
          <w:ilvl w:val="0"/>
          <w:numId w:val="1"/>
        </w:numPr>
        <w:spacing w:line="360" w:lineRule="auto"/>
        <w:ind w:left="357" w:hanging="357"/>
        <w:contextualSpacing w:val="0"/>
        <w:jc w:val="both"/>
      </w:pPr>
      <w:r>
        <w:rPr>
          <w:rtl/>
        </w:rPr>
        <w:t xml:space="preserve">בקביעת מתחם העונש ההולם, בהתאם </w:t>
      </w:r>
      <w:hyperlink r:id="rId29" w:history="1">
        <w:r w:rsidR="008D6EE8" w:rsidRPr="008D6EE8">
          <w:rPr>
            <w:rStyle w:val="Hyperlink"/>
            <w:rtl/>
          </w:rPr>
          <w:t>לסעיף 40ג(א)</w:t>
        </w:r>
      </w:hyperlink>
      <w:r>
        <w:rPr>
          <w:rtl/>
        </w:rPr>
        <w:t xml:space="preserve"> ל</w:t>
      </w:r>
      <w:hyperlink r:id="rId30" w:history="1">
        <w:r w:rsidR="00791277" w:rsidRPr="00791277">
          <w:rPr>
            <w:rFonts w:ascii="Miriam" w:hAnsi="Miriam" w:cs="Miriam"/>
            <w:b/>
            <w:bCs/>
            <w:color w:val="0000FF"/>
            <w:sz w:val="18"/>
            <w:szCs w:val="22"/>
            <w:u w:val="single"/>
            <w:rtl/>
          </w:rPr>
          <w:t>חוק העונשין</w:t>
        </w:r>
      </w:hyperlink>
      <w:r>
        <w:rPr>
          <w:rtl/>
        </w:rPr>
        <w:t xml:space="preserve">, התשל"ז-1977 (להלן: </w:t>
      </w:r>
      <w:r>
        <w:rPr>
          <w:rFonts w:ascii="Miriam" w:hAnsi="Miriam" w:cs="Miriam"/>
          <w:b/>
          <w:bCs/>
          <w:sz w:val="18"/>
          <w:szCs w:val="22"/>
          <w:rtl/>
        </w:rPr>
        <w:t>חוק העונשין</w:t>
      </w:r>
      <w:r>
        <w:rPr>
          <w:rtl/>
        </w:rPr>
        <w:t xml:space="preserve">), התחשבתי בקריטריונים הבאים: </w:t>
      </w:r>
    </w:p>
    <w:p w14:paraId="61C0EA8E" w14:textId="77777777" w:rsidR="00226775" w:rsidRDefault="00226775" w:rsidP="00226775">
      <w:pPr>
        <w:numPr>
          <w:ilvl w:val="1"/>
          <w:numId w:val="1"/>
        </w:numPr>
        <w:snapToGrid w:val="0"/>
        <w:spacing w:line="360" w:lineRule="auto"/>
        <w:ind w:left="850" w:hanging="425"/>
        <w:jc w:val="both"/>
        <w:rPr>
          <w:sz w:val="20"/>
          <w:lang w:eastAsia="he-IL"/>
        </w:rPr>
      </w:pPr>
      <w:r>
        <w:rPr>
          <w:b/>
          <w:bCs/>
          <w:rtl/>
        </w:rPr>
        <w:t xml:space="preserve">הערכים החברתיים שנפגעו מביצוע העבירה </w:t>
      </w:r>
      <w:r>
        <w:rPr>
          <w:rFonts w:ascii="David" w:hAnsi="David"/>
          <w:rtl/>
        </w:rPr>
        <w:t xml:space="preserve">הם </w:t>
      </w:r>
      <w:r>
        <w:rPr>
          <w:rFonts w:ascii="Arial" w:hAnsi="Arial"/>
          <w:sz w:val="20"/>
          <w:rtl/>
          <w:lang w:eastAsia="he-IL"/>
        </w:rPr>
        <w:t>הגנה על שלום הציבור ובריאותו מפני הנזקים הישירים והעקיפים שנגרמים עקב השימוש בסמים</w:t>
      </w:r>
      <w:r>
        <w:rPr>
          <w:rFonts w:ascii="David" w:hAnsi="David"/>
          <w:rtl/>
        </w:rPr>
        <w:t>, כמו גם השמירה על הסדר הציבורי</w:t>
      </w:r>
      <w:r>
        <w:rPr>
          <w:rFonts w:ascii="Arial" w:hAnsi="Arial"/>
          <w:sz w:val="20"/>
          <w:rtl/>
          <w:lang w:eastAsia="he-IL"/>
        </w:rPr>
        <w:t xml:space="preserve">. </w:t>
      </w:r>
      <w:r>
        <w:rPr>
          <w:rFonts w:ascii="David" w:hAnsi="David"/>
          <w:rtl/>
        </w:rPr>
        <w:t xml:space="preserve">עבירות הסמים מחוללות פשיעה, אגב הפצת הסם וצריכתו, כאשר </w:t>
      </w:r>
      <w:r>
        <w:rPr>
          <w:sz w:val="20"/>
          <w:rtl/>
          <w:lang w:eastAsia="he-IL"/>
        </w:rPr>
        <w:t>מעבר לנזקים הישירים הנגרמים למשתמשי הסם, נגע הסמים מלווה ואף יוצר עבירות נוספות, ובכלל זה עבירות רכוש,</w:t>
      </w:r>
      <w:r>
        <w:rPr>
          <w:b/>
          <w:bCs/>
          <w:sz w:val="20"/>
          <w:rtl/>
          <w:lang w:eastAsia="he-IL"/>
        </w:rPr>
        <w:t xml:space="preserve"> </w:t>
      </w:r>
      <w:r>
        <w:rPr>
          <w:noProof/>
          <w:sz w:val="20"/>
          <w:rtl/>
          <w:lang w:eastAsia="he-IL"/>
        </w:rPr>
        <w:t>בשל הצורך להשיג את מנת הסם, ולעיתים אף אלימות, שמבוצעות כתוצאה מהשימוש בסמים, או במהלך ביצוע עבירות הרכוש</w:t>
      </w:r>
      <w:r>
        <w:rPr>
          <w:sz w:val="20"/>
          <w:rtl/>
          <w:lang w:eastAsia="he-IL"/>
        </w:rPr>
        <w:t xml:space="preserve">. </w:t>
      </w:r>
    </w:p>
    <w:p w14:paraId="40F341B2" w14:textId="77777777" w:rsidR="00226775" w:rsidRDefault="00226775" w:rsidP="00226775">
      <w:pPr>
        <w:numPr>
          <w:ilvl w:val="1"/>
          <w:numId w:val="1"/>
        </w:numPr>
        <w:snapToGrid w:val="0"/>
        <w:spacing w:before="120" w:line="360" w:lineRule="auto"/>
        <w:ind w:left="850" w:hanging="425"/>
        <w:jc w:val="both"/>
        <w:rPr>
          <w:sz w:val="20"/>
          <w:lang w:eastAsia="he-IL"/>
        </w:rPr>
      </w:pPr>
      <w:r>
        <w:rPr>
          <w:sz w:val="20"/>
          <w:rtl/>
          <w:lang w:eastAsia="he-IL"/>
        </w:rPr>
        <w:t>אין להקל ראש ב-</w:t>
      </w:r>
      <w:r>
        <w:rPr>
          <w:b/>
          <w:bCs/>
          <w:rtl/>
        </w:rPr>
        <w:t>מידת הפגיעה בערכים החברתיים</w:t>
      </w:r>
      <w:r>
        <w:rPr>
          <w:rFonts w:ascii="David" w:hAnsi="David"/>
          <w:rtl/>
        </w:rPr>
        <w:t>. עם זאת, לא מדובר בפגיעה מהחמורות, בהתחשב בכמות הסם וסוגו.</w:t>
      </w:r>
      <w:r>
        <w:rPr>
          <w:sz w:val="20"/>
          <w:rtl/>
          <w:lang w:eastAsia="he-IL"/>
        </w:rPr>
        <w:t xml:space="preserve"> </w:t>
      </w:r>
      <w:r>
        <w:rPr>
          <w:rtl/>
        </w:rPr>
        <w:t>מדובר בכמות קטנה, שהוחזקה לצריכה עצמית של סם מסוג קנבוס, אשר לא נמנה על הסמים הקטלניים שב-</w:t>
      </w:r>
      <w:r>
        <w:rPr>
          <w:rFonts w:ascii="Miriam" w:hAnsi="Miriam" w:cs="Miriam"/>
          <w:b/>
          <w:bCs/>
          <w:sz w:val="22"/>
          <w:szCs w:val="22"/>
          <w:rtl/>
        </w:rPr>
        <w:t>פקודת הסמים</w:t>
      </w:r>
      <w:r>
        <w:rPr>
          <w:rtl/>
        </w:rPr>
        <w:t xml:space="preserve"> ונחשב ל"סם קל" </w:t>
      </w:r>
      <w:r>
        <w:rPr>
          <w:rFonts w:ascii="Arial" w:hAnsi="Arial"/>
          <w:rtl/>
        </w:rPr>
        <w:t xml:space="preserve">[ראו קביעת כב' הש' ארבל </w:t>
      </w:r>
      <w:r>
        <w:rPr>
          <w:rtl/>
        </w:rPr>
        <w:t>ב-</w:t>
      </w:r>
      <w:hyperlink r:id="rId31" w:history="1">
        <w:r w:rsidR="00791277" w:rsidRPr="00791277">
          <w:rPr>
            <w:color w:val="0000FF"/>
            <w:u w:val="single"/>
            <w:rtl/>
          </w:rPr>
          <w:t>ע"פ 2000/06</w:t>
        </w:r>
      </w:hyperlink>
      <w:r>
        <w:rPr>
          <w:rtl/>
        </w:rPr>
        <w:t xml:space="preserve"> </w:t>
      </w:r>
      <w:r>
        <w:rPr>
          <w:rFonts w:cs="Miriam"/>
          <w:b/>
          <w:bCs/>
          <w:sz w:val="18"/>
          <w:szCs w:val="22"/>
          <w:rtl/>
        </w:rPr>
        <w:t>מדינת ישראל נ' ויצמן ואח'</w:t>
      </w:r>
      <w:r>
        <w:rPr>
          <w:rtl/>
        </w:rPr>
        <w:t xml:space="preserve"> (20.7.06) (להלן: </w:t>
      </w:r>
      <w:r>
        <w:rPr>
          <w:rFonts w:cs="Miriam"/>
          <w:b/>
          <w:bCs/>
          <w:sz w:val="18"/>
          <w:szCs w:val="22"/>
          <w:rtl/>
        </w:rPr>
        <w:t>ענין ויצמן</w:t>
      </w:r>
      <w:r>
        <w:rPr>
          <w:rtl/>
        </w:rPr>
        <w:t>)]. משכך</w:t>
      </w:r>
      <w:r>
        <w:rPr>
          <w:rFonts w:ascii="Arial" w:hAnsi="Arial"/>
          <w:rtl/>
        </w:rPr>
        <w:t>, הגם שנקבע בפסיקה כי "</w:t>
      </w:r>
      <w:r>
        <w:rPr>
          <w:rFonts w:ascii="Arial" w:hAnsi="Arial"/>
          <w:b/>
          <w:bCs/>
          <w:rtl/>
        </w:rPr>
        <w:t>אין להקל ראש בעבירות הנוגעות לסמים המוגדרים כ</w:t>
      </w:r>
      <w:r>
        <w:rPr>
          <w:rFonts w:ascii="Arial" w:hAnsi="Arial"/>
          <w:rtl/>
        </w:rPr>
        <w:t>'</w:t>
      </w:r>
      <w:r>
        <w:rPr>
          <w:rFonts w:ascii="Arial" w:hAnsi="Arial"/>
          <w:b/>
          <w:bCs/>
          <w:rtl/>
        </w:rPr>
        <w:t>קלים</w:t>
      </w:r>
      <w:r>
        <w:rPr>
          <w:rFonts w:ascii="Arial" w:hAnsi="Arial"/>
          <w:rtl/>
        </w:rPr>
        <w:t xml:space="preserve">'." [ראו קביעת כב' הש' ארבל </w:t>
      </w:r>
      <w:r>
        <w:rPr>
          <w:rtl/>
        </w:rPr>
        <w:t>ב-</w:t>
      </w:r>
      <w:r>
        <w:rPr>
          <w:rFonts w:cs="Miriam"/>
          <w:b/>
          <w:bCs/>
          <w:sz w:val="18"/>
          <w:szCs w:val="22"/>
          <w:rtl/>
        </w:rPr>
        <w:t>ענין ויצמן</w:t>
      </w:r>
      <w:r>
        <w:rPr>
          <w:rtl/>
        </w:rPr>
        <w:t xml:space="preserve">] - הפגיעה </w:t>
      </w:r>
      <w:r>
        <w:rPr>
          <w:rFonts w:ascii="Arial" w:hAnsi="Arial"/>
          <w:rtl/>
        </w:rPr>
        <w:t>בערכים המוגנים לא חמורה, בהינתן סוג הסם, משקלו והעובדה שהוחזק לצריכה עצמית</w:t>
      </w:r>
      <w:r>
        <w:rPr>
          <w:rtl/>
        </w:rPr>
        <w:t>. לא למותר לציין כי ב-</w:t>
      </w:r>
      <w:r>
        <w:rPr>
          <w:rFonts w:cs="Miriam"/>
          <w:b/>
          <w:bCs/>
          <w:sz w:val="18"/>
          <w:szCs w:val="22"/>
          <w:rtl/>
        </w:rPr>
        <w:t xml:space="preserve">ענין ויצמן </w:t>
      </w:r>
      <w:r>
        <w:rPr>
          <w:rtl/>
        </w:rPr>
        <w:t>נדונה החזקת קנבוס בכמות גדולה משמעותית מזו שבתיק שלפניי ושלא לצריכה עצמית.</w:t>
      </w:r>
    </w:p>
    <w:p w14:paraId="4F2C2A05" w14:textId="77777777" w:rsidR="00226775" w:rsidRDefault="00226775" w:rsidP="00226775">
      <w:pPr>
        <w:numPr>
          <w:ilvl w:val="1"/>
          <w:numId w:val="1"/>
        </w:numPr>
        <w:snapToGrid w:val="0"/>
        <w:spacing w:before="120" w:line="360" w:lineRule="auto"/>
        <w:ind w:left="850" w:hanging="425"/>
        <w:jc w:val="both"/>
        <w:rPr>
          <w:sz w:val="20"/>
          <w:lang w:eastAsia="he-IL"/>
        </w:rPr>
      </w:pPr>
      <w:r>
        <w:rPr>
          <w:sz w:val="20"/>
          <w:rtl/>
          <w:lang w:eastAsia="he-IL"/>
        </w:rPr>
        <w:t xml:space="preserve">בחינת </w:t>
      </w:r>
      <w:r>
        <w:rPr>
          <w:b/>
          <w:bCs/>
          <w:sz w:val="20"/>
          <w:rtl/>
          <w:lang w:eastAsia="he-IL"/>
        </w:rPr>
        <w:t>מדיניות הענישה הנהוגה בפסיקה</w:t>
      </w:r>
      <w:r>
        <w:rPr>
          <w:sz w:val="20"/>
          <w:rtl/>
          <w:lang w:eastAsia="he-IL"/>
        </w:rPr>
        <w:t xml:space="preserve"> </w:t>
      </w:r>
      <w:r>
        <w:rPr>
          <w:rFonts w:ascii="David" w:hAnsi="David"/>
          <w:rtl/>
        </w:rPr>
        <w:t xml:space="preserve">מלמדת על קשת רחבה של ענישה, החל מענישה צופה פני עתיד וכלה במאסר לתקופות שאורכן תלוי בסוג הסם, כמותו ונסיבות החזקתו. </w:t>
      </w:r>
      <w:r>
        <w:rPr>
          <w:sz w:val="20"/>
          <w:rtl/>
          <w:lang w:eastAsia="he-IL"/>
        </w:rPr>
        <w:t xml:space="preserve">כל מקרה ונסיבותיו, </w:t>
      </w:r>
      <w:r>
        <w:rPr>
          <w:rFonts w:ascii="David" w:hAnsi="David"/>
          <w:rtl/>
        </w:rPr>
        <w:t>ויש לאבחן המקרים השונים למקרה שלפניי, אם כי יש פסקי-דין מהם ניתן לגזור אמת-מידה עונשית הולמת למקרה שלפני</w:t>
      </w:r>
      <w:r>
        <w:rPr>
          <w:sz w:val="20"/>
          <w:rtl/>
          <w:lang w:eastAsia="he-IL"/>
        </w:rPr>
        <w:t xml:space="preserve">י - </w:t>
      </w:r>
    </w:p>
    <w:p w14:paraId="6C54F248" w14:textId="77777777" w:rsidR="00226775" w:rsidRDefault="00791277" w:rsidP="00226775">
      <w:pPr>
        <w:pStyle w:val="a9"/>
        <w:numPr>
          <w:ilvl w:val="2"/>
          <w:numId w:val="1"/>
        </w:numPr>
        <w:spacing w:line="360" w:lineRule="auto"/>
        <w:ind w:left="1475" w:hanging="624"/>
        <w:contextualSpacing w:val="0"/>
        <w:jc w:val="both"/>
        <w:rPr>
          <w:rFonts w:ascii="David" w:hAnsi="David"/>
          <w:sz w:val="24"/>
        </w:rPr>
      </w:pPr>
      <w:hyperlink r:id="rId32" w:history="1">
        <w:r w:rsidRPr="00791277">
          <w:rPr>
            <w:rFonts w:ascii="David" w:hAnsi="David"/>
            <w:color w:val="0000FF"/>
            <w:sz w:val="24"/>
            <w:u w:val="single"/>
            <w:rtl/>
          </w:rPr>
          <w:t>ע"פ 8092/04</w:t>
        </w:r>
      </w:hyperlink>
      <w:r w:rsidR="00226775">
        <w:rPr>
          <w:rFonts w:ascii="David" w:hAnsi="David"/>
          <w:sz w:val="24"/>
          <w:rtl/>
        </w:rPr>
        <w:t xml:space="preserve"> </w:t>
      </w:r>
      <w:r w:rsidR="00226775">
        <w:rPr>
          <w:rFonts w:cs="Miriam"/>
          <w:b/>
          <w:bCs/>
          <w:sz w:val="18"/>
          <w:szCs w:val="22"/>
          <w:rtl/>
          <w:lang w:eastAsia="en-US"/>
        </w:rPr>
        <w:t>חביב נ' מדינת ישראל</w:t>
      </w:r>
      <w:r w:rsidR="00226775">
        <w:rPr>
          <w:rFonts w:ascii="David" w:hAnsi="David"/>
          <w:sz w:val="24"/>
          <w:rtl/>
        </w:rPr>
        <w:t xml:space="preserve"> (10.9.06) (להלן: </w:t>
      </w:r>
      <w:r w:rsidR="00226775">
        <w:rPr>
          <w:rFonts w:cs="Miriam"/>
          <w:b/>
          <w:bCs/>
          <w:sz w:val="18"/>
          <w:szCs w:val="22"/>
          <w:rtl/>
          <w:lang w:eastAsia="en-US"/>
        </w:rPr>
        <w:t>פסק דין חביב</w:t>
      </w:r>
      <w:r w:rsidR="00226775">
        <w:rPr>
          <w:rFonts w:ascii="David" w:hAnsi="David"/>
          <w:sz w:val="24"/>
          <w:rtl/>
        </w:rPr>
        <w:t xml:space="preserve">) - התקבל ערעור הנאשם, כך שבגין החזקת קנבוס במשקל של כ-20 ק"ג שלא לשימוש עצמי וביצוע 4 עבירות סחר בסמים לסוכן משטרתי במשקלים של 5.060 ק"ג, 1.040 ק"ג; 7,580 </w:t>
      </w:r>
      <w:r w:rsidR="00226775">
        <w:rPr>
          <w:rFonts w:ascii="David" w:hAnsi="David"/>
          <w:sz w:val="24"/>
          <w:rtl/>
        </w:rPr>
        <w:lastRenderedPageBreak/>
        <w:t>ק"ג וסיכום על מכירת 20 ק"ג קנבוס - הושת על הנאשם צו מבחן טהור למשך 18 חודשים ובגין עבירות החזקת סכין שלא כדין, זיוף, שימוש במסמך מזוייף, התחזות כאדם אחר,</w:t>
      </w:r>
      <w:r>
        <w:rPr>
          <w:rFonts w:ascii="David" w:hAnsi="David"/>
          <w:sz w:val="24"/>
          <w:rtl/>
        </w:rPr>
        <w:t xml:space="preserve">  </w:t>
      </w:r>
      <w:r w:rsidR="00226775">
        <w:rPr>
          <w:rFonts w:ascii="David" w:hAnsi="David"/>
          <w:sz w:val="24"/>
          <w:rtl/>
        </w:rPr>
        <w:t xml:space="preserve">והפרעה לשוטר במילוי תפקידו הושתו על המערער 600 שעות של"צ לשנה, 8 חודשי מאסר מותנה ו-10,000 ₪ קנס. מדובר היה במי שלחובתו עבר פלילי עשיר ובעת ביצוע עבירות הסמים שהה בקהילה טיפולית לנפגעי סמים. נוכח הודייתו באשמה, מאמצי השיקום ונסיבותיו האישיות הושתו עליו בבית המשפט המחוזי 40 חודשי מאסר בפועל וענישה נלווית. </w:t>
      </w:r>
    </w:p>
    <w:p w14:paraId="11DFA6A6" w14:textId="77777777" w:rsidR="00226775" w:rsidRDefault="00226775" w:rsidP="00226775">
      <w:pPr>
        <w:pStyle w:val="a9"/>
        <w:spacing w:before="60" w:line="360" w:lineRule="auto"/>
        <w:ind w:left="1469"/>
        <w:contextualSpacing w:val="0"/>
        <w:jc w:val="both"/>
        <w:rPr>
          <w:rFonts w:ascii="David" w:hAnsi="David"/>
          <w:sz w:val="24"/>
        </w:rPr>
      </w:pPr>
      <w:r>
        <w:rPr>
          <w:rFonts w:ascii="David" w:hAnsi="David"/>
          <w:sz w:val="24"/>
          <w:rtl/>
        </w:rPr>
        <w:t xml:space="preserve">* בענייננו מדובר בכמויות סם קטנות פי אלפי מונים, לא מדובר בסחר וההחזקה היתה לצריכה עצמית. </w:t>
      </w:r>
    </w:p>
    <w:p w14:paraId="4C08F6C3" w14:textId="77777777" w:rsidR="00226775" w:rsidRDefault="00791277" w:rsidP="00226775">
      <w:pPr>
        <w:pStyle w:val="a9"/>
        <w:numPr>
          <w:ilvl w:val="2"/>
          <w:numId w:val="1"/>
        </w:numPr>
        <w:spacing w:before="120" w:line="360" w:lineRule="auto"/>
        <w:ind w:left="1471" w:hanging="621"/>
        <w:contextualSpacing w:val="0"/>
        <w:jc w:val="both"/>
        <w:rPr>
          <w:rFonts w:ascii="David" w:hAnsi="David"/>
          <w:sz w:val="24"/>
        </w:rPr>
      </w:pPr>
      <w:hyperlink r:id="rId33" w:history="1">
        <w:r w:rsidRPr="00791277">
          <w:rPr>
            <w:color w:val="0000FF"/>
            <w:u w:val="single"/>
            <w:rtl/>
          </w:rPr>
          <w:t>עפ"ג 15461-01-21</w:t>
        </w:r>
      </w:hyperlink>
      <w:r w:rsidR="00226775">
        <w:rPr>
          <w:b/>
          <w:bCs/>
          <w:rtl/>
        </w:rPr>
        <w:t xml:space="preserve"> </w:t>
      </w:r>
      <w:r w:rsidR="00226775">
        <w:rPr>
          <w:rFonts w:cs="Miriam"/>
          <w:b/>
          <w:bCs/>
          <w:sz w:val="18"/>
          <w:szCs w:val="22"/>
          <w:rtl/>
        </w:rPr>
        <w:t>חזן נ' מדינת ישראל</w:t>
      </w:r>
      <w:r w:rsidR="00226775">
        <w:rPr>
          <w:rtl/>
        </w:rPr>
        <w:t xml:space="preserve"> (8.3.21) - התקבל ערעור הנאשם ב-</w:t>
      </w:r>
      <w:hyperlink r:id="rId34" w:history="1">
        <w:r w:rsidRPr="00791277">
          <w:rPr>
            <w:color w:val="0000FF"/>
            <w:u w:val="single"/>
            <w:rtl/>
          </w:rPr>
          <w:t>ת"פ (ב"ש) 31842-10-19</w:t>
        </w:r>
      </w:hyperlink>
      <w:r w:rsidR="00226775">
        <w:rPr>
          <w:rtl/>
        </w:rPr>
        <w:t xml:space="preserve"> </w:t>
      </w:r>
      <w:r w:rsidR="00226775">
        <w:rPr>
          <w:rFonts w:cs="Miriam"/>
          <w:b/>
          <w:bCs/>
          <w:sz w:val="18"/>
          <w:szCs w:val="22"/>
          <w:rtl/>
        </w:rPr>
        <w:t xml:space="preserve">מדינת ישראל נ' חזן </w:t>
      </w:r>
      <w:r w:rsidR="00226775">
        <w:rPr>
          <w:rtl/>
        </w:rPr>
        <w:t>(22.12.20) - במסגרתו בגין החזקת 200 גרם סם מסוכן מסוג קנבוס,</w:t>
      </w:r>
      <w:r w:rsidR="00226775">
        <w:rPr>
          <w:rFonts w:ascii="Calibri" w:hAnsi="Calibri"/>
          <w:rtl/>
        </w:rPr>
        <w:t xml:space="preserve"> </w:t>
      </w:r>
      <w:r w:rsidR="00226775">
        <w:rPr>
          <w:rtl/>
        </w:rPr>
        <w:t xml:space="preserve">לאחר שסקר הערכים המוגנים, מידת הפגיעה בהם, מדיניות הענישה, בה הושתה ענישה צופה פני עתיד ונסיבות ביצוע העבירה </w:t>
      </w:r>
      <w:r w:rsidR="00226775">
        <w:rPr>
          <w:rFonts w:ascii="David" w:hAnsi="David"/>
          <w:rtl/>
        </w:rPr>
        <w:t xml:space="preserve">- </w:t>
      </w:r>
      <w:r w:rsidR="00226775">
        <w:rPr>
          <w:rtl/>
        </w:rPr>
        <w:t xml:space="preserve">קבע כב' הש' דורון, כי </w:t>
      </w:r>
      <w:r w:rsidR="00226775">
        <w:rPr>
          <w:rFonts w:ascii="Calibri" w:hAnsi="Calibri"/>
          <w:rtl/>
        </w:rPr>
        <w:t>מתחם העונש ההולם נע מ-מאסר מותנה עד 7 חודשי מאסר בפועל, לצד ענישה נלווית</w:t>
      </w:r>
      <w:r w:rsidR="00226775">
        <w:rPr>
          <w:rtl/>
        </w:rPr>
        <w:t>. בהינתן התרשמותו החיובית של שירות המבחן מהנאשם, היותו בעל כוח רצון להיגמל משימוש בסמים והצלחתו בכך, כמו גם החשש שיאבד עבודתו אם יושת עליו מאסר בפועל לריצוי בעבודות שירות, וכי בעברו עבירה אחת של החזקת סם לצריכה עצמית - הושתו על המערער 140 שעות של"צ; צו מבחן; מאסרים מותנים; קנס בסך 8,000 ₪; ופסילת רישיון נהיגה למשך שישה חודשים. בית המשפט המחוזי בבאר שבע (הרכב בראשות כב' סגן הנשיאה הש' ביתן והש' כהן ודניאל) ביטל את רכיב הפסילה;</w:t>
      </w:r>
    </w:p>
    <w:p w14:paraId="0EEF631F" w14:textId="77777777" w:rsidR="00226775" w:rsidRDefault="00226775" w:rsidP="00226775">
      <w:pPr>
        <w:pStyle w:val="a9"/>
        <w:spacing w:before="60" w:line="360" w:lineRule="auto"/>
        <w:ind w:left="1469"/>
        <w:contextualSpacing w:val="0"/>
        <w:jc w:val="both"/>
        <w:rPr>
          <w:rFonts w:ascii="David" w:hAnsi="David"/>
          <w:sz w:val="24"/>
        </w:rPr>
      </w:pPr>
      <w:r>
        <w:rPr>
          <w:rtl/>
        </w:rPr>
        <w:t>* גם כאן מדובר היה בכמות קטנה יותר של סם, מערער כבן 28 נשוי ואב לתינוקת, שבעברו החזקת סם מ</w:t>
      </w:r>
      <w:r>
        <w:rPr>
          <w:rFonts w:hint="cs"/>
          <w:rtl/>
        </w:rPr>
        <w:t>-</w:t>
      </w:r>
      <w:r>
        <w:rPr>
          <w:rtl/>
        </w:rPr>
        <w:t>2015. המערער שיתף פעולה עם שירות המבחן, אשר התרשם כי המערער בחר לערוך שינוי בחייו והמליץ על ענישה שיקומית, כמו בענייננו.</w:t>
      </w:r>
    </w:p>
    <w:p w14:paraId="10BA4C4B" w14:textId="77777777" w:rsidR="00226775" w:rsidRDefault="00791277" w:rsidP="00226775">
      <w:pPr>
        <w:pStyle w:val="a9"/>
        <w:numPr>
          <w:ilvl w:val="2"/>
          <w:numId w:val="1"/>
        </w:numPr>
        <w:spacing w:before="120" w:line="360" w:lineRule="auto"/>
        <w:ind w:left="1471" w:hanging="621"/>
        <w:contextualSpacing w:val="0"/>
        <w:jc w:val="both"/>
        <w:rPr>
          <w:rFonts w:ascii="David" w:hAnsi="David"/>
          <w:sz w:val="24"/>
        </w:rPr>
      </w:pPr>
      <w:hyperlink r:id="rId35" w:history="1">
        <w:r w:rsidRPr="00791277">
          <w:rPr>
            <w:rFonts w:ascii="David" w:hAnsi="David"/>
            <w:color w:val="0000FF"/>
            <w:sz w:val="24"/>
            <w:u w:val="single"/>
            <w:rtl/>
          </w:rPr>
          <w:t>עפ"ג (מרכז) 47293-04-17</w:t>
        </w:r>
      </w:hyperlink>
      <w:r w:rsidR="00226775">
        <w:rPr>
          <w:rFonts w:ascii="David" w:hAnsi="David"/>
          <w:sz w:val="24"/>
          <w:rtl/>
        </w:rPr>
        <w:t xml:space="preserve"> </w:t>
      </w:r>
      <w:r w:rsidR="00226775">
        <w:rPr>
          <w:rFonts w:cs="Miriam"/>
          <w:b/>
          <w:bCs/>
          <w:sz w:val="18"/>
          <w:szCs w:val="22"/>
          <w:rtl/>
          <w:lang w:eastAsia="en-US"/>
        </w:rPr>
        <w:t xml:space="preserve">מדינת ישראל נ' ססי </w:t>
      </w:r>
      <w:r w:rsidR="00226775">
        <w:rPr>
          <w:rFonts w:ascii="David" w:hAnsi="David"/>
          <w:sz w:val="24"/>
          <w:rtl/>
        </w:rPr>
        <w:t xml:space="preserve">(12.11.17) - בגין גידול 650 גרם קנבוס והחזקת 0.51 גרם חשיש לצריכה עצמית נדחה ערעור המדינה ואושר חידוש מאסר מותנה שהוארך, בהתאם </w:t>
      </w:r>
      <w:hyperlink r:id="rId36" w:history="1">
        <w:r w:rsidR="008D6EE8" w:rsidRPr="008D6EE8">
          <w:rPr>
            <w:rStyle w:val="Hyperlink"/>
            <w:rFonts w:ascii="David" w:hAnsi="David"/>
            <w:sz w:val="24"/>
            <w:rtl/>
          </w:rPr>
          <w:t>לסעיף 85</w:t>
        </w:r>
      </w:hyperlink>
      <w:r w:rsidR="00226775">
        <w:rPr>
          <w:rFonts w:ascii="David" w:hAnsi="David"/>
          <w:sz w:val="24"/>
          <w:rtl/>
        </w:rPr>
        <w:t xml:space="preserve"> ל-</w:t>
      </w:r>
      <w:hyperlink r:id="rId37" w:history="1">
        <w:r w:rsidRPr="00791277">
          <w:rPr>
            <w:rFonts w:cs="Miriam"/>
            <w:b/>
            <w:bCs/>
            <w:color w:val="0000FF"/>
            <w:sz w:val="18"/>
            <w:szCs w:val="22"/>
            <w:u w:val="single"/>
            <w:rtl/>
            <w:lang w:eastAsia="en-US"/>
          </w:rPr>
          <w:t>חוק העונשין</w:t>
        </w:r>
      </w:hyperlink>
      <w:r w:rsidR="00226775">
        <w:rPr>
          <w:rFonts w:ascii="David" w:hAnsi="David"/>
          <w:sz w:val="24"/>
          <w:rtl/>
        </w:rPr>
        <w:t xml:space="preserve">. כמו כן הוארך תוקף הפסילה על-תנאי שהושתה על המשיב בתיק קודם בהתאם </w:t>
      </w:r>
      <w:hyperlink r:id="rId38" w:history="1">
        <w:r w:rsidR="008D6EE8" w:rsidRPr="008D6EE8">
          <w:rPr>
            <w:rStyle w:val="Hyperlink"/>
            <w:rFonts w:ascii="David" w:hAnsi="David"/>
            <w:sz w:val="24"/>
            <w:rtl/>
          </w:rPr>
          <w:t>לסעיף 36(ו)</w:t>
        </w:r>
      </w:hyperlink>
      <w:r w:rsidR="00226775">
        <w:rPr>
          <w:rFonts w:ascii="David" w:hAnsi="David"/>
          <w:sz w:val="24"/>
          <w:rtl/>
        </w:rPr>
        <w:t xml:space="preserve"> ל-</w:t>
      </w:r>
      <w:hyperlink r:id="rId39" w:history="1">
        <w:r w:rsidRPr="00791277">
          <w:rPr>
            <w:rFonts w:cs="Miriam"/>
            <w:b/>
            <w:bCs/>
            <w:color w:val="0000FF"/>
            <w:sz w:val="18"/>
            <w:szCs w:val="22"/>
            <w:u w:val="single"/>
            <w:rtl/>
            <w:lang w:eastAsia="en-US"/>
          </w:rPr>
          <w:t>פקודת התעבורה</w:t>
        </w:r>
      </w:hyperlink>
      <w:r w:rsidR="00226775">
        <w:rPr>
          <w:rFonts w:ascii="David" w:hAnsi="David"/>
          <w:sz w:val="24"/>
          <w:rtl/>
        </w:rPr>
        <w:t xml:space="preserve"> והושתו קנס בסך 3,000 ₪ וצו מבחן למשך 18 חודשים.</w:t>
      </w:r>
    </w:p>
    <w:p w14:paraId="560D9D48" w14:textId="77777777" w:rsidR="00226775" w:rsidRDefault="00226775" w:rsidP="00226775">
      <w:pPr>
        <w:pStyle w:val="a9"/>
        <w:spacing w:before="60" w:line="360" w:lineRule="auto"/>
        <w:ind w:left="1469"/>
        <w:contextualSpacing w:val="0"/>
        <w:jc w:val="both"/>
        <w:rPr>
          <w:rFonts w:ascii="David" w:hAnsi="David"/>
          <w:sz w:val="24"/>
        </w:rPr>
      </w:pPr>
      <w:r>
        <w:rPr>
          <w:rFonts w:ascii="David" w:hAnsi="David"/>
          <w:sz w:val="24"/>
          <w:rtl/>
        </w:rPr>
        <w:t>* בענייננו מדובר בכמות קטנה משמעותית מזו שהוחזקה ולא מדובר בגידול.</w:t>
      </w:r>
    </w:p>
    <w:p w14:paraId="6357AA4C" w14:textId="77777777" w:rsidR="00226775" w:rsidRDefault="00791277" w:rsidP="00226775">
      <w:pPr>
        <w:pStyle w:val="a9"/>
        <w:numPr>
          <w:ilvl w:val="2"/>
          <w:numId w:val="1"/>
        </w:numPr>
        <w:spacing w:before="120" w:line="360" w:lineRule="auto"/>
        <w:ind w:left="1471" w:hanging="621"/>
        <w:contextualSpacing w:val="0"/>
        <w:jc w:val="both"/>
        <w:rPr>
          <w:rFonts w:ascii="David" w:hAnsi="David"/>
          <w:sz w:val="24"/>
        </w:rPr>
      </w:pPr>
      <w:hyperlink r:id="rId40" w:history="1">
        <w:r w:rsidRPr="00791277">
          <w:rPr>
            <w:color w:val="0000FF"/>
            <w:u w:val="single"/>
            <w:rtl/>
          </w:rPr>
          <w:t>עפ"ג 28110-10-15</w:t>
        </w:r>
      </w:hyperlink>
      <w:r w:rsidR="00226775">
        <w:rPr>
          <w:rtl/>
        </w:rPr>
        <w:t xml:space="preserve"> </w:t>
      </w:r>
      <w:r w:rsidR="00226775">
        <w:rPr>
          <w:rFonts w:ascii="Miriam" w:hAnsi="Miriam" w:cs="Miriam"/>
          <w:b/>
          <w:bCs/>
          <w:sz w:val="18"/>
          <w:szCs w:val="22"/>
          <w:rtl/>
        </w:rPr>
        <w:t>מדינת ישראל נ' דוד</w:t>
      </w:r>
      <w:r w:rsidR="00226775">
        <w:rPr>
          <w:rtl/>
        </w:rPr>
        <w:t xml:space="preserve"> (17.12.15) - בגין גידול בצוותא של 21 שתילי קנבוס במשקל כ-3.5 ק"ג הסתיים ההליך ללא הרשעה והושתו 180 שעות של"צ, צו מבחן לשנה, פיצוי בסך 5,000 ₪ ו-6 חודשי פסילה מותנית. בית המשפט המחוזי בחיפה דחה הערעור על סיום ההליך ללא הרשעה - אולם צו המבחן הוארך ל-18 חודשים וסכום הפיצוי עלה ל-11,000 ₪. בית המשפט המחוזי התייחס בהרחבה לנסיבותיו האישיות של המשיב, ובכלל זה הודייתו, הבעת החרטה על מעשיו, הפוטנציאל החיובי לשיקום עליו עמד שירות המבחן, שהמליץ על סיום ההליך ללא הרשעה, החשש לאבדן מקום עבודתו והסיכוי כי המשך העבודה יסייע בשיקומו.  </w:t>
      </w:r>
    </w:p>
    <w:p w14:paraId="352D08F7" w14:textId="77777777" w:rsidR="00226775" w:rsidRDefault="00226775" w:rsidP="00226775">
      <w:pPr>
        <w:snapToGrid w:val="0"/>
        <w:spacing w:before="60" w:line="360" w:lineRule="auto"/>
        <w:ind w:left="1440"/>
        <w:jc w:val="both"/>
        <w:rPr>
          <w:sz w:val="20"/>
          <w:lang w:eastAsia="he-IL"/>
        </w:rPr>
      </w:pPr>
      <w:r>
        <w:rPr>
          <w:sz w:val="20"/>
          <w:rtl/>
          <w:lang w:eastAsia="he-IL"/>
        </w:rPr>
        <w:t>* בעניינו, הגם שקיים פער מבחינת העבר פלילי, מדובר בכמות סם קטנה משמעותית ולא מדובר בגידול.</w:t>
      </w:r>
    </w:p>
    <w:p w14:paraId="1BBDC007" w14:textId="77777777" w:rsidR="00226775" w:rsidRDefault="00791277" w:rsidP="00226775">
      <w:pPr>
        <w:pStyle w:val="a9"/>
        <w:numPr>
          <w:ilvl w:val="2"/>
          <w:numId w:val="1"/>
        </w:numPr>
        <w:spacing w:before="120" w:line="360" w:lineRule="auto"/>
        <w:ind w:left="1471" w:hanging="621"/>
        <w:contextualSpacing w:val="0"/>
        <w:jc w:val="both"/>
        <w:rPr>
          <w:rFonts w:ascii="David" w:hAnsi="David"/>
          <w:sz w:val="24"/>
        </w:rPr>
      </w:pPr>
      <w:hyperlink r:id="rId41" w:history="1">
        <w:r w:rsidRPr="00791277">
          <w:rPr>
            <w:rFonts w:ascii="David" w:hAnsi="David"/>
            <w:color w:val="0000FF"/>
            <w:sz w:val="24"/>
            <w:u w:val="single"/>
            <w:rtl/>
          </w:rPr>
          <w:t>עפ"ג (חי') 50966-05-15</w:t>
        </w:r>
      </w:hyperlink>
      <w:r w:rsidR="00226775">
        <w:rPr>
          <w:rFonts w:ascii="David" w:hAnsi="David"/>
          <w:sz w:val="24"/>
          <w:rtl/>
        </w:rPr>
        <w:t xml:space="preserve"> </w:t>
      </w:r>
      <w:r w:rsidR="00226775">
        <w:rPr>
          <w:rFonts w:cs="Miriam"/>
          <w:b/>
          <w:bCs/>
          <w:sz w:val="18"/>
          <w:szCs w:val="22"/>
          <w:rtl/>
          <w:lang w:eastAsia="en-US"/>
        </w:rPr>
        <w:t>מדינת ישראל נ' נתנוב</w:t>
      </w:r>
      <w:r w:rsidR="00226775">
        <w:rPr>
          <w:rFonts w:ascii="David" w:hAnsi="David"/>
          <w:sz w:val="24"/>
          <w:rtl/>
        </w:rPr>
        <w:t xml:space="preserve"> (8.10.15) - בגין גידול 49 צמחי קנבוס במשקל 5.65 ק"ג, החזקת כלים לגידול סם והחזקת 1.51 גרם קנבוס לצריכה עצמית - הושתו 300 שעות של"צ, 3 חודשי מאסר מותנה ו-12,000 ₪, לאור הודייתו, המלצת שירות המבחן ועברו הפלילי הזניח (הרשעה קודמת 1 משנת 1999 בזיוף). בית המשפט המחוזי קיבל ערעור המדינה והחמיר בעונש, כך שרכיב המאסר המותנה הוחמר ל-9 חודשים, רכיב הקנס הוחמר ל-15,000 ₪ והוסף רכיב 9 חודשי פסילה. צו השל"צ נותר על כנו;</w:t>
      </w:r>
    </w:p>
    <w:p w14:paraId="597C8D48" w14:textId="77777777" w:rsidR="00226775" w:rsidRDefault="00226775" w:rsidP="00226775">
      <w:pPr>
        <w:pStyle w:val="a9"/>
        <w:spacing w:before="60" w:line="360" w:lineRule="auto"/>
        <w:ind w:left="1469"/>
        <w:contextualSpacing w:val="0"/>
        <w:jc w:val="both"/>
        <w:rPr>
          <w:rFonts w:ascii="David" w:hAnsi="David"/>
          <w:sz w:val="24"/>
          <w:rtl/>
        </w:rPr>
      </w:pPr>
      <w:r>
        <w:rPr>
          <w:rFonts w:ascii="David" w:hAnsi="David"/>
          <w:sz w:val="24"/>
          <w:rtl/>
        </w:rPr>
        <w:t xml:space="preserve">* בענייננו מדובר בכמות קטנה משמעותית מזו שהוחזקה ולא מדובר בגידול והחזקת כלים, אם כי העבר משמעותי יותר. </w:t>
      </w:r>
    </w:p>
    <w:p w14:paraId="1A44DA9A" w14:textId="77777777" w:rsidR="00226775" w:rsidRDefault="00791277" w:rsidP="00226775">
      <w:pPr>
        <w:pStyle w:val="a9"/>
        <w:numPr>
          <w:ilvl w:val="2"/>
          <w:numId w:val="1"/>
        </w:numPr>
        <w:spacing w:before="120" w:line="360" w:lineRule="auto"/>
        <w:ind w:left="1471" w:hanging="621"/>
        <w:contextualSpacing w:val="0"/>
        <w:jc w:val="both"/>
        <w:rPr>
          <w:rFonts w:ascii="David" w:hAnsi="David"/>
          <w:sz w:val="24"/>
        </w:rPr>
      </w:pPr>
      <w:hyperlink r:id="rId42" w:history="1">
        <w:r w:rsidRPr="00791277">
          <w:rPr>
            <w:rFonts w:ascii="David" w:hAnsi="David"/>
            <w:color w:val="0000FF"/>
            <w:u w:val="single"/>
            <w:rtl/>
          </w:rPr>
          <w:t>ת"פ (ק"ג) 21806-01-19</w:t>
        </w:r>
      </w:hyperlink>
      <w:r w:rsidR="00226775">
        <w:rPr>
          <w:rFonts w:ascii="David" w:hAnsi="David"/>
          <w:rtl/>
        </w:rPr>
        <w:t xml:space="preserve"> </w:t>
      </w:r>
      <w:r w:rsidR="00226775">
        <w:rPr>
          <w:rFonts w:cs="Miriam"/>
          <w:b/>
          <w:bCs/>
          <w:sz w:val="18"/>
          <w:szCs w:val="22"/>
          <w:rtl/>
        </w:rPr>
        <w:t>מדינת ישראל נ' חדד</w:t>
      </w:r>
      <w:r w:rsidR="00226775">
        <w:rPr>
          <w:rFonts w:ascii="David" w:hAnsi="David"/>
          <w:rtl/>
        </w:rPr>
        <w:t xml:space="preserve"> (14.6.20)</w:t>
      </w:r>
      <w:r w:rsidR="00226775">
        <w:rPr>
          <w:rFonts w:ascii="David" w:hAnsi="David"/>
          <w:sz w:val="24"/>
          <w:rtl/>
        </w:rPr>
        <w:t xml:space="preserve"> - על מי שהורשע בהחזקת </w:t>
      </w:r>
      <w:r w:rsidR="00226775">
        <w:rPr>
          <w:rFonts w:ascii="David" w:hAnsi="David"/>
          <w:rtl/>
        </w:rPr>
        <w:t xml:space="preserve">כ-500 גרם קנבוס במקומות שונים ברכבו (בקופסת נעלים בתא המטען 250 גרם מחולק ל-10 שקיות שונות; בתיק במושב האחרוני 249.88 גרם מחולק לשקיות) נקבע מתחם 6-12 חודשים. נוכח גילו (כבן 25 בעת ביצוע העבירה), נסיבותיו, ההליך השיקומי שעבר והמלצת שירות המבחן, חרג בית המשפט מהמתחם והשית על הנאשם 300 שעות של"צ, 18 חודשי מבחן, 5,000 ₪ קנס, 15,000 ₪ התחייבות ופסילה על תנאי; </w:t>
      </w:r>
    </w:p>
    <w:p w14:paraId="5E82F872" w14:textId="77777777" w:rsidR="00226775" w:rsidRDefault="00226775" w:rsidP="00226775">
      <w:pPr>
        <w:pStyle w:val="a9"/>
        <w:spacing w:before="120" w:line="360" w:lineRule="auto"/>
        <w:ind w:left="1471"/>
        <w:contextualSpacing w:val="0"/>
        <w:jc w:val="both"/>
        <w:rPr>
          <w:rFonts w:ascii="David" w:hAnsi="David"/>
          <w:sz w:val="24"/>
        </w:rPr>
      </w:pPr>
      <w:r>
        <w:rPr>
          <w:rFonts w:ascii="David" w:hAnsi="David"/>
          <w:sz w:val="24"/>
          <w:rtl/>
        </w:rPr>
        <w:t>* בענייננו מדובר בכמות קטנה משמעותית מזו שהוחזקה, אך גם כאן העבר משמעותי יותר.</w:t>
      </w:r>
    </w:p>
    <w:p w14:paraId="61821796" w14:textId="77777777" w:rsidR="00226775" w:rsidRDefault="00791277" w:rsidP="00226775">
      <w:pPr>
        <w:pStyle w:val="a9"/>
        <w:numPr>
          <w:ilvl w:val="2"/>
          <w:numId w:val="1"/>
        </w:numPr>
        <w:spacing w:before="120" w:line="360" w:lineRule="auto"/>
        <w:ind w:left="1471" w:hanging="621"/>
        <w:contextualSpacing w:val="0"/>
        <w:jc w:val="both"/>
        <w:rPr>
          <w:rFonts w:ascii="David" w:hAnsi="David"/>
          <w:sz w:val="24"/>
        </w:rPr>
      </w:pPr>
      <w:hyperlink r:id="rId43" w:history="1">
        <w:r w:rsidRPr="00791277">
          <w:rPr>
            <w:rFonts w:ascii="David" w:hAnsi="David"/>
            <w:color w:val="0000FF"/>
            <w:u w:val="single"/>
            <w:rtl/>
          </w:rPr>
          <w:t>ת"פ (רח') 6336-11-18</w:t>
        </w:r>
      </w:hyperlink>
      <w:r w:rsidR="00226775">
        <w:rPr>
          <w:rFonts w:ascii="David" w:hAnsi="David"/>
          <w:rtl/>
        </w:rPr>
        <w:t xml:space="preserve"> </w:t>
      </w:r>
      <w:r w:rsidR="00226775">
        <w:rPr>
          <w:rFonts w:cs="Miriam"/>
          <w:b/>
          <w:bCs/>
          <w:sz w:val="18"/>
          <w:szCs w:val="22"/>
          <w:rtl/>
        </w:rPr>
        <w:t xml:space="preserve">מדינת ישראל נ' אזל </w:t>
      </w:r>
      <w:r w:rsidR="00226775">
        <w:rPr>
          <w:rFonts w:ascii="David" w:hAnsi="David"/>
          <w:rtl/>
        </w:rPr>
        <w:t>(12.2.20)</w:t>
      </w:r>
      <w:r w:rsidR="00226775">
        <w:rPr>
          <w:rtl/>
        </w:rPr>
        <w:t xml:space="preserve"> - על מי שהורשע בהחזקת 105.61 גרם קנבוס, </w:t>
      </w:r>
      <w:r w:rsidR="00226775">
        <w:rPr>
          <w:rFonts w:ascii="Arial" w:hAnsi="Arial"/>
          <w:rtl/>
        </w:rPr>
        <w:t>מחולק ל-4 צנצנות, 2 שתילים שגידל באדנית, חומרי דישון מחולקים ל-16 בקבוקונים ו-2 שקיות, 3 מזרקים, מדחום, משקל דיגיטלי, מנורת לד, פילטר, מזמרה וספר הדרכה לגידול קנבוס</w:t>
      </w:r>
      <w:r w:rsidR="00226775">
        <w:rPr>
          <w:rtl/>
        </w:rPr>
        <w:t xml:space="preserve"> שתילים, הושתו על צעיר כבן 25, שלחובתו רישום ללא הרשעה בהחזקת סם לשימוש עצמי - 140 שעות של"צ, צו מבחן, מאסרים מותנים, 1,750 ₪ קנס ופסילה מותנית;</w:t>
      </w:r>
    </w:p>
    <w:p w14:paraId="56CFBE17" w14:textId="77777777" w:rsidR="00226775" w:rsidRDefault="00226775" w:rsidP="00226775">
      <w:pPr>
        <w:pStyle w:val="a9"/>
        <w:spacing w:before="120" w:line="360" w:lineRule="auto"/>
        <w:ind w:left="1471"/>
        <w:contextualSpacing w:val="0"/>
        <w:jc w:val="both"/>
        <w:rPr>
          <w:rFonts w:ascii="David" w:hAnsi="David"/>
          <w:sz w:val="24"/>
        </w:rPr>
      </w:pPr>
      <w:r>
        <w:rPr>
          <w:rFonts w:ascii="David" w:hAnsi="David"/>
          <w:sz w:val="24"/>
          <w:rtl/>
        </w:rPr>
        <w:t>* להבדיל מעניינו, שם דובר במי ש</w:t>
      </w:r>
      <w:r>
        <w:rPr>
          <w:rtl/>
        </w:rPr>
        <w:t>העיד על עצמו כמי שנהג לעשות שימוש תדיר בסם מסוג קנבוס וחרף זאת שלל נזקקות טיפולית.</w:t>
      </w:r>
    </w:p>
    <w:p w14:paraId="7ABC6812" w14:textId="77777777" w:rsidR="00226775" w:rsidRDefault="00791277" w:rsidP="00226775">
      <w:pPr>
        <w:pStyle w:val="a9"/>
        <w:numPr>
          <w:ilvl w:val="2"/>
          <w:numId w:val="1"/>
        </w:numPr>
        <w:spacing w:before="120" w:line="360" w:lineRule="auto"/>
        <w:ind w:left="1471" w:hanging="621"/>
        <w:contextualSpacing w:val="0"/>
        <w:jc w:val="both"/>
        <w:rPr>
          <w:rFonts w:ascii="David" w:hAnsi="David"/>
          <w:sz w:val="24"/>
          <w:rtl/>
        </w:rPr>
      </w:pPr>
      <w:hyperlink r:id="rId44" w:history="1">
        <w:r w:rsidRPr="00791277">
          <w:rPr>
            <w:color w:val="0000FF"/>
            <w:u w:val="single"/>
            <w:rtl/>
          </w:rPr>
          <w:t>ת"פ (ק"ג) 67471-06-18</w:t>
        </w:r>
      </w:hyperlink>
      <w:r w:rsidR="00226775">
        <w:rPr>
          <w:rtl/>
        </w:rPr>
        <w:t xml:space="preserve"> </w:t>
      </w:r>
      <w:r w:rsidR="00226775">
        <w:rPr>
          <w:rFonts w:cs="Miriam"/>
          <w:b/>
          <w:bCs/>
          <w:sz w:val="18"/>
          <w:szCs w:val="22"/>
          <w:rtl/>
        </w:rPr>
        <w:t xml:space="preserve">מדינת ישראל נ' קרקוס </w:t>
      </w:r>
      <w:r w:rsidR="00226775">
        <w:rPr>
          <w:rtl/>
        </w:rPr>
        <w:t>(27.1.20) - בגין הרשעתו ב-החזקת סם לצריכה עצמית והחזקת סם שלא לצריכה עצמית, שכללו 13.8109 גרם קנבוס, 0.3416 גרם קוקאין ו-4 ק"ג קנבוס והחזקת כלים להכנת סם שלא לצריכה עצמית, שכללו משקלים, קופסאות בהן חולקו מנות הסם ושקיות ואקום לחלוקת הסם, לאחר סקירת הערכים המוגנים, מידת הפגיעה בהם, מדיניות הענישה ונסיבות ביצוע העבירות - נקבע מתחם 9-18 חודשי מאסר. נוכח ההודיה, החרטה, ההליך הטיפולי-שיקומי הממושך שעבר והמלצת שירות המבחן - קבעה כב' הש' נגה שמואלי מאייר כי יש מקום לסטות מהמתחם משיקולי שיקום ולהאריך המאסרים המותנים, כך שהושתו עליו 400 שעות של"צ, 18 חודשי מבחן, הארכת 2 מאסרים מותנים לשנתיים, הפעלת 2 התחייבויות, קנס, התחייבות ופסילה על תנאי;</w:t>
      </w:r>
    </w:p>
    <w:p w14:paraId="28F17413" w14:textId="77777777" w:rsidR="00226775" w:rsidRDefault="00226775" w:rsidP="00226775">
      <w:pPr>
        <w:pStyle w:val="a9"/>
        <w:spacing w:before="60" w:line="360" w:lineRule="auto"/>
        <w:ind w:left="1469"/>
        <w:contextualSpacing w:val="0"/>
        <w:jc w:val="both"/>
        <w:rPr>
          <w:rFonts w:ascii="David" w:hAnsi="David"/>
          <w:sz w:val="24"/>
        </w:rPr>
      </w:pPr>
      <w:r>
        <w:rPr>
          <w:rtl/>
        </w:rPr>
        <w:t>* מדובר היה בכמות גדולה יותר של סמים, מסוגים שונים, לרבות סם מסוכן מסוג קוקאין וכלים להכנת סם. חרף זאת הוארכו 2 מאסרים מותנים.</w:t>
      </w:r>
    </w:p>
    <w:p w14:paraId="51FEC85B" w14:textId="77777777" w:rsidR="00226775" w:rsidRDefault="00791277" w:rsidP="00226775">
      <w:pPr>
        <w:pStyle w:val="a9"/>
        <w:numPr>
          <w:ilvl w:val="2"/>
          <w:numId w:val="1"/>
        </w:numPr>
        <w:spacing w:before="120" w:line="360" w:lineRule="auto"/>
        <w:ind w:left="1471" w:hanging="621"/>
        <w:contextualSpacing w:val="0"/>
        <w:jc w:val="both"/>
        <w:rPr>
          <w:rFonts w:ascii="David" w:hAnsi="David"/>
          <w:sz w:val="24"/>
        </w:rPr>
      </w:pPr>
      <w:hyperlink r:id="rId45" w:history="1">
        <w:r w:rsidRPr="00791277">
          <w:rPr>
            <w:color w:val="0000FF"/>
            <w:u w:val="single"/>
            <w:rtl/>
          </w:rPr>
          <w:t>ת"פ (ת"א) 53788-02-16</w:t>
        </w:r>
      </w:hyperlink>
      <w:r w:rsidR="00226775">
        <w:rPr>
          <w:rtl/>
        </w:rPr>
        <w:t xml:space="preserve"> </w:t>
      </w:r>
      <w:r w:rsidR="00226775">
        <w:rPr>
          <w:rFonts w:cs="Miriam"/>
          <w:b/>
          <w:bCs/>
          <w:sz w:val="18"/>
          <w:szCs w:val="22"/>
          <w:rtl/>
        </w:rPr>
        <w:t xml:space="preserve">מדינת ישראל נ' קלוורי </w:t>
      </w:r>
      <w:r w:rsidR="00226775">
        <w:rPr>
          <w:rtl/>
        </w:rPr>
        <w:t>(16.7.18) - בעבירות של החזקת 50.33 גרם קנביס, 23.39 גרם נטו חשיש, ו-0.2635 גרם נטו קוקאין, קבע כב' הש' עידו דרויאן גמליאל מתחם הנע בין מאסר מותנה ושל"צ לבין 8 חודשי מאסר בפועל. הנאשם נדון למאסר מותנה, של"צ, התחייבות, פסילה בפועל ופסילה על תנאי;</w:t>
      </w:r>
    </w:p>
    <w:p w14:paraId="36592187" w14:textId="77777777" w:rsidR="00226775" w:rsidRDefault="00226775" w:rsidP="00226775">
      <w:pPr>
        <w:pStyle w:val="a9"/>
        <w:spacing w:before="60" w:line="360" w:lineRule="auto"/>
        <w:ind w:left="1469"/>
        <w:contextualSpacing w:val="0"/>
        <w:jc w:val="both"/>
        <w:rPr>
          <w:rFonts w:ascii="David" w:hAnsi="David"/>
          <w:sz w:val="24"/>
          <w:rtl/>
        </w:rPr>
      </w:pPr>
      <w:r>
        <w:rPr>
          <w:rtl/>
        </w:rPr>
        <w:t>* מדובר היה בכמות גדולה יותר של סמים, מסוגים שונים, לרבות סם מסוכן מסוג קוקאין, אולם לא היה תלוי ועומד מאסר מותנה.</w:t>
      </w:r>
    </w:p>
    <w:p w14:paraId="1468030D" w14:textId="77777777" w:rsidR="00226775" w:rsidRDefault="00791277" w:rsidP="00226775">
      <w:pPr>
        <w:pStyle w:val="a9"/>
        <w:numPr>
          <w:ilvl w:val="2"/>
          <w:numId w:val="1"/>
        </w:numPr>
        <w:spacing w:before="120" w:line="360" w:lineRule="auto"/>
        <w:ind w:left="1471" w:hanging="621"/>
        <w:contextualSpacing w:val="0"/>
        <w:jc w:val="both"/>
        <w:rPr>
          <w:rFonts w:ascii="David" w:hAnsi="David"/>
          <w:sz w:val="24"/>
        </w:rPr>
      </w:pPr>
      <w:hyperlink r:id="rId46" w:history="1">
        <w:r w:rsidRPr="00791277">
          <w:rPr>
            <w:color w:val="0000FF"/>
            <w:u w:val="single"/>
            <w:rtl/>
          </w:rPr>
          <w:t>ת"פ 31016-09-15</w:t>
        </w:r>
      </w:hyperlink>
      <w:r w:rsidR="00226775">
        <w:rPr>
          <w:rtl/>
        </w:rPr>
        <w:t xml:space="preserve"> </w:t>
      </w:r>
      <w:r w:rsidR="00226775">
        <w:rPr>
          <w:rFonts w:ascii="Miriam" w:hAnsi="Miriam" w:cs="Miriam"/>
          <w:b/>
          <w:bCs/>
          <w:sz w:val="18"/>
          <w:szCs w:val="22"/>
          <w:rtl/>
        </w:rPr>
        <w:t>מדינת ישראל נ' קובי</w:t>
      </w:r>
      <w:r w:rsidR="00226775">
        <w:rPr>
          <w:rtl/>
        </w:rPr>
        <w:t xml:space="preserve"> (8.4.18) (להלן: </w:t>
      </w:r>
      <w:r w:rsidR="00226775">
        <w:rPr>
          <w:rFonts w:ascii="Miriam" w:hAnsi="Miriam" w:cs="Miriam"/>
          <w:b/>
          <w:bCs/>
          <w:sz w:val="18"/>
          <w:szCs w:val="22"/>
          <w:rtl/>
        </w:rPr>
        <w:t>ענין קובי</w:t>
      </w:r>
      <w:r w:rsidR="00226775">
        <w:rPr>
          <w:rtl/>
        </w:rPr>
        <w:t>) - בגין החזקת קנבוס במשקל 46.86 גרם לצריכה עצמית קבע כב' הש' קרשן כי "</w:t>
      </w:r>
      <w:r w:rsidR="00226775">
        <w:rPr>
          <w:b/>
          <w:bCs/>
          <w:rtl/>
        </w:rPr>
        <w:t>כפות המאזניים מעוינות: לא ניתן לומר שהשיקול האינדיבידואלי גובר על השיקול הציבורי המערכתי הכללי בהרשעת הנאשם</w:t>
      </w:r>
      <w:r w:rsidR="00226775">
        <w:rPr>
          <w:rtl/>
        </w:rPr>
        <w:t>" וחרף זאת סיים ההליך ללא הרשעה, תוך שהושתו על הנאשם – אשר לא שיתף פעולה עם שירות המבחן – 5,000 ₪ התחייבות ו-4,000 ₪ פיצוי לעמותת "אל-סם", המטפלת בנפגעי סמים. כב' הש' קרשן קבע כי "</w:t>
      </w:r>
      <w:r w:rsidR="00226775">
        <w:rPr>
          <w:b/>
          <w:bCs/>
          <w:rtl/>
        </w:rPr>
        <w:t>שינוי מדיניות הממשלה ביחס לצרכני סמים קלים</w:t>
      </w:r>
      <w:r w:rsidR="00226775">
        <w:rPr>
          <w:rtl/>
        </w:rPr>
        <w:t>" וכי "</w:t>
      </w:r>
      <w:r w:rsidR="00226775">
        <w:rPr>
          <w:b/>
          <w:bCs/>
          <w:rtl/>
        </w:rPr>
        <w:t>בהינתן שינוי המדיניות המוצהר, קיים בעיניי קושי בכך שנציגי התביעה ממשיכים לנהוג כלפי צרכני הסמים הקלים באותו אופן בו נהגו כלפיהם מימים ימימה</w:t>
      </w:r>
      <w:r w:rsidR="00226775">
        <w:rPr>
          <w:rtl/>
        </w:rPr>
        <w:t xml:space="preserve">". </w:t>
      </w:r>
    </w:p>
    <w:p w14:paraId="7549B661" w14:textId="77777777" w:rsidR="00226775" w:rsidRDefault="00226775" w:rsidP="00226775">
      <w:pPr>
        <w:pStyle w:val="a9"/>
        <w:spacing w:before="120" w:line="360" w:lineRule="auto"/>
        <w:ind w:left="1471"/>
        <w:contextualSpacing w:val="0"/>
        <w:jc w:val="both"/>
        <w:rPr>
          <w:rFonts w:ascii="David" w:hAnsi="David"/>
          <w:sz w:val="24"/>
        </w:rPr>
      </w:pPr>
      <w:r>
        <w:rPr>
          <w:rtl/>
        </w:rPr>
        <w:t>לא למותר לציין כי בענייננו מדובר במי ששיתף פעולה עם שירות המבחן, עבר הליך טיפול משמעותי ושירות המבחן המליץ על הארכת התנאים וענישה צופה פני עתיד, להבדיל מהמלצת שירות המבחן ב-</w:t>
      </w:r>
      <w:r>
        <w:rPr>
          <w:rFonts w:ascii="Miriam" w:hAnsi="Miriam" w:cs="Miriam"/>
          <w:b/>
          <w:bCs/>
          <w:sz w:val="18"/>
          <w:szCs w:val="22"/>
          <w:rtl/>
        </w:rPr>
        <w:t>ענין קובי</w:t>
      </w:r>
      <w:r>
        <w:rPr>
          <w:rtl/>
        </w:rPr>
        <w:t xml:space="preserve">. </w:t>
      </w:r>
    </w:p>
    <w:p w14:paraId="27E68AF8" w14:textId="77777777" w:rsidR="00226775" w:rsidRDefault="00791277" w:rsidP="00226775">
      <w:pPr>
        <w:pStyle w:val="a9"/>
        <w:numPr>
          <w:ilvl w:val="2"/>
          <w:numId w:val="1"/>
        </w:numPr>
        <w:spacing w:before="120" w:line="360" w:lineRule="auto"/>
        <w:ind w:left="1471" w:hanging="621"/>
        <w:contextualSpacing w:val="0"/>
        <w:jc w:val="both"/>
        <w:rPr>
          <w:rFonts w:ascii="David" w:hAnsi="David"/>
          <w:sz w:val="24"/>
        </w:rPr>
      </w:pPr>
      <w:hyperlink r:id="rId47" w:history="1">
        <w:r w:rsidRPr="00791277">
          <w:rPr>
            <w:color w:val="0000FF"/>
            <w:sz w:val="24"/>
            <w:u w:val="single"/>
            <w:rtl/>
          </w:rPr>
          <w:t>ת"פ 31172-09-16</w:t>
        </w:r>
      </w:hyperlink>
      <w:r w:rsidR="00226775">
        <w:rPr>
          <w:sz w:val="24"/>
          <w:rtl/>
        </w:rPr>
        <w:t xml:space="preserve"> </w:t>
      </w:r>
      <w:r w:rsidR="00226775">
        <w:rPr>
          <w:rFonts w:cs="Miriam"/>
          <w:b/>
          <w:bCs/>
          <w:sz w:val="18"/>
          <w:szCs w:val="22"/>
          <w:rtl/>
        </w:rPr>
        <w:t>מדינת ישראל נ' אלאפשק</w:t>
      </w:r>
      <w:r w:rsidR="00226775">
        <w:rPr>
          <w:sz w:val="24"/>
          <w:rtl/>
        </w:rPr>
        <w:t xml:space="preserve"> (7.6.17) </w:t>
      </w:r>
      <w:r w:rsidR="00226775">
        <w:rPr>
          <w:rtl/>
        </w:rPr>
        <w:t>-</w:t>
      </w:r>
      <w:r w:rsidR="00226775">
        <w:rPr>
          <w:sz w:val="24"/>
          <w:rtl/>
        </w:rPr>
        <w:t xml:space="preserve"> בגין החזקת 51 גרם קנבוס לצריכה עצמית, אישר כב' הש' דורון הסדר טיעון, במסגרתו הושתו על הנאשם 3 חודשי מאסר על תנאי, </w:t>
      </w:r>
      <w:r w:rsidR="00226775">
        <w:rPr>
          <w:rtl/>
        </w:rPr>
        <w:t xml:space="preserve">2,000 ₪ קנס וחודשיים פסילה על תנאי. </w:t>
      </w:r>
    </w:p>
    <w:p w14:paraId="526E1CF1" w14:textId="77777777" w:rsidR="00226775" w:rsidRDefault="00226775" w:rsidP="00226775">
      <w:pPr>
        <w:pStyle w:val="a9"/>
        <w:spacing w:before="60" w:line="360" w:lineRule="auto"/>
        <w:ind w:left="1469"/>
        <w:contextualSpacing w:val="0"/>
        <w:jc w:val="both"/>
        <w:rPr>
          <w:rFonts w:ascii="David" w:hAnsi="David"/>
          <w:sz w:val="24"/>
        </w:rPr>
      </w:pPr>
      <w:r>
        <w:rPr>
          <w:rtl/>
        </w:rPr>
        <w:t>* גם כאן מדובר בכמות גדולה יותר של סם, אך לא היה תלוי ועומד מאסר מותנה.</w:t>
      </w:r>
    </w:p>
    <w:p w14:paraId="65592303" w14:textId="77777777" w:rsidR="00226775" w:rsidRDefault="00791277" w:rsidP="00226775">
      <w:pPr>
        <w:pStyle w:val="a9"/>
        <w:numPr>
          <w:ilvl w:val="2"/>
          <w:numId w:val="1"/>
        </w:numPr>
        <w:spacing w:before="120" w:line="360" w:lineRule="auto"/>
        <w:ind w:left="1471" w:hanging="621"/>
        <w:contextualSpacing w:val="0"/>
        <w:jc w:val="both"/>
        <w:rPr>
          <w:rFonts w:ascii="David" w:hAnsi="David"/>
          <w:sz w:val="24"/>
        </w:rPr>
      </w:pPr>
      <w:hyperlink r:id="rId48" w:history="1">
        <w:r w:rsidRPr="00791277">
          <w:rPr>
            <w:color w:val="0000FF"/>
            <w:u w:val="single"/>
            <w:rtl/>
          </w:rPr>
          <w:t>ת"פ 23797-03-14</w:t>
        </w:r>
      </w:hyperlink>
      <w:r w:rsidR="00226775">
        <w:rPr>
          <w:rtl/>
        </w:rPr>
        <w:t xml:space="preserve"> </w:t>
      </w:r>
      <w:r w:rsidR="00226775">
        <w:rPr>
          <w:rFonts w:cs="Miriam"/>
          <w:b/>
          <w:bCs/>
          <w:sz w:val="18"/>
          <w:szCs w:val="22"/>
          <w:rtl/>
        </w:rPr>
        <w:t>מדינת ישראל נ' אביב</w:t>
      </w:r>
      <w:r w:rsidR="00226775">
        <w:rPr>
          <w:rtl/>
        </w:rPr>
        <w:t xml:space="preserve"> (1.12.15) - בגין גידול, החזקת כלים והחזקת 48.31 גרם קנבוס, 9.1 גרם חשיש ו-923.6 גרם קנבוס בשתילים נקבע כי יש מקום לסיים את ההליך ללא הרשעה, נוכח היות הנאשם נעדר הרשעות קודמות, שומר על יציבות תעסוקתית ועובד בחברת הייטק לשביעות רצון מעסיקיו, חלוף הזמן במהלכו היה הנאשם בהליך טיפול משמעותי, פעילות התנדבותית וספורטיבית מאומצת והפגיעה הקונקרטית המשמעותית בנאשם ובהמשך ההליך הטיפולי, כמו גם המלצת שירות המבחן. הושתו 500 שעות של"צ, צו מבחן, 1,000 ₪ קנס, 1 חודש פסילה בפועל, 6 חודשי פסילה על תנאי ו-3,000 ₪ תרומה לעמותת "אל סם".</w:t>
      </w:r>
    </w:p>
    <w:p w14:paraId="27A125A6" w14:textId="77777777" w:rsidR="00226775" w:rsidRDefault="00226775" w:rsidP="00226775">
      <w:pPr>
        <w:pStyle w:val="a9"/>
        <w:spacing w:before="60" w:line="360" w:lineRule="auto"/>
        <w:ind w:left="1469"/>
        <w:contextualSpacing w:val="0"/>
        <w:jc w:val="both"/>
        <w:rPr>
          <w:rFonts w:ascii="David" w:hAnsi="David"/>
          <w:sz w:val="24"/>
        </w:rPr>
      </w:pPr>
      <w:r>
        <w:rPr>
          <w:rtl/>
        </w:rPr>
        <w:t xml:space="preserve">* בענייננו מדובר בכמות סם קטנה באופן משמעותי, אולם מדובר במי שלחובתו הרשעות קודמות. </w:t>
      </w:r>
    </w:p>
    <w:p w14:paraId="6C2E18EF" w14:textId="77777777" w:rsidR="00226775" w:rsidRDefault="00226775" w:rsidP="00226775">
      <w:pPr>
        <w:pStyle w:val="a9"/>
        <w:numPr>
          <w:ilvl w:val="1"/>
          <w:numId w:val="1"/>
        </w:numPr>
        <w:spacing w:before="120" w:line="360" w:lineRule="auto"/>
        <w:ind w:left="714" w:hanging="357"/>
        <w:contextualSpacing w:val="0"/>
        <w:jc w:val="both"/>
      </w:pPr>
      <w:r>
        <w:rPr>
          <w:rFonts w:ascii="David" w:hAnsi="David"/>
          <w:b/>
          <w:rtl/>
        </w:rPr>
        <w:t xml:space="preserve">בפסיקה עוברת כחוט השני חשיבות </w:t>
      </w:r>
      <w:r>
        <w:rPr>
          <w:b/>
          <w:bCs/>
          <w:rtl/>
        </w:rPr>
        <w:t>נסיבות הקשורות בביצוע העבירות</w:t>
      </w:r>
      <w:r>
        <w:rPr>
          <w:rtl/>
        </w:rPr>
        <w:t xml:space="preserve">, בהתאם </w:t>
      </w:r>
      <w:hyperlink r:id="rId49" w:history="1">
        <w:r w:rsidR="008D6EE8" w:rsidRPr="008D6EE8">
          <w:rPr>
            <w:rStyle w:val="Hyperlink"/>
            <w:rtl/>
          </w:rPr>
          <w:t>לסעיף 40יט</w:t>
        </w:r>
      </w:hyperlink>
      <w:r>
        <w:rPr>
          <w:rtl/>
        </w:rPr>
        <w:t xml:space="preserve"> ל</w:t>
      </w:r>
      <w:hyperlink r:id="rId50" w:history="1">
        <w:r w:rsidR="00791277" w:rsidRPr="00791277">
          <w:rPr>
            <w:rFonts w:ascii="Miriam" w:hAnsi="Miriam" w:cs="Miriam"/>
            <w:b/>
            <w:bCs/>
            <w:color w:val="0000FF"/>
            <w:sz w:val="18"/>
            <w:szCs w:val="22"/>
            <w:u w:val="single"/>
            <w:rtl/>
          </w:rPr>
          <w:t>חוק העונשין</w:t>
        </w:r>
      </w:hyperlink>
      <w:r>
        <w:rPr>
          <w:rtl/>
        </w:rPr>
        <w:t xml:space="preserve"> </w:t>
      </w:r>
      <w:r>
        <w:rPr>
          <w:rFonts w:ascii="David" w:hAnsi="David"/>
          <w:b/>
          <w:rtl/>
        </w:rPr>
        <w:t xml:space="preserve">בעת קביעת המתחם </w:t>
      </w:r>
      <w:r>
        <w:rPr>
          <w:rtl/>
        </w:rPr>
        <w:t>ובכלל זה סוג הסם, אופן החזקתו וכמותו. עיון בפסיקה מלמד, כי אין דין החזקת סמים מסוג קנבוס וחשיש כדין החזקת סמים מסוג קוקאין והרואין, אין דין החזקת סמים לצריכה עצמית, כדין החזקה סמים שלא לצריכה עצמית, אין דין החזקת עשרות גרמים כדין החזקת ק"ג רבים ואין דין החזקה לשימוש עצמי כדין החזקה שלא לשימוש עצמי בנסיבות המלמדות על החזקה למטרות סחר. משכך התחשבתי בנסיבות הבאות:</w:t>
      </w:r>
    </w:p>
    <w:p w14:paraId="3F7F7B8A" w14:textId="77777777" w:rsidR="00226775" w:rsidRDefault="00226775" w:rsidP="00226775">
      <w:pPr>
        <w:numPr>
          <w:ilvl w:val="2"/>
          <w:numId w:val="1"/>
        </w:numPr>
        <w:snapToGrid w:val="0"/>
        <w:spacing w:before="60" w:line="360" w:lineRule="auto"/>
        <w:ind w:left="1134" w:hanging="414"/>
        <w:jc w:val="both"/>
        <w:rPr>
          <w:sz w:val="20"/>
          <w:lang w:eastAsia="he-IL"/>
        </w:rPr>
      </w:pPr>
      <w:r>
        <w:rPr>
          <w:sz w:val="20"/>
          <w:rtl/>
          <w:lang w:eastAsia="he-IL"/>
        </w:rPr>
        <w:t xml:space="preserve">עבירת החזקת הסמים, מעצם טיבה וטבעה ברי כי </w:t>
      </w:r>
      <w:r>
        <w:rPr>
          <w:b/>
          <w:bCs/>
          <w:sz w:val="20"/>
          <w:rtl/>
          <w:lang w:eastAsia="he-IL"/>
        </w:rPr>
        <w:t>קדם לה תכנון</w:t>
      </w:r>
      <w:r>
        <w:rPr>
          <w:sz w:val="20"/>
          <w:rtl/>
          <w:lang w:eastAsia="he-IL"/>
        </w:rPr>
        <w:t>;</w:t>
      </w:r>
    </w:p>
    <w:p w14:paraId="18B33A92" w14:textId="77777777" w:rsidR="00226775" w:rsidRDefault="00226775" w:rsidP="00226775">
      <w:pPr>
        <w:numPr>
          <w:ilvl w:val="2"/>
          <w:numId w:val="1"/>
        </w:numPr>
        <w:snapToGrid w:val="0"/>
        <w:spacing w:before="60" w:line="360" w:lineRule="auto"/>
        <w:ind w:left="1134" w:hanging="414"/>
        <w:jc w:val="both"/>
        <w:rPr>
          <w:sz w:val="20"/>
          <w:lang w:eastAsia="he-IL"/>
        </w:rPr>
      </w:pPr>
      <w:r>
        <w:rPr>
          <w:sz w:val="20"/>
          <w:rtl/>
          <w:lang w:eastAsia="he-IL"/>
        </w:rPr>
        <w:t xml:space="preserve">הנאשם הוא </w:t>
      </w:r>
      <w:r>
        <w:rPr>
          <w:b/>
          <w:bCs/>
          <w:sz w:val="20"/>
          <w:rtl/>
          <w:lang w:eastAsia="he-IL"/>
        </w:rPr>
        <w:t>המבצע העיקרי</w:t>
      </w:r>
      <w:r>
        <w:rPr>
          <w:sz w:val="20"/>
          <w:rtl/>
          <w:lang w:eastAsia="he-IL"/>
        </w:rPr>
        <w:t>;</w:t>
      </w:r>
    </w:p>
    <w:p w14:paraId="2EDAB9EC" w14:textId="77777777" w:rsidR="00226775" w:rsidRDefault="00226775" w:rsidP="00226775">
      <w:pPr>
        <w:numPr>
          <w:ilvl w:val="2"/>
          <w:numId w:val="1"/>
        </w:numPr>
        <w:snapToGrid w:val="0"/>
        <w:spacing w:before="60" w:line="360" w:lineRule="auto"/>
        <w:ind w:left="1134" w:hanging="414"/>
        <w:jc w:val="both"/>
        <w:rPr>
          <w:sz w:val="20"/>
          <w:lang w:eastAsia="he-IL"/>
        </w:rPr>
      </w:pPr>
      <w:r>
        <w:rPr>
          <w:sz w:val="20"/>
          <w:rtl/>
          <w:lang w:eastAsia="he-IL"/>
        </w:rPr>
        <w:t xml:space="preserve">מדובר </w:t>
      </w:r>
      <w:r>
        <w:rPr>
          <w:b/>
          <w:bCs/>
          <w:sz w:val="20"/>
          <w:rtl/>
          <w:lang w:eastAsia="he-IL"/>
        </w:rPr>
        <w:t>בסם מסוג קנבוס</w:t>
      </w:r>
      <w:r>
        <w:rPr>
          <w:sz w:val="20"/>
          <w:rtl/>
          <w:lang w:eastAsia="he-IL"/>
        </w:rPr>
        <w:t>, שלא נמנה על הסמים המסוכנים והקטלניים שב-</w:t>
      </w:r>
      <w:r>
        <w:rPr>
          <w:rFonts w:cs="Miriam"/>
          <w:b/>
          <w:bCs/>
          <w:sz w:val="18"/>
          <w:szCs w:val="22"/>
          <w:rtl/>
          <w:lang w:eastAsia="he-IL"/>
        </w:rPr>
        <w:t>פקודת הסמים</w:t>
      </w:r>
      <w:r>
        <w:rPr>
          <w:sz w:val="20"/>
          <w:rtl/>
          <w:lang w:eastAsia="he-IL"/>
        </w:rPr>
        <w:t xml:space="preserve">; </w:t>
      </w:r>
    </w:p>
    <w:p w14:paraId="181B6622" w14:textId="77777777" w:rsidR="00226775" w:rsidRDefault="00226775" w:rsidP="00226775">
      <w:pPr>
        <w:numPr>
          <w:ilvl w:val="2"/>
          <w:numId w:val="1"/>
        </w:numPr>
        <w:snapToGrid w:val="0"/>
        <w:spacing w:before="60" w:line="360" w:lineRule="auto"/>
        <w:ind w:left="1134" w:hanging="414"/>
        <w:jc w:val="both"/>
        <w:rPr>
          <w:sz w:val="20"/>
          <w:lang w:eastAsia="he-IL"/>
        </w:rPr>
      </w:pPr>
      <w:r>
        <w:rPr>
          <w:b/>
          <w:bCs/>
          <w:sz w:val="20"/>
          <w:rtl/>
          <w:lang w:eastAsia="he-IL"/>
        </w:rPr>
        <w:t>כמות הסם</w:t>
      </w:r>
      <w:r>
        <w:rPr>
          <w:sz w:val="20"/>
          <w:rtl/>
          <w:lang w:eastAsia="he-IL"/>
        </w:rPr>
        <w:t xml:space="preserve"> - </w:t>
      </w:r>
      <w:r>
        <w:rPr>
          <w:rtl/>
        </w:rPr>
        <w:t>38.5</w:t>
      </w:r>
      <w:r>
        <w:rPr>
          <w:sz w:val="20"/>
          <w:rtl/>
          <w:lang w:eastAsia="he-IL"/>
        </w:rPr>
        <w:t xml:space="preserve"> גרם, היא כמות הגבוהה אך במעט מכפל הכמות שנקבעה ב-</w:t>
      </w:r>
      <w:r>
        <w:rPr>
          <w:rFonts w:cs="Miriam"/>
          <w:b/>
          <w:bCs/>
          <w:sz w:val="18"/>
          <w:szCs w:val="22"/>
          <w:rtl/>
          <w:lang w:eastAsia="he-IL"/>
        </w:rPr>
        <w:t xml:space="preserve">פקודת הסמים </w:t>
      </w:r>
      <w:r>
        <w:rPr>
          <w:sz w:val="20"/>
          <w:rtl/>
          <w:lang w:eastAsia="he-IL"/>
        </w:rPr>
        <w:t>לשימוש עצמי, ומשכך לא מדובר בכמות משמעותית;</w:t>
      </w:r>
    </w:p>
    <w:p w14:paraId="6E29E032" w14:textId="77777777" w:rsidR="00226775" w:rsidRDefault="00226775" w:rsidP="00226775">
      <w:pPr>
        <w:numPr>
          <w:ilvl w:val="2"/>
          <w:numId w:val="1"/>
        </w:numPr>
        <w:snapToGrid w:val="0"/>
        <w:spacing w:before="60" w:line="360" w:lineRule="auto"/>
        <w:ind w:left="1134" w:hanging="414"/>
        <w:jc w:val="both"/>
        <w:rPr>
          <w:sz w:val="20"/>
          <w:lang w:eastAsia="he-IL"/>
        </w:rPr>
      </w:pPr>
      <w:r>
        <w:rPr>
          <w:b/>
          <w:bCs/>
          <w:sz w:val="20"/>
          <w:rtl/>
          <w:lang w:eastAsia="he-IL"/>
        </w:rPr>
        <w:t>הנזק שנגרם מביצוע העבירות</w:t>
      </w:r>
      <w:r>
        <w:rPr>
          <w:sz w:val="20"/>
          <w:rtl/>
          <w:lang w:eastAsia="he-IL"/>
        </w:rPr>
        <w:t xml:space="preserve"> הוא לא רב, בהינתן כי הסם נתפס;</w:t>
      </w:r>
    </w:p>
    <w:p w14:paraId="578AC0B2" w14:textId="77777777" w:rsidR="00226775" w:rsidRDefault="00226775" w:rsidP="00226775">
      <w:pPr>
        <w:numPr>
          <w:ilvl w:val="2"/>
          <w:numId w:val="1"/>
        </w:numPr>
        <w:snapToGrid w:val="0"/>
        <w:spacing w:before="60" w:line="360" w:lineRule="auto"/>
        <w:ind w:left="1134" w:hanging="414"/>
        <w:jc w:val="both"/>
        <w:rPr>
          <w:sz w:val="20"/>
          <w:lang w:eastAsia="he-IL"/>
        </w:rPr>
      </w:pPr>
      <w:r>
        <w:rPr>
          <w:sz w:val="20"/>
          <w:rtl/>
          <w:lang w:eastAsia="he-IL"/>
        </w:rPr>
        <w:t xml:space="preserve">אין להקל ראש </w:t>
      </w:r>
      <w:r>
        <w:rPr>
          <w:b/>
          <w:bCs/>
          <w:sz w:val="20"/>
          <w:rtl/>
          <w:lang w:eastAsia="he-IL"/>
        </w:rPr>
        <w:t>בנזק שהיה צפוי להיגרם מהעבירה</w:t>
      </w:r>
      <w:r>
        <w:rPr>
          <w:sz w:val="20"/>
          <w:rtl/>
          <w:lang w:eastAsia="he-IL"/>
        </w:rPr>
        <w:t>, אולם בהינתן כמות הסם שהוחזק לשימוש עצמי, לא מדובר ברף הגבוה של החומרה;</w:t>
      </w:r>
    </w:p>
    <w:p w14:paraId="010F411D" w14:textId="77777777" w:rsidR="00226775" w:rsidRDefault="00226775" w:rsidP="00226775">
      <w:pPr>
        <w:numPr>
          <w:ilvl w:val="2"/>
          <w:numId w:val="1"/>
        </w:numPr>
        <w:snapToGrid w:val="0"/>
        <w:spacing w:before="60" w:line="360" w:lineRule="auto"/>
        <w:ind w:left="1134" w:hanging="414"/>
        <w:jc w:val="both"/>
        <w:rPr>
          <w:sz w:val="20"/>
          <w:lang w:eastAsia="he-IL"/>
        </w:rPr>
      </w:pPr>
      <w:r>
        <w:rPr>
          <w:b/>
          <w:bCs/>
          <w:sz w:val="20"/>
          <w:rtl/>
          <w:lang w:eastAsia="he-IL"/>
        </w:rPr>
        <w:t>הסיבות שהביאו את הנאשם לביצוע העבירה</w:t>
      </w:r>
      <w:r>
        <w:rPr>
          <w:sz w:val="20"/>
          <w:rtl/>
          <w:lang w:eastAsia="he-IL"/>
        </w:rPr>
        <w:t xml:space="preserve"> הן כעולה </w:t>
      </w:r>
      <w:r>
        <w:rPr>
          <w:rFonts w:ascii="David" w:hAnsi="David"/>
          <w:rtl/>
        </w:rPr>
        <w:t>מהתסקירים כי הוא סובל מבעיה בריאותית של פריקת ידו, הגורמת לו לכאבים חזקים. עישון הקנבוס היווה עבורו מרפא והקלה בתחושות אלו לאורך השנים וכיום אף מחזיק ברישיון לשימוש בו.</w:t>
      </w:r>
    </w:p>
    <w:p w14:paraId="41419DD9" w14:textId="77777777" w:rsidR="00226775" w:rsidRDefault="00226775" w:rsidP="00226775">
      <w:pPr>
        <w:spacing w:before="240" w:line="360" w:lineRule="auto"/>
        <w:jc w:val="both"/>
        <w:rPr>
          <w:rFonts w:ascii="David" w:hAnsi="David"/>
          <w:bCs/>
        </w:rPr>
      </w:pPr>
      <w:r>
        <w:rPr>
          <w:rFonts w:ascii="David" w:hAnsi="David"/>
          <w:bCs/>
          <w:rtl/>
        </w:rPr>
        <w:t>מתחם העונש ההולם</w:t>
      </w:r>
    </w:p>
    <w:p w14:paraId="0D515D09" w14:textId="77777777" w:rsidR="00226775" w:rsidRPr="009F0EB4" w:rsidRDefault="00226775" w:rsidP="00226775">
      <w:pPr>
        <w:pStyle w:val="a9"/>
        <w:numPr>
          <w:ilvl w:val="0"/>
          <w:numId w:val="1"/>
        </w:numPr>
        <w:spacing w:line="360" w:lineRule="auto"/>
        <w:ind w:left="357" w:hanging="357"/>
        <w:contextualSpacing w:val="0"/>
        <w:jc w:val="both"/>
        <w:rPr>
          <w:b/>
        </w:rPr>
      </w:pPr>
      <w:r>
        <w:rPr>
          <w:rFonts w:ascii="David" w:hAnsi="David"/>
          <w:rtl/>
        </w:rPr>
        <w:t xml:space="preserve">הנאשם הורשע בעבירה אחת המהווה אירוע אחד, ומשכך אני קובעת </w:t>
      </w:r>
      <w:r>
        <w:rPr>
          <w:rFonts w:ascii="David" w:hAnsi="David"/>
          <w:b/>
          <w:bCs/>
          <w:rtl/>
        </w:rPr>
        <w:t>מתחם עונש הולם כמתחם שתחילתו במספר חודשי מאסר</w:t>
      </w:r>
      <w:r>
        <w:rPr>
          <w:rFonts w:ascii="David" w:hAnsi="David" w:hint="cs"/>
          <w:b/>
          <w:bCs/>
          <w:rtl/>
        </w:rPr>
        <w:t xml:space="preserve"> מותנים ועד מספר חודשי מאסר</w:t>
      </w:r>
      <w:r>
        <w:rPr>
          <w:rFonts w:ascii="David" w:hAnsi="David"/>
          <w:b/>
          <w:bCs/>
          <w:rtl/>
        </w:rPr>
        <w:t>, אשר יכול שירוצו בעבודות שירות</w:t>
      </w:r>
      <w:r>
        <w:rPr>
          <w:rFonts w:ascii="David" w:hAnsi="David" w:hint="cs"/>
          <w:b/>
          <w:rtl/>
        </w:rPr>
        <w:t>, לצד ענישה נלווית</w:t>
      </w:r>
      <w:r>
        <w:rPr>
          <w:rFonts w:ascii="David" w:hAnsi="David"/>
          <w:b/>
          <w:rtl/>
        </w:rPr>
        <w:t xml:space="preserve">. </w:t>
      </w:r>
    </w:p>
    <w:p w14:paraId="056AE0FD" w14:textId="77777777" w:rsidR="00226775" w:rsidRPr="0071395D" w:rsidRDefault="00226775" w:rsidP="00226775">
      <w:pPr>
        <w:pStyle w:val="a9"/>
        <w:numPr>
          <w:ilvl w:val="0"/>
          <w:numId w:val="1"/>
        </w:numPr>
        <w:spacing w:before="240" w:line="360" w:lineRule="auto"/>
        <w:ind w:left="357" w:hanging="357"/>
        <w:contextualSpacing w:val="0"/>
        <w:jc w:val="both"/>
        <w:rPr>
          <w:b/>
        </w:rPr>
      </w:pPr>
      <w:r>
        <w:rPr>
          <w:rFonts w:ascii="David" w:hAnsi="David"/>
          <w:rtl/>
        </w:rPr>
        <w:t>עבירות הסמים הן עבירות כלכליות וככאלו מחייבות עיצומים כלכליים, שיהיה בהם כדי ללמד על חוסר הכדאיות בצבירת הון על חשבון בריאות הציבור</w:t>
      </w:r>
      <w:r>
        <w:rPr>
          <w:rFonts w:ascii="David" w:hAnsi="David" w:hint="cs"/>
          <w:rtl/>
        </w:rPr>
        <w:t xml:space="preserve">. לצד זאת, בהתאם </w:t>
      </w:r>
      <w:hyperlink r:id="rId51" w:history="1">
        <w:r w:rsidR="008D6EE8" w:rsidRPr="008D6EE8">
          <w:rPr>
            <w:rStyle w:val="Hyperlink"/>
            <w:rFonts w:ascii="David" w:hAnsi="David" w:hint="eastAsia"/>
            <w:rtl/>
          </w:rPr>
          <w:t>לסעיף</w:t>
        </w:r>
        <w:r w:rsidR="008D6EE8" w:rsidRPr="008D6EE8">
          <w:rPr>
            <w:rStyle w:val="Hyperlink"/>
            <w:rFonts w:ascii="David" w:hAnsi="David"/>
            <w:rtl/>
          </w:rPr>
          <w:t xml:space="preserve"> 40ח</w:t>
        </w:r>
      </w:hyperlink>
      <w:r>
        <w:rPr>
          <w:rFonts w:ascii="David" w:hAnsi="David" w:hint="cs"/>
          <w:rtl/>
        </w:rPr>
        <w:t xml:space="preserve"> ל-</w:t>
      </w:r>
      <w:hyperlink r:id="rId52" w:history="1">
        <w:r w:rsidR="00791277" w:rsidRPr="00791277">
          <w:rPr>
            <w:rFonts w:ascii="Miriam" w:hAnsi="Miriam" w:cs="Miriam"/>
            <w:b/>
            <w:bCs/>
            <w:color w:val="0000FF"/>
            <w:sz w:val="18"/>
            <w:szCs w:val="22"/>
            <w:u w:val="single"/>
            <w:rtl/>
          </w:rPr>
          <w:t>חוק העונשין</w:t>
        </w:r>
      </w:hyperlink>
      <w:r>
        <w:rPr>
          <w:rFonts w:ascii="David" w:hAnsi="David" w:hint="cs"/>
          <w:rtl/>
        </w:rPr>
        <w:t xml:space="preserve">, </w:t>
      </w:r>
      <w:r w:rsidRPr="0061768B">
        <w:rPr>
          <w:rFonts w:ascii="David" w:hAnsi="David"/>
          <w:rtl/>
        </w:rPr>
        <w:t>לצורך קביעת מתחם עונש הקנס ההולם</w:t>
      </w:r>
      <w:r>
        <w:rPr>
          <w:rFonts w:ascii="David" w:hAnsi="David" w:hint="cs"/>
          <w:rtl/>
        </w:rPr>
        <w:t xml:space="preserve"> נתתי דעתי ל</w:t>
      </w:r>
      <w:r w:rsidRPr="0061768B">
        <w:rPr>
          <w:rFonts w:ascii="David" w:hAnsi="David"/>
          <w:rtl/>
        </w:rPr>
        <w:t xml:space="preserve">מצבו הכלכלי </w:t>
      </w:r>
      <w:r>
        <w:rPr>
          <w:rFonts w:ascii="David" w:hAnsi="David" w:hint="cs"/>
          <w:rtl/>
        </w:rPr>
        <w:t xml:space="preserve">הקשה </w:t>
      </w:r>
      <w:r w:rsidRPr="0061768B">
        <w:rPr>
          <w:rFonts w:ascii="David" w:hAnsi="David"/>
          <w:rtl/>
        </w:rPr>
        <w:t>של הנאשם</w:t>
      </w:r>
      <w:r>
        <w:rPr>
          <w:rFonts w:ascii="David" w:hAnsi="David" w:hint="cs"/>
          <w:rtl/>
        </w:rPr>
        <w:t xml:space="preserve">. הנאשם משלם חובות רבים, לאחר שביקש לעשות "ניקוי שולחן" ולשלם כל חובותיו מגיל 14. הנאשם הציג במהלך הדיון את כל האישורים לגבי פריסת תשלומי חובותיו וכן אישור המוסד לביטוח לאומי על 100% נכות. בנוסף נולד בנו הבכור של הנאשם לפני כשבועיים וגם בכך יש כדי להשפיע על מצבו הכלכלי של הנאשם, זוגתו ובנו. </w:t>
      </w:r>
      <w:r w:rsidRPr="0061768B">
        <w:rPr>
          <w:rFonts w:ascii="David" w:hAnsi="David"/>
          <w:rtl/>
        </w:rPr>
        <w:t xml:space="preserve">משכך, אני קובעת </w:t>
      </w:r>
      <w:r w:rsidRPr="0061768B">
        <w:rPr>
          <w:rFonts w:ascii="David" w:hAnsi="David"/>
          <w:b/>
          <w:bCs/>
          <w:rtl/>
        </w:rPr>
        <w:t>מתחם קנס</w:t>
      </w:r>
      <w:r>
        <w:rPr>
          <w:rFonts w:ascii="David" w:hAnsi="David" w:hint="cs"/>
          <w:b/>
          <w:bCs/>
          <w:rtl/>
        </w:rPr>
        <w:t xml:space="preserve"> ה</w:t>
      </w:r>
      <w:r w:rsidRPr="0061768B">
        <w:rPr>
          <w:rFonts w:ascii="David" w:hAnsi="David"/>
          <w:b/>
          <w:bCs/>
          <w:rtl/>
        </w:rPr>
        <w:t>נע בין</w:t>
      </w:r>
      <w:r w:rsidRPr="0061768B">
        <w:rPr>
          <w:rFonts w:ascii="David" w:hAnsi="David"/>
          <w:rtl/>
        </w:rPr>
        <w:t xml:space="preserve"> </w:t>
      </w:r>
      <w:r>
        <w:rPr>
          <w:rFonts w:ascii="David" w:hAnsi="David" w:hint="cs"/>
          <w:b/>
          <w:bCs/>
          <w:rtl/>
        </w:rPr>
        <w:t>50</w:t>
      </w:r>
      <w:r w:rsidRPr="0061768B">
        <w:rPr>
          <w:rFonts w:ascii="David" w:hAnsi="David" w:hint="cs"/>
          <w:b/>
          <w:bCs/>
          <w:rtl/>
        </w:rPr>
        <w:t>0</w:t>
      </w:r>
      <w:r w:rsidRPr="0061768B">
        <w:rPr>
          <w:rFonts w:ascii="David" w:hAnsi="David"/>
          <w:b/>
          <w:bCs/>
          <w:rtl/>
        </w:rPr>
        <w:t xml:space="preserve"> ₪ לבין 5,000 ₪</w:t>
      </w:r>
      <w:r w:rsidRPr="0061768B">
        <w:rPr>
          <w:rFonts w:ascii="David" w:hAnsi="David"/>
          <w:rtl/>
        </w:rPr>
        <w:t xml:space="preserve">. כפי שנקבע בפסיקה ובהתאם להוראות </w:t>
      </w:r>
      <w:hyperlink r:id="rId53" w:history="1">
        <w:r w:rsidR="008D6EE8" w:rsidRPr="008D6EE8">
          <w:rPr>
            <w:rStyle w:val="Hyperlink"/>
            <w:rFonts w:ascii="David" w:hAnsi="David"/>
            <w:rtl/>
          </w:rPr>
          <w:t>סעיף 37א</w:t>
        </w:r>
      </w:hyperlink>
      <w:r w:rsidRPr="0061768B">
        <w:rPr>
          <w:rFonts w:ascii="David" w:hAnsi="David"/>
          <w:rtl/>
        </w:rPr>
        <w:t xml:space="preserve"> ל</w:t>
      </w:r>
      <w:r>
        <w:rPr>
          <w:rFonts w:ascii="David" w:hAnsi="David" w:hint="cs"/>
          <w:rtl/>
        </w:rPr>
        <w:t>-</w:t>
      </w:r>
      <w:r w:rsidRPr="0061768B">
        <w:rPr>
          <w:rFonts w:ascii="Miriam" w:hAnsi="Miriam" w:cs="Miriam"/>
          <w:b/>
          <w:bCs/>
          <w:sz w:val="18"/>
          <w:szCs w:val="22"/>
          <w:rtl/>
        </w:rPr>
        <w:t>פקודת הסמים</w:t>
      </w:r>
      <w:r w:rsidRPr="0061768B">
        <w:rPr>
          <w:rFonts w:ascii="David" w:hAnsi="David"/>
          <w:rtl/>
        </w:rPr>
        <w:t xml:space="preserve">, בעבירות הקשורות בסם מסוכן יש חשיבות לפסילה. </w:t>
      </w:r>
    </w:p>
    <w:p w14:paraId="7045FEA8" w14:textId="77777777" w:rsidR="00226775" w:rsidRPr="0061768B" w:rsidRDefault="00226775" w:rsidP="00226775">
      <w:pPr>
        <w:pStyle w:val="a9"/>
        <w:numPr>
          <w:ilvl w:val="0"/>
          <w:numId w:val="1"/>
        </w:numPr>
        <w:spacing w:before="240" w:line="360" w:lineRule="auto"/>
        <w:ind w:left="357" w:hanging="357"/>
        <w:contextualSpacing w:val="0"/>
        <w:jc w:val="both"/>
        <w:rPr>
          <w:b/>
        </w:rPr>
      </w:pPr>
      <w:r w:rsidRPr="0061768B">
        <w:rPr>
          <w:rFonts w:ascii="David" w:hAnsi="David"/>
          <w:rtl/>
        </w:rPr>
        <w:t xml:space="preserve">מתחם הפסילה נע בין </w:t>
      </w:r>
      <w:r w:rsidRPr="0061768B">
        <w:rPr>
          <w:rFonts w:ascii="David" w:hAnsi="David"/>
          <w:b/>
          <w:bCs/>
          <w:rtl/>
        </w:rPr>
        <w:t>פסילה מותנית לבין שנת פסילה בפועל</w:t>
      </w:r>
      <w:r w:rsidRPr="0061768B">
        <w:rPr>
          <w:b/>
          <w:rtl/>
        </w:rPr>
        <w:t>.</w:t>
      </w:r>
    </w:p>
    <w:p w14:paraId="48476E70" w14:textId="77777777" w:rsidR="00226775" w:rsidRDefault="00226775" w:rsidP="00226775">
      <w:pPr>
        <w:spacing w:before="240" w:line="360" w:lineRule="auto"/>
        <w:jc w:val="both"/>
        <w:rPr>
          <w:rFonts w:ascii="David" w:hAnsi="David"/>
          <w:bCs/>
        </w:rPr>
      </w:pPr>
      <w:r>
        <w:rPr>
          <w:rFonts w:ascii="David" w:hAnsi="David"/>
          <w:bCs/>
          <w:rtl/>
        </w:rPr>
        <w:t>גזירת העונש המתאים לנאשם, הארכת המאסרים המותנים ושיקולי שיקום</w:t>
      </w:r>
    </w:p>
    <w:p w14:paraId="77649ED1" w14:textId="77777777" w:rsidR="00226775" w:rsidRDefault="00226775" w:rsidP="00226775">
      <w:pPr>
        <w:pStyle w:val="a9"/>
        <w:numPr>
          <w:ilvl w:val="0"/>
          <w:numId w:val="1"/>
        </w:numPr>
        <w:spacing w:line="360" w:lineRule="auto"/>
        <w:ind w:left="357" w:hanging="357"/>
        <w:contextualSpacing w:val="0"/>
        <w:jc w:val="both"/>
      </w:pPr>
      <w:r>
        <w:rPr>
          <w:rtl/>
        </w:rPr>
        <w:t xml:space="preserve">הגם </w:t>
      </w:r>
      <w:hyperlink r:id="rId54" w:history="1">
        <w:r w:rsidR="008D6EE8" w:rsidRPr="008D6EE8">
          <w:rPr>
            <w:rStyle w:val="Hyperlink"/>
            <w:rtl/>
          </w:rPr>
          <w:t>שסעיף 56(ב)</w:t>
        </w:r>
      </w:hyperlink>
      <w:r>
        <w:rPr>
          <w:rtl/>
        </w:rPr>
        <w:t xml:space="preserve"> ל</w:t>
      </w:r>
      <w:r w:rsidRPr="009F0EB4">
        <w:rPr>
          <w:rFonts w:ascii="Miriam" w:hAnsi="Miriam" w:cs="Miriam"/>
          <w:b/>
          <w:bCs/>
          <w:sz w:val="18"/>
          <w:szCs w:val="22"/>
          <w:rtl/>
        </w:rPr>
        <w:t>-</w:t>
      </w:r>
      <w:hyperlink r:id="rId55" w:history="1">
        <w:r w:rsidR="00791277" w:rsidRPr="00791277">
          <w:rPr>
            <w:rFonts w:ascii="Miriam" w:hAnsi="Miriam" w:cs="Miriam"/>
            <w:b/>
            <w:bCs/>
            <w:color w:val="0000FF"/>
            <w:sz w:val="18"/>
            <w:szCs w:val="22"/>
            <w:u w:val="single"/>
            <w:rtl/>
          </w:rPr>
          <w:t>חוק העונשין</w:t>
        </w:r>
      </w:hyperlink>
      <w:r>
        <w:rPr>
          <w:rtl/>
        </w:rPr>
        <w:t xml:space="preserve"> קובע כי בית המשפט לא ישתמש בסמכותו להאריך תקופת מאסר מותנה "</w:t>
      </w:r>
      <w:r w:rsidRPr="009F0EB4">
        <w:rPr>
          <w:b/>
          <w:bCs/>
          <w:rtl/>
        </w:rPr>
        <w:t>אלא לגבי ההרשעה הראשונה של הנאשם בשל עבירה נוספת</w:t>
      </w:r>
      <w:r>
        <w:rPr>
          <w:rtl/>
        </w:rPr>
        <w:t xml:space="preserve">" מאפשר </w:t>
      </w:r>
      <w:hyperlink r:id="rId56" w:history="1">
        <w:r w:rsidR="008D6EE8" w:rsidRPr="008D6EE8">
          <w:rPr>
            <w:rStyle w:val="Hyperlink"/>
            <w:rtl/>
          </w:rPr>
          <w:t>סעיף 85</w:t>
        </w:r>
      </w:hyperlink>
      <w:r>
        <w:rPr>
          <w:rtl/>
        </w:rPr>
        <w:t xml:space="preserve"> ל</w:t>
      </w:r>
      <w:r w:rsidRPr="009F0EB4">
        <w:rPr>
          <w:rFonts w:ascii="Miriam" w:hAnsi="Miriam" w:cs="Miriam"/>
          <w:b/>
          <w:bCs/>
          <w:sz w:val="18"/>
          <w:szCs w:val="22"/>
          <w:rtl/>
        </w:rPr>
        <w:t>-חוק העונשין</w:t>
      </w:r>
      <w:r>
        <w:rPr>
          <w:rtl/>
        </w:rPr>
        <w:t xml:space="preserve"> להאריך מאסר מותנה יותר מפעם אחת, למי שעובר או סיים טיפול למשתמשים בסמים, ובלבד שבית המשפט שוכנע שמתקיימים שלושת התנאים: </w:t>
      </w:r>
    </w:p>
    <w:p w14:paraId="6A2DB9D9" w14:textId="77777777" w:rsidR="00226775" w:rsidRDefault="00226775" w:rsidP="00226775">
      <w:pPr>
        <w:pStyle w:val="a9"/>
        <w:numPr>
          <w:ilvl w:val="1"/>
          <w:numId w:val="1"/>
        </w:numPr>
        <w:spacing w:line="360" w:lineRule="auto"/>
        <w:contextualSpacing w:val="0"/>
        <w:jc w:val="both"/>
      </w:pPr>
      <w:r>
        <w:rPr>
          <w:rtl/>
        </w:rPr>
        <w:t>"...</w:t>
      </w:r>
      <w:r>
        <w:rPr>
          <w:b/>
          <w:bCs/>
          <w:rtl/>
        </w:rPr>
        <w:t>לא יהיה זה צודק להפעיל את המאסר על תנאי משום שיש סיכוי לשיקומו</w:t>
      </w:r>
      <w:r>
        <w:rPr>
          <w:rtl/>
        </w:rPr>
        <w:t>..."</w:t>
      </w:r>
    </w:p>
    <w:p w14:paraId="773FB8D5" w14:textId="77777777" w:rsidR="00226775" w:rsidRDefault="00226775" w:rsidP="00226775">
      <w:pPr>
        <w:pStyle w:val="a9"/>
        <w:numPr>
          <w:ilvl w:val="1"/>
          <w:numId w:val="1"/>
        </w:numPr>
        <w:spacing w:line="360" w:lineRule="auto"/>
        <w:contextualSpacing w:val="0"/>
        <w:jc w:val="both"/>
        <w:rPr>
          <w:rtl/>
        </w:rPr>
      </w:pPr>
      <w:r>
        <w:rPr>
          <w:rtl/>
        </w:rPr>
        <w:t>"...</w:t>
      </w:r>
      <w:r>
        <w:rPr>
          <w:b/>
          <w:bCs/>
          <w:rtl/>
        </w:rPr>
        <w:t>הפעלת המאסר על תנאי תסב לו נזק חמור</w:t>
      </w:r>
      <w:r>
        <w:rPr>
          <w:rtl/>
        </w:rPr>
        <w:t>"</w:t>
      </w:r>
    </w:p>
    <w:p w14:paraId="62A2BF02" w14:textId="77777777" w:rsidR="00226775" w:rsidRDefault="00226775" w:rsidP="00226775">
      <w:pPr>
        <w:pStyle w:val="a9"/>
        <w:numPr>
          <w:ilvl w:val="1"/>
          <w:numId w:val="1"/>
        </w:numPr>
        <w:spacing w:line="360" w:lineRule="auto"/>
        <w:contextualSpacing w:val="0"/>
        <w:jc w:val="both"/>
        <w:rPr>
          <w:rtl/>
        </w:rPr>
      </w:pPr>
      <w:r>
        <w:rPr>
          <w:rtl/>
        </w:rPr>
        <w:t>"</w:t>
      </w:r>
      <w:r>
        <w:rPr>
          <w:b/>
          <w:bCs/>
          <w:rtl/>
        </w:rPr>
        <w:t>אין סיכון לשלום הציבור בשל הארכת התנאי</w:t>
      </w:r>
      <w:r>
        <w:rPr>
          <w:rtl/>
        </w:rPr>
        <w:t>"</w:t>
      </w:r>
    </w:p>
    <w:p w14:paraId="1886A4D8" w14:textId="77777777" w:rsidR="00226775" w:rsidRDefault="00226775" w:rsidP="00226775">
      <w:pPr>
        <w:pStyle w:val="a9"/>
        <w:numPr>
          <w:ilvl w:val="0"/>
          <w:numId w:val="1"/>
        </w:numPr>
        <w:spacing w:before="240" w:line="360" w:lineRule="auto"/>
        <w:ind w:left="360"/>
        <w:contextualSpacing w:val="0"/>
        <w:jc w:val="both"/>
      </w:pPr>
      <w:r>
        <w:rPr>
          <w:rtl/>
        </w:rPr>
        <w:t xml:space="preserve">הבחינה אם יש מקום לחרוג ממתחם העונש ההולם בשל שיקולי שיקום, בהתאם </w:t>
      </w:r>
      <w:hyperlink r:id="rId57" w:history="1">
        <w:r w:rsidR="008D6EE8" w:rsidRPr="008D6EE8">
          <w:rPr>
            <w:rStyle w:val="Hyperlink"/>
            <w:rtl/>
          </w:rPr>
          <w:t>לסעיף 40ד</w:t>
        </w:r>
      </w:hyperlink>
      <w:r>
        <w:rPr>
          <w:rtl/>
        </w:rPr>
        <w:t xml:space="preserve"> ל</w:t>
      </w:r>
      <w:r>
        <w:rPr>
          <w:rFonts w:hint="cs"/>
          <w:rtl/>
        </w:rPr>
        <w:t>-</w:t>
      </w:r>
      <w:hyperlink r:id="rId58" w:history="1">
        <w:r w:rsidR="00791277" w:rsidRPr="00791277">
          <w:rPr>
            <w:rFonts w:ascii="Miriam" w:hAnsi="Miriam" w:cs="Miriam"/>
            <w:b/>
            <w:bCs/>
            <w:color w:val="0000FF"/>
            <w:sz w:val="18"/>
            <w:szCs w:val="22"/>
            <w:u w:val="single"/>
            <w:rtl/>
          </w:rPr>
          <w:t>חוק העונשין</w:t>
        </w:r>
      </w:hyperlink>
      <w:r>
        <w:rPr>
          <w:rtl/>
        </w:rPr>
        <w:t>, לפיו</w:t>
      </w:r>
      <w:r>
        <w:rPr>
          <w:rFonts w:ascii="Miriam" w:hAnsi="Miriam" w:cs="Miriam"/>
          <w:b/>
          <w:bCs/>
          <w:sz w:val="18"/>
          <w:szCs w:val="22"/>
          <w:rtl/>
        </w:rPr>
        <w:t xml:space="preserve"> </w:t>
      </w:r>
      <w:r>
        <w:rPr>
          <w:rtl/>
        </w:rPr>
        <w:t>משבית המשפט "</w:t>
      </w:r>
      <w:r>
        <w:rPr>
          <w:b/>
          <w:bCs/>
          <w:rtl/>
        </w:rPr>
        <w:t>מצא כי הנאשם השתקם או כי יש סיכוי של ממש שישתקם, רשאי הוא לחרוג ממתחם העונש ההולם</w:t>
      </w:r>
      <w:r>
        <w:rPr>
          <w:rtl/>
        </w:rPr>
        <w:t xml:space="preserve">" והבחינה אם הנאשם עומד בתנאי </w:t>
      </w:r>
      <w:hyperlink r:id="rId59" w:history="1">
        <w:r w:rsidR="008D6EE8" w:rsidRPr="008D6EE8">
          <w:rPr>
            <w:rStyle w:val="Hyperlink"/>
            <w:rtl/>
          </w:rPr>
          <w:t>סעיפים 56</w:t>
        </w:r>
      </w:hyperlink>
      <w:r>
        <w:rPr>
          <w:rtl/>
        </w:rPr>
        <w:t xml:space="preserve"> ו-</w:t>
      </w:r>
      <w:hyperlink r:id="rId60" w:history="1">
        <w:r w:rsidR="008D6EE8" w:rsidRPr="008D6EE8">
          <w:rPr>
            <w:rStyle w:val="Hyperlink"/>
            <w:rtl/>
          </w:rPr>
          <w:t>85</w:t>
        </w:r>
      </w:hyperlink>
      <w:r>
        <w:rPr>
          <w:rtl/>
        </w:rPr>
        <w:t xml:space="preserve"> ל</w:t>
      </w:r>
      <w:r>
        <w:rPr>
          <w:rFonts w:ascii="Miriam" w:hAnsi="Miriam" w:cs="Miriam"/>
          <w:b/>
          <w:bCs/>
          <w:sz w:val="18"/>
          <w:szCs w:val="22"/>
          <w:rtl/>
        </w:rPr>
        <w:t>-חוק העונשין</w:t>
      </w:r>
      <w:r>
        <w:rPr>
          <w:rtl/>
        </w:rPr>
        <w:t xml:space="preserve"> כרוכות במידה רבה זו בזו ובנסיבותיו האישיות של הנאשם, שלא קשורות בביצוע העבירה, לכן אדון בהן במאוחד</w:t>
      </w:r>
      <w:r>
        <w:rPr>
          <w:rFonts w:hint="cs"/>
          <w:rtl/>
        </w:rPr>
        <w:t>.</w:t>
      </w:r>
    </w:p>
    <w:p w14:paraId="006EA247" w14:textId="77777777" w:rsidR="00226775" w:rsidRDefault="00226775" w:rsidP="00226775">
      <w:pPr>
        <w:pStyle w:val="a9"/>
        <w:numPr>
          <w:ilvl w:val="0"/>
          <w:numId w:val="1"/>
        </w:numPr>
        <w:spacing w:before="240" w:line="360" w:lineRule="auto"/>
        <w:ind w:left="360"/>
        <w:contextualSpacing w:val="0"/>
        <w:jc w:val="both"/>
      </w:pPr>
      <w:r>
        <w:rPr>
          <w:rFonts w:hint="cs"/>
          <w:rtl/>
        </w:rPr>
        <w:t>לכל אלו יש להוסיף את הכלל</w:t>
      </w:r>
      <w:r>
        <w:rPr>
          <w:rtl/>
        </w:rPr>
        <w:t>, כי "</w:t>
      </w:r>
      <w:r>
        <w:rPr>
          <w:b/>
          <w:bCs/>
          <w:rtl/>
        </w:rPr>
        <w:t>אין עסקינן בשיטת ניקוד, או באריתמטיקה. ענישה היא מלאכת מחשבת - ולא מלאכת מחשב</w:t>
      </w:r>
      <w:r>
        <w:rPr>
          <w:rtl/>
        </w:rPr>
        <w:t xml:space="preserve">" [ראו והשוו </w:t>
      </w:r>
      <w:hyperlink r:id="rId61" w:history="1">
        <w:r w:rsidR="00791277" w:rsidRPr="00791277">
          <w:rPr>
            <w:color w:val="0000FF"/>
            <w:u w:val="single"/>
            <w:rtl/>
          </w:rPr>
          <w:t>ע"פ 5768/10</w:t>
        </w:r>
      </w:hyperlink>
      <w:r>
        <w:rPr>
          <w:rtl/>
        </w:rPr>
        <w:t xml:space="preserve"> </w:t>
      </w:r>
      <w:r>
        <w:rPr>
          <w:rFonts w:ascii="Miriam" w:hAnsi="Miriam" w:cs="Miriam"/>
          <w:b/>
          <w:bCs/>
          <w:sz w:val="18"/>
          <w:szCs w:val="22"/>
          <w:rtl/>
        </w:rPr>
        <w:t>פלוני נ' מדינת ישראל</w:t>
      </w:r>
      <w:r>
        <w:rPr>
          <w:rtl/>
        </w:rPr>
        <w:t xml:space="preserve"> (8.6.15)]. לעולם אין לגזור עונשו של נאשם על סמך כותרות העבירות </w:t>
      </w:r>
      <w:r>
        <w:rPr>
          <w:u w:val="single"/>
          <w:rtl/>
        </w:rPr>
        <w:t>וכל מקרה צריך להיבחן לגופו ובנסיבותיו</w:t>
      </w:r>
      <w:r>
        <w:rPr>
          <w:rtl/>
        </w:rPr>
        <w:t>. משכך, ובהתאם להוראות תיקון 113 ל-</w:t>
      </w:r>
      <w:hyperlink r:id="rId62" w:history="1">
        <w:r w:rsidR="00791277" w:rsidRPr="00791277">
          <w:rPr>
            <w:rFonts w:ascii="Miriam" w:hAnsi="Miriam" w:cs="Miriam"/>
            <w:b/>
            <w:bCs/>
            <w:color w:val="0000FF"/>
            <w:sz w:val="18"/>
            <w:szCs w:val="22"/>
            <w:u w:val="single"/>
            <w:rtl/>
          </w:rPr>
          <w:t>חוק העונשין</w:t>
        </w:r>
      </w:hyperlink>
      <w:r>
        <w:rPr>
          <w:rtl/>
        </w:rPr>
        <w:t xml:space="preserve"> בכלל </w:t>
      </w:r>
      <w:hyperlink r:id="rId63" w:history="1">
        <w:r w:rsidR="008D6EE8" w:rsidRPr="008D6EE8">
          <w:rPr>
            <w:rStyle w:val="Hyperlink"/>
            <w:rtl/>
          </w:rPr>
          <w:t>וסעיף 40ג(ב)</w:t>
        </w:r>
      </w:hyperlink>
      <w:r>
        <w:rPr>
          <w:rtl/>
        </w:rPr>
        <w:t xml:space="preserve"> בפרט, בגזירת העונש המתאים לנאשם התחשבתי, בנסיבות שלא קשורות בביצוע העבירה, כאמור </w:t>
      </w:r>
      <w:hyperlink r:id="rId64" w:history="1">
        <w:r w:rsidR="008D6EE8" w:rsidRPr="008D6EE8">
          <w:rPr>
            <w:rStyle w:val="Hyperlink"/>
            <w:rtl/>
          </w:rPr>
          <w:t>בסעיף 40יא</w:t>
        </w:r>
      </w:hyperlink>
      <w:r>
        <w:rPr>
          <w:rtl/>
        </w:rPr>
        <w:t xml:space="preserve"> ל</w:t>
      </w:r>
      <w:r>
        <w:rPr>
          <w:rFonts w:hint="cs"/>
          <w:rtl/>
        </w:rPr>
        <w:t>-</w:t>
      </w:r>
      <w:r>
        <w:rPr>
          <w:rFonts w:ascii="Miriam" w:hAnsi="Miriam" w:cs="Miriam"/>
          <w:b/>
          <w:bCs/>
          <w:sz w:val="18"/>
          <w:szCs w:val="22"/>
          <w:rtl/>
        </w:rPr>
        <w:t>חוק העונשין</w:t>
      </w:r>
      <w:r>
        <w:rPr>
          <w:rtl/>
        </w:rPr>
        <w:t>, כעולה מהתסקירים הנושאים תאריכים 22.12.20, 25.4.21, 8.7.21, 12.12.21 ו-8.3.22, מטיעוני ההגנה לעונש</w:t>
      </w:r>
      <w:r>
        <w:rPr>
          <w:rFonts w:hint="cs"/>
          <w:rtl/>
        </w:rPr>
        <w:t>,</w:t>
      </w:r>
      <w:r>
        <w:rPr>
          <w:rtl/>
        </w:rPr>
        <w:t xml:space="preserve"> מדברי בת הזוג של הנאשם</w:t>
      </w:r>
      <w:r>
        <w:rPr>
          <w:rFonts w:hint="cs"/>
          <w:rtl/>
        </w:rPr>
        <w:t xml:space="preserve">, מהמסמכים שהוצגו לעיוני לגבי מצבו הכלכלי והרפואי של הנאשם ומדברי </w:t>
      </w:r>
      <w:r>
        <w:rPr>
          <w:rtl/>
        </w:rPr>
        <w:t>הנאשם עצמו:</w:t>
      </w:r>
    </w:p>
    <w:p w14:paraId="2F542CED" w14:textId="77777777" w:rsidR="00226775" w:rsidRDefault="00226775" w:rsidP="00226775">
      <w:pPr>
        <w:spacing w:before="120" w:line="360" w:lineRule="auto"/>
        <w:ind w:left="357"/>
        <w:jc w:val="both"/>
        <w:rPr>
          <w:rFonts w:ascii="David" w:hAnsi="David"/>
        </w:rPr>
      </w:pPr>
      <w:r>
        <w:rPr>
          <w:rFonts w:ascii="David" w:hAnsi="David"/>
          <w:rtl/>
        </w:rPr>
        <w:t>(1)</w:t>
      </w:r>
      <w:r>
        <w:rPr>
          <w:rFonts w:ascii="David" w:hAnsi="David"/>
          <w:rtl/>
        </w:rPr>
        <w:tab/>
      </w:r>
      <w:r>
        <w:rPr>
          <w:rFonts w:ascii="David" w:hAnsi="David"/>
          <w:b/>
          <w:bCs/>
          <w:rtl/>
        </w:rPr>
        <w:t>הפגיעה של העונש בנאשם, לרבות בשל גילו, ובמשפחתו</w:t>
      </w:r>
      <w:r>
        <w:rPr>
          <w:rFonts w:ascii="David" w:hAnsi="David"/>
          <w:rtl/>
        </w:rPr>
        <w:t xml:space="preserve"> - הנאשם כיום כבן 24, את העבירה ביצע עוד בטרם מלאו לו 21 שנים. הנאשם מתגורר עם זוגתו בדימונה</w:t>
      </w:r>
      <w:r>
        <w:rPr>
          <w:rFonts w:ascii="David" w:hAnsi="David" w:hint="cs"/>
          <w:rtl/>
        </w:rPr>
        <w:t xml:space="preserve"> ולפני כשבועיים נולד בנם </w:t>
      </w:r>
      <w:r>
        <w:rPr>
          <w:rFonts w:ascii="David" w:hAnsi="David"/>
          <w:rtl/>
        </w:rPr>
        <w:t>הבכור. הנאשם לא עובד בשל תאונת עבודה שעבר</w:t>
      </w:r>
      <w:r>
        <w:rPr>
          <w:rFonts w:ascii="David" w:hAnsi="David" w:hint="cs"/>
          <w:rtl/>
        </w:rPr>
        <w:t>, הוכר כנכה 100% על ידי המוסד לביטוח לאומי</w:t>
      </w:r>
      <w:r>
        <w:rPr>
          <w:rFonts w:ascii="David" w:hAnsi="David"/>
          <w:rtl/>
        </w:rPr>
        <w:t xml:space="preserve"> ומקבל דמי נכות זמניים. להתרשמות כל גורמי הטיפול הולדת בנו מגבירה את החשיבות בהמשך ההליך הטיפולי - ועל כך יורחב בהמשך;</w:t>
      </w:r>
    </w:p>
    <w:p w14:paraId="4B4C3D3D" w14:textId="77777777" w:rsidR="00226775" w:rsidRDefault="00226775" w:rsidP="00226775">
      <w:pPr>
        <w:spacing w:before="120" w:line="360" w:lineRule="auto"/>
        <w:ind w:left="357"/>
        <w:jc w:val="both"/>
        <w:rPr>
          <w:rFonts w:ascii="David" w:hAnsi="David"/>
          <w:rtl/>
        </w:rPr>
      </w:pPr>
      <w:r>
        <w:rPr>
          <w:rFonts w:ascii="David" w:hAnsi="David"/>
          <w:rtl/>
        </w:rPr>
        <w:t>(2)</w:t>
      </w:r>
      <w:r>
        <w:rPr>
          <w:rFonts w:ascii="David" w:hAnsi="David"/>
          <w:rtl/>
        </w:rPr>
        <w:tab/>
      </w:r>
      <w:r>
        <w:rPr>
          <w:rFonts w:ascii="David" w:hAnsi="David"/>
          <w:b/>
          <w:bCs/>
          <w:rtl/>
        </w:rPr>
        <w:t>נסיבות חיים קשות של הנאשם שהיתה להן השפעה על ביצוע העבירה</w:t>
      </w:r>
      <w:r>
        <w:rPr>
          <w:rFonts w:ascii="David" w:hAnsi="David"/>
          <w:rtl/>
        </w:rPr>
        <w:t xml:space="preserve"> - נסיבות חייו של הנאשם מורכבות. הנאשם הוא השני בסדר הילודה מבין 5 אחאים. הוריו של הנאשם ניהלו מערכת יחסים זוגית ממושכת, אך לא נישאו, נפרדו לפני כ-20 שנים, על רקע מעורבות פלילית של האב, אשר מרצה בשני העשורים האחרונים עונש מאסר בפועל. מאז שהוריו נפרדו פגש את אביו פעם אחת ובאופן מקרי במאסר. לא מעוניין לחדש את הקשר עם אביו. אם הנאשם מתגוררת בדימונה ועובדת במפעל הסמוך לעיר, מנהלת זוגיות ומתגוררת עם בן זוגה שעובד בעבודות מזדמנות. לתפיסתו אמו נטלה על עצמה תפקידי אב ואם כאחד. יחסיו עם אחיו חיוביים, אך מאופיינים במעורבות מינימלית בחיי האחד של השני. ילדותו אופיינה בקשיים כלכליים של משפחתו. הנאשם גדל בדימונה וסיים 8 שנות לימוד. </w:t>
      </w:r>
    </w:p>
    <w:p w14:paraId="46D63AE4" w14:textId="77777777" w:rsidR="00226775" w:rsidRDefault="00226775" w:rsidP="00226775">
      <w:pPr>
        <w:spacing w:before="120" w:line="360" w:lineRule="auto"/>
        <w:ind w:left="357"/>
        <w:jc w:val="both"/>
        <w:rPr>
          <w:rFonts w:ascii="David" w:hAnsi="David"/>
          <w:rtl/>
        </w:rPr>
      </w:pPr>
      <w:r>
        <w:rPr>
          <w:rFonts w:ascii="David" w:hAnsi="David"/>
          <w:rtl/>
        </w:rPr>
        <w:t xml:space="preserve">הנאשם ומשפחתו מוכרים היטב לשירותי הרווחה מזה מספר שנים. מגורמי הרווחה נמסר כי הנאשם גדל ברקע משפחתי מורכב ורצוף משברים, כולל חשיפה לאלימות בני הזוג של אמו כלפיה והזנחה הורית. בן הזוג של אמו התמודד עם בעיית התמכרות לסמים. הנאשם הוכר כקטין נזקק והופנה למסגרות  חוץ ביתיות. הניסיונות הטיפוליים לא צלחו בשל אלימות מצד הנאשם ובעיות התנהגות קשות, כשלרוב אמו שגוננה עליו, לא הצליחה להוות עבורו גורם סמכותי מציב גבולות.  </w:t>
      </w:r>
    </w:p>
    <w:p w14:paraId="239E2A60" w14:textId="77777777" w:rsidR="00226775" w:rsidRDefault="00226775" w:rsidP="00226775">
      <w:pPr>
        <w:spacing w:before="120" w:line="360" w:lineRule="auto"/>
        <w:ind w:left="357"/>
        <w:jc w:val="both"/>
        <w:rPr>
          <w:rFonts w:ascii="David" w:hAnsi="David"/>
          <w:rtl/>
        </w:rPr>
      </w:pPr>
      <w:r>
        <w:rPr>
          <w:rFonts w:ascii="David" w:hAnsi="David"/>
          <w:rtl/>
        </w:rPr>
        <w:t xml:space="preserve">מגיל 8 עד גיל 12 שהה במסגרות חוץ ביתיות, במרכז חירום ובפנימיית "רננים", בשל התנהגות בעייתית, שאופיינה באימפולסיבית ואלימות. בגיל 12 דקר מדריך בפנימייה ובגיל 16 החל ללמוד בבית ספר "עמל", שם למד באופן חלקי רתכות, אך סולק בעקבות התנהגותו. תקופות ילדותו ונעוריו מאופיינות במורכבות רגשית וחברתית, בשל מעברים רבים בין מסגרות וסירוב מסגרות שונות לקבלו. </w:t>
      </w:r>
    </w:p>
    <w:p w14:paraId="05CC6DC9" w14:textId="77777777" w:rsidR="00226775" w:rsidRDefault="00226775" w:rsidP="00226775">
      <w:pPr>
        <w:spacing w:before="120" w:line="360" w:lineRule="auto"/>
        <w:ind w:left="357"/>
        <w:jc w:val="both"/>
        <w:rPr>
          <w:rFonts w:ascii="David" w:hAnsi="David"/>
          <w:rtl/>
        </w:rPr>
      </w:pPr>
      <w:r>
        <w:rPr>
          <w:rFonts w:ascii="David" w:hAnsi="David"/>
          <w:rtl/>
        </w:rPr>
        <w:t>להתרשמות שירות המבחן, מעורבותו העבריינית של הנאשם לאורך השנים וחוויות חיים מורכבות השפיעו על דפוסי חשיבתו והתנהגותו. שירות המבחן התרשם מאימפולסיביות, קשיים בהתארגנות, בהתחייבות לקשר ארוך טווח ובהצבת גבולות חיצוניים ופנימיים;</w:t>
      </w:r>
    </w:p>
    <w:p w14:paraId="0E9C6162" w14:textId="77777777" w:rsidR="00226775" w:rsidRDefault="00226775" w:rsidP="00226775">
      <w:pPr>
        <w:spacing w:before="120" w:line="360" w:lineRule="auto"/>
        <w:ind w:left="357"/>
        <w:jc w:val="both"/>
        <w:rPr>
          <w:rFonts w:ascii="David" w:hAnsi="David"/>
          <w:rtl/>
        </w:rPr>
      </w:pPr>
      <w:r>
        <w:rPr>
          <w:rFonts w:ascii="David" w:hAnsi="David"/>
          <w:rtl/>
        </w:rPr>
        <w:t>(3)</w:t>
      </w:r>
      <w:r>
        <w:rPr>
          <w:rFonts w:ascii="David" w:hAnsi="David"/>
          <w:rtl/>
        </w:rPr>
        <w:tab/>
      </w:r>
      <w:r>
        <w:rPr>
          <w:rFonts w:ascii="David" w:hAnsi="David"/>
          <w:b/>
          <w:bCs/>
          <w:rtl/>
        </w:rPr>
        <w:t>נטילת האחריות של הנאשם על מעשיו</w:t>
      </w:r>
      <w:r>
        <w:rPr>
          <w:rFonts w:ascii="David" w:hAnsi="David"/>
          <w:rtl/>
        </w:rPr>
        <w:t xml:space="preserve"> - הנאשם הודה בכתב האישום המתוקן עוד ביום 3.6.20, קרי כשנה לאחר ביצוע העבירה, לאחר שחזר בו מכפירתו ולמעשה בפתח דיון ההוכחות. הנאשם חזר על הודייתו לאורך כל תקופת הטיפול והקשר עם שירות המבחן, כפי שעולה גם מהתסקירים הנושאים תאריכים 22.12.20, 25.4.21, 8.7.21, 12.12.21 ו-8.3.22. זאת ועוד, כבר בתסקיר מיום 22.12.20 הביע הנאשם חרטה על מעשיו, הכיר בבעייתיות שבהתנהגותו וביטא רצון לעבור שינוי באורחות חייו. מהתסקיר נושא תאריך 8.3.22 עולה כי לאורך כל התקופה ערך הנאשם שינוי חיובי;</w:t>
      </w:r>
    </w:p>
    <w:p w14:paraId="2050AA45" w14:textId="77777777" w:rsidR="00226775" w:rsidRDefault="00226775" w:rsidP="00226775">
      <w:pPr>
        <w:spacing w:before="120" w:line="360" w:lineRule="auto"/>
        <w:ind w:left="357"/>
        <w:jc w:val="both"/>
        <w:rPr>
          <w:rFonts w:ascii="David" w:hAnsi="David"/>
          <w:rtl/>
        </w:rPr>
      </w:pPr>
      <w:r>
        <w:rPr>
          <w:rFonts w:ascii="David" w:hAnsi="David"/>
          <w:rtl/>
        </w:rPr>
        <w:t xml:space="preserve">(4) </w:t>
      </w:r>
      <w:r>
        <w:rPr>
          <w:rFonts w:ascii="David" w:hAnsi="David"/>
          <w:b/>
          <w:bCs/>
          <w:rtl/>
        </w:rPr>
        <w:t xml:space="preserve">מאמצי הנאשם לחזור למוטב וחזרתו למוטב </w:t>
      </w:r>
      <w:r>
        <w:rPr>
          <w:rFonts w:ascii="David" w:hAnsi="David"/>
          <w:rtl/>
        </w:rPr>
        <w:t xml:space="preserve">- שירות המבחן התרשם ממאמצי הנאשם ללקיחת אחריות ויוזמה בקשר הטיפולי. מהתסקירים עולה כי בהיותו כבן 16 התנסה לראשונה בשימוש בקנבוס יחד עם חבריו. לטענת הנאשם עישון הקנבוס היווה עבורו מרפא והקלה בתחושות הכאב הקשות בשל בעיה רפואית ממנה סובל לאורך השנים. לא חווה עצמו כמכור לסמים ולא חווה תלות פסיכולוגית או גופנית בסם. הנאשם הפסיק לעשן סמוך להודייתו והרשעתו, נטל משככי כאבים בהתאם למרשם גורמי הרפואה אשר היוו תחליף לעישון קנבוס. במקביל ביצע הליך קבלת מרשם לקנבוס רפואי, ולימים אף קיבל רישיון. </w:t>
      </w:r>
    </w:p>
    <w:p w14:paraId="51A0DF59" w14:textId="77777777" w:rsidR="00226775" w:rsidRDefault="00226775" w:rsidP="00226775">
      <w:pPr>
        <w:spacing w:before="120" w:line="360" w:lineRule="auto"/>
        <w:ind w:left="357"/>
        <w:jc w:val="both"/>
        <w:rPr>
          <w:rFonts w:ascii="David" w:hAnsi="David"/>
          <w:rtl/>
        </w:rPr>
      </w:pPr>
      <w:r>
        <w:rPr>
          <w:rFonts w:ascii="David" w:hAnsi="David"/>
          <w:rtl/>
        </w:rPr>
        <w:t xml:space="preserve">שירות המבחן התרשם מהמאמצים שערך הנאשם, תוך ניהול מאבק פנימי בין דפוסי החשיבה וההתנהגות שנטמעו בו נוכח נסיבות חייו הקשות והמורכבות, לבין הרצון להשתלב בעולם הנורמטיבי ולהפגין יכולת לנהל קשר עם גורמי טיפול, סמכות וחוק. שירות המבחן התרשם כי כיום הנאשם מנהל אורח חיים שונה, ברצונו להיות הורה המהווה מודל לחיקוי מיטבי ולהערכת שירות המבחן הציפיה לאבהות מהווה עבור הנאשם מניע להתנהגות חיובית. להתרשמות שירות המבחן הנאשם נמצא בשלב מתמשך של גיבוש זהותו ובנייתו העצמית, שלב העשוי להוות קרקע פוריה לשינוי חיובי, אולם מלווה בגורמי לחץ רבים. כפי שעלה מהתסקיר מיום 12.12.21 גורמי הטיפול ביחידה להתמכרויות התרשמו כי הגם שבחודשיים הראשונים שיתוף הפעולה היה מצומצם – הנאשם החל להגיע למפגשים באופן קבוע, לשתף בכנות ובפתיחות, נוצרו קשרי אמון בין הנאשם לעו"ס המטפלת, אמון שסייע ומסייע לנאשם לשתף ולערוך התבוננות רחבה ומעמיקה על אודות התנהלותו. משכך, הדיון נדחה לקבלת תסקיר נוסף. מהתסקיר מיום 8.3.22 עלה כי חרף הקושי שנוצר במהלך תקופת הדחיה לשמור על רצף טיפולי בשל בידודים תכופים של ילדי העו"ס ומחלתה - הנאשם התנהג באחריות כלפי התהליך, יזם שיחות טלפוניות והיה זמין להמשך הטיפול והפגישות. התרשמות גורמי הטיפול היא כי הנאשם עובר שינוי חיובי מבחינת אופן התייחסותו לטיפול, בולטת הגעתו למפגשים ורצונו להיות בטיפול. הנאשם המשיך למסור בדיקות שתן נקיות מסמים פרט לקנבוס, בו משתמש בהתאם לרישיון הרפואי. </w:t>
      </w:r>
    </w:p>
    <w:p w14:paraId="23A541B6" w14:textId="77777777" w:rsidR="00226775" w:rsidRDefault="00226775" w:rsidP="00226775">
      <w:pPr>
        <w:spacing w:before="120" w:line="360" w:lineRule="auto"/>
        <w:ind w:left="357"/>
        <w:jc w:val="both"/>
        <w:rPr>
          <w:rFonts w:ascii="David" w:hAnsi="David"/>
          <w:rtl/>
        </w:rPr>
      </w:pPr>
      <w:r>
        <w:rPr>
          <w:rFonts w:ascii="David" w:hAnsi="David"/>
          <w:rtl/>
        </w:rPr>
        <w:t>שירות המבחן התרשם כי חרף נסיבות חייו המורכבות ומנגנוני ההגנה שפיתח לאורך חייו כדי לשרוד ברמה האישית והחברתית - הנאשם עבר הליך שינוי משמעותי, עורך מאמצים ניכרים להתמיד בטיפול ובחלוף למעלה משנה בה נמצא הנאשם בטיפול ניתן לראות שינוי בהתנהלותו כלפי שירות המבחן וגורמי הטיפול. להערכת שירות המבחן שינוי זה מצביע על שינוי חשיבה שהתרחש אצל הנאשם, על הבנת הצורך לשתף פעולה עם המוסדות השונים וגורמי הטיפול השונים. להערכת שירות המבחן קיימת נזקקות טיפולית וצורך להמשיך בהליך הטיפולי</w:t>
      </w:r>
      <w:r>
        <w:rPr>
          <w:rFonts w:ascii="David" w:hAnsi="David" w:hint="cs"/>
          <w:rtl/>
        </w:rPr>
        <w:t>.</w:t>
      </w:r>
    </w:p>
    <w:p w14:paraId="15D69792" w14:textId="77777777" w:rsidR="00226775" w:rsidRDefault="00226775" w:rsidP="00226775">
      <w:pPr>
        <w:spacing w:before="120" w:line="360" w:lineRule="auto"/>
        <w:ind w:left="357"/>
        <w:jc w:val="both"/>
        <w:rPr>
          <w:rFonts w:ascii="David" w:hAnsi="David"/>
          <w:rtl/>
        </w:rPr>
      </w:pPr>
      <w:r>
        <w:rPr>
          <w:rFonts w:ascii="David" w:hAnsi="David" w:hint="cs"/>
          <w:rtl/>
        </w:rPr>
        <w:t>זאת ועוד, במסגרת מאמצי הנאשם לחזור למוטב ביקש הנאשם לעשות "ניקוי שולחן" ולשלם את כל החובות שצבר מגיל 14. כך ובהתאם לכך הגיע הנאשם להסדר פריסת תשלום כל חובותיו ועליו לשלם מדי חודש סכומי כסף לא מבוטלים</w:t>
      </w:r>
      <w:r>
        <w:rPr>
          <w:rFonts w:ascii="David" w:hAnsi="David"/>
          <w:rtl/>
        </w:rPr>
        <w:t>;</w:t>
      </w:r>
    </w:p>
    <w:p w14:paraId="64817535" w14:textId="77777777" w:rsidR="00226775" w:rsidRDefault="00226775" w:rsidP="00226775">
      <w:pPr>
        <w:spacing w:before="120" w:line="360" w:lineRule="auto"/>
        <w:ind w:left="357"/>
        <w:jc w:val="both"/>
        <w:rPr>
          <w:rFonts w:ascii="David" w:hAnsi="David"/>
          <w:rtl/>
        </w:rPr>
      </w:pPr>
      <w:r>
        <w:rPr>
          <w:rFonts w:ascii="David" w:hAnsi="David"/>
          <w:rtl/>
        </w:rPr>
        <w:t>(5)</w:t>
      </w:r>
      <w:r>
        <w:rPr>
          <w:rFonts w:ascii="David" w:hAnsi="David"/>
          <w:rtl/>
        </w:rPr>
        <w:tab/>
        <w:t>מאמצי הנאשם ל</w:t>
      </w:r>
      <w:r>
        <w:rPr>
          <w:rFonts w:ascii="David" w:hAnsi="David"/>
          <w:b/>
          <w:bCs/>
          <w:rtl/>
        </w:rPr>
        <w:t>תיקון תוצאות העבירה</w:t>
      </w:r>
      <w:r>
        <w:rPr>
          <w:rFonts w:ascii="David" w:hAnsi="David"/>
          <w:rtl/>
        </w:rPr>
        <w:t xml:space="preserve"> - הנאשם ערך וממשיך לערוך מאמצים לשינוי דרכיו. להתרשמות שירות המבחן הנאשם מחויב ומגויס להמשך ההליך הטיפולי, תוך שהנאשם ציין רצונו ומחויבותו להמשיך בקשר ולבצע צו של"צ, חרף מוגבלותו בשל התאונה, בעטיה כיום לא עובד;</w:t>
      </w:r>
    </w:p>
    <w:p w14:paraId="557A62CC" w14:textId="77777777" w:rsidR="00226775" w:rsidRDefault="00226775" w:rsidP="00226775">
      <w:pPr>
        <w:spacing w:before="120" w:line="360" w:lineRule="auto"/>
        <w:ind w:left="357"/>
        <w:jc w:val="both"/>
        <w:rPr>
          <w:rFonts w:ascii="David" w:hAnsi="David"/>
          <w:rtl/>
        </w:rPr>
      </w:pPr>
      <w:r>
        <w:rPr>
          <w:rFonts w:ascii="David" w:hAnsi="David"/>
          <w:rtl/>
        </w:rPr>
        <w:t>(6)</w:t>
      </w:r>
      <w:r>
        <w:rPr>
          <w:rFonts w:ascii="David" w:hAnsi="David"/>
          <w:rtl/>
        </w:rPr>
        <w:tab/>
      </w:r>
      <w:r>
        <w:rPr>
          <w:rFonts w:ascii="David" w:hAnsi="David"/>
          <w:b/>
          <w:bCs/>
          <w:rtl/>
        </w:rPr>
        <w:t>חלפו כ-3 שנים מביצוע העבירה</w:t>
      </w:r>
      <w:r>
        <w:rPr>
          <w:rFonts w:ascii="David" w:hAnsi="David"/>
          <w:rtl/>
        </w:rPr>
        <w:t>, במהלכן עבר הנאשם הליך טיפול משמעותי, כמפורט לעיל</w:t>
      </w:r>
      <w:r>
        <w:rPr>
          <w:rFonts w:ascii="David" w:hAnsi="David" w:hint="cs"/>
          <w:rtl/>
        </w:rPr>
        <w:t xml:space="preserve"> ולא נפתחו לחובתו תיקים חדשים</w:t>
      </w:r>
      <w:r>
        <w:rPr>
          <w:rFonts w:ascii="David" w:hAnsi="David"/>
          <w:rtl/>
        </w:rPr>
        <w:t>;</w:t>
      </w:r>
    </w:p>
    <w:p w14:paraId="532CFF34" w14:textId="77777777" w:rsidR="00226775" w:rsidRDefault="00226775" w:rsidP="00226775">
      <w:pPr>
        <w:spacing w:before="120" w:line="360" w:lineRule="auto"/>
        <w:ind w:left="357"/>
        <w:jc w:val="both"/>
        <w:rPr>
          <w:rFonts w:ascii="David" w:hAnsi="David"/>
          <w:rtl/>
        </w:rPr>
      </w:pPr>
      <w:r>
        <w:rPr>
          <w:rFonts w:ascii="David" w:hAnsi="David"/>
          <w:rtl/>
        </w:rPr>
        <w:t>(7)</w:t>
      </w:r>
      <w:r>
        <w:rPr>
          <w:rFonts w:ascii="David" w:hAnsi="David"/>
          <w:rtl/>
        </w:rPr>
        <w:tab/>
        <w:t xml:space="preserve">לחובת הנאשם </w:t>
      </w:r>
      <w:r>
        <w:rPr>
          <w:rFonts w:ascii="David" w:hAnsi="David"/>
          <w:b/>
          <w:bCs/>
          <w:rtl/>
        </w:rPr>
        <w:t>עבר פלילי</w:t>
      </w:r>
      <w:r>
        <w:rPr>
          <w:rFonts w:ascii="David" w:hAnsi="David"/>
          <w:rtl/>
        </w:rPr>
        <w:t xml:space="preserve">, הכולל 5 רישומים קודמים, בעבירות הפרת הוראה חוקית, רכוש, אלימות וסמים. ביום 9.11.14, בהיותו כבן 15 וחצי, הסתיים ההליך הראשון בעניינו של הנאשם בצו דרכי טיפול ללא הרשעה (בגין צירוף 12 תיקים בעבירות רכוש, אלימות והפרת הוראה חוקית). פרט רישום זה התיישן. ביום 8.6.15, בהיותו בן פחות מ-17, הסתיים הליך נוסף בצו דרכי טיפול ללא הרשעה (בגין גניבת אופניים). גם פרט רישום זה התיישן. ב-19.7.17 נידון הנאשם ל-10 חודשי מאסר בפועל, למאסרים מותנים ופיצוי (בגין עבירות אלימות). ב-11.12.18 נידון הנאשם (בגין עבירות סמים) ל-14 חודשי מאסר בפועל, קנס, פסילת רישיון בפועל ועל תנאי וכן ל-12 חודשי מאסר מותנה על כל עבירה לפי </w:t>
      </w:r>
      <w:r>
        <w:rPr>
          <w:rFonts w:ascii="Miriam" w:hAnsi="Miriam" w:cs="Miriam"/>
          <w:b/>
          <w:bCs/>
          <w:sz w:val="22"/>
          <w:szCs w:val="22"/>
          <w:rtl/>
        </w:rPr>
        <w:t>פקודת הסמים</w:t>
      </w:r>
      <w:r>
        <w:rPr>
          <w:rFonts w:ascii="David" w:hAnsi="David"/>
          <w:sz w:val="22"/>
          <w:szCs w:val="22"/>
          <w:rtl/>
        </w:rPr>
        <w:t xml:space="preserve"> </w:t>
      </w:r>
      <w:r>
        <w:rPr>
          <w:rFonts w:ascii="David" w:hAnsi="David"/>
          <w:rtl/>
        </w:rPr>
        <w:t xml:space="preserve">מסוג פשע, וכן ל-6 חודשי מאסר מותנה על כל עבירה על </w:t>
      </w:r>
      <w:r>
        <w:rPr>
          <w:rFonts w:ascii="Miriam" w:hAnsi="Miriam" w:cs="Miriam"/>
          <w:b/>
          <w:bCs/>
          <w:sz w:val="22"/>
          <w:szCs w:val="22"/>
          <w:rtl/>
        </w:rPr>
        <w:t>פקודת הסמים</w:t>
      </w:r>
      <w:r>
        <w:rPr>
          <w:rFonts w:ascii="David" w:hAnsi="David"/>
          <w:rtl/>
        </w:rPr>
        <w:t xml:space="preserve"> מסוג עוון (להלן: </w:t>
      </w:r>
      <w:r>
        <w:rPr>
          <w:rFonts w:ascii="David" w:hAnsi="David"/>
          <w:b/>
          <w:bCs/>
          <w:rtl/>
        </w:rPr>
        <w:t>המאסר המותנה הראשון</w:t>
      </w:r>
      <w:r>
        <w:rPr>
          <w:rFonts w:ascii="David" w:hAnsi="David"/>
          <w:rtl/>
        </w:rPr>
        <w:t xml:space="preserve">). ב-23.12.18 הושתו על הנאשם (בגין הרשעתו בעבירות סמים ואלימות) 8 חודשי מאסר מותנה על כל עבירת אלימות, קנס, התחייבות, פיצוי ו-4 חודשי מאסר מותנה על כל עבירה על </w:t>
      </w:r>
      <w:r>
        <w:rPr>
          <w:rFonts w:ascii="Miriam" w:hAnsi="Miriam" w:cs="Miriam"/>
          <w:b/>
          <w:bCs/>
          <w:sz w:val="22"/>
          <w:szCs w:val="22"/>
          <w:rtl/>
        </w:rPr>
        <w:t>פקודת הסמים</w:t>
      </w:r>
      <w:r>
        <w:rPr>
          <w:rFonts w:ascii="David" w:hAnsi="David"/>
          <w:rtl/>
        </w:rPr>
        <w:t xml:space="preserve"> (להלן: </w:t>
      </w:r>
      <w:r>
        <w:rPr>
          <w:rFonts w:ascii="David" w:hAnsi="David"/>
          <w:b/>
          <w:bCs/>
          <w:rtl/>
        </w:rPr>
        <w:t>המאסר המותנה השני</w:t>
      </w:r>
      <w:r>
        <w:rPr>
          <w:rFonts w:ascii="David" w:hAnsi="David"/>
          <w:rtl/>
        </w:rPr>
        <w:t xml:space="preserve">). </w:t>
      </w:r>
    </w:p>
    <w:p w14:paraId="00475898" w14:textId="77777777" w:rsidR="00226775" w:rsidRDefault="00226775" w:rsidP="00226775">
      <w:pPr>
        <w:pStyle w:val="a9"/>
        <w:numPr>
          <w:ilvl w:val="0"/>
          <w:numId w:val="1"/>
        </w:numPr>
        <w:spacing w:before="240" w:line="360" w:lineRule="auto"/>
        <w:ind w:left="357" w:hanging="357"/>
        <w:contextualSpacing w:val="0"/>
        <w:jc w:val="both"/>
        <w:rPr>
          <w:rFonts w:ascii="David" w:hAnsi="David"/>
          <w:rtl/>
        </w:rPr>
      </w:pPr>
      <w:r>
        <w:rPr>
          <w:rFonts w:ascii="David" w:hAnsi="David"/>
          <w:rtl/>
        </w:rPr>
        <w:t xml:space="preserve">עולה מן המקובץ, כי הנאשם עונה על התנאים שנקבעו </w:t>
      </w:r>
      <w:hyperlink r:id="rId65" w:history="1">
        <w:r w:rsidR="008D6EE8" w:rsidRPr="008D6EE8">
          <w:rPr>
            <w:rStyle w:val="Hyperlink"/>
            <w:rFonts w:ascii="David" w:hAnsi="David"/>
            <w:rtl/>
          </w:rPr>
          <w:t>בסעיפים 56</w:t>
        </w:r>
      </w:hyperlink>
      <w:r>
        <w:rPr>
          <w:rFonts w:ascii="David" w:hAnsi="David"/>
          <w:rtl/>
        </w:rPr>
        <w:t xml:space="preserve"> ו-</w:t>
      </w:r>
      <w:hyperlink r:id="rId66" w:history="1">
        <w:r w:rsidR="008D6EE8" w:rsidRPr="008D6EE8">
          <w:rPr>
            <w:rStyle w:val="Hyperlink"/>
            <w:rFonts w:ascii="David" w:hAnsi="David"/>
            <w:rtl/>
          </w:rPr>
          <w:t>85(א)</w:t>
        </w:r>
      </w:hyperlink>
      <w:r>
        <w:rPr>
          <w:rFonts w:ascii="David" w:hAnsi="David"/>
          <w:rtl/>
        </w:rPr>
        <w:t xml:space="preserve"> ל</w:t>
      </w:r>
      <w:r>
        <w:rPr>
          <w:rFonts w:ascii="Miriam" w:hAnsi="Miriam" w:cs="Miriam"/>
          <w:b/>
          <w:bCs/>
          <w:sz w:val="22"/>
          <w:szCs w:val="22"/>
          <w:rtl/>
        </w:rPr>
        <w:t>-</w:t>
      </w:r>
      <w:hyperlink r:id="rId67" w:history="1">
        <w:r w:rsidR="00791277" w:rsidRPr="00791277">
          <w:rPr>
            <w:rFonts w:ascii="Miriam" w:hAnsi="Miriam" w:cs="Miriam"/>
            <w:b/>
            <w:bCs/>
            <w:color w:val="0000FF"/>
            <w:sz w:val="22"/>
            <w:szCs w:val="22"/>
            <w:u w:val="single"/>
            <w:rtl/>
          </w:rPr>
          <w:t>חוק העונשין</w:t>
        </w:r>
      </w:hyperlink>
      <w:r>
        <w:rPr>
          <w:rFonts w:ascii="David" w:hAnsi="David"/>
          <w:rtl/>
        </w:rPr>
        <w:t>, קרי מדובר במי שעבר "</w:t>
      </w:r>
      <w:r>
        <w:rPr>
          <w:rFonts w:ascii="David" w:hAnsi="David"/>
          <w:b/>
          <w:bCs/>
          <w:rtl/>
        </w:rPr>
        <w:t>טיפול למשתמשים בסמים</w:t>
      </w:r>
      <w:r>
        <w:rPr>
          <w:rFonts w:ascii="David" w:hAnsi="David"/>
          <w:rtl/>
        </w:rPr>
        <w:t xml:space="preserve">" ושוכנעתי </w:t>
      </w:r>
      <w:r>
        <w:rPr>
          <w:rtl/>
        </w:rPr>
        <w:t>"...</w:t>
      </w:r>
      <w:r>
        <w:rPr>
          <w:b/>
          <w:bCs/>
          <w:rtl/>
        </w:rPr>
        <w:t>כי לא יהיה זה צודק להפעיל את המאסר על תנאי משום שיש סיכוי לשיקומו</w:t>
      </w:r>
      <w:r>
        <w:rPr>
          <w:rtl/>
        </w:rPr>
        <w:t>..." של הנאשם, "...</w:t>
      </w:r>
      <w:r>
        <w:rPr>
          <w:b/>
          <w:bCs/>
          <w:rtl/>
        </w:rPr>
        <w:t>כי הפעלת המאסר על תנאי תסב לו נזק חמור, וכי אין סיכון לשלום הציבור בשל הארכת התנאי</w:t>
      </w:r>
      <w:r>
        <w:rPr>
          <w:rtl/>
        </w:rPr>
        <w:t xml:space="preserve">". אמנם מחד גיסא בהפעלת מאסרים מותנים יש משמעות בבחינת הצורך בהרתעה אישית ובהרתעת הרבים, בהתאם </w:t>
      </w:r>
      <w:hyperlink r:id="rId68" w:history="1">
        <w:r w:rsidR="008D6EE8" w:rsidRPr="008D6EE8">
          <w:rPr>
            <w:rStyle w:val="Hyperlink"/>
            <w:rtl/>
          </w:rPr>
          <w:t>לסעיפים 40ו</w:t>
        </w:r>
      </w:hyperlink>
      <w:r>
        <w:rPr>
          <w:rtl/>
        </w:rPr>
        <w:t xml:space="preserve"> ו-</w:t>
      </w:r>
      <w:hyperlink r:id="rId69" w:history="1">
        <w:r w:rsidR="008D6EE8" w:rsidRPr="008D6EE8">
          <w:rPr>
            <w:rStyle w:val="Hyperlink"/>
            <w:rtl/>
          </w:rPr>
          <w:t>40ז</w:t>
        </w:r>
      </w:hyperlink>
      <w:r>
        <w:rPr>
          <w:rtl/>
        </w:rPr>
        <w:t xml:space="preserve"> ל</w:t>
      </w:r>
      <w:r>
        <w:rPr>
          <w:rFonts w:ascii="Miriam" w:hAnsi="Miriam" w:cs="Miriam"/>
          <w:b/>
          <w:bCs/>
          <w:sz w:val="18"/>
          <w:szCs w:val="22"/>
          <w:rtl/>
        </w:rPr>
        <w:t>-</w:t>
      </w:r>
      <w:hyperlink r:id="rId70" w:history="1">
        <w:r w:rsidR="00791277" w:rsidRPr="00791277">
          <w:rPr>
            <w:rFonts w:ascii="Miriam" w:hAnsi="Miriam" w:cs="Miriam"/>
            <w:b/>
            <w:bCs/>
            <w:color w:val="0000FF"/>
            <w:sz w:val="18"/>
            <w:szCs w:val="22"/>
            <w:u w:val="single"/>
            <w:rtl/>
          </w:rPr>
          <w:t>חוק העונשין</w:t>
        </w:r>
      </w:hyperlink>
      <w:r>
        <w:rPr>
          <w:rtl/>
        </w:rPr>
        <w:t xml:space="preserve">, ובהתאם לכלל לפיו מאסר מותנה יופעל שעה שהנאשם עובר בתקופת התנאי את העבירה שנקבע בגזר הדין בו הושת התנאי ומורשע בה [ראו </w:t>
      </w:r>
      <w:hyperlink r:id="rId71" w:history="1">
        <w:r w:rsidR="00791277" w:rsidRPr="00791277">
          <w:rPr>
            <w:rFonts w:ascii="Arimo" w:hAnsi="Arimo" w:hint="eastAsia"/>
            <w:color w:val="0000FF"/>
            <w:sz w:val="25"/>
            <w:u w:val="single"/>
            <w:rtl/>
          </w:rPr>
          <w:t>ע</w:t>
        </w:r>
        <w:r w:rsidR="00791277" w:rsidRPr="00791277">
          <w:rPr>
            <w:rFonts w:ascii="Arimo" w:hAnsi="Arimo"/>
            <w:color w:val="0000FF"/>
            <w:sz w:val="25"/>
            <w:u w:val="single"/>
            <w:rtl/>
          </w:rPr>
          <w:t>"</w:t>
        </w:r>
        <w:r w:rsidR="00791277" w:rsidRPr="00791277">
          <w:rPr>
            <w:rFonts w:ascii="Arimo" w:hAnsi="Arimo" w:hint="eastAsia"/>
            <w:color w:val="0000FF"/>
            <w:sz w:val="25"/>
            <w:u w:val="single"/>
            <w:rtl/>
          </w:rPr>
          <w:t>פ</w:t>
        </w:r>
        <w:r w:rsidR="00791277" w:rsidRPr="00791277">
          <w:rPr>
            <w:rFonts w:ascii="Arimo" w:hAnsi="Arimo"/>
            <w:color w:val="0000FF"/>
            <w:sz w:val="25"/>
            <w:u w:val="single"/>
            <w:rtl/>
          </w:rPr>
          <w:t xml:space="preserve"> 49/80</w:t>
        </w:r>
      </w:hyperlink>
      <w:r>
        <w:rPr>
          <w:rFonts w:ascii="Arimo" w:hAnsi="Arimo"/>
          <w:sz w:val="25"/>
          <w:rtl/>
        </w:rPr>
        <w:t xml:space="preserve"> </w:t>
      </w:r>
      <w:r>
        <w:rPr>
          <w:rFonts w:ascii="Miriam" w:hAnsi="Miriam" w:cs="Miriam"/>
          <w:b/>
          <w:bCs/>
          <w:sz w:val="23"/>
          <w:szCs w:val="22"/>
          <w:rtl/>
        </w:rPr>
        <w:t>מסילתי נ' מדינת ישראל</w:t>
      </w:r>
      <w:r>
        <w:rPr>
          <w:rFonts w:ascii="Arimo" w:hAnsi="Arimo"/>
          <w:sz w:val="25"/>
          <w:rtl/>
        </w:rPr>
        <w:t xml:space="preserve">, פ"ד לד(3) 808 (1980); ‏‏ע"פ </w:t>
      </w:r>
      <w:hyperlink r:id="rId72" w:history="1">
        <w:r w:rsidR="00F60D96" w:rsidRPr="00F60D96">
          <w:rPr>
            <w:rFonts w:ascii="Arimo" w:hAnsi="Arimo"/>
            <w:color w:val="0000FF"/>
            <w:sz w:val="25"/>
            <w:u w:val="single"/>
            <w:rtl/>
          </w:rPr>
          <w:t xml:space="preserve">4517/04 </w:t>
        </w:r>
      </w:hyperlink>
      <w:r>
        <w:rPr>
          <w:rFonts w:ascii="Arimo" w:hAnsi="Arimo"/>
          <w:sz w:val="25"/>
          <w:rtl/>
        </w:rPr>
        <w:t xml:space="preserve"> </w:t>
      </w:r>
      <w:r>
        <w:rPr>
          <w:rFonts w:ascii="Miriam" w:hAnsi="Miriam" w:cs="Miriam"/>
          <w:b/>
          <w:bCs/>
          <w:sz w:val="23"/>
          <w:szCs w:val="22"/>
          <w:rtl/>
        </w:rPr>
        <w:t>מסראווה נ' מדינת ישראל</w:t>
      </w:r>
      <w:r>
        <w:rPr>
          <w:rFonts w:ascii="Arimo" w:hAnsi="Arimo"/>
          <w:sz w:val="25"/>
          <w:rtl/>
        </w:rPr>
        <w:t xml:space="preserve">, פ"ד נט(6) 119 (2005]. </w:t>
      </w:r>
    </w:p>
    <w:p w14:paraId="4C1E6582" w14:textId="77777777" w:rsidR="00226775" w:rsidRDefault="00226775" w:rsidP="00226775">
      <w:pPr>
        <w:pStyle w:val="a9"/>
        <w:spacing w:before="240" w:line="360" w:lineRule="auto"/>
        <w:ind w:left="357"/>
        <w:contextualSpacing w:val="0"/>
        <w:jc w:val="both"/>
        <w:rPr>
          <w:rFonts w:ascii="David" w:hAnsi="David"/>
        </w:rPr>
      </w:pPr>
      <w:r>
        <w:rPr>
          <w:rFonts w:ascii="David" w:hAnsi="David"/>
          <w:sz w:val="24"/>
          <w:rtl/>
        </w:rPr>
        <w:t xml:space="preserve">אולם, מאידך גיסא, הימנעות מהפעלת המאסרים המותנים וחיזוק ידי הנאשם נוכח ההליך הטיפולי והשינוי המשמעותי שעבר, יש בהם כדי לשרת לא רק את טובתו האישית של הנאשם, אלא גם את האינטרס הציבורי במספר דרכים. כפי שתואר לעיל, הפעלת המאסרים המותנים, ולו בדרך של עבודות שירות, עלולה להסב לנאשם נזק חמור, שכן משמעות הדבר תהיה גדיעת הליך טיפולי מוצלח בעיצומו ופגיעה ביכולת הנאשם להתפרנס, לאחר שיחלים מהפציעה שעבר. </w:t>
      </w:r>
      <w:r>
        <w:rPr>
          <w:rFonts w:ascii="David" w:hAnsi="David"/>
          <w:rtl/>
        </w:rPr>
        <w:t>כאן המקום להביא את דברי זוגתו של הנאשם "</w:t>
      </w:r>
      <w:r>
        <w:rPr>
          <w:rFonts w:ascii="David" w:hAnsi="David"/>
          <w:b/>
          <w:bCs/>
          <w:rtl/>
        </w:rPr>
        <w:t>הנאשם כאן רוצה לעשות שינוי בחיים שלו וכרגע אני בחודש שביעי. להכניס אותו לבית הסוהר ולהרוס לו את כל מה שהוא בנה במעט החודשים שהוא נתן לעצמו הזדמנות... הבנאדם השתנה. השינוי משפיע על הנאשם לטובה. הוא נתן לעצמו הזדמנות</w:t>
      </w:r>
      <w:r>
        <w:rPr>
          <w:rFonts w:ascii="David" w:hAnsi="David"/>
          <w:rtl/>
        </w:rPr>
        <w:t>..."</w:t>
      </w:r>
      <w:r>
        <w:rPr>
          <w:rFonts w:ascii="David" w:hAnsi="David"/>
          <w:sz w:val="24"/>
          <w:rtl/>
        </w:rPr>
        <w:t xml:space="preserve">. במצב דברים זה, בהינתן נסיבותיו של הנאשם שפורטו לעיל בהרחבה, בהינתן הירתמות הנאשם להליך הטיפולי ונזקקותו להמשך הטיפול והשיקום, לא יהיה צודק להפעיל את המאסרים המותנים משום הסיכוי לשיקום הנאשם. על כל אלו יש להוסיף כי בהינתן נסיבות ביצוע העבירה, כמו גם נסיבותיו האישיות של הנאשם, הארכת המאסרים המותנים לא רק שלא תסכן את הציבור, אלא אף יש בה כדי להתיישב עם האינטרס הציבורי. </w:t>
      </w:r>
    </w:p>
    <w:p w14:paraId="4528FF19" w14:textId="77777777" w:rsidR="00226775" w:rsidRDefault="00226775" w:rsidP="00226775">
      <w:pPr>
        <w:pStyle w:val="a9"/>
        <w:spacing w:before="120" w:line="360" w:lineRule="auto"/>
        <w:ind w:left="357"/>
        <w:contextualSpacing w:val="0"/>
        <w:jc w:val="both"/>
        <w:rPr>
          <w:rFonts w:ascii="David" w:hAnsi="David"/>
          <w:sz w:val="24"/>
          <w:rtl/>
        </w:rPr>
      </w:pPr>
      <w:r>
        <w:rPr>
          <w:rFonts w:ascii="David" w:hAnsi="David"/>
          <w:rtl/>
        </w:rPr>
        <w:t>לכך יש גם להוסיף כי בתסקירו מיום 8.3.22 שב שירות המבחן על התרשמותו מהשינוי החיובי שערך הנאשם, המאמץ, לקיחת האחריות, היוזמה בקשר הטיפולי, השינוי המשמעותי שעבר במהלך כל תקופת הטיפול מבחינת הקשר עם שירות המבחן והתנהלותו מול גורמי הטיפול - שינוי שיש בו להצביע על שינוי חשיבה, על הבנת הצורך בשיתוף פעולה עם גורמי הטיפול. להתרשמות שירות המבחן קיימת נזקקות טיפולית ורצון להמשיך בטיפול. משכך,</w:t>
      </w:r>
      <w:r>
        <w:rPr>
          <w:rFonts w:ascii="David" w:hAnsi="David"/>
          <w:b/>
          <w:bCs/>
          <w:rtl/>
        </w:rPr>
        <w:t xml:space="preserve"> המליץ שירות המבחן על הארכת המאסרים המותנים, 140 שעות של"צ וצו מבחן לשנה</w:t>
      </w:r>
      <w:r>
        <w:rPr>
          <w:rFonts w:ascii="David" w:hAnsi="David"/>
          <w:rtl/>
        </w:rPr>
        <w:t>.</w:t>
      </w:r>
    </w:p>
    <w:p w14:paraId="50CF4643" w14:textId="77777777" w:rsidR="00226775" w:rsidRDefault="00226775" w:rsidP="00226775">
      <w:pPr>
        <w:pStyle w:val="a9"/>
        <w:spacing w:before="120" w:line="360" w:lineRule="auto"/>
        <w:ind w:left="357"/>
        <w:contextualSpacing w:val="0"/>
        <w:jc w:val="both"/>
        <w:rPr>
          <w:rFonts w:ascii="David" w:hAnsi="David"/>
          <w:rtl/>
        </w:rPr>
      </w:pPr>
      <w:r>
        <w:rPr>
          <w:rFonts w:ascii="David" w:hAnsi="David"/>
          <w:sz w:val="24"/>
          <w:rtl/>
        </w:rPr>
        <w:t>אשר על כן, אין לי אלא להביא קביעת כב' השופטת פרוקצ'יה, בקבלה את הערעור ב-</w:t>
      </w:r>
      <w:r>
        <w:rPr>
          <w:rFonts w:ascii="Miriam" w:hAnsi="Miriam" w:cs="Miriam"/>
          <w:b/>
          <w:bCs/>
          <w:sz w:val="22"/>
          <w:szCs w:val="22"/>
          <w:rtl/>
        </w:rPr>
        <w:t>פסק דין חביב</w:t>
      </w:r>
      <w:r>
        <w:rPr>
          <w:rFonts w:ascii="David" w:hAnsi="David"/>
          <w:sz w:val="24"/>
          <w:rtl/>
        </w:rPr>
        <w:t>, במקרה חמור עשרות מונים מזה שבפני, כי במסגרת שיקולי הענישה יש ליתן להישג השיקומי של המערער משקל נכבד (ההדגשות בקו מוטה - במקור, ההדגשות בקו תחתון - לא במקור - זד"ל)</w:t>
      </w:r>
      <w:r>
        <w:rPr>
          <w:rFonts w:ascii="David" w:hAnsi="David"/>
          <w:rtl/>
        </w:rPr>
        <w:t xml:space="preserve"> -</w:t>
      </w:r>
    </w:p>
    <w:p w14:paraId="3AC74C8F" w14:textId="77777777" w:rsidR="00226775" w:rsidRDefault="00226775" w:rsidP="00226775">
      <w:pPr>
        <w:pStyle w:val="a9"/>
        <w:spacing w:before="240" w:line="360" w:lineRule="auto"/>
        <w:ind w:left="1440" w:right="709"/>
        <w:contextualSpacing w:val="0"/>
        <w:jc w:val="both"/>
        <w:rPr>
          <w:rFonts w:ascii="David" w:hAnsi="David"/>
          <w:b/>
          <w:bCs/>
          <w:sz w:val="24"/>
        </w:rPr>
      </w:pPr>
      <w:r>
        <w:rPr>
          <w:rFonts w:ascii="David" w:hAnsi="David"/>
          <w:sz w:val="24"/>
          <w:rtl/>
        </w:rPr>
        <w:t>"</w:t>
      </w:r>
      <w:r>
        <w:rPr>
          <w:rFonts w:ascii="David" w:hAnsi="David"/>
          <w:b/>
          <w:bCs/>
          <w:sz w:val="24"/>
          <w:rtl/>
        </w:rPr>
        <w:t xml:space="preserve">וזאת מכמה בחינות: </w:t>
      </w:r>
      <w:r>
        <w:rPr>
          <w:rFonts w:ascii="David" w:hAnsi="David"/>
          <w:b/>
          <w:bCs/>
          <w:i/>
          <w:iCs/>
          <w:sz w:val="24"/>
          <w:rtl/>
        </w:rPr>
        <w:t>ראשית</w:t>
      </w:r>
      <w:r>
        <w:rPr>
          <w:rFonts w:ascii="David" w:hAnsi="David"/>
          <w:b/>
          <w:bCs/>
          <w:sz w:val="24"/>
          <w:rtl/>
        </w:rPr>
        <w:t xml:space="preserve">, </w:t>
      </w:r>
      <w:r>
        <w:rPr>
          <w:rFonts w:ascii="David" w:hAnsi="David"/>
          <w:b/>
          <w:bCs/>
          <w:sz w:val="24"/>
          <w:u w:val="single"/>
          <w:rtl/>
        </w:rPr>
        <w:t>מבחינת האינטרס הציבורי בהגנה על שלום הציבור ובטחונו, שיקומו של עבריין מו</w:t>
      </w:r>
      <w:r>
        <w:rPr>
          <w:rFonts w:ascii="David" w:hAnsi="David"/>
          <w:b/>
          <w:bCs/>
          <w:sz w:val="24"/>
          <w:u w:val="single"/>
          <w:rtl/>
        </w:rPr>
        <w:softHyphen/>
        <w:t>עד תורם</w:t>
      </w:r>
      <w:r>
        <w:rPr>
          <w:rFonts w:ascii="David" w:hAnsi="David"/>
          <w:b/>
          <w:bCs/>
          <w:sz w:val="24"/>
          <w:rtl/>
        </w:rPr>
        <w:t xml:space="preserve"> לקיומה של ציפייה כי לא יחזור לעולם הפשע. ציפייה זו </w:t>
      </w:r>
      <w:r>
        <w:rPr>
          <w:rFonts w:ascii="David" w:hAnsi="David"/>
          <w:b/>
          <w:bCs/>
          <w:sz w:val="24"/>
          <w:u w:val="single"/>
          <w:rtl/>
        </w:rPr>
        <w:t>מקדמת את טובת הציבור ומתיישבת עם אינטרס חברתי רחב</w:t>
      </w:r>
      <w:r>
        <w:rPr>
          <w:rFonts w:ascii="David" w:hAnsi="David"/>
          <w:b/>
          <w:bCs/>
          <w:sz w:val="24"/>
          <w:rtl/>
        </w:rPr>
        <w:t xml:space="preserve">. </w:t>
      </w:r>
      <w:r>
        <w:rPr>
          <w:rFonts w:ascii="David" w:hAnsi="David"/>
          <w:b/>
          <w:bCs/>
          <w:i/>
          <w:iCs/>
          <w:sz w:val="24"/>
          <w:rtl/>
        </w:rPr>
        <w:t>שנית</w:t>
      </w:r>
      <w:r>
        <w:rPr>
          <w:rFonts w:ascii="David" w:hAnsi="David"/>
          <w:b/>
          <w:bCs/>
          <w:sz w:val="24"/>
          <w:rtl/>
        </w:rPr>
        <w:t xml:space="preserve">, מבחינת העבריין, השיקום המוצלח פותח בפניו אופקי-חיים חדשים, ולראשונה </w:t>
      </w:r>
      <w:r>
        <w:rPr>
          <w:rFonts w:ascii="David" w:hAnsi="David"/>
          <w:b/>
          <w:bCs/>
          <w:sz w:val="24"/>
          <w:u w:val="single"/>
          <w:rtl/>
        </w:rPr>
        <w:t>עולה תקוה כי יוכל לפנות לדרך חיים בונה, שבה יוכל להשתלב באורח חיים יציב וקונסטרוקטיבי</w:t>
      </w:r>
      <w:r>
        <w:rPr>
          <w:rFonts w:ascii="David" w:hAnsi="David"/>
          <w:b/>
          <w:bCs/>
          <w:sz w:val="24"/>
          <w:rtl/>
        </w:rPr>
        <w:t xml:space="preserve">. </w:t>
      </w:r>
      <w:r>
        <w:rPr>
          <w:rFonts w:ascii="David" w:hAnsi="David"/>
          <w:b/>
          <w:bCs/>
          <w:i/>
          <w:iCs/>
          <w:sz w:val="24"/>
          <w:rtl/>
        </w:rPr>
        <w:t>ושלישית</w:t>
      </w:r>
      <w:r>
        <w:rPr>
          <w:rFonts w:ascii="David" w:hAnsi="David"/>
          <w:b/>
          <w:bCs/>
          <w:sz w:val="24"/>
          <w:rtl/>
        </w:rPr>
        <w:t xml:space="preserve">, מבחינת שירותי השיקום והרווחה, </w:t>
      </w:r>
      <w:r>
        <w:rPr>
          <w:rFonts w:ascii="David" w:hAnsi="David"/>
          <w:b/>
          <w:bCs/>
          <w:sz w:val="24"/>
          <w:u w:val="single"/>
          <w:rtl/>
        </w:rPr>
        <w:t>חשוב לטעת את התודעה כי יש טעם ותוחלת בהשקעת משאבים חומריים ואנושיים בפעולות שיקום עבריינים</w:t>
      </w:r>
      <w:r>
        <w:rPr>
          <w:rFonts w:ascii="David" w:hAnsi="David"/>
          <w:b/>
          <w:bCs/>
          <w:sz w:val="24"/>
          <w:rtl/>
        </w:rPr>
        <w:t>, וכי מקום שפעולות אלה מניבות פרי, ישנה התחשבות בכך בתהליך הענישה וננקטים אמצעים המאפשרים ככל הניתן את הותרת תוצאות השיקום על כנן, בלא העמדתן בסכנה</w:t>
      </w:r>
      <w:r>
        <w:rPr>
          <w:rFonts w:ascii="David" w:hAnsi="David"/>
          <w:sz w:val="24"/>
          <w:rtl/>
        </w:rPr>
        <w:t>...</w:t>
      </w:r>
    </w:p>
    <w:p w14:paraId="0AD0EA16" w14:textId="77777777" w:rsidR="00226775" w:rsidRDefault="00226775" w:rsidP="00226775">
      <w:pPr>
        <w:pStyle w:val="a9"/>
        <w:spacing w:before="120" w:line="360" w:lineRule="auto"/>
        <w:ind w:left="1440" w:right="709"/>
        <w:contextualSpacing w:val="0"/>
        <w:jc w:val="both"/>
        <w:rPr>
          <w:rFonts w:ascii="David" w:hAnsi="David"/>
          <w:b/>
          <w:bCs/>
          <w:sz w:val="24"/>
          <w:rtl/>
        </w:rPr>
      </w:pPr>
      <w:r>
        <w:rPr>
          <w:rFonts w:ascii="David" w:hAnsi="David"/>
          <w:b/>
          <w:bCs/>
          <w:sz w:val="24"/>
          <w:rtl/>
        </w:rPr>
        <w:t xml:space="preserve">בענייננו, </w:t>
      </w:r>
      <w:r>
        <w:rPr>
          <w:rFonts w:ascii="David" w:hAnsi="David"/>
          <w:b/>
          <w:bCs/>
          <w:sz w:val="24"/>
          <w:u w:val="single"/>
          <w:rtl/>
        </w:rPr>
        <w:t>גם אם חומרת העבירות בהן הורשע המערער ורקעו הפלילי המכביד הקודם היו מצדיקים במצב אחר עונש מחמיר ומאסר בפועל ארוך</w:t>
      </w:r>
      <w:r>
        <w:rPr>
          <w:rFonts w:ascii="David" w:hAnsi="David"/>
          <w:b/>
          <w:bCs/>
          <w:sz w:val="24"/>
          <w:rtl/>
        </w:rPr>
        <w:t xml:space="preserve">, הרי </w:t>
      </w:r>
      <w:r>
        <w:rPr>
          <w:rFonts w:ascii="David" w:hAnsi="David"/>
          <w:b/>
          <w:bCs/>
          <w:sz w:val="24"/>
          <w:u w:val="single"/>
          <w:rtl/>
        </w:rPr>
        <w:t>הישגי השיקום</w:t>
      </w:r>
      <w:r>
        <w:rPr>
          <w:rFonts w:ascii="David" w:hAnsi="David"/>
          <w:b/>
          <w:bCs/>
          <w:sz w:val="24"/>
          <w:rtl/>
        </w:rPr>
        <w:t xml:space="preserve"> המיוחדים שהושגו כאן, </w:t>
      </w:r>
      <w:r>
        <w:rPr>
          <w:rFonts w:ascii="David" w:hAnsi="David"/>
          <w:b/>
          <w:bCs/>
          <w:sz w:val="24"/>
          <w:u w:val="single"/>
          <w:rtl/>
        </w:rPr>
        <w:t>וההשקעה הרבה</w:t>
      </w:r>
      <w:r>
        <w:rPr>
          <w:rFonts w:ascii="David" w:hAnsi="David"/>
          <w:b/>
          <w:bCs/>
          <w:sz w:val="24"/>
          <w:rtl/>
        </w:rPr>
        <w:t xml:space="preserve"> - הן מצד המערער והן מצד מערכת הרווחה - שהביאה להישגים אלה, </w:t>
      </w:r>
      <w:r>
        <w:rPr>
          <w:rFonts w:ascii="David" w:hAnsi="David"/>
          <w:b/>
          <w:bCs/>
          <w:sz w:val="24"/>
          <w:u w:val="single"/>
          <w:rtl/>
        </w:rPr>
        <w:t>מצדיקים באיזון כולל מתן משקל נכבד לגורם זה</w:t>
      </w:r>
      <w:r>
        <w:rPr>
          <w:rFonts w:ascii="David" w:hAnsi="David"/>
          <w:b/>
          <w:bCs/>
          <w:sz w:val="24"/>
          <w:rtl/>
        </w:rPr>
        <w:t>. המסקנה הנובעת מכך היא כי אין מקום, בנסיבות ענין זה, להותיר את עונש המאסר בפועל על כנו, מחשש כי הוא עלול לדרדר את המערער להשפעות שליליות של גורמים עברייניים, ולשים לאל או לסכן את המאמצים הכבירים שהושקעו בשיקומו</w:t>
      </w:r>
      <w:r>
        <w:rPr>
          <w:rFonts w:ascii="David" w:hAnsi="David"/>
          <w:sz w:val="24"/>
          <w:rtl/>
        </w:rPr>
        <w:t>"</w:t>
      </w:r>
    </w:p>
    <w:p w14:paraId="0BB10332" w14:textId="77777777" w:rsidR="00226775" w:rsidRDefault="00226775" w:rsidP="00226775">
      <w:pPr>
        <w:pStyle w:val="a9"/>
        <w:numPr>
          <w:ilvl w:val="0"/>
          <w:numId w:val="1"/>
        </w:numPr>
        <w:spacing w:before="240" w:line="360" w:lineRule="auto"/>
        <w:ind w:left="357" w:hanging="357"/>
        <w:contextualSpacing w:val="0"/>
        <w:jc w:val="both"/>
        <w:rPr>
          <w:rFonts w:ascii="David" w:hAnsi="David"/>
        </w:rPr>
      </w:pPr>
      <w:r>
        <w:rPr>
          <w:rFonts w:ascii="David" w:hAnsi="David"/>
          <w:rtl/>
        </w:rPr>
        <w:t>לכל אלו יש להוסיף כי חידוש שני התנאים לא יוביל לחריגה ממתחם העונש ההולם כפי שנקבע על ידי לעיל, וגם בכך יש כדי להטות את הכף לעבר חידושם.</w:t>
      </w:r>
    </w:p>
    <w:p w14:paraId="20D4474B" w14:textId="77777777" w:rsidR="00226775" w:rsidRDefault="00226775" w:rsidP="00226775">
      <w:pPr>
        <w:spacing w:before="240" w:line="360" w:lineRule="auto"/>
        <w:jc w:val="both"/>
        <w:rPr>
          <w:rFonts w:ascii="David" w:hAnsi="David"/>
          <w:b/>
          <w:bCs/>
        </w:rPr>
      </w:pPr>
      <w:r>
        <w:rPr>
          <w:rFonts w:ascii="David" w:hAnsi="David"/>
          <w:b/>
          <w:bCs/>
          <w:rtl/>
        </w:rPr>
        <w:t>סוף דבר</w:t>
      </w:r>
    </w:p>
    <w:p w14:paraId="0ABFCF95" w14:textId="77777777" w:rsidR="00226775" w:rsidRDefault="00226775" w:rsidP="00226775">
      <w:pPr>
        <w:numPr>
          <w:ilvl w:val="0"/>
          <w:numId w:val="1"/>
        </w:numPr>
        <w:snapToGrid w:val="0"/>
        <w:spacing w:line="360" w:lineRule="auto"/>
        <w:ind w:left="357" w:hanging="357"/>
        <w:jc w:val="both"/>
        <w:rPr>
          <w:sz w:val="20"/>
          <w:rtl/>
          <w:lang w:eastAsia="he-IL"/>
        </w:rPr>
      </w:pPr>
      <w:r>
        <w:rPr>
          <w:sz w:val="20"/>
          <w:rtl/>
          <w:lang w:eastAsia="he-IL"/>
        </w:rPr>
        <w:t xml:space="preserve">הגם שהנאשם עבר הליך טיפולי ונמצא בעיצומו, לא מצאתי מקום לחרוג ממתחם העונש ההולם בשל שיקולי שיקום, לפי הוראות </w:t>
      </w:r>
      <w:hyperlink r:id="rId73" w:history="1">
        <w:r w:rsidR="008D6EE8" w:rsidRPr="008D6EE8">
          <w:rPr>
            <w:rStyle w:val="Hyperlink"/>
            <w:sz w:val="20"/>
            <w:rtl/>
            <w:lang w:eastAsia="he-IL"/>
          </w:rPr>
          <w:t>סעיף 40ד</w:t>
        </w:r>
      </w:hyperlink>
      <w:r>
        <w:rPr>
          <w:sz w:val="20"/>
          <w:rtl/>
          <w:lang w:eastAsia="he-IL"/>
        </w:rPr>
        <w:t xml:space="preserve"> ל</w:t>
      </w:r>
      <w:r>
        <w:rPr>
          <w:rFonts w:ascii="Miriam" w:hAnsi="Miriam" w:cs="Miriam"/>
          <w:b/>
          <w:bCs/>
          <w:sz w:val="18"/>
          <w:szCs w:val="22"/>
          <w:rtl/>
          <w:lang w:eastAsia="he-IL"/>
        </w:rPr>
        <w:t>-</w:t>
      </w:r>
      <w:hyperlink r:id="rId74" w:history="1">
        <w:r w:rsidR="00791277" w:rsidRPr="00791277">
          <w:rPr>
            <w:rFonts w:ascii="Miriam" w:hAnsi="Miriam" w:cs="Miriam"/>
            <w:b/>
            <w:bCs/>
            <w:color w:val="0000FF"/>
            <w:sz w:val="18"/>
            <w:szCs w:val="22"/>
            <w:u w:val="single"/>
            <w:rtl/>
            <w:lang w:eastAsia="he-IL"/>
          </w:rPr>
          <w:t>חוק העונשין</w:t>
        </w:r>
      </w:hyperlink>
      <w:r>
        <w:rPr>
          <w:sz w:val="20"/>
          <w:rtl/>
          <w:lang w:eastAsia="he-IL"/>
        </w:rPr>
        <w:t>. לצד זאת מצאתי כי ההליך הטיפולי מצדיק מיקום הנאשם בחלקו התחתון של המתחם, חרף עברו הפלילי. אין להקל ראש בעברו הפלילי של הנאשם, בעיקר בהינתן שתי הרשעותיו האחרונות, במסגרתן הושתו עליו שני המאסרים המותנים - אולם נתתי דעתי לכך שעבירות הסמים בהן הורשע הנאשם בעבר ושבגינן הושתו עליו המאסרים המותנים, היו חמורות עשרות מונים מהעבירה בגינה נותן הנאשם את הדין כעת. כעולה מ-</w:t>
      </w:r>
      <w:r>
        <w:rPr>
          <w:rFonts w:cs="Miriam"/>
          <w:sz w:val="18"/>
          <w:szCs w:val="22"/>
          <w:rtl/>
        </w:rPr>
        <w:t>ת/2</w:t>
      </w:r>
      <w:r>
        <w:rPr>
          <w:sz w:val="20"/>
          <w:rtl/>
          <w:lang w:eastAsia="he-IL"/>
        </w:rPr>
        <w:t xml:space="preserve"> - גזר הדין ב-</w:t>
      </w:r>
      <w:hyperlink r:id="rId75" w:history="1">
        <w:r w:rsidR="00791277" w:rsidRPr="00791277">
          <w:rPr>
            <w:color w:val="0000FF"/>
            <w:sz w:val="20"/>
            <w:u w:val="single"/>
            <w:rtl/>
            <w:lang w:eastAsia="he-IL"/>
          </w:rPr>
          <w:t>ת"פ 32676-03-18</w:t>
        </w:r>
      </w:hyperlink>
      <w:r>
        <w:rPr>
          <w:sz w:val="20"/>
          <w:rtl/>
          <w:lang w:eastAsia="he-IL"/>
        </w:rPr>
        <w:t>, בו הושת המאסר המותנה הראשון - הנאשם הורשע ב-2 עבירות סיוע לסחר, עבירת אספקת סם, עבירת ניסיון לסחר בסם והחזקה לצריכה עצמית ואף נידון למאסר בפועל. כעולה מ-</w:t>
      </w:r>
      <w:r>
        <w:rPr>
          <w:rFonts w:cs="Miriam"/>
          <w:sz w:val="18"/>
          <w:szCs w:val="22"/>
          <w:rtl/>
        </w:rPr>
        <w:t>ת/3</w:t>
      </w:r>
      <w:r>
        <w:rPr>
          <w:sz w:val="20"/>
          <w:rtl/>
          <w:lang w:eastAsia="he-IL"/>
        </w:rPr>
        <w:t xml:space="preserve"> - גזר הדין ב-</w:t>
      </w:r>
      <w:hyperlink r:id="rId76" w:history="1">
        <w:r w:rsidR="00791277" w:rsidRPr="00791277">
          <w:rPr>
            <w:color w:val="0000FF"/>
            <w:sz w:val="20"/>
            <w:u w:val="single"/>
            <w:rtl/>
            <w:lang w:eastAsia="he-IL"/>
          </w:rPr>
          <w:t>ת"פ 58464-11-17</w:t>
        </w:r>
      </w:hyperlink>
      <w:r>
        <w:rPr>
          <w:sz w:val="20"/>
          <w:rtl/>
          <w:lang w:eastAsia="he-IL"/>
        </w:rPr>
        <w:t xml:space="preserve">, 56899-08-18, 16412-08-18, 19617-10-17, בו הושת על הנאשם המאסר המותנה השני - הנאשם הורשע ב-4 תיקים שאוחדו ב-2 עבירות החזקת סם לצריכה עצמית, תקיפה סתם, החזקת סכין ותקיפה וחבלה ממשית ע"י שניים או יותר. </w:t>
      </w:r>
    </w:p>
    <w:p w14:paraId="7B8B379B" w14:textId="77777777" w:rsidR="00226775" w:rsidRDefault="00226775" w:rsidP="00226775">
      <w:pPr>
        <w:numPr>
          <w:ilvl w:val="0"/>
          <w:numId w:val="1"/>
        </w:numPr>
        <w:snapToGrid w:val="0"/>
        <w:spacing w:before="240" w:line="360" w:lineRule="auto"/>
        <w:ind w:left="357" w:hanging="357"/>
        <w:jc w:val="both"/>
        <w:rPr>
          <w:sz w:val="20"/>
          <w:lang w:eastAsia="he-IL"/>
        </w:rPr>
      </w:pPr>
      <w:r>
        <w:rPr>
          <w:sz w:val="20"/>
          <w:rtl/>
          <w:lang w:eastAsia="he-IL"/>
        </w:rPr>
        <w:t xml:space="preserve">במסגרת גזר הדין לקחתי בחשבון גם את הצורך בהרתעה אישית ובהרתעת הרבים, בהתאם </w:t>
      </w:r>
      <w:hyperlink r:id="rId77" w:history="1">
        <w:r w:rsidR="008D6EE8" w:rsidRPr="008D6EE8">
          <w:rPr>
            <w:rStyle w:val="Hyperlink"/>
            <w:sz w:val="20"/>
            <w:rtl/>
            <w:lang w:eastAsia="he-IL"/>
          </w:rPr>
          <w:t>לסעיפים 40ו</w:t>
        </w:r>
      </w:hyperlink>
      <w:r>
        <w:rPr>
          <w:sz w:val="20"/>
          <w:rtl/>
          <w:lang w:eastAsia="he-IL"/>
        </w:rPr>
        <w:t xml:space="preserve"> ו-</w:t>
      </w:r>
      <w:hyperlink r:id="rId78" w:history="1">
        <w:r w:rsidR="008D6EE8" w:rsidRPr="008D6EE8">
          <w:rPr>
            <w:rStyle w:val="Hyperlink"/>
            <w:sz w:val="20"/>
            <w:rtl/>
            <w:lang w:eastAsia="he-IL"/>
          </w:rPr>
          <w:t>40ז</w:t>
        </w:r>
      </w:hyperlink>
      <w:r>
        <w:rPr>
          <w:sz w:val="20"/>
          <w:rtl/>
          <w:lang w:eastAsia="he-IL"/>
        </w:rPr>
        <w:t xml:space="preserve"> ל</w:t>
      </w:r>
      <w:r>
        <w:rPr>
          <w:rFonts w:ascii="Miriam" w:hAnsi="Miriam" w:cs="Miriam"/>
          <w:b/>
          <w:bCs/>
          <w:sz w:val="18"/>
          <w:szCs w:val="22"/>
          <w:rtl/>
          <w:lang w:eastAsia="he-IL"/>
        </w:rPr>
        <w:t>-</w:t>
      </w:r>
      <w:hyperlink r:id="rId79" w:history="1">
        <w:r w:rsidR="00791277" w:rsidRPr="00791277">
          <w:rPr>
            <w:rFonts w:ascii="Miriam" w:hAnsi="Miriam" w:cs="Miriam"/>
            <w:b/>
            <w:bCs/>
            <w:color w:val="0000FF"/>
            <w:sz w:val="18"/>
            <w:szCs w:val="22"/>
            <w:u w:val="single"/>
            <w:rtl/>
            <w:lang w:eastAsia="he-IL"/>
          </w:rPr>
          <w:t>חוק העונשין</w:t>
        </w:r>
      </w:hyperlink>
      <w:r>
        <w:rPr>
          <w:rFonts w:ascii="Miriam" w:hAnsi="Miriam" w:cs="Miriam"/>
          <w:b/>
          <w:bCs/>
          <w:sz w:val="18"/>
          <w:szCs w:val="22"/>
          <w:rtl/>
          <w:lang w:eastAsia="he-IL"/>
        </w:rPr>
        <w:t>.</w:t>
      </w:r>
      <w:r>
        <w:rPr>
          <w:sz w:val="20"/>
          <w:rtl/>
          <w:lang w:eastAsia="he-IL"/>
        </w:rPr>
        <w:t xml:space="preserve"> במצב דברים רגיל היה מקום למקם את הנאשם ברף האמצעי-עליון של המתחם ולא בתחתיתו.</w:t>
      </w:r>
      <w:r>
        <w:rPr>
          <w:b/>
          <w:bCs/>
          <w:sz w:val="20"/>
          <w:rtl/>
          <w:lang w:eastAsia="he-IL"/>
        </w:rPr>
        <w:t xml:space="preserve"> </w:t>
      </w:r>
      <w:r>
        <w:rPr>
          <w:sz w:val="20"/>
          <w:rtl/>
          <w:lang w:eastAsia="he-IL"/>
        </w:rPr>
        <w:t>עם זאת, בהינתן הודיית הנאשם, אשר ניתנה לפני כשנתיים, בהינתן הבנת הנאשם את חומרת מעשיו, את הפסול שבהם ושיתוף הפעולה המשמעותי של הנאשם עם ההליך הטיפולי, בהינתן כי נסיבות ביצוע העבירה הן לא מהחמורות, נוכח כמות הסם וסוגו, בהינתן כי הנאשם הורתע מההליך המשפטי ומעל הכל - בהינתן דברי הנאשם לעונש, הודייתו, הבנתו את חומרת מעשיו, התחייבותו שלא לחזור על מעשיו, כמו גם הירתמותו להליך הטיפולי והתחייבותו להמשיך בו - מצאתי כי יש למקם את הנאשם בחלקו התחתון של המתחם שקבעתי.</w:t>
      </w:r>
      <w:r>
        <w:rPr>
          <w:b/>
          <w:bCs/>
          <w:sz w:val="20"/>
          <w:rtl/>
          <w:lang w:eastAsia="he-IL"/>
        </w:rPr>
        <w:t xml:space="preserve"> </w:t>
      </w:r>
    </w:p>
    <w:p w14:paraId="26E12328" w14:textId="77777777" w:rsidR="00226775" w:rsidRDefault="00226775" w:rsidP="00226775">
      <w:pPr>
        <w:numPr>
          <w:ilvl w:val="0"/>
          <w:numId w:val="1"/>
        </w:numPr>
        <w:snapToGrid w:val="0"/>
        <w:spacing w:before="240" w:line="360" w:lineRule="auto"/>
        <w:ind w:left="357" w:hanging="357"/>
        <w:jc w:val="both"/>
        <w:rPr>
          <w:sz w:val="20"/>
          <w:lang w:eastAsia="he-IL"/>
        </w:rPr>
      </w:pPr>
      <w:r>
        <w:rPr>
          <w:sz w:val="20"/>
          <w:rtl/>
          <w:lang w:eastAsia="he-IL"/>
        </w:rPr>
        <w:t>לפני סיום ראיתי לנכון לציין כי התרשמתי באופן בלתי אמצעי מהנאשם במספר הזדמנויות לאורך ההליך שהתנהל לפניי. ביום 7.2.21 אמר הנאשם "</w:t>
      </w:r>
      <w:r>
        <w:rPr>
          <w:b/>
          <w:bCs/>
          <w:sz w:val="20"/>
          <w:rtl/>
          <w:lang w:eastAsia="he-IL"/>
        </w:rPr>
        <w:t>אני מעוניין לעשות טיפול ואני אשתף פעולה עם שירות המבחן</w:t>
      </w:r>
      <w:r>
        <w:rPr>
          <w:sz w:val="20"/>
          <w:rtl/>
          <w:lang w:eastAsia="he-IL"/>
        </w:rPr>
        <w:t>". ביום 19.7.21 סיפר הנאשם כי עבר תאונת דרכים אשר הובילה לפציעה שבעטיה נאלץ להפסיק את עבודתו וציין "</w:t>
      </w:r>
      <w:r>
        <w:rPr>
          <w:b/>
          <w:bCs/>
          <w:sz w:val="20"/>
          <w:rtl/>
          <w:lang w:eastAsia="he-IL"/>
        </w:rPr>
        <w:t>אני רוצה לעשות שינוי בחיים שלי לעצמי ולא לאף אחד אחר</w:t>
      </w:r>
      <w:r>
        <w:rPr>
          <w:sz w:val="20"/>
          <w:rtl/>
          <w:lang w:eastAsia="he-IL"/>
        </w:rPr>
        <w:t xml:space="preserve">... </w:t>
      </w:r>
      <w:r>
        <w:rPr>
          <w:b/>
          <w:bCs/>
          <w:sz w:val="20"/>
          <w:rtl/>
          <w:lang w:eastAsia="he-IL"/>
        </w:rPr>
        <w:t>אני מאוד רוצה לעשות טיפול</w:t>
      </w:r>
      <w:r>
        <w:rPr>
          <w:sz w:val="20"/>
          <w:rtl/>
          <w:lang w:eastAsia="he-IL"/>
        </w:rPr>
        <w:t xml:space="preserve">... </w:t>
      </w:r>
      <w:r>
        <w:rPr>
          <w:b/>
          <w:bCs/>
          <w:sz w:val="20"/>
          <w:rtl/>
          <w:lang w:eastAsia="he-IL"/>
        </w:rPr>
        <w:t xml:space="preserve">בחיים לא נתנו לי יד. זו הפעם הראשונה בחיים שלקחתי הזדמנות מהגורם </w:t>
      </w:r>
      <w:r>
        <w:rPr>
          <w:sz w:val="20"/>
          <w:rtl/>
          <w:lang w:eastAsia="he-IL"/>
        </w:rPr>
        <w:t>[הטיפולי - זד"ל]...</w:t>
      </w:r>
      <w:r>
        <w:rPr>
          <w:b/>
          <w:bCs/>
          <w:sz w:val="20"/>
          <w:rtl/>
          <w:lang w:eastAsia="he-IL"/>
        </w:rPr>
        <w:t xml:space="preserve"> אני רוצה לבקש להמשיך את הטיפול כי זה עוזר לי בחיים האישיים שלי ונותן לי כלים להמשיך בחיים כמו שצריך. בילדות שלי לא לקחתי את הכלים האלה</w:t>
      </w:r>
      <w:r>
        <w:rPr>
          <w:sz w:val="20"/>
          <w:rtl/>
          <w:lang w:eastAsia="he-IL"/>
        </w:rPr>
        <w:t>". ביום 28.12.21 בדבריו לעונש "</w:t>
      </w:r>
      <w:r>
        <w:rPr>
          <w:b/>
          <w:bCs/>
          <w:sz w:val="20"/>
          <w:rtl/>
          <w:lang w:eastAsia="he-IL"/>
        </w:rPr>
        <w:t>אני נמצא בתהליך שאני משקם את החיים שלי ומשנה אותם בצורה אחרת, שבעבר לא נתתי הזדמנות לטיפול עם קצינת מבחן או גורם כלשהו כזה. העדפתי להיות מאחורי סורג ובריח</w:t>
      </w:r>
      <w:r>
        <w:rPr>
          <w:sz w:val="20"/>
          <w:rtl/>
          <w:lang w:eastAsia="he-IL"/>
        </w:rPr>
        <w:t xml:space="preserve">... </w:t>
      </w:r>
      <w:r>
        <w:rPr>
          <w:b/>
          <w:bCs/>
          <w:sz w:val="20"/>
          <w:rtl/>
          <w:lang w:eastAsia="he-IL"/>
        </w:rPr>
        <w:t>אני עושה טיפול ואמשיך לעשות את הטיפול. זה החיים שלי האישיים... אני מבטיח לך שאת לא תראי אותי במקום הזה. אני החלטתי שאני לוקח את החיים שלי לכיוון אחר</w:t>
      </w:r>
      <w:r>
        <w:rPr>
          <w:sz w:val="20"/>
          <w:rtl/>
          <w:lang w:eastAsia="he-IL"/>
        </w:rPr>
        <w:t xml:space="preserve">". </w:t>
      </w:r>
      <w:r>
        <w:rPr>
          <w:rFonts w:hint="cs"/>
          <w:sz w:val="20"/>
          <w:rtl/>
          <w:lang w:eastAsia="he-IL"/>
        </w:rPr>
        <w:t xml:space="preserve">גם בדיון לפני היום שב הנאשם וחזר על רצונו לעלות על דרך הישר ולקיים אורח חיים חיובי ויצרני. הנאשם בישר לי בהתרגשות על הולדת בנו הבכור והתרשמתי כי הנאשם אכן עורך מאמצים רבים לשינוי דרכיו. </w:t>
      </w:r>
    </w:p>
    <w:p w14:paraId="260E7419" w14:textId="77777777" w:rsidR="00226775" w:rsidRDefault="00226775" w:rsidP="00226775">
      <w:pPr>
        <w:numPr>
          <w:ilvl w:val="0"/>
          <w:numId w:val="1"/>
        </w:numPr>
        <w:snapToGrid w:val="0"/>
        <w:spacing w:before="240" w:line="360" w:lineRule="auto"/>
        <w:ind w:left="357" w:hanging="357"/>
        <w:jc w:val="both"/>
        <w:rPr>
          <w:sz w:val="20"/>
          <w:lang w:eastAsia="he-IL"/>
        </w:rPr>
      </w:pPr>
      <w:r>
        <w:rPr>
          <w:sz w:val="20"/>
          <w:rtl/>
          <w:lang w:eastAsia="he-IL"/>
        </w:rPr>
        <w:t xml:space="preserve">אשר על כן, מצאתי כי יש למקם את הנאשם בחלקו התחתון של המתחם ולהורות על חידוש שני המאסרים המותנים. משכך, </w:t>
      </w:r>
      <w:r>
        <w:rPr>
          <w:b/>
          <w:bCs/>
          <w:rtl/>
        </w:rPr>
        <w:t>אני גוזרת על הנאשם את העונשים הבאים:</w:t>
      </w:r>
    </w:p>
    <w:p w14:paraId="1388B043" w14:textId="77777777" w:rsidR="00226775" w:rsidRDefault="00226775" w:rsidP="00226775">
      <w:pPr>
        <w:pStyle w:val="a9"/>
        <w:numPr>
          <w:ilvl w:val="1"/>
          <w:numId w:val="1"/>
        </w:numPr>
        <w:spacing w:before="120" w:line="360" w:lineRule="auto"/>
        <w:ind w:left="794" w:hanging="357"/>
        <w:contextualSpacing w:val="0"/>
        <w:jc w:val="both"/>
      </w:pPr>
      <w:r>
        <w:rPr>
          <w:b/>
          <w:bCs/>
          <w:rtl/>
        </w:rPr>
        <w:t>חידוש המאסר המותנה בן 6 חודשים</w:t>
      </w:r>
      <w:r>
        <w:rPr>
          <w:rtl/>
        </w:rPr>
        <w:t>, שהושת על הנאשם במסגרת גזר הדין שניתן ביום 11.12.18 ב-</w:t>
      </w:r>
      <w:hyperlink r:id="rId80" w:history="1">
        <w:r w:rsidR="00791277" w:rsidRPr="00791277">
          <w:rPr>
            <w:color w:val="0000FF"/>
            <w:u w:val="single"/>
            <w:rtl/>
          </w:rPr>
          <w:t>ת"פ (שלום ב"ש) 32676-03-18</w:t>
        </w:r>
      </w:hyperlink>
      <w:r>
        <w:rPr>
          <w:rtl/>
        </w:rPr>
        <w:t>, למשך שנתיים נוספות</w:t>
      </w:r>
      <w:r>
        <w:rPr>
          <w:rFonts w:hint="cs"/>
          <w:rtl/>
        </w:rPr>
        <w:t xml:space="preserve"> מהיום</w:t>
      </w:r>
      <w:r>
        <w:rPr>
          <w:rtl/>
        </w:rPr>
        <w:t>;</w:t>
      </w:r>
    </w:p>
    <w:p w14:paraId="7DDEB142" w14:textId="77777777" w:rsidR="00226775" w:rsidRDefault="00226775" w:rsidP="00226775">
      <w:pPr>
        <w:pStyle w:val="a9"/>
        <w:numPr>
          <w:ilvl w:val="1"/>
          <w:numId w:val="1"/>
        </w:numPr>
        <w:spacing w:before="120" w:line="360" w:lineRule="auto"/>
        <w:ind w:left="794" w:hanging="357"/>
        <w:contextualSpacing w:val="0"/>
        <w:jc w:val="both"/>
      </w:pPr>
      <w:r>
        <w:rPr>
          <w:b/>
          <w:bCs/>
          <w:rtl/>
        </w:rPr>
        <w:t>חידוש המאסר המותנה בן 4 חודשים</w:t>
      </w:r>
      <w:r>
        <w:rPr>
          <w:rtl/>
        </w:rPr>
        <w:t>, שהושת על הנאשם במסגרת גזר הדין שניתן ביום 23.12.18 ב-</w:t>
      </w:r>
      <w:hyperlink r:id="rId81" w:history="1">
        <w:r w:rsidR="00791277" w:rsidRPr="00791277">
          <w:rPr>
            <w:color w:val="0000FF"/>
            <w:u w:val="single"/>
            <w:rtl/>
          </w:rPr>
          <w:t>ת"פ (שלום ב"ש) 58464-11-17</w:t>
        </w:r>
      </w:hyperlink>
      <w:r>
        <w:rPr>
          <w:rtl/>
        </w:rPr>
        <w:t>, 56899-08-18, 16412-08-18, 19617-10-17, למשך שנתיים נוספות</w:t>
      </w:r>
      <w:r>
        <w:rPr>
          <w:rFonts w:hint="cs"/>
          <w:rtl/>
        </w:rPr>
        <w:t xml:space="preserve"> מהיום</w:t>
      </w:r>
      <w:r>
        <w:rPr>
          <w:rtl/>
        </w:rPr>
        <w:t>;</w:t>
      </w:r>
    </w:p>
    <w:p w14:paraId="634336A6" w14:textId="77777777" w:rsidR="00226775" w:rsidRDefault="00226775" w:rsidP="00226775">
      <w:pPr>
        <w:pStyle w:val="a9"/>
        <w:numPr>
          <w:ilvl w:val="1"/>
          <w:numId w:val="1"/>
        </w:numPr>
        <w:spacing w:before="120" w:line="360" w:lineRule="auto"/>
        <w:ind w:left="794" w:hanging="357"/>
        <w:contextualSpacing w:val="0"/>
        <w:jc w:val="both"/>
      </w:pPr>
      <w:r>
        <w:rPr>
          <w:b/>
          <w:bCs/>
          <w:rtl/>
        </w:rPr>
        <w:t>הפעלת התחייבות</w:t>
      </w:r>
      <w:r>
        <w:rPr>
          <w:rtl/>
        </w:rPr>
        <w:t xml:space="preserve"> שהושתה על הנאשם ביום 23.12.18, ב</w:t>
      </w:r>
      <w:hyperlink r:id="rId82" w:history="1">
        <w:r w:rsidR="00791277" w:rsidRPr="00791277">
          <w:rPr>
            <w:color w:val="0000FF"/>
            <w:u w:val="single"/>
            <w:rtl/>
          </w:rPr>
          <w:t>ת"פ (שלום ב"ש) 58464-11-17</w:t>
        </w:r>
      </w:hyperlink>
      <w:r>
        <w:rPr>
          <w:rtl/>
        </w:rPr>
        <w:t xml:space="preserve">,  56899-08-18, 16412-08-18, 19617-10-17, בסך 10,000 ₪. </w:t>
      </w:r>
    </w:p>
    <w:p w14:paraId="249459F2" w14:textId="77777777" w:rsidR="00226775" w:rsidRDefault="00226775" w:rsidP="00226775">
      <w:pPr>
        <w:pStyle w:val="a9"/>
        <w:spacing w:before="60" w:line="360" w:lineRule="auto"/>
        <w:ind w:left="794"/>
        <w:contextualSpacing w:val="0"/>
        <w:jc w:val="both"/>
      </w:pPr>
      <w:r>
        <w:rPr>
          <w:rtl/>
        </w:rPr>
        <w:t xml:space="preserve">ההתחייבות שהופעלה תשולם ב-20 תשלומים שווים ורצופים, החל מיום </w:t>
      </w:r>
      <w:r>
        <w:rPr>
          <w:rFonts w:hint="cs"/>
          <w:rtl/>
        </w:rPr>
        <w:t>28.4</w:t>
      </w:r>
      <w:r>
        <w:rPr>
          <w:rtl/>
        </w:rPr>
        <w:t xml:space="preserve">.22 וכל </w:t>
      </w:r>
      <w:r>
        <w:rPr>
          <w:rFonts w:hint="cs"/>
          <w:rtl/>
        </w:rPr>
        <w:t>28</w:t>
      </w:r>
      <w:r>
        <w:rPr>
          <w:rtl/>
        </w:rPr>
        <w:t xml:space="preserve"> בחודש שלאחריו.</w:t>
      </w:r>
    </w:p>
    <w:p w14:paraId="6A4B5202" w14:textId="77777777" w:rsidR="00226775" w:rsidRDefault="00226775" w:rsidP="00226775">
      <w:pPr>
        <w:pStyle w:val="a9"/>
        <w:spacing w:before="60" w:line="360" w:lineRule="auto"/>
        <w:ind w:left="794"/>
        <w:contextualSpacing w:val="0"/>
        <w:jc w:val="both"/>
      </w:pPr>
      <w:r>
        <w:rPr>
          <w:rtl/>
        </w:rPr>
        <w:t>אם לא יבוצע תשלום במועדו - תעמוד כל יתרת התשלום לפירעון מיידי.</w:t>
      </w:r>
    </w:p>
    <w:p w14:paraId="6696004C" w14:textId="77777777" w:rsidR="00226775" w:rsidRPr="00CD56AA" w:rsidRDefault="00226775" w:rsidP="00226775">
      <w:pPr>
        <w:pStyle w:val="a9"/>
        <w:spacing w:before="60" w:line="360" w:lineRule="auto"/>
        <w:ind w:left="794"/>
        <w:contextualSpacing w:val="0"/>
        <w:jc w:val="both"/>
        <w:rPr>
          <w:b/>
          <w:bCs/>
          <w:rtl/>
        </w:rPr>
      </w:pPr>
      <w:r w:rsidRPr="00CD56AA">
        <w:rPr>
          <w:b/>
          <w:bCs/>
          <w:rtl/>
        </w:rPr>
        <w:t>על הנאשם לדאוג להסדרת התשלום מול מזכירות בית המשפט ולא תשמע טענה שלא קיבל שוברי תשלום בדואר;</w:t>
      </w:r>
    </w:p>
    <w:p w14:paraId="23966131" w14:textId="77777777" w:rsidR="00226775" w:rsidRDefault="00226775" w:rsidP="00226775">
      <w:pPr>
        <w:pStyle w:val="a9"/>
        <w:numPr>
          <w:ilvl w:val="1"/>
          <w:numId w:val="1"/>
        </w:numPr>
        <w:spacing w:before="120" w:line="360" w:lineRule="auto"/>
        <w:ind w:left="794" w:hanging="357"/>
        <w:contextualSpacing w:val="0"/>
        <w:jc w:val="both"/>
        <w:rPr>
          <w:b/>
          <w:bCs/>
          <w:rtl/>
        </w:rPr>
      </w:pPr>
      <w:r w:rsidRPr="00B1095B">
        <w:rPr>
          <w:rFonts w:hint="cs"/>
          <w:rtl/>
        </w:rPr>
        <w:t xml:space="preserve">בהינתן מצבו הכלכלי של הנאשם וסכום ההתחייבות שהופעלה, מצאתי כי ניתן להסתפק בהשתת </w:t>
      </w:r>
      <w:r>
        <w:rPr>
          <w:rFonts w:hint="cs"/>
          <w:b/>
          <w:bCs/>
          <w:rtl/>
        </w:rPr>
        <w:t xml:space="preserve">התחייבות בסך </w:t>
      </w:r>
      <w:r>
        <w:rPr>
          <w:b/>
          <w:bCs/>
          <w:rtl/>
        </w:rPr>
        <w:t>3,000 ₪</w:t>
      </w:r>
      <w:r>
        <w:rPr>
          <w:rtl/>
        </w:rPr>
        <w:t xml:space="preserve">, למשך שנתיים מהיום, שלא יעבור כל עבירה מסוג פשע על </w:t>
      </w:r>
      <w:r>
        <w:rPr>
          <w:rFonts w:ascii="Miriam" w:hAnsi="Miriam" w:cs="Miriam"/>
          <w:bCs/>
          <w:sz w:val="18"/>
          <w:szCs w:val="22"/>
          <w:rtl/>
        </w:rPr>
        <w:t>פקודת הסמים</w:t>
      </w:r>
      <w:r>
        <w:rPr>
          <w:rtl/>
        </w:rPr>
        <w:t>.</w:t>
      </w:r>
    </w:p>
    <w:p w14:paraId="5B1B58C2" w14:textId="77777777" w:rsidR="00226775" w:rsidRDefault="00226775" w:rsidP="00226775">
      <w:pPr>
        <w:pStyle w:val="a9"/>
        <w:spacing w:before="60" w:line="360" w:lineRule="auto"/>
        <w:ind w:left="794"/>
        <w:contextualSpacing w:val="0"/>
        <w:jc w:val="both"/>
        <w:rPr>
          <w:rtl/>
        </w:rPr>
      </w:pPr>
      <w:r>
        <w:rPr>
          <w:rtl/>
        </w:rPr>
        <w:t>על הנאשם להצהיר על ההתחייבות היום. לא יצהיר על ההתחייבות היום - יהיה על הנאשם לרצות 10 ימי מאסר בפועל, על מנת לכפות אותו לעשות כן.</w:t>
      </w:r>
    </w:p>
    <w:p w14:paraId="43290103" w14:textId="77777777" w:rsidR="00226775" w:rsidRDefault="00226775" w:rsidP="00226775">
      <w:pPr>
        <w:pStyle w:val="a9"/>
        <w:numPr>
          <w:ilvl w:val="1"/>
          <w:numId w:val="1"/>
        </w:numPr>
        <w:spacing w:before="120" w:line="360" w:lineRule="auto"/>
        <w:ind w:left="794" w:hanging="357"/>
        <w:contextualSpacing w:val="0"/>
        <w:jc w:val="both"/>
        <w:rPr>
          <w:b/>
          <w:bCs/>
        </w:rPr>
      </w:pPr>
      <w:r>
        <w:rPr>
          <w:b/>
          <w:bCs/>
          <w:rtl/>
        </w:rPr>
        <w:t>הנאשם יבצע עבודות שירות לטובת הציבור</w:t>
      </w:r>
      <w:r>
        <w:rPr>
          <w:rtl/>
        </w:rPr>
        <w:t xml:space="preserve"> (להלן: </w:t>
      </w:r>
      <w:r>
        <w:rPr>
          <w:b/>
          <w:bCs/>
          <w:rtl/>
        </w:rPr>
        <w:t>של"צ</w:t>
      </w:r>
      <w:r>
        <w:rPr>
          <w:rtl/>
        </w:rPr>
        <w:t xml:space="preserve">) בהיקף של </w:t>
      </w:r>
      <w:r>
        <w:rPr>
          <w:b/>
          <w:bCs/>
          <w:rtl/>
        </w:rPr>
        <w:t>140 שעות</w:t>
      </w:r>
      <w:r>
        <w:rPr>
          <w:rtl/>
        </w:rPr>
        <w:t xml:space="preserve">, </w:t>
      </w:r>
      <w:r>
        <w:rPr>
          <w:rFonts w:ascii="David" w:hAnsi="David"/>
          <w:rtl/>
        </w:rPr>
        <w:t>בהתאם לתוכנית שתוגש ע"י שירות המבחן תוך 30 יום מהיום</w:t>
      </w:r>
      <w:r>
        <w:rPr>
          <w:rtl/>
        </w:rPr>
        <w:t xml:space="preserve">. אם יהא צורך בשינוי מקום ההשמה - יבצע שירות המבחן את השינוי וידווח עליו לבית המשפט. </w:t>
      </w:r>
    </w:p>
    <w:p w14:paraId="1718B792" w14:textId="77777777" w:rsidR="00226775" w:rsidRDefault="00226775" w:rsidP="00226775">
      <w:pPr>
        <w:pStyle w:val="a9"/>
        <w:spacing w:before="60" w:line="360" w:lineRule="auto"/>
        <w:ind w:left="794"/>
        <w:contextualSpacing w:val="0"/>
        <w:jc w:val="both"/>
        <w:rPr>
          <w:b/>
          <w:bCs/>
        </w:rPr>
      </w:pPr>
      <w:r>
        <w:rPr>
          <w:b/>
          <w:bCs/>
          <w:rtl/>
        </w:rPr>
        <w:t>מובהר לנאשם כי אם לא יבצע את השל"צ כנדרש, יוחזר עניינו לדיון בבית המשפט ודינו ייגזר מחדש;</w:t>
      </w:r>
    </w:p>
    <w:p w14:paraId="2A470999" w14:textId="77777777" w:rsidR="00226775" w:rsidRDefault="00226775" w:rsidP="00226775">
      <w:pPr>
        <w:pStyle w:val="a9"/>
        <w:numPr>
          <w:ilvl w:val="1"/>
          <w:numId w:val="1"/>
        </w:numPr>
        <w:spacing w:before="120" w:line="360" w:lineRule="auto"/>
        <w:ind w:left="794" w:hanging="357"/>
        <w:contextualSpacing w:val="0"/>
        <w:jc w:val="both"/>
        <w:rPr>
          <w:b/>
          <w:bCs/>
        </w:rPr>
      </w:pPr>
      <w:r>
        <w:rPr>
          <w:b/>
          <w:bCs/>
          <w:rtl/>
        </w:rPr>
        <w:t xml:space="preserve">הנאשם יעמוד בפיקוח שירות המבחן למשך 12 חודשים מהיום. </w:t>
      </w:r>
    </w:p>
    <w:p w14:paraId="0247F6D9" w14:textId="77777777" w:rsidR="00226775" w:rsidRDefault="00226775" w:rsidP="00226775">
      <w:pPr>
        <w:pStyle w:val="a9"/>
        <w:spacing w:before="60" w:line="360" w:lineRule="auto"/>
        <w:ind w:left="794"/>
        <w:contextualSpacing w:val="0"/>
        <w:jc w:val="both"/>
        <w:rPr>
          <w:b/>
          <w:bCs/>
          <w:rtl/>
        </w:rPr>
      </w:pPr>
      <w:r>
        <w:rPr>
          <w:b/>
          <w:bCs/>
          <w:rtl/>
        </w:rPr>
        <w:t>מובהר לנאשם כי אם לא יעמוד במבחן,  יוחזר עניינו לדיון בבית המשפט ודינו ייגזר מחדש</w:t>
      </w:r>
      <w:r>
        <w:rPr>
          <w:rFonts w:hint="cs"/>
          <w:b/>
          <w:bCs/>
          <w:rtl/>
        </w:rPr>
        <w:t>.</w:t>
      </w:r>
    </w:p>
    <w:p w14:paraId="1DD58228" w14:textId="77777777" w:rsidR="00226775" w:rsidRDefault="00226775" w:rsidP="00226775">
      <w:pPr>
        <w:spacing w:before="240" w:line="360" w:lineRule="auto"/>
        <w:jc w:val="both"/>
        <w:rPr>
          <w:rFonts w:ascii="David" w:hAnsi="David"/>
          <w:b/>
          <w:bCs/>
          <w:rtl/>
        </w:rPr>
      </w:pPr>
      <w:r>
        <w:rPr>
          <w:rFonts w:ascii="David" w:hAnsi="David"/>
          <w:b/>
          <w:bCs/>
          <w:u w:val="single"/>
          <w:rtl/>
        </w:rPr>
        <w:t>המזכירות מתבקשת להעביר עותק גזר הדין לשירות המבחן</w:t>
      </w:r>
      <w:r>
        <w:rPr>
          <w:rFonts w:ascii="David" w:hAnsi="David"/>
          <w:b/>
          <w:bCs/>
          <w:rtl/>
        </w:rPr>
        <w:t xml:space="preserve">. </w:t>
      </w:r>
    </w:p>
    <w:p w14:paraId="22EEE92A" w14:textId="77777777" w:rsidR="00226775" w:rsidRDefault="00791277" w:rsidP="00226775">
      <w:pPr>
        <w:spacing w:before="240" w:line="360" w:lineRule="auto"/>
        <w:jc w:val="both"/>
        <w:rPr>
          <w:rFonts w:ascii="David" w:hAnsi="David"/>
          <w:b/>
          <w:bCs/>
          <w:rtl/>
        </w:rPr>
      </w:pPr>
      <w:r w:rsidRPr="00791277">
        <w:rPr>
          <w:rFonts w:ascii="David" w:hAnsi="David"/>
          <w:b/>
          <w:bCs/>
          <w:color w:val="FFFFFF"/>
          <w:sz w:val="2"/>
          <w:szCs w:val="2"/>
          <w:rtl/>
        </w:rPr>
        <w:t>5129371</w:t>
      </w:r>
      <w:r w:rsidR="00226775">
        <w:rPr>
          <w:rFonts w:ascii="David" w:hAnsi="David"/>
          <w:b/>
          <w:bCs/>
          <w:rtl/>
        </w:rPr>
        <w:t>ניתן צו כללי למוצגים: להשמיד, לחלט ולהשיב לבעלים, לפי שיקול דעת היחידה החוקרת.</w:t>
      </w:r>
    </w:p>
    <w:p w14:paraId="4273B651" w14:textId="77777777" w:rsidR="00226775" w:rsidRDefault="00791277" w:rsidP="00226775">
      <w:pPr>
        <w:spacing w:before="240" w:line="360" w:lineRule="auto"/>
        <w:jc w:val="both"/>
        <w:rPr>
          <w:rFonts w:ascii="David" w:hAnsi="David"/>
          <w:b/>
          <w:bCs/>
          <w:rtl/>
        </w:rPr>
      </w:pPr>
      <w:r w:rsidRPr="00791277">
        <w:rPr>
          <w:rFonts w:ascii="David" w:hAnsi="David"/>
          <w:b/>
          <w:bCs/>
          <w:color w:val="FFFFFF"/>
          <w:sz w:val="2"/>
          <w:szCs w:val="2"/>
          <w:rtl/>
        </w:rPr>
        <w:t>54678313</w:t>
      </w:r>
      <w:r w:rsidR="00226775">
        <w:rPr>
          <w:rFonts w:ascii="David" w:hAnsi="David"/>
          <w:b/>
          <w:bCs/>
          <w:rtl/>
        </w:rPr>
        <w:t>ניתן צו להשמדת הסם.</w:t>
      </w:r>
    </w:p>
    <w:p w14:paraId="6C2614E5" w14:textId="77777777" w:rsidR="00226775" w:rsidRDefault="00226775" w:rsidP="00226775">
      <w:pPr>
        <w:spacing w:before="240" w:line="360" w:lineRule="auto"/>
        <w:jc w:val="both"/>
        <w:rPr>
          <w:rFonts w:ascii="David" w:hAnsi="David"/>
          <w:b/>
          <w:bCs/>
          <w:u w:val="single"/>
          <w:rtl/>
        </w:rPr>
      </w:pPr>
      <w:r>
        <w:rPr>
          <w:rFonts w:ascii="David" w:hAnsi="David"/>
          <w:b/>
          <w:bCs/>
          <w:u w:val="single"/>
          <w:rtl/>
        </w:rPr>
        <w:t>זכות ערעור לבית-המשפט המחוזי תוך 45 יום.</w:t>
      </w:r>
    </w:p>
    <w:p w14:paraId="0BFC7C5F" w14:textId="77777777" w:rsidR="00226775" w:rsidRDefault="00226775" w:rsidP="00226775">
      <w:pPr>
        <w:spacing w:line="360" w:lineRule="auto"/>
        <w:jc w:val="both"/>
        <w:rPr>
          <w:rtl/>
        </w:rPr>
      </w:pPr>
    </w:p>
    <w:p w14:paraId="703C00A1" w14:textId="77777777" w:rsidR="00226775" w:rsidRPr="00E85948" w:rsidRDefault="00791277" w:rsidP="00226775">
      <w:pPr>
        <w:rPr>
          <w:rFonts w:ascii="Arial" w:hAnsi="Arial"/>
          <w:b/>
          <w:bCs/>
          <w:sz w:val="26"/>
          <w:szCs w:val="26"/>
          <w:rtl/>
        </w:rPr>
      </w:pPr>
      <w:bookmarkStart w:id="8" w:name="Nitan"/>
      <w:r>
        <w:rPr>
          <w:rFonts w:ascii="Arial" w:hAnsi="Arial"/>
          <w:b/>
          <w:bCs/>
          <w:sz w:val="26"/>
          <w:szCs w:val="26"/>
          <w:rtl/>
        </w:rPr>
        <w:t xml:space="preserve">ניתן היום, כ"ז באדר ב' התשפ"ב, 30 במרץ 2022, במעמד הנוכחים. </w:t>
      </w:r>
      <w:bookmarkEnd w:id="8"/>
    </w:p>
    <w:p w14:paraId="48F12290" w14:textId="77777777" w:rsidR="00226775" w:rsidRPr="00E85948" w:rsidRDefault="00226775" w:rsidP="00226775">
      <w:pPr>
        <w:jc w:val="center"/>
        <w:rPr>
          <w:rFonts w:ascii="Arial" w:hAnsi="Arial"/>
          <w:b/>
          <w:bCs/>
          <w:sz w:val="26"/>
          <w:szCs w:val="26"/>
          <w:rtl/>
        </w:rPr>
      </w:pPr>
      <w:r w:rsidRPr="00E85948">
        <w:rPr>
          <w:rFonts w:ascii="Arial" w:hAnsi="Arial"/>
          <w:b/>
          <w:bCs/>
          <w:sz w:val="26"/>
          <w:szCs w:val="26"/>
          <w:rtl/>
        </w:rPr>
        <w:t xml:space="preserve">   </w:t>
      </w:r>
      <w:r w:rsidRPr="00E85948">
        <w:rPr>
          <w:rFonts w:ascii="Arial" w:hAnsi="Arial"/>
          <w:b/>
          <w:bCs/>
          <w:sz w:val="26"/>
          <w:szCs w:val="26"/>
          <w:rtl/>
        </w:rPr>
        <w:tab/>
      </w:r>
      <w:r w:rsidRPr="00E85948">
        <w:rPr>
          <w:rFonts w:ascii="Arial" w:hAnsi="Arial"/>
          <w:b/>
          <w:bCs/>
          <w:sz w:val="26"/>
          <w:szCs w:val="26"/>
          <w:rtl/>
        </w:rPr>
        <w:tab/>
      </w:r>
      <w:r w:rsidRPr="00E85948">
        <w:rPr>
          <w:rFonts w:ascii="Arial" w:hAnsi="Arial"/>
          <w:b/>
          <w:bCs/>
          <w:sz w:val="26"/>
          <w:szCs w:val="26"/>
          <w:rtl/>
        </w:rPr>
        <w:tab/>
      </w:r>
      <w:r w:rsidRPr="00E85948">
        <w:rPr>
          <w:rFonts w:ascii="Arial" w:hAnsi="Arial"/>
          <w:b/>
          <w:bCs/>
          <w:sz w:val="26"/>
          <w:szCs w:val="26"/>
          <w:rtl/>
        </w:rPr>
        <w:tab/>
      </w:r>
      <w:r w:rsidRPr="00E85948">
        <w:rPr>
          <w:rFonts w:ascii="Arial" w:hAnsi="Arial"/>
          <w:b/>
          <w:bCs/>
          <w:sz w:val="26"/>
          <w:szCs w:val="26"/>
          <w:rtl/>
        </w:rPr>
        <w:tab/>
        <w:t>חתימה</w:t>
      </w:r>
    </w:p>
    <w:p w14:paraId="65C7D4BD" w14:textId="77777777" w:rsidR="00461455" w:rsidRPr="00791277" w:rsidRDefault="00461455" w:rsidP="00791277">
      <w:pPr>
        <w:keepNext/>
        <w:rPr>
          <w:rFonts w:ascii="David" w:hAnsi="David"/>
          <w:color w:val="000000"/>
          <w:sz w:val="22"/>
          <w:szCs w:val="22"/>
          <w:rtl/>
        </w:rPr>
      </w:pPr>
    </w:p>
    <w:p w14:paraId="3E393C1D" w14:textId="77777777" w:rsidR="00791277" w:rsidRPr="00791277" w:rsidRDefault="00791277" w:rsidP="00791277">
      <w:pPr>
        <w:keepNext/>
        <w:rPr>
          <w:rFonts w:ascii="David" w:hAnsi="David"/>
          <w:color w:val="000000"/>
          <w:sz w:val="22"/>
          <w:szCs w:val="22"/>
          <w:rtl/>
        </w:rPr>
      </w:pPr>
      <w:r w:rsidRPr="00791277">
        <w:rPr>
          <w:rFonts w:ascii="David" w:hAnsi="David"/>
          <w:color w:val="000000"/>
          <w:sz w:val="22"/>
          <w:szCs w:val="22"/>
          <w:rtl/>
        </w:rPr>
        <w:t>זהר דולב להמן 54678313</w:t>
      </w:r>
    </w:p>
    <w:p w14:paraId="34C3FC21" w14:textId="77777777" w:rsidR="00791277" w:rsidRDefault="00791277" w:rsidP="00791277">
      <w:r w:rsidRPr="00791277">
        <w:rPr>
          <w:color w:val="000000"/>
          <w:rtl/>
        </w:rPr>
        <w:t>נוסח מסמך זה כפוף לשינויי ניסוח ועריכה</w:t>
      </w:r>
    </w:p>
    <w:p w14:paraId="5DAC3E6D" w14:textId="77777777" w:rsidR="00791277" w:rsidRDefault="00791277" w:rsidP="00791277">
      <w:pPr>
        <w:rPr>
          <w:rtl/>
        </w:rPr>
      </w:pPr>
    </w:p>
    <w:p w14:paraId="33E3BD88" w14:textId="77777777" w:rsidR="00791277" w:rsidRDefault="00791277" w:rsidP="00791277">
      <w:pPr>
        <w:jc w:val="center"/>
        <w:rPr>
          <w:color w:val="0000FF"/>
          <w:u w:val="single"/>
        </w:rPr>
      </w:pPr>
      <w:hyperlink r:id="rId83" w:history="1">
        <w:r>
          <w:rPr>
            <w:color w:val="0000FF"/>
            <w:u w:val="single"/>
            <w:rtl/>
          </w:rPr>
          <w:t>בעניין עריכה ושינויים במסמכי פסיקה, חקיקה ועוד באתר נבו – הקש כאן</w:t>
        </w:r>
      </w:hyperlink>
    </w:p>
    <w:p w14:paraId="42EACD64" w14:textId="77777777" w:rsidR="00791277" w:rsidRPr="00791277" w:rsidRDefault="00791277" w:rsidP="00791277">
      <w:pPr>
        <w:jc w:val="center"/>
        <w:rPr>
          <w:color w:val="0000FF"/>
          <w:u w:val="single"/>
        </w:rPr>
      </w:pPr>
    </w:p>
    <w:sectPr w:rsidR="00791277" w:rsidRPr="00791277" w:rsidSect="00791277">
      <w:headerReference w:type="even" r:id="rId84"/>
      <w:headerReference w:type="default" r:id="rId85"/>
      <w:footerReference w:type="even" r:id="rId86"/>
      <w:footerReference w:type="default" r:id="rId87"/>
      <w:pgSz w:w="11907" w:h="16840" w:code="9"/>
      <w:pgMar w:top="1701" w:right="1701" w:bottom="226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7EFD55" w14:textId="77777777" w:rsidR="00574E0A" w:rsidRDefault="00574E0A" w:rsidP="00AE00E5">
      <w:r>
        <w:separator/>
      </w:r>
    </w:p>
  </w:endnote>
  <w:endnote w:type="continuationSeparator" w:id="0">
    <w:p w14:paraId="0BC05ADD" w14:textId="77777777" w:rsidR="00574E0A" w:rsidRDefault="00574E0A" w:rsidP="00AE0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mo">
    <w:altName w:val="Times New Roman"/>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454FA" w14:textId="77777777" w:rsidR="00791277" w:rsidRDefault="00791277" w:rsidP="0079127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99CA48E" w14:textId="77777777" w:rsidR="00AD4B01" w:rsidRPr="00791277" w:rsidRDefault="00791277" w:rsidP="0079127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9BCC2" w14:textId="77777777" w:rsidR="00791277" w:rsidRDefault="00791277" w:rsidP="0079127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47ABF">
      <w:rPr>
        <w:rFonts w:ascii="FrankRuehl" w:hAnsi="FrankRuehl" w:cs="FrankRuehl"/>
        <w:noProof/>
        <w:rtl/>
      </w:rPr>
      <w:t>1</w:t>
    </w:r>
    <w:r>
      <w:rPr>
        <w:rFonts w:ascii="FrankRuehl" w:hAnsi="FrankRuehl" w:cs="FrankRuehl"/>
        <w:rtl/>
      </w:rPr>
      <w:fldChar w:fldCharType="end"/>
    </w:r>
  </w:p>
  <w:p w14:paraId="6A4B48B9" w14:textId="77777777" w:rsidR="00AD4B01" w:rsidRPr="00791277" w:rsidRDefault="00791277" w:rsidP="0079127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6B03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11CAF" w14:textId="77777777" w:rsidR="00574E0A" w:rsidRDefault="00574E0A" w:rsidP="00AE00E5">
      <w:r>
        <w:separator/>
      </w:r>
    </w:p>
  </w:footnote>
  <w:footnote w:type="continuationSeparator" w:id="0">
    <w:p w14:paraId="6DAD67A9" w14:textId="77777777" w:rsidR="00574E0A" w:rsidRDefault="00574E0A" w:rsidP="00AE00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419B3" w14:textId="77777777" w:rsidR="00791277" w:rsidRPr="00791277" w:rsidRDefault="00791277" w:rsidP="0079127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18280-06-19</w:t>
    </w:r>
    <w:r>
      <w:rPr>
        <w:rFonts w:ascii="David" w:hAnsi="David"/>
        <w:color w:val="000000"/>
        <w:sz w:val="22"/>
        <w:szCs w:val="22"/>
        <w:rtl/>
      </w:rPr>
      <w:tab/>
      <w:t xml:space="preserve"> מדינת ישראל נ' אלי יו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F705E" w14:textId="77777777" w:rsidR="00791277" w:rsidRPr="00791277" w:rsidRDefault="00791277" w:rsidP="0079127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18280-06-19</w:t>
    </w:r>
    <w:r>
      <w:rPr>
        <w:rFonts w:ascii="David" w:hAnsi="David"/>
        <w:color w:val="000000"/>
        <w:sz w:val="22"/>
        <w:szCs w:val="22"/>
        <w:rtl/>
      </w:rPr>
      <w:tab/>
      <w:t xml:space="preserve"> מדינת ישראל נ' אלי יו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693E3F"/>
    <w:multiLevelType w:val="hybridMultilevel"/>
    <w:tmpl w:val="F496C904"/>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E6A25624">
      <w:start w:val="1"/>
      <w:numFmt w:val="decimal"/>
      <w:lvlText w:val="(%3)"/>
      <w:lvlJc w:val="left"/>
      <w:pPr>
        <w:ind w:left="2160" w:hanging="180"/>
      </w:pPr>
      <w:rPr>
        <w:rFonts w:cs="David"/>
        <w:bCs w:val="0"/>
        <w:iCs w:val="0"/>
        <w:szCs w:val="24"/>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893768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26775"/>
    <w:rsid w:val="00036C29"/>
    <w:rsid w:val="001B78B4"/>
    <w:rsid w:val="002228A1"/>
    <w:rsid w:val="00226775"/>
    <w:rsid w:val="00461455"/>
    <w:rsid w:val="00574E0A"/>
    <w:rsid w:val="00637356"/>
    <w:rsid w:val="00791277"/>
    <w:rsid w:val="00812983"/>
    <w:rsid w:val="008D6EE8"/>
    <w:rsid w:val="009A4E4C"/>
    <w:rsid w:val="00A47ABF"/>
    <w:rsid w:val="00AD4B01"/>
    <w:rsid w:val="00AE00E5"/>
    <w:rsid w:val="00C45F75"/>
    <w:rsid w:val="00F60D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E3D081"/>
  <w15:chartTrackingRefBased/>
  <w15:docId w15:val="{E1C347CC-F2EC-45B8-BE2F-8594D438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2677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26775"/>
    <w:pPr>
      <w:tabs>
        <w:tab w:val="center" w:pos="4153"/>
        <w:tab w:val="right" w:pos="8306"/>
      </w:tabs>
    </w:pPr>
  </w:style>
  <w:style w:type="character" w:customStyle="1" w:styleId="a4">
    <w:name w:val="כותרת עליונה תו"/>
    <w:link w:val="a3"/>
    <w:rsid w:val="00226775"/>
    <w:rPr>
      <w:rFonts w:ascii="Times New Roman" w:eastAsia="Times New Roman" w:hAnsi="Times New Roman" w:cs="David"/>
      <w:sz w:val="24"/>
      <w:szCs w:val="24"/>
    </w:rPr>
  </w:style>
  <w:style w:type="paragraph" w:styleId="a5">
    <w:name w:val="footer"/>
    <w:basedOn w:val="a"/>
    <w:link w:val="a6"/>
    <w:rsid w:val="00226775"/>
    <w:pPr>
      <w:tabs>
        <w:tab w:val="center" w:pos="4153"/>
        <w:tab w:val="right" w:pos="8306"/>
      </w:tabs>
    </w:pPr>
  </w:style>
  <w:style w:type="character" w:customStyle="1" w:styleId="a6">
    <w:name w:val="כותרת תחתונה תו"/>
    <w:link w:val="a5"/>
    <w:rsid w:val="00226775"/>
    <w:rPr>
      <w:rFonts w:ascii="Times New Roman" w:eastAsia="Times New Roman" w:hAnsi="Times New Roman" w:cs="David"/>
      <w:sz w:val="24"/>
      <w:szCs w:val="24"/>
    </w:rPr>
  </w:style>
  <w:style w:type="table" w:styleId="a7">
    <w:name w:val="Table Grid"/>
    <w:basedOn w:val="a1"/>
    <w:rsid w:val="0022677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26775"/>
  </w:style>
  <w:style w:type="paragraph" w:styleId="a9">
    <w:name w:val="List Paragraph"/>
    <w:basedOn w:val="a"/>
    <w:link w:val="aa"/>
    <w:qFormat/>
    <w:rsid w:val="00226775"/>
    <w:pPr>
      <w:snapToGrid w:val="0"/>
      <w:ind w:left="720"/>
      <w:contextualSpacing/>
    </w:pPr>
    <w:rPr>
      <w:sz w:val="20"/>
      <w:lang w:eastAsia="he-IL"/>
    </w:rPr>
  </w:style>
  <w:style w:type="character" w:customStyle="1" w:styleId="aa">
    <w:name w:val="פיסקת רשימה תו"/>
    <w:link w:val="a9"/>
    <w:locked/>
    <w:rsid w:val="00226775"/>
    <w:rPr>
      <w:rFonts w:ascii="Times New Roman" w:eastAsia="Times New Roman" w:hAnsi="Times New Roman" w:cs="David"/>
      <w:sz w:val="20"/>
      <w:szCs w:val="24"/>
      <w:lang w:eastAsia="he-IL"/>
    </w:rPr>
  </w:style>
  <w:style w:type="character" w:styleId="Hyperlink">
    <w:name w:val="Hyperlink"/>
    <w:rsid w:val="007912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7.a" TargetMode="External"/><Relationship Id="rId21" Type="http://schemas.openxmlformats.org/officeDocument/2006/relationships/hyperlink" Target="http://www.nevo.co.il/law/70301/85.a" TargetMode="External"/><Relationship Id="rId42" Type="http://schemas.openxmlformats.org/officeDocument/2006/relationships/hyperlink" Target="http://www.nevo.co.il/case/25304212" TargetMode="External"/><Relationship Id="rId47" Type="http://schemas.openxmlformats.org/officeDocument/2006/relationships/hyperlink" Target="http://www.nevo.co.il/case/21728820" TargetMode="External"/><Relationship Id="rId63" Type="http://schemas.openxmlformats.org/officeDocument/2006/relationships/hyperlink" Target="http://www.nevo.co.il/law/70301/40c.b" TargetMode="External"/><Relationship Id="rId68" Type="http://schemas.openxmlformats.org/officeDocument/2006/relationships/hyperlink" Target="http://www.nevo.co.il/law/70301/40f" TargetMode="External"/><Relationship Id="rId84" Type="http://schemas.openxmlformats.org/officeDocument/2006/relationships/header" Target="header1.xml"/><Relationship Id="rId89" Type="http://schemas.openxmlformats.org/officeDocument/2006/relationships/theme" Target="theme/theme1.xml"/><Relationship Id="rId16" Type="http://schemas.openxmlformats.org/officeDocument/2006/relationships/hyperlink" Target="http://www.nevo.co.il/law/70301/40g" TargetMode="External"/><Relationship Id="rId11" Type="http://schemas.openxmlformats.org/officeDocument/2006/relationships/hyperlink" Target="http://www.nevo.co.il/law/70301" TargetMode="External"/><Relationship Id="rId32" Type="http://schemas.openxmlformats.org/officeDocument/2006/relationships/hyperlink" Target="http://www.nevo.co.il/case/6120591" TargetMode="External"/><Relationship Id="rId37" Type="http://schemas.openxmlformats.org/officeDocument/2006/relationships/hyperlink" Target="http://www.nevo.co.il/law/70301" TargetMode="External"/><Relationship Id="rId53" Type="http://schemas.openxmlformats.org/officeDocument/2006/relationships/hyperlink" Target="http://www.nevo.co.il/law/4216/37a" TargetMode="External"/><Relationship Id="rId58" Type="http://schemas.openxmlformats.org/officeDocument/2006/relationships/hyperlink" Target="http://www.nevo.co.il/law/70301" TargetMode="External"/><Relationship Id="rId74" Type="http://schemas.openxmlformats.org/officeDocument/2006/relationships/hyperlink" Target="http://www.nevo.co.il/law/70301" TargetMode="External"/><Relationship Id="rId79" Type="http://schemas.openxmlformats.org/officeDocument/2006/relationships/hyperlink" Target="http://www.nevo.co.il/law/70301" TargetMode="External"/><Relationship Id="rId5" Type="http://schemas.openxmlformats.org/officeDocument/2006/relationships/footnotes" Target="footnotes.xml"/><Relationship Id="rId14" Type="http://schemas.openxmlformats.org/officeDocument/2006/relationships/hyperlink" Target="http://www.nevo.co.il/law/70301/40d" TargetMode="External"/><Relationship Id="rId22" Type="http://schemas.openxmlformats.org/officeDocument/2006/relationships/hyperlink" Target="http://www.nevo.co.il/law/70301/40ja" TargetMode="External"/><Relationship Id="rId27" Type="http://schemas.openxmlformats.org/officeDocument/2006/relationships/hyperlink" Target="http://www.nevo.co.il/law/4216/7.c"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2555735" TargetMode="External"/><Relationship Id="rId43" Type="http://schemas.openxmlformats.org/officeDocument/2006/relationships/hyperlink" Target="http://www.nevo.co.il/case/25111965" TargetMode="External"/><Relationship Id="rId48" Type="http://schemas.openxmlformats.org/officeDocument/2006/relationships/hyperlink" Target="http://www.nevo.co.il/case/13049328" TargetMode="External"/><Relationship Id="rId56" Type="http://schemas.openxmlformats.org/officeDocument/2006/relationships/hyperlink" Target="http://www.nevo.co.il/law/70301/85" TargetMode="External"/><Relationship Id="rId64" Type="http://schemas.openxmlformats.org/officeDocument/2006/relationships/hyperlink" Target="http://www.nevo.co.il/law/70301/40ja" TargetMode="External"/><Relationship Id="rId69" Type="http://schemas.openxmlformats.org/officeDocument/2006/relationships/hyperlink" Target="http://www.nevo.co.il/law/70301/40g" TargetMode="External"/><Relationship Id="rId77" Type="http://schemas.openxmlformats.org/officeDocument/2006/relationships/hyperlink" Target="http://www.nevo.co.il/law/70301/40f" TargetMode="External"/><Relationship Id="rId8" Type="http://schemas.openxmlformats.org/officeDocument/2006/relationships/hyperlink" Target="http://www.nevo.co.il/law/4216/7.a" TargetMode="External"/><Relationship Id="rId51" Type="http://schemas.openxmlformats.org/officeDocument/2006/relationships/hyperlink" Target="http://www.nevo.co.il/law/70301/40h" TargetMode="External"/><Relationship Id="rId72" Type="http://schemas.openxmlformats.org/officeDocument/2006/relationships/hyperlink" Target="http://www.nevo.co.il/case/5962012" TargetMode="External"/><Relationship Id="rId80" Type="http://schemas.openxmlformats.org/officeDocument/2006/relationships/hyperlink" Target="http://www.nevo.co.il/case/23791153" TargetMode="External"/><Relationship Id="rId85"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70301/40h" TargetMode="External"/><Relationship Id="rId25" Type="http://schemas.openxmlformats.org/officeDocument/2006/relationships/hyperlink" Target="http://www.nevo.co.il/law/5227/36.f" TargetMode="External"/><Relationship Id="rId33" Type="http://schemas.openxmlformats.org/officeDocument/2006/relationships/hyperlink" Target="http://www.nevo.co.il/case/27311339" TargetMode="External"/><Relationship Id="rId38" Type="http://schemas.openxmlformats.org/officeDocument/2006/relationships/hyperlink" Target="http://www.nevo.co.il/law/5227/36.f" TargetMode="External"/><Relationship Id="rId46" Type="http://schemas.openxmlformats.org/officeDocument/2006/relationships/hyperlink" Target="http://www.nevo.co.il/case/20578888" TargetMode="External"/><Relationship Id="rId59" Type="http://schemas.openxmlformats.org/officeDocument/2006/relationships/hyperlink" Target="http://www.nevo.co.il/law/70301/56"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85" TargetMode="External"/><Relationship Id="rId41" Type="http://schemas.openxmlformats.org/officeDocument/2006/relationships/hyperlink" Target="http://www.nevo.co.il/case/20313996" TargetMode="External"/><Relationship Id="rId54" Type="http://schemas.openxmlformats.org/officeDocument/2006/relationships/hyperlink" Target="http://www.nevo.co.il/law/70301/56.b" TargetMode="External"/><Relationship Id="rId62" Type="http://schemas.openxmlformats.org/officeDocument/2006/relationships/hyperlink" Target="http://www.nevo.co.il/law/70301" TargetMode="External"/><Relationship Id="rId70" Type="http://schemas.openxmlformats.org/officeDocument/2006/relationships/hyperlink" Target="http://www.nevo.co.il/law/70301" TargetMode="External"/><Relationship Id="rId75" Type="http://schemas.openxmlformats.org/officeDocument/2006/relationships/hyperlink" Target="http://www.nevo.co.il/case/23791153" TargetMode="External"/><Relationship Id="rId83" Type="http://schemas.openxmlformats.org/officeDocument/2006/relationships/hyperlink" Target="http://www.nevo.co.il/advertisements/nevo-100.doc"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f" TargetMode="External"/><Relationship Id="rId23" Type="http://schemas.openxmlformats.org/officeDocument/2006/relationships/hyperlink" Target="http://www.nevo.co.il/law/70301/40ji" TargetMode="External"/><Relationship Id="rId28" Type="http://schemas.openxmlformats.org/officeDocument/2006/relationships/hyperlink" Target="http://www.nevo.co.il/law/4216" TargetMode="External"/><Relationship Id="rId36" Type="http://schemas.openxmlformats.org/officeDocument/2006/relationships/hyperlink" Target="http://www.nevo.co.il/law/70301/85" TargetMode="External"/><Relationship Id="rId49" Type="http://schemas.openxmlformats.org/officeDocument/2006/relationships/hyperlink" Target="http://www.nevo.co.il/law/70301/40ji" TargetMode="External"/><Relationship Id="rId57" Type="http://schemas.openxmlformats.org/officeDocument/2006/relationships/hyperlink" Target="http://www.nevo.co.il/law/70301/40d" TargetMode="External"/><Relationship Id="rId10" Type="http://schemas.openxmlformats.org/officeDocument/2006/relationships/hyperlink" Target="http://www.nevo.co.il/law/4216/37a" TargetMode="External"/><Relationship Id="rId31" Type="http://schemas.openxmlformats.org/officeDocument/2006/relationships/hyperlink" Target="http://www.nevo.co.il/case/5805976" TargetMode="External"/><Relationship Id="rId44" Type="http://schemas.openxmlformats.org/officeDocument/2006/relationships/hyperlink" Target="http://www.nevo.co.il/case/24343133" TargetMode="External"/><Relationship Id="rId52" Type="http://schemas.openxmlformats.org/officeDocument/2006/relationships/hyperlink" Target="http://www.nevo.co.il/law/70301" TargetMode="External"/><Relationship Id="rId60" Type="http://schemas.openxmlformats.org/officeDocument/2006/relationships/hyperlink" Target="http://www.nevo.co.il/law/70301/85" TargetMode="External"/><Relationship Id="rId65" Type="http://schemas.openxmlformats.org/officeDocument/2006/relationships/hyperlink" Target="http://www.nevo.co.il/law/70301/56" TargetMode="External"/><Relationship Id="rId73" Type="http://schemas.openxmlformats.org/officeDocument/2006/relationships/hyperlink" Target="http://www.nevo.co.il/law/70301/40d" TargetMode="External"/><Relationship Id="rId78" Type="http://schemas.openxmlformats.org/officeDocument/2006/relationships/hyperlink" Target="http://www.nevo.co.il/law/70301/40g" TargetMode="External"/><Relationship Id="rId81" Type="http://schemas.openxmlformats.org/officeDocument/2006/relationships/hyperlink" Target="http://www.nevo.co.il/case/23288962" TargetMode="External"/><Relationship Id="rId86"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c.b" TargetMode="External"/><Relationship Id="rId18" Type="http://schemas.openxmlformats.org/officeDocument/2006/relationships/hyperlink" Target="http://www.nevo.co.il/law/70301/56" TargetMode="External"/><Relationship Id="rId39" Type="http://schemas.openxmlformats.org/officeDocument/2006/relationships/hyperlink" Target="http://www.nevo.co.il/law/5227" TargetMode="External"/><Relationship Id="rId34" Type="http://schemas.openxmlformats.org/officeDocument/2006/relationships/hyperlink" Target="http://www.nevo.co.il/case/26116111"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 TargetMode="External"/><Relationship Id="rId76" Type="http://schemas.openxmlformats.org/officeDocument/2006/relationships/hyperlink" Target="http://www.nevo.co.il/case/23288962" TargetMode="External"/><Relationship Id="rId7" Type="http://schemas.openxmlformats.org/officeDocument/2006/relationships/hyperlink" Target="http://www.nevo.co.il/law/4216" TargetMode="External"/><Relationship Id="rId71" Type="http://schemas.openxmlformats.org/officeDocument/2006/relationships/hyperlink" Target="http://www.nevo.co.il/case/17942576" TargetMode="External"/><Relationship Id="rId2" Type="http://schemas.openxmlformats.org/officeDocument/2006/relationships/styles" Target="styles.xml"/><Relationship Id="rId29" Type="http://schemas.openxmlformats.org/officeDocument/2006/relationships/hyperlink" Target="http://www.nevo.co.il/law/70301/40c.a" TargetMode="External"/><Relationship Id="rId24" Type="http://schemas.openxmlformats.org/officeDocument/2006/relationships/hyperlink" Target="http://www.nevo.co.il/law/5227" TargetMode="External"/><Relationship Id="rId40" Type="http://schemas.openxmlformats.org/officeDocument/2006/relationships/hyperlink" Target="http://www.nevo.co.il/case/20632055" TargetMode="External"/><Relationship Id="rId45" Type="http://schemas.openxmlformats.org/officeDocument/2006/relationships/hyperlink" Target="http://www.nevo.co.il/case/20991958" TargetMode="External"/><Relationship Id="rId66" Type="http://schemas.openxmlformats.org/officeDocument/2006/relationships/hyperlink" Target="http://www.nevo.co.il/law/70301/85.a" TargetMode="External"/><Relationship Id="rId87" Type="http://schemas.openxmlformats.org/officeDocument/2006/relationships/footer" Target="footer2.xml"/><Relationship Id="rId61" Type="http://schemas.openxmlformats.org/officeDocument/2006/relationships/hyperlink" Target="http://www.nevo.co.il/case/6032057" TargetMode="External"/><Relationship Id="rId82" Type="http://schemas.openxmlformats.org/officeDocument/2006/relationships/hyperlink" Target="http://www.nevo.co.il/case/23288962" TargetMode="External"/><Relationship Id="rId19" Type="http://schemas.openxmlformats.org/officeDocument/2006/relationships/hyperlink" Target="http://www.nevo.co.il/law/70301/56.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5420</Words>
  <Characters>27102</Characters>
  <Application>Microsoft Office Word</Application>
  <DocSecurity>0</DocSecurity>
  <Lines>225</Lines>
  <Paragraphs>64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32458</CharactersWithSpaces>
  <SharedDoc>false</SharedDoc>
  <HLinks>
    <vt:vector size="462" baseType="variant">
      <vt:variant>
        <vt:i4>393283</vt:i4>
      </vt:variant>
      <vt:variant>
        <vt:i4>228</vt:i4>
      </vt:variant>
      <vt:variant>
        <vt:i4>0</vt:i4>
      </vt:variant>
      <vt:variant>
        <vt:i4>5</vt:i4>
      </vt:variant>
      <vt:variant>
        <vt:lpwstr>http://www.nevo.co.il/advertisements/nevo-100.doc</vt:lpwstr>
      </vt:variant>
      <vt:variant>
        <vt:lpwstr/>
      </vt:variant>
      <vt:variant>
        <vt:i4>4063350</vt:i4>
      </vt:variant>
      <vt:variant>
        <vt:i4>225</vt:i4>
      </vt:variant>
      <vt:variant>
        <vt:i4>0</vt:i4>
      </vt:variant>
      <vt:variant>
        <vt:i4>5</vt:i4>
      </vt:variant>
      <vt:variant>
        <vt:lpwstr>http://www.nevo.co.il/case/23288962</vt:lpwstr>
      </vt:variant>
      <vt:variant>
        <vt:lpwstr/>
      </vt:variant>
      <vt:variant>
        <vt:i4>4063350</vt:i4>
      </vt:variant>
      <vt:variant>
        <vt:i4>222</vt:i4>
      </vt:variant>
      <vt:variant>
        <vt:i4>0</vt:i4>
      </vt:variant>
      <vt:variant>
        <vt:i4>5</vt:i4>
      </vt:variant>
      <vt:variant>
        <vt:lpwstr>http://www.nevo.co.il/case/23288962</vt:lpwstr>
      </vt:variant>
      <vt:variant>
        <vt:lpwstr/>
      </vt:variant>
      <vt:variant>
        <vt:i4>3211391</vt:i4>
      </vt:variant>
      <vt:variant>
        <vt:i4>219</vt:i4>
      </vt:variant>
      <vt:variant>
        <vt:i4>0</vt:i4>
      </vt:variant>
      <vt:variant>
        <vt:i4>5</vt:i4>
      </vt:variant>
      <vt:variant>
        <vt:lpwstr>http://www.nevo.co.il/case/23791153</vt:lpwstr>
      </vt:variant>
      <vt:variant>
        <vt:lpwstr/>
      </vt:variant>
      <vt:variant>
        <vt:i4>7995492</vt:i4>
      </vt:variant>
      <vt:variant>
        <vt:i4>216</vt:i4>
      </vt:variant>
      <vt:variant>
        <vt:i4>0</vt:i4>
      </vt:variant>
      <vt:variant>
        <vt:i4>5</vt:i4>
      </vt:variant>
      <vt:variant>
        <vt:lpwstr>http://www.nevo.co.il/law/70301</vt:lpwstr>
      </vt:variant>
      <vt:variant>
        <vt:lpwstr/>
      </vt:variant>
      <vt:variant>
        <vt:i4>6619233</vt:i4>
      </vt:variant>
      <vt:variant>
        <vt:i4>213</vt:i4>
      </vt:variant>
      <vt:variant>
        <vt:i4>0</vt:i4>
      </vt:variant>
      <vt:variant>
        <vt:i4>5</vt:i4>
      </vt:variant>
      <vt:variant>
        <vt:lpwstr>http://www.nevo.co.il/law/70301/40g</vt:lpwstr>
      </vt:variant>
      <vt:variant>
        <vt:lpwstr/>
      </vt:variant>
      <vt:variant>
        <vt:i4>6619233</vt:i4>
      </vt:variant>
      <vt:variant>
        <vt:i4>210</vt:i4>
      </vt:variant>
      <vt:variant>
        <vt:i4>0</vt:i4>
      </vt:variant>
      <vt:variant>
        <vt:i4>5</vt:i4>
      </vt:variant>
      <vt:variant>
        <vt:lpwstr>http://www.nevo.co.il/law/70301/40f</vt:lpwstr>
      </vt:variant>
      <vt:variant>
        <vt:lpwstr/>
      </vt:variant>
      <vt:variant>
        <vt:i4>4063350</vt:i4>
      </vt:variant>
      <vt:variant>
        <vt:i4>207</vt:i4>
      </vt:variant>
      <vt:variant>
        <vt:i4>0</vt:i4>
      </vt:variant>
      <vt:variant>
        <vt:i4>5</vt:i4>
      </vt:variant>
      <vt:variant>
        <vt:lpwstr>http://www.nevo.co.il/case/23288962</vt:lpwstr>
      </vt:variant>
      <vt:variant>
        <vt:lpwstr/>
      </vt:variant>
      <vt:variant>
        <vt:i4>3211391</vt:i4>
      </vt:variant>
      <vt:variant>
        <vt:i4>204</vt:i4>
      </vt:variant>
      <vt:variant>
        <vt:i4>0</vt:i4>
      </vt:variant>
      <vt:variant>
        <vt:i4>5</vt:i4>
      </vt:variant>
      <vt:variant>
        <vt:lpwstr>http://www.nevo.co.il/case/23791153</vt:lpwstr>
      </vt:variant>
      <vt:variant>
        <vt:lpwstr/>
      </vt:variant>
      <vt:variant>
        <vt:i4>7995492</vt:i4>
      </vt:variant>
      <vt:variant>
        <vt:i4>201</vt:i4>
      </vt:variant>
      <vt:variant>
        <vt:i4>0</vt:i4>
      </vt:variant>
      <vt:variant>
        <vt:i4>5</vt:i4>
      </vt:variant>
      <vt:variant>
        <vt:lpwstr>http://www.nevo.co.il/law/70301</vt:lpwstr>
      </vt:variant>
      <vt:variant>
        <vt:lpwstr/>
      </vt:variant>
      <vt:variant>
        <vt:i4>6619233</vt:i4>
      </vt:variant>
      <vt:variant>
        <vt:i4>198</vt:i4>
      </vt:variant>
      <vt:variant>
        <vt:i4>0</vt:i4>
      </vt:variant>
      <vt:variant>
        <vt:i4>5</vt:i4>
      </vt:variant>
      <vt:variant>
        <vt:lpwstr>http://www.nevo.co.il/law/70301/40d</vt:lpwstr>
      </vt:variant>
      <vt:variant>
        <vt:lpwstr/>
      </vt:variant>
      <vt:variant>
        <vt:i4>3211390</vt:i4>
      </vt:variant>
      <vt:variant>
        <vt:i4>195</vt:i4>
      </vt:variant>
      <vt:variant>
        <vt:i4>0</vt:i4>
      </vt:variant>
      <vt:variant>
        <vt:i4>5</vt:i4>
      </vt:variant>
      <vt:variant>
        <vt:lpwstr>http://www.nevo.co.il/case/5962012</vt:lpwstr>
      </vt:variant>
      <vt:variant>
        <vt:lpwstr/>
      </vt:variant>
      <vt:variant>
        <vt:i4>3997810</vt:i4>
      </vt:variant>
      <vt:variant>
        <vt:i4>192</vt:i4>
      </vt:variant>
      <vt:variant>
        <vt:i4>0</vt:i4>
      </vt:variant>
      <vt:variant>
        <vt:i4>5</vt:i4>
      </vt:variant>
      <vt:variant>
        <vt:lpwstr>http://www.nevo.co.il/case/17942576</vt:lpwstr>
      </vt:variant>
      <vt:variant>
        <vt:lpwstr/>
      </vt:variant>
      <vt:variant>
        <vt:i4>7995492</vt:i4>
      </vt:variant>
      <vt:variant>
        <vt:i4>189</vt:i4>
      </vt:variant>
      <vt:variant>
        <vt:i4>0</vt:i4>
      </vt:variant>
      <vt:variant>
        <vt:i4>5</vt:i4>
      </vt:variant>
      <vt:variant>
        <vt:lpwstr>http://www.nevo.co.il/law/70301</vt:lpwstr>
      </vt:variant>
      <vt:variant>
        <vt:lpwstr/>
      </vt:variant>
      <vt:variant>
        <vt:i4>6619233</vt:i4>
      </vt:variant>
      <vt:variant>
        <vt:i4>186</vt:i4>
      </vt:variant>
      <vt:variant>
        <vt:i4>0</vt:i4>
      </vt:variant>
      <vt:variant>
        <vt:i4>5</vt:i4>
      </vt:variant>
      <vt:variant>
        <vt:lpwstr>http://www.nevo.co.il/law/70301/40g</vt:lpwstr>
      </vt:variant>
      <vt:variant>
        <vt:lpwstr/>
      </vt:variant>
      <vt:variant>
        <vt:i4>6619233</vt:i4>
      </vt:variant>
      <vt:variant>
        <vt:i4>183</vt:i4>
      </vt:variant>
      <vt:variant>
        <vt:i4>0</vt:i4>
      </vt:variant>
      <vt:variant>
        <vt:i4>5</vt:i4>
      </vt:variant>
      <vt:variant>
        <vt:lpwstr>http://www.nevo.co.il/law/70301/40f</vt:lpwstr>
      </vt:variant>
      <vt:variant>
        <vt:lpwstr/>
      </vt:variant>
      <vt:variant>
        <vt:i4>7995492</vt:i4>
      </vt:variant>
      <vt:variant>
        <vt:i4>180</vt:i4>
      </vt:variant>
      <vt:variant>
        <vt:i4>0</vt:i4>
      </vt:variant>
      <vt:variant>
        <vt:i4>5</vt:i4>
      </vt:variant>
      <vt:variant>
        <vt:lpwstr>http://www.nevo.co.il/law/70301</vt:lpwstr>
      </vt:variant>
      <vt:variant>
        <vt:lpwstr/>
      </vt:variant>
      <vt:variant>
        <vt:i4>65603</vt:i4>
      </vt:variant>
      <vt:variant>
        <vt:i4>177</vt:i4>
      </vt:variant>
      <vt:variant>
        <vt:i4>0</vt:i4>
      </vt:variant>
      <vt:variant>
        <vt:i4>5</vt:i4>
      </vt:variant>
      <vt:variant>
        <vt:lpwstr>http://www.nevo.co.il/law/70301/85.a</vt:lpwstr>
      </vt:variant>
      <vt:variant>
        <vt:lpwstr/>
      </vt:variant>
      <vt:variant>
        <vt:i4>6488160</vt:i4>
      </vt:variant>
      <vt:variant>
        <vt:i4>174</vt:i4>
      </vt:variant>
      <vt:variant>
        <vt:i4>0</vt:i4>
      </vt:variant>
      <vt:variant>
        <vt:i4>5</vt:i4>
      </vt:variant>
      <vt:variant>
        <vt:lpwstr>http://www.nevo.co.il/law/70301/56</vt:lpwstr>
      </vt:variant>
      <vt:variant>
        <vt:lpwstr/>
      </vt:variant>
      <vt:variant>
        <vt:i4>262155</vt:i4>
      </vt:variant>
      <vt:variant>
        <vt:i4>171</vt:i4>
      </vt:variant>
      <vt:variant>
        <vt:i4>0</vt:i4>
      </vt:variant>
      <vt:variant>
        <vt:i4>5</vt:i4>
      </vt:variant>
      <vt:variant>
        <vt:lpwstr>http://www.nevo.co.il/law/70301/40ja</vt:lpwstr>
      </vt:variant>
      <vt:variant>
        <vt:lpwstr/>
      </vt:variant>
      <vt:variant>
        <vt:i4>4915202</vt:i4>
      </vt:variant>
      <vt:variant>
        <vt:i4>168</vt:i4>
      </vt:variant>
      <vt:variant>
        <vt:i4>0</vt:i4>
      </vt:variant>
      <vt:variant>
        <vt:i4>5</vt:i4>
      </vt:variant>
      <vt:variant>
        <vt:lpwstr>http://www.nevo.co.il/law/70301/40c.b</vt:lpwstr>
      </vt:variant>
      <vt:variant>
        <vt:lpwstr/>
      </vt:variant>
      <vt:variant>
        <vt:i4>7995492</vt:i4>
      </vt:variant>
      <vt:variant>
        <vt:i4>165</vt:i4>
      </vt:variant>
      <vt:variant>
        <vt:i4>0</vt:i4>
      </vt:variant>
      <vt:variant>
        <vt:i4>5</vt:i4>
      </vt:variant>
      <vt:variant>
        <vt:lpwstr>http://www.nevo.co.il/law/70301</vt:lpwstr>
      </vt:variant>
      <vt:variant>
        <vt:lpwstr/>
      </vt:variant>
      <vt:variant>
        <vt:i4>3276915</vt:i4>
      </vt:variant>
      <vt:variant>
        <vt:i4>162</vt:i4>
      </vt:variant>
      <vt:variant>
        <vt:i4>0</vt:i4>
      </vt:variant>
      <vt:variant>
        <vt:i4>5</vt:i4>
      </vt:variant>
      <vt:variant>
        <vt:lpwstr>http://www.nevo.co.il/case/6032057</vt:lpwstr>
      </vt:variant>
      <vt:variant>
        <vt:lpwstr/>
      </vt:variant>
      <vt:variant>
        <vt:i4>6291565</vt:i4>
      </vt:variant>
      <vt:variant>
        <vt:i4>159</vt:i4>
      </vt:variant>
      <vt:variant>
        <vt:i4>0</vt:i4>
      </vt:variant>
      <vt:variant>
        <vt:i4>5</vt:i4>
      </vt:variant>
      <vt:variant>
        <vt:lpwstr>http://www.nevo.co.il/law/70301/85</vt:lpwstr>
      </vt:variant>
      <vt:variant>
        <vt:lpwstr/>
      </vt:variant>
      <vt:variant>
        <vt:i4>6488160</vt:i4>
      </vt:variant>
      <vt:variant>
        <vt:i4>156</vt:i4>
      </vt:variant>
      <vt:variant>
        <vt:i4>0</vt:i4>
      </vt:variant>
      <vt:variant>
        <vt:i4>5</vt:i4>
      </vt:variant>
      <vt:variant>
        <vt:lpwstr>http://www.nevo.co.il/law/70301/56</vt:lpwstr>
      </vt:variant>
      <vt:variant>
        <vt:lpwstr/>
      </vt:variant>
      <vt:variant>
        <vt:i4>7995492</vt:i4>
      </vt:variant>
      <vt:variant>
        <vt:i4>153</vt:i4>
      </vt:variant>
      <vt:variant>
        <vt:i4>0</vt:i4>
      </vt:variant>
      <vt:variant>
        <vt:i4>5</vt:i4>
      </vt:variant>
      <vt:variant>
        <vt:lpwstr>http://www.nevo.co.il/law/70301</vt:lpwstr>
      </vt:variant>
      <vt:variant>
        <vt:lpwstr/>
      </vt:variant>
      <vt:variant>
        <vt:i4>6619233</vt:i4>
      </vt:variant>
      <vt:variant>
        <vt:i4>150</vt:i4>
      </vt:variant>
      <vt:variant>
        <vt:i4>0</vt:i4>
      </vt:variant>
      <vt:variant>
        <vt:i4>5</vt:i4>
      </vt:variant>
      <vt:variant>
        <vt:lpwstr>http://www.nevo.co.il/law/70301/40d</vt:lpwstr>
      </vt:variant>
      <vt:variant>
        <vt:lpwstr/>
      </vt:variant>
      <vt:variant>
        <vt:i4>6291565</vt:i4>
      </vt:variant>
      <vt:variant>
        <vt:i4>147</vt:i4>
      </vt:variant>
      <vt:variant>
        <vt:i4>0</vt:i4>
      </vt:variant>
      <vt:variant>
        <vt:i4>5</vt:i4>
      </vt:variant>
      <vt:variant>
        <vt:lpwstr>http://www.nevo.co.il/law/70301/85</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65614</vt:i4>
      </vt:variant>
      <vt:variant>
        <vt:i4>141</vt:i4>
      </vt:variant>
      <vt:variant>
        <vt:i4>0</vt:i4>
      </vt:variant>
      <vt:variant>
        <vt:i4>5</vt:i4>
      </vt:variant>
      <vt:variant>
        <vt:lpwstr>http://www.nevo.co.il/law/70301/56.b</vt:lpwstr>
      </vt:variant>
      <vt:variant>
        <vt:lpwstr/>
      </vt:variant>
      <vt:variant>
        <vt:i4>2883709</vt:i4>
      </vt:variant>
      <vt:variant>
        <vt:i4>138</vt:i4>
      </vt:variant>
      <vt:variant>
        <vt:i4>0</vt:i4>
      </vt:variant>
      <vt:variant>
        <vt:i4>5</vt:i4>
      </vt:variant>
      <vt:variant>
        <vt:lpwstr>http://www.nevo.co.il/law/4216/37a</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6619233</vt:i4>
      </vt:variant>
      <vt:variant>
        <vt:i4>132</vt:i4>
      </vt:variant>
      <vt:variant>
        <vt:i4>0</vt:i4>
      </vt:variant>
      <vt:variant>
        <vt:i4>5</vt:i4>
      </vt:variant>
      <vt:variant>
        <vt:lpwstr>http://www.nevo.co.il/law/70301/40h</vt:lpwstr>
      </vt:variant>
      <vt:variant>
        <vt:lpwstr/>
      </vt:variant>
      <vt:variant>
        <vt:i4>7995492</vt:i4>
      </vt:variant>
      <vt:variant>
        <vt:i4>129</vt:i4>
      </vt:variant>
      <vt:variant>
        <vt:i4>0</vt:i4>
      </vt:variant>
      <vt:variant>
        <vt:i4>5</vt:i4>
      </vt:variant>
      <vt:variant>
        <vt:lpwstr>http://www.nevo.co.il/law/70301</vt:lpwstr>
      </vt:variant>
      <vt:variant>
        <vt:lpwstr/>
      </vt:variant>
      <vt:variant>
        <vt:i4>786443</vt:i4>
      </vt:variant>
      <vt:variant>
        <vt:i4>126</vt:i4>
      </vt:variant>
      <vt:variant>
        <vt:i4>0</vt:i4>
      </vt:variant>
      <vt:variant>
        <vt:i4>5</vt:i4>
      </vt:variant>
      <vt:variant>
        <vt:lpwstr>http://www.nevo.co.il/law/70301/40ji</vt:lpwstr>
      </vt:variant>
      <vt:variant>
        <vt:lpwstr/>
      </vt:variant>
      <vt:variant>
        <vt:i4>3801200</vt:i4>
      </vt:variant>
      <vt:variant>
        <vt:i4>123</vt:i4>
      </vt:variant>
      <vt:variant>
        <vt:i4>0</vt:i4>
      </vt:variant>
      <vt:variant>
        <vt:i4>5</vt:i4>
      </vt:variant>
      <vt:variant>
        <vt:lpwstr>http://www.nevo.co.il/case/13049328</vt:lpwstr>
      </vt:variant>
      <vt:variant>
        <vt:lpwstr/>
      </vt:variant>
      <vt:variant>
        <vt:i4>4128895</vt:i4>
      </vt:variant>
      <vt:variant>
        <vt:i4>120</vt:i4>
      </vt:variant>
      <vt:variant>
        <vt:i4>0</vt:i4>
      </vt:variant>
      <vt:variant>
        <vt:i4>5</vt:i4>
      </vt:variant>
      <vt:variant>
        <vt:lpwstr>http://www.nevo.co.il/case/21728820</vt:lpwstr>
      </vt:variant>
      <vt:variant>
        <vt:lpwstr/>
      </vt:variant>
      <vt:variant>
        <vt:i4>3604603</vt:i4>
      </vt:variant>
      <vt:variant>
        <vt:i4>117</vt:i4>
      </vt:variant>
      <vt:variant>
        <vt:i4>0</vt:i4>
      </vt:variant>
      <vt:variant>
        <vt:i4>5</vt:i4>
      </vt:variant>
      <vt:variant>
        <vt:lpwstr>http://www.nevo.co.il/case/20578888</vt:lpwstr>
      </vt:variant>
      <vt:variant>
        <vt:lpwstr/>
      </vt:variant>
      <vt:variant>
        <vt:i4>4128884</vt:i4>
      </vt:variant>
      <vt:variant>
        <vt:i4>114</vt:i4>
      </vt:variant>
      <vt:variant>
        <vt:i4>0</vt:i4>
      </vt:variant>
      <vt:variant>
        <vt:i4>5</vt:i4>
      </vt:variant>
      <vt:variant>
        <vt:lpwstr>http://www.nevo.co.il/case/20991958</vt:lpwstr>
      </vt:variant>
      <vt:variant>
        <vt:lpwstr/>
      </vt:variant>
      <vt:variant>
        <vt:i4>3211381</vt:i4>
      </vt:variant>
      <vt:variant>
        <vt:i4>111</vt:i4>
      </vt:variant>
      <vt:variant>
        <vt:i4>0</vt:i4>
      </vt:variant>
      <vt:variant>
        <vt:i4>5</vt:i4>
      </vt:variant>
      <vt:variant>
        <vt:lpwstr>http://www.nevo.co.il/case/24343133</vt:lpwstr>
      </vt:variant>
      <vt:variant>
        <vt:lpwstr/>
      </vt:variant>
      <vt:variant>
        <vt:i4>3407993</vt:i4>
      </vt:variant>
      <vt:variant>
        <vt:i4>108</vt:i4>
      </vt:variant>
      <vt:variant>
        <vt:i4>0</vt:i4>
      </vt:variant>
      <vt:variant>
        <vt:i4>5</vt:i4>
      </vt:variant>
      <vt:variant>
        <vt:lpwstr>http://www.nevo.co.il/case/25111965</vt:lpwstr>
      </vt:variant>
      <vt:variant>
        <vt:lpwstr/>
      </vt:variant>
      <vt:variant>
        <vt:i4>3407987</vt:i4>
      </vt:variant>
      <vt:variant>
        <vt:i4>105</vt:i4>
      </vt:variant>
      <vt:variant>
        <vt:i4>0</vt:i4>
      </vt:variant>
      <vt:variant>
        <vt:i4>5</vt:i4>
      </vt:variant>
      <vt:variant>
        <vt:lpwstr>http://www.nevo.co.il/case/25304212</vt:lpwstr>
      </vt:variant>
      <vt:variant>
        <vt:lpwstr/>
      </vt:variant>
      <vt:variant>
        <vt:i4>3866748</vt:i4>
      </vt:variant>
      <vt:variant>
        <vt:i4>102</vt:i4>
      </vt:variant>
      <vt:variant>
        <vt:i4>0</vt:i4>
      </vt:variant>
      <vt:variant>
        <vt:i4>5</vt:i4>
      </vt:variant>
      <vt:variant>
        <vt:lpwstr>http://www.nevo.co.il/case/20313996</vt:lpwstr>
      </vt:variant>
      <vt:variant>
        <vt:lpwstr/>
      </vt:variant>
      <vt:variant>
        <vt:i4>3342455</vt:i4>
      </vt:variant>
      <vt:variant>
        <vt:i4>99</vt:i4>
      </vt:variant>
      <vt:variant>
        <vt:i4>0</vt:i4>
      </vt:variant>
      <vt:variant>
        <vt:i4>5</vt:i4>
      </vt:variant>
      <vt:variant>
        <vt:lpwstr>http://www.nevo.co.il/case/20632055</vt:lpwstr>
      </vt:variant>
      <vt:variant>
        <vt:lpwstr/>
      </vt:variant>
      <vt:variant>
        <vt:i4>8323175</vt:i4>
      </vt:variant>
      <vt:variant>
        <vt:i4>96</vt:i4>
      </vt:variant>
      <vt:variant>
        <vt:i4>0</vt:i4>
      </vt:variant>
      <vt:variant>
        <vt:i4>5</vt:i4>
      </vt:variant>
      <vt:variant>
        <vt:lpwstr>http://www.nevo.co.il/law/5227</vt:lpwstr>
      </vt:variant>
      <vt:variant>
        <vt:lpwstr/>
      </vt:variant>
      <vt:variant>
        <vt:i4>6422654</vt:i4>
      </vt:variant>
      <vt:variant>
        <vt:i4>93</vt:i4>
      </vt:variant>
      <vt:variant>
        <vt:i4>0</vt:i4>
      </vt:variant>
      <vt:variant>
        <vt:i4>5</vt:i4>
      </vt:variant>
      <vt:variant>
        <vt:lpwstr>http://www.nevo.co.il/law/5227/36.f</vt:lpwstr>
      </vt:variant>
      <vt:variant>
        <vt:lpwstr/>
      </vt:variant>
      <vt:variant>
        <vt:i4>7995492</vt:i4>
      </vt:variant>
      <vt:variant>
        <vt:i4>90</vt:i4>
      </vt:variant>
      <vt:variant>
        <vt:i4>0</vt:i4>
      </vt:variant>
      <vt:variant>
        <vt:i4>5</vt:i4>
      </vt:variant>
      <vt:variant>
        <vt:lpwstr>http://www.nevo.co.il/law/70301</vt:lpwstr>
      </vt:variant>
      <vt:variant>
        <vt:lpwstr/>
      </vt:variant>
      <vt:variant>
        <vt:i4>6291565</vt:i4>
      </vt:variant>
      <vt:variant>
        <vt:i4>87</vt:i4>
      </vt:variant>
      <vt:variant>
        <vt:i4>0</vt:i4>
      </vt:variant>
      <vt:variant>
        <vt:i4>5</vt:i4>
      </vt:variant>
      <vt:variant>
        <vt:lpwstr>http://www.nevo.co.il/law/70301/85</vt:lpwstr>
      </vt:variant>
      <vt:variant>
        <vt:lpwstr/>
      </vt:variant>
      <vt:variant>
        <vt:i4>3211380</vt:i4>
      </vt:variant>
      <vt:variant>
        <vt:i4>84</vt:i4>
      </vt:variant>
      <vt:variant>
        <vt:i4>0</vt:i4>
      </vt:variant>
      <vt:variant>
        <vt:i4>5</vt:i4>
      </vt:variant>
      <vt:variant>
        <vt:lpwstr>http://www.nevo.co.il/case/22555735</vt:lpwstr>
      </vt:variant>
      <vt:variant>
        <vt:lpwstr/>
      </vt:variant>
      <vt:variant>
        <vt:i4>3407986</vt:i4>
      </vt:variant>
      <vt:variant>
        <vt:i4>81</vt:i4>
      </vt:variant>
      <vt:variant>
        <vt:i4>0</vt:i4>
      </vt:variant>
      <vt:variant>
        <vt:i4>5</vt:i4>
      </vt:variant>
      <vt:variant>
        <vt:lpwstr>http://www.nevo.co.il/case/26116111</vt:lpwstr>
      </vt:variant>
      <vt:variant>
        <vt:lpwstr/>
      </vt:variant>
      <vt:variant>
        <vt:i4>3342449</vt:i4>
      </vt:variant>
      <vt:variant>
        <vt:i4>78</vt:i4>
      </vt:variant>
      <vt:variant>
        <vt:i4>0</vt:i4>
      </vt:variant>
      <vt:variant>
        <vt:i4>5</vt:i4>
      </vt:variant>
      <vt:variant>
        <vt:lpwstr>http://www.nevo.co.il/case/27311339</vt:lpwstr>
      </vt:variant>
      <vt:variant>
        <vt:lpwstr/>
      </vt:variant>
      <vt:variant>
        <vt:i4>3145852</vt:i4>
      </vt:variant>
      <vt:variant>
        <vt:i4>75</vt:i4>
      </vt:variant>
      <vt:variant>
        <vt:i4>0</vt:i4>
      </vt:variant>
      <vt:variant>
        <vt:i4>5</vt:i4>
      </vt:variant>
      <vt:variant>
        <vt:lpwstr>http://www.nevo.co.il/case/6120591</vt:lpwstr>
      </vt:variant>
      <vt:variant>
        <vt:lpwstr/>
      </vt:variant>
      <vt:variant>
        <vt:i4>3801214</vt:i4>
      </vt:variant>
      <vt:variant>
        <vt:i4>72</vt:i4>
      </vt:variant>
      <vt:variant>
        <vt:i4>0</vt:i4>
      </vt:variant>
      <vt:variant>
        <vt:i4>5</vt:i4>
      </vt:variant>
      <vt:variant>
        <vt:lpwstr>http://www.nevo.co.il/case/5805976</vt:lpwstr>
      </vt:variant>
      <vt:variant>
        <vt:lpwstr/>
      </vt:variant>
      <vt:variant>
        <vt:i4>7995492</vt:i4>
      </vt:variant>
      <vt:variant>
        <vt:i4>69</vt:i4>
      </vt:variant>
      <vt:variant>
        <vt:i4>0</vt:i4>
      </vt:variant>
      <vt:variant>
        <vt:i4>5</vt:i4>
      </vt:variant>
      <vt:variant>
        <vt:lpwstr>http://www.nevo.co.il/law/70301</vt:lpwstr>
      </vt:variant>
      <vt:variant>
        <vt:lpwstr/>
      </vt:variant>
      <vt:variant>
        <vt:i4>4915202</vt:i4>
      </vt:variant>
      <vt:variant>
        <vt:i4>66</vt:i4>
      </vt:variant>
      <vt:variant>
        <vt:i4>0</vt:i4>
      </vt:variant>
      <vt:variant>
        <vt:i4>5</vt:i4>
      </vt:variant>
      <vt:variant>
        <vt:lpwstr>http://www.nevo.co.il/law/70301/40c.a</vt:lpwstr>
      </vt:variant>
      <vt:variant>
        <vt:lpwstr/>
      </vt:variant>
      <vt:variant>
        <vt:i4>8257637</vt:i4>
      </vt:variant>
      <vt:variant>
        <vt:i4>63</vt:i4>
      </vt:variant>
      <vt:variant>
        <vt:i4>0</vt:i4>
      </vt:variant>
      <vt:variant>
        <vt:i4>5</vt:i4>
      </vt:variant>
      <vt:variant>
        <vt:lpwstr>http://www.nevo.co.il/law/4216</vt:lpwstr>
      </vt:variant>
      <vt:variant>
        <vt:lpwstr/>
      </vt:variant>
      <vt:variant>
        <vt:i4>2752612</vt:i4>
      </vt:variant>
      <vt:variant>
        <vt:i4>60</vt:i4>
      </vt:variant>
      <vt:variant>
        <vt:i4>0</vt:i4>
      </vt:variant>
      <vt:variant>
        <vt:i4>5</vt:i4>
      </vt:variant>
      <vt:variant>
        <vt:lpwstr>http://www.nevo.co.il/law/4216/7.c</vt:lpwstr>
      </vt:variant>
      <vt:variant>
        <vt:lpwstr/>
      </vt:variant>
      <vt:variant>
        <vt:i4>2621540</vt:i4>
      </vt:variant>
      <vt:variant>
        <vt:i4>57</vt:i4>
      </vt:variant>
      <vt:variant>
        <vt:i4>0</vt:i4>
      </vt:variant>
      <vt:variant>
        <vt:i4>5</vt:i4>
      </vt:variant>
      <vt:variant>
        <vt:lpwstr>http://www.nevo.co.il/law/4216/7.a</vt:lpwstr>
      </vt:variant>
      <vt:variant>
        <vt:lpwstr/>
      </vt:variant>
      <vt:variant>
        <vt:i4>6422654</vt:i4>
      </vt:variant>
      <vt:variant>
        <vt:i4>54</vt:i4>
      </vt:variant>
      <vt:variant>
        <vt:i4>0</vt:i4>
      </vt:variant>
      <vt:variant>
        <vt:i4>5</vt:i4>
      </vt:variant>
      <vt:variant>
        <vt:lpwstr>http://www.nevo.co.il/law/5227/36.f</vt:lpwstr>
      </vt:variant>
      <vt:variant>
        <vt:lpwstr/>
      </vt:variant>
      <vt:variant>
        <vt:i4>8323175</vt:i4>
      </vt:variant>
      <vt:variant>
        <vt:i4>51</vt:i4>
      </vt:variant>
      <vt:variant>
        <vt:i4>0</vt:i4>
      </vt:variant>
      <vt:variant>
        <vt:i4>5</vt:i4>
      </vt:variant>
      <vt:variant>
        <vt:lpwstr>http://www.nevo.co.il/law/5227</vt:lpwstr>
      </vt:variant>
      <vt:variant>
        <vt:lpwstr/>
      </vt:variant>
      <vt:variant>
        <vt:i4>786443</vt:i4>
      </vt:variant>
      <vt:variant>
        <vt:i4>48</vt:i4>
      </vt:variant>
      <vt:variant>
        <vt:i4>0</vt:i4>
      </vt:variant>
      <vt:variant>
        <vt:i4>5</vt:i4>
      </vt:variant>
      <vt:variant>
        <vt:lpwstr>http://www.nevo.co.il/law/70301/40ji</vt:lpwstr>
      </vt:variant>
      <vt:variant>
        <vt:lpwstr/>
      </vt:variant>
      <vt:variant>
        <vt:i4>262155</vt:i4>
      </vt:variant>
      <vt:variant>
        <vt:i4>45</vt:i4>
      </vt:variant>
      <vt:variant>
        <vt:i4>0</vt:i4>
      </vt:variant>
      <vt:variant>
        <vt:i4>5</vt:i4>
      </vt:variant>
      <vt:variant>
        <vt:lpwstr>http://www.nevo.co.il/law/70301/40ja</vt:lpwstr>
      </vt:variant>
      <vt:variant>
        <vt:lpwstr/>
      </vt:variant>
      <vt:variant>
        <vt:i4>65603</vt:i4>
      </vt:variant>
      <vt:variant>
        <vt:i4>42</vt:i4>
      </vt:variant>
      <vt:variant>
        <vt:i4>0</vt:i4>
      </vt:variant>
      <vt:variant>
        <vt:i4>5</vt:i4>
      </vt:variant>
      <vt:variant>
        <vt:lpwstr>http://www.nevo.co.il/law/70301/85.a</vt:lpwstr>
      </vt:variant>
      <vt:variant>
        <vt:lpwstr/>
      </vt:variant>
      <vt:variant>
        <vt:i4>6291565</vt:i4>
      </vt:variant>
      <vt:variant>
        <vt:i4>39</vt:i4>
      </vt:variant>
      <vt:variant>
        <vt:i4>0</vt:i4>
      </vt:variant>
      <vt:variant>
        <vt:i4>5</vt:i4>
      </vt:variant>
      <vt:variant>
        <vt:lpwstr>http://www.nevo.co.il/law/70301/85</vt:lpwstr>
      </vt:variant>
      <vt:variant>
        <vt:lpwstr/>
      </vt:variant>
      <vt:variant>
        <vt:i4>65614</vt:i4>
      </vt:variant>
      <vt:variant>
        <vt:i4>36</vt:i4>
      </vt:variant>
      <vt:variant>
        <vt:i4>0</vt:i4>
      </vt:variant>
      <vt:variant>
        <vt:i4>5</vt:i4>
      </vt:variant>
      <vt:variant>
        <vt:lpwstr>http://www.nevo.co.il/law/70301/56.b</vt:lpwstr>
      </vt:variant>
      <vt:variant>
        <vt:lpwstr/>
      </vt:variant>
      <vt:variant>
        <vt:i4>6488160</vt:i4>
      </vt:variant>
      <vt:variant>
        <vt:i4>33</vt:i4>
      </vt:variant>
      <vt:variant>
        <vt:i4>0</vt:i4>
      </vt:variant>
      <vt:variant>
        <vt:i4>5</vt:i4>
      </vt:variant>
      <vt:variant>
        <vt:lpwstr>http://www.nevo.co.il/law/70301/56</vt:lpwstr>
      </vt:variant>
      <vt:variant>
        <vt:lpwstr/>
      </vt:variant>
      <vt:variant>
        <vt:i4>6619233</vt:i4>
      </vt:variant>
      <vt:variant>
        <vt:i4>30</vt:i4>
      </vt:variant>
      <vt:variant>
        <vt:i4>0</vt:i4>
      </vt:variant>
      <vt:variant>
        <vt:i4>5</vt:i4>
      </vt:variant>
      <vt:variant>
        <vt:lpwstr>http://www.nevo.co.il/law/70301/40h</vt:lpwstr>
      </vt:variant>
      <vt:variant>
        <vt:lpwstr/>
      </vt:variant>
      <vt:variant>
        <vt:i4>6619233</vt:i4>
      </vt:variant>
      <vt:variant>
        <vt:i4>27</vt:i4>
      </vt:variant>
      <vt:variant>
        <vt:i4>0</vt:i4>
      </vt:variant>
      <vt:variant>
        <vt:i4>5</vt:i4>
      </vt:variant>
      <vt:variant>
        <vt:lpwstr>http://www.nevo.co.il/law/70301/40g</vt:lpwstr>
      </vt:variant>
      <vt:variant>
        <vt:lpwstr/>
      </vt:variant>
      <vt:variant>
        <vt:i4>6619233</vt:i4>
      </vt:variant>
      <vt:variant>
        <vt:i4>24</vt:i4>
      </vt:variant>
      <vt:variant>
        <vt:i4>0</vt:i4>
      </vt:variant>
      <vt:variant>
        <vt:i4>5</vt:i4>
      </vt:variant>
      <vt:variant>
        <vt:lpwstr>http://www.nevo.co.il/law/70301/40f</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2883709</vt:i4>
      </vt:variant>
      <vt:variant>
        <vt:i4>9</vt:i4>
      </vt:variant>
      <vt:variant>
        <vt:i4>0</vt:i4>
      </vt:variant>
      <vt:variant>
        <vt:i4>5</vt:i4>
      </vt:variant>
      <vt:variant>
        <vt:lpwstr>http://www.nevo.co.il/law/4216/37a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2025-04-23T00:12:00Z</dcterms:created>
  <dcterms:modified xsi:type="dcterms:W3CDTF">2025-04-23T00:12:00Z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18280</vt:lpwstr>
  </property>
  <property fmtid="{D5CDD505-2E9C-101B-9397-08002B2CF9AE}" pid="6" name="NEWPARTB">
    <vt:lpwstr>06</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אלי יוחייב</vt:lpwstr>
  </property>
  <property fmtid="{D5CDD505-2E9C-101B-9397-08002B2CF9AE}" pid="10" name="LAWYER">
    <vt:lpwstr>לי גורמן;ורד אברהם</vt:lpwstr>
  </property>
  <property fmtid="{D5CDD505-2E9C-101B-9397-08002B2CF9AE}" pid="11" name="JUDGE">
    <vt:lpwstr>זהר דולב להמן</vt:lpwstr>
  </property>
  <property fmtid="{D5CDD505-2E9C-101B-9397-08002B2CF9AE}" pid="12" name="CITY">
    <vt:lpwstr>ב"ש</vt:lpwstr>
  </property>
  <property fmtid="{D5CDD505-2E9C-101B-9397-08002B2CF9AE}" pid="13" name="DATE">
    <vt:lpwstr>20220330</vt:lpwstr>
  </property>
  <property fmtid="{D5CDD505-2E9C-101B-9397-08002B2CF9AE}" pid="14" name="TYPE_N_DATE">
    <vt:lpwstr>38020220330</vt:lpwstr>
  </property>
  <property fmtid="{D5CDD505-2E9C-101B-9397-08002B2CF9AE}" pid="15" name="WORDNUMPAGES">
    <vt:lpwstr>14</vt:lpwstr>
  </property>
  <property fmtid="{D5CDD505-2E9C-101B-9397-08002B2CF9AE}" pid="16" name="TYPE_ABS_DATE">
    <vt:lpwstr>380020220330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5805976;6120591;27311339;26116111;22555735;20632055;20313996;25304212;25111965;24343133;20991958;20578888;21728820;13049328;6032057;17942576;5962012;23791153:2;23288962:3</vt:lpwstr>
  </property>
  <property fmtid="{D5CDD505-2E9C-101B-9397-08002B2CF9AE}" pid="36" name="LAWLISTTMP1">
    <vt:lpwstr>4216/007.a;007.c;037a</vt:lpwstr>
  </property>
  <property fmtid="{D5CDD505-2E9C-101B-9397-08002B2CF9AE}" pid="37" name="LAWLISTTMP2">
    <vt:lpwstr>70301/040c.a;085:3;40ji;040h;056.b;040d:2;056:2;040c.b;40ja;085.a;040f:2;040g:2</vt:lpwstr>
  </property>
  <property fmtid="{D5CDD505-2E9C-101B-9397-08002B2CF9AE}" pid="38" name="LAWLISTTMP3">
    <vt:lpwstr>5227/036.f</vt:lpwstr>
  </property>
</Properties>
</file>