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47EF0" w:rsidRPr="00150BF6" w14:paraId="3EDA376F" w14:textId="77777777" w:rsidTr="00765BBD">
        <w:trPr>
          <w:trHeight w:hRule="exact" w:val="418"/>
          <w:jc w:val="center"/>
        </w:trPr>
        <w:tc>
          <w:tcPr>
            <w:tcW w:w="8721" w:type="dxa"/>
            <w:gridSpan w:val="2"/>
          </w:tcPr>
          <w:p w14:paraId="277B4386" w14:textId="77777777" w:rsidR="00347EF0" w:rsidRPr="00150BF6" w:rsidRDefault="00347EF0" w:rsidP="00400596">
            <w:pPr>
              <w:pStyle w:val="a3"/>
              <w:jc w:val="center"/>
              <w:rPr>
                <w:rFonts w:ascii="Tahoma" w:hAnsi="Tahoma" w:cs="Tahoma"/>
                <w:color w:val="000080"/>
                <w:rtl/>
              </w:rPr>
            </w:pPr>
            <w:bookmarkStart w:id="0" w:name="FirstLawyer"/>
            <w:bookmarkStart w:id="1" w:name="LastJudge"/>
            <w:r w:rsidRPr="00150BF6">
              <w:rPr>
                <w:rFonts w:ascii="FrankRuehl" w:hAnsi="FrankRuehl" w:cs="FrankRuehl"/>
                <w:b/>
                <w:bCs/>
                <w:color w:val="000080"/>
                <w:sz w:val="28"/>
                <w:szCs w:val="28"/>
                <w:rtl/>
              </w:rPr>
              <w:t>בית משפט השלום בירושלים</w:t>
            </w:r>
          </w:p>
        </w:tc>
      </w:tr>
      <w:tr w:rsidR="00347EF0" w:rsidRPr="00150BF6" w14:paraId="4F8169E8" w14:textId="77777777" w:rsidTr="00765BBD">
        <w:trPr>
          <w:trHeight w:val="337"/>
          <w:jc w:val="center"/>
        </w:trPr>
        <w:tc>
          <w:tcPr>
            <w:tcW w:w="5054" w:type="dxa"/>
          </w:tcPr>
          <w:p w14:paraId="548D694D" w14:textId="77777777" w:rsidR="00347EF0" w:rsidRPr="00150BF6" w:rsidRDefault="00347EF0" w:rsidP="00400596">
            <w:pPr>
              <w:rPr>
                <w:rFonts w:cs="FrankRuehl"/>
                <w:sz w:val="28"/>
                <w:szCs w:val="28"/>
                <w:rtl/>
              </w:rPr>
            </w:pPr>
            <w:r w:rsidRPr="00150BF6">
              <w:rPr>
                <w:rFonts w:cs="FrankRuehl"/>
                <w:sz w:val="28"/>
                <w:szCs w:val="28"/>
                <w:rtl/>
              </w:rPr>
              <w:t>ת"פ</w:t>
            </w:r>
            <w:r w:rsidRPr="00150BF6">
              <w:rPr>
                <w:rFonts w:cs="FrankRuehl" w:hint="cs"/>
                <w:sz w:val="28"/>
                <w:szCs w:val="28"/>
                <w:rtl/>
              </w:rPr>
              <w:t xml:space="preserve"> </w:t>
            </w:r>
            <w:hyperlink r:id="rId7" w:history="1">
              <w:r w:rsidR="007B3BBB" w:rsidRPr="007B3BBB">
                <w:rPr>
                  <w:rFonts w:cs="FrankRuehl"/>
                  <w:color w:val="0000FF"/>
                  <w:sz w:val="28"/>
                  <w:szCs w:val="28"/>
                  <w:u w:val="single"/>
                  <w:rtl/>
                </w:rPr>
                <w:t xml:space="preserve">19883-06-19 </w:t>
              </w:r>
            </w:hyperlink>
            <w:r w:rsidRPr="00150BF6">
              <w:rPr>
                <w:rFonts w:cs="FrankRuehl" w:hint="cs"/>
                <w:sz w:val="28"/>
                <w:szCs w:val="28"/>
                <w:rtl/>
              </w:rPr>
              <w:t xml:space="preserve"> </w:t>
            </w:r>
            <w:r w:rsidRPr="00150BF6">
              <w:rPr>
                <w:rFonts w:cs="FrankRuehl"/>
                <w:sz w:val="28"/>
                <w:szCs w:val="28"/>
                <w:rtl/>
              </w:rPr>
              <w:t>מדינת ישראל נ' סבח</w:t>
            </w:r>
          </w:p>
          <w:p w14:paraId="500D8FDB" w14:textId="77777777" w:rsidR="00347EF0" w:rsidRPr="00150BF6" w:rsidRDefault="00347EF0" w:rsidP="00400596">
            <w:pPr>
              <w:pStyle w:val="a3"/>
              <w:rPr>
                <w:rFonts w:cs="FrankRuehl"/>
                <w:sz w:val="28"/>
                <w:szCs w:val="28"/>
                <w:rtl/>
              </w:rPr>
            </w:pPr>
          </w:p>
        </w:tc>
        <w:tc>
          <w:tcPr>
            <w:tcW w:w="3667" w:type="dxa"/>
          </w:tcPr>
          <w:p w14:paraId="33549914" w14:textId="77777777" w:rsidR="00347EF0" w:rsidRPr="00150BF6" w:rsidRDefault="00347EF0" w:rsidP="00400596">
            <w:pPr>
              <w:pStyle w:val="a3"/>
              <w:jc w:val="right"/>
              <w:rPr>
                <w:rFonts w:cs="FrankRuehl"/>
                <w:sz w:val="28"/>
                <w:szCs w:val="28"/>
                <w:rtl/>
              </w:rPr>
            </w:pPr>
          </w:p>
        </w:tc>
      </w:tr>
    </w:tbl>
    <w:p w14:paraId="32C8DAB9" w14:textId="77777777" w:rsidR="00347EF0" w:rsidRPr="00150BF6" w:rsidRDefault="00347EF0" w:rsidP="00347EF0">
      <w:pPr>
        <w:pStyle w:val="a3"/>
        <w:rPr>
          <w:rtl/>
        </w:rPr>
      </w:pPr>
      <w:r w:rsidRPr="00150BF6">
        <w:rPr>
          <w:rFonts w:hint="cs"/>
          <w:rtl/>
        </w:rPr>
        <w:t xml:space="preserve"> </w:t>
      </w:r>
    </w:p>
    <w:p w14:paraId="5E7BC532" w14:textId="77777777" w:rsidR="00347EF0" w:rsidRPr="00150BF6" w:rsidRDefault="00347EF0" w:rsidP="00347EF0">
      <w:pPr>
        <w:rPr>
          <w:rtl/>
        </w:rPr>
      </w:pPr>
    </w:p>
    <w:p w14:paraId="4D48EEC6" w14:textId="77777777" w:rsidR="00347EF0" w:rsidRPr="00150BF6" w:rsidRDefault="00347EF0" w:rsidP="00347EF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349"/>
        <w:gridCol w:w="2548"/>
      </w:tblGrid>
      <w:tr w:rsidR="00347EF0" w:rsidRPr="00150BF6" w14:paraId="5EDAFF06" w14:textId="77777777" w:rsidTr="00347EF0">
        <w:trPr>
          <w:trHeight w:val="295"/>
          <w:jc w:val="center"/>
        </w:trPr>
        <w:tc>
          <w:tcPr>
            <w:tcW w:w="923" w:type="dxa"/>
            <w:tcBorders>
              <w:top w:val="nil"/>
              <w:left w:val="nil"/>
              <w:bottom w:val="nil"/>
              <w:right w:val="nil"/>
            </w:tcBorders>
            <w:shd w:val="clear" w:color="auto" w:fill="auto"/>
          </w:tcPr>
          <w:p w14:paraId="01FCF315" w14:textId="77777777" w:rsidR="00347EF0" w:rsidRPr="00150BF6" w:rsidRDefault="00347EF0" w:rsidP="00347EF0">
            <w:pPr>
              <w:jc w:val="both"/>
              <w:rPr>
                <w:rFonts w:ascii="FrankRuehl" w:hAnsi="FrankRuehl" w:cs="FrankRuehl"/>
                <w:b/>
                <w:bCs/>
                <w:sz w:val="28"/>
                <w:szCs w:val="28"/>
              </w:rPr>
            </w:pPr>
            <w:r w:rsidRPr="00150BF6">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6006153D" w14:textId="77777777" w:rsidR="00347EF0" w:rsidRPr="00150BF6" w:rsidRDefault="00347EF0" w:rsidP="00400596">
            <w:pPr>
              <w:rPr>
                <w:rFonts w:ascii="FrankRuehl" w:hAnsi="FrankRuehl" w:cs="FrankRuehl"/>
                <w:b/>
                <w:bCs/>
                <w:sz w:val="28"/>
                <w:szCs w:val="28"/>
                <w:rtl/>
              </w:rPr>
            </w:pPr>
            <w:r w:rsidRPr="00150BF6">
              <w:rPr>
                <w:rFonts w:ascii="FrankRuehl" w:hAnsi="FrankRuehl" w:cs="FrankRuehl"/>
                <w:b/>
                <w:bCs/>
                <w:sz w:val="28"/>
                <w:szCs w:val="28"/>
                <w:rtl/>
              </w:rPr>
              <w:t>כבוד השופט  דוד שאול גבאי ריכטר</w:t>
            </w:r>
          </w:p>
          <w:p w14:paraId="6469B03C" w14:textId="77777777" w:rsidR="00347EF0" w:rsidRPr="00150BF6" w:rsidRDefault="00347EF0" w:rsidP="00400596">
            <w:pPr>
              <w:rPr>
                <w:rFonts w:ascii="FrankRuehl" w:hAnsi="FrankRuehl" w:cs="FrankRuehl"/>
                <w:b/>
                <w:bCs/>
                <w:sz w:val="28"/>
                <w:szCs w:val="28"/>
                <w:rtl/>
              </w:rPr>
            </w:pPr>
          </w:p>
          <w:p w14:paraId="459ACDEE" w14:textId="77777777" w:rsidR="00347EF0" w:rsidRPr="00150BF6" w:rsidRDefault="00347EF0" w:rsidP="00347EF0">
            <w:pPr>
              <w:jc w:val="both"/>
              <w:rPr>
                <w:rFonts w:ascii="FrankRuehl" w:hAnsi="FrankRuehl" w:cs="FrankRuehl"/>
                <w:b/>
                <w:bCs/>
                <w:sz w:val="28"/>
                <w:szCs w:val="28"/>
              </w:rPr>
            </w:pPr>
          </w:p>
        </w:tc>
      </w:tr>
      <w:tr w:rsidR="00347EF0" w:rsidRPr="00150BF6" w14:paraId="4D9A6F0C" w14:textId="77777777" w:rsidTr="00347EF0">
        <w:trPr>
          <w:trHeight w:val="355"/>
          <w:jc w:val="center"/>
        </w:trPr>
        <w:tc>
          <w:tcPr>
            <w:tcW w:w="923" w:type="dxa"/>
            <w:tcBorders>
              <w:top w:val="nil"/>
              <w:left w:val="nil"/>
              <w:bottom w:val="nil"/>
              <w:right w:val="nil"/>
            </w:tcBorders>
            <w:shd w:val="clear" w:color="auto" w:fill="auto"/>
          </w:tcPr>
          <w:p w14:paraId="127661AC" w14:textId="77777777" w:rsidR="00347EF0" w:rsidRPr="00150BF6" w:rsidRDefault="00347EF0" w:rsidP="00347EF0">
            <w:pPr>
              <w:jc w:val="both"/>
              <w:rPr>
                <w:rFonts w:ascii="FrankRuehl" w:hAnsi="FrankRuehl" w:cs="FrankRuehl"/>
                <w:b/>
                <w:bCs/>
                <w:sz w:val="28"/>
                <w:szCs w:val="28"/>
              </w:rPr>
            </w:pPr>
            <w:bookmarkStart w:id="2" w:name="FirstAppellant"/>
            <w:r w:rsidRPr="00150BF6">
              <w:rPr>
                <w:rFonts w:ascii="FrankRuehl" w:hAnsi="FrankRuehl" w:cs="FrankRuehl"/>
                <w:b/>
                <w:bCs/>
                <w:sz w:val="28"/>
                <w:szCs w:val="28"/>
                <w:rtl/>
              </w:rPr>
              <w:t>בעניין:</w:t>
            </w:r>
          </w:p>
        </w:tc>
        <w:tc>
          <w:tcPr>
            <w:tcW w:w="5349" w:type="dxa"/>
            <w:tcBorders>
              <w:top w:val="nil"/>
              <w:left w:val="nil"/>
              <w:bottom w:val="nil"/>
              <w:right w:val="nil"/>
            </w:tcBorders>
            <w:shd w:val="clear" w:color="auto" w:fill="auto"/>
          </w:tcPr>
          <w:p w14:paraId="628DCAD0" w14:textId="77777777" w:rsidR="00347EF0" w:rsidRPr="00150BF6" w:rsidRDefault="00347EF0" w:rsidP="00400596">
            <w:pPr>
              <w:rPr>
                <w:rFonts w:ascii="FrankRuehl" w:hAnsi="FrankRuehl" w:cs="FrankRuehl"/>
                <w:b/>
                <w:bCs/>
                <w:sz w:val="28"/>
                <w:szCs w:val="28"/>
              </w:rPr>
            </w:pPr>
            <w:r w:rsidRPr="00150BF6">
              <w:rPr>
                <w:rFonts w:ascii="FrankRuehl" w:hAnsi="FrankRuehl" w:cs="FrankRuehl"/>
                <w:b/>
                <w:bCs/>
                <w:sz w:val="28"/>
                <w:szCs w:val="28"/>
                <w:rtl/>
              </w:rPr>
              <w:t>מדינת ישראל</w:t>
            </w:r>
            <w:r w:rsidRPr="00150BF6">
              <w:rPr>
                <w:rFonts w:ascii="FrankRuehl" w:hAnsi="FrankRuehl" w:cs="FrankRuehl"/>
                <w:b/>
                <w:bCs/>
                <w:sz w:val="28"/>
                <w:szCs w:val="28"/>
                <w:rtl/>
              </w:rPr>
              <w:br/>
              <w:t xml:space="preserve">ע"י </w:t>
            </w:r>
            <w:r w:rsidRPr="00150BF6">
              <w:rPr>
                <w:rFonts w:ascii="FrankRuehl" w:hAnsi="FrankRuehl" w:cs="FrankRuehl" w:hint="cs"/>
                <w:b/>
                <w:bCs/>
                <w:sz w:val="28"/>
                <w:szCs w:val="28"/>
                <w:rtl/>
              </w:rPr>
              <w:t xml:space="preserve">ב"כ הגב' שירן סיני, מתמחה, </w:t>
            </w:r>
            <w:r w:rsidRPr="00150BF6">
              <w:rPr>
                <w:rFonts w:ascii="FrankRuehl" w:hAnsi="FrankRuehl" w:cs="FrankRuehl"/>
                <w:b/>
                <w:bCs/>
                <w:sz w:val="28"/>
                <w:szCs w:val="28"/>
                <w:rtl/>
              </w:rPr>
              <w:t>תביעות ירושלים</w:t>
            </w:r>
          </w:p>
        </w:tc>
        <w:tc>
          <w:tcPr>
            <w:tcW w:w="2548" w:type="dxa"/>
            <w:tcBorders>
              <w:top w:val="nil"/>
              <w:left w:val="nil"/>
              <w:bottom w:val="nil"/>
              <w:right w:val="nil"/>
            </w:tcBorders>
            <w:shd w:val="clear" w:color="auto" w:fill="auto"/>
          </w:tcPr>
          <w:p w14:paraId="74AA8AC4" w14:textId="77777777" w:rsidR="00347EF0" w:rsidRPr="00150BF6" w:rsidRDefault="00347EF0" w:rsidP="00347EF0">
            <w:pPr>
              <w:jc w:val="both"/>
              <w:rPr>
                <w:rFonts w:ascii="FrankRuehl" w:hAnsi="FrankRuehl" w:cs="FrankRuehl"/>
                <w:b/>
                <w:bCs/>
                <w:sz w:val="28"/>
                <w:szCs w:val="28"/>
              </w:rPr>
            </w:pPr>
          </w:p>
        </w:tc>
      </w:tr>
      <w:bookmarkEnd w:id="2"/>
      <w:tr w:rsidR="00347EF0" w:rsidRPr="00150BF6" w14:paraId="75334F9A" w14:textId="77777777" w:rsidTr="00347EF0">
        <w:trPr>
          <w:trHeight w:val="355"/>
          <w:jc w:val="center"/>
        </w:trPr>
        <w:tc>
          <w:tcPr>
            <w:tcW w:w="923" w:type="dxa"/>
            <w:tcBorders>
              <w:top w:val="nil"/>
              <w:left w:val="nil"/>
              <w:bottom w:val="nil"/>
              <w:right w:val="nil"/>
            </w:tcBorders>
            <w:shd w:val="clear" w:color="auto" w:fill="auto"/>
          </w:tcPr>
          <w:p w14:paraId="38A3044A" w14:textId="77777777" w:rsidR="00347EF0" w:rsidRPr="00150BF6" w:rsidRDefault="00347EF0" w:rsidP="00347EF0">
            <w:pPr>
              <w:jc w:val="both"/>
              <w:rPr>
                <w:rFonts w:ascii="FrankRuehl" w:hAnsi="FrankRuehl" w:cs="FrankRuehl"/>
                <w:b/>
                <w:bCs/>
                <w:sz w:val="28"/>
                <w:szCs w:val="28"/>
                <w:rtl/>
              </w:rPr>
            </w:pPr>
          </w:p>
        </w:tc>
        <w:tc>
          <w:tcPr>
            <w:tcW w:w="5349" w:type="dxa"/>
            <w:tcBorders>
              <w:top w:val="nil"/>
              <w:left w:val="nil"/>
              <w:bottom w:val="nil"/>
              <w:right w:val="nil"/>
            </w:tcBorders>
            <w:shd w:val="clear" w:color="auto" w:fill="auto"/>
          </w:tcPr>
          <w:p w14:paraId="60E8580F" w14:textId="77777777" w:rsidR="00347EF0" w:rsidRPr="00150BF6" w:rsidRDefault="00347EF0" w:rsidP="00347EF0">
            <w:pPr>
              <w:jc w:val="both"/>
              <w:rPr>
                <w:rFonts w:ascii="FrankRuehl" w:hAnsi="FrankRuehl" w:cs="FrankRuehl"/>
                <w:b/>
                <w:bCs/>
                <w:sz w:val="28"/>
                <w:szCs w:val="28"/>
                <w:rtl/>
              </w:rPr>
            </w:pPr>
          </w:p>
        </w:tc>
        <w:tc>
          <w:tcPr>
            <w:tcW w:w="2548" w:type="dxa"/>
            <w:tcBorders>
              <w:top w:val="nil"/>
              <w:left w:val="nil"/>
              <w:bottom w:val="nil"/>
              <w:right w:val="nil"/>
            </w:tcBorders>
            <w:shd w:val="clear" w:color="auto" w:fill="auto"/>
          </w:tcPr>
          <w:p w14:paraId="4C8714BC" w14:textId="77777777" w:rsidR="00347EF0" w:rsidRPr="00150BF6" w:rsidRDefault="00347EF0" w:rsidP="00347EF0">
            <w:pPr>
              <w:jc w:val="right"/>
              <w:rPr>
                <w:rFonts w:ascii="FrankRuehl" w:hAnsi="FrankRuehl" w:cs="FrankRuehl"/>
                <w:b/>
                <w:bCs/>
                <w:sz w:val="28"/>
                <w:szCs w:val="28"/>
                <w:rtl/>
              </w:rPr>
            </w:pPr>
            <w:r w:rsidRPr="00150BF6">
              <w:rPr>
                <w:rFonts w:ascii="FrankRuehl" w:hAnsi="FrankRuehl" w:cs="FrankRuehl"/>
                <w:b/>
                <w:bCs/>
                <w:sz w:val="28"/>
                <w:szCs w:val="28"/>
                <w:rtl/>
              </w:rPr>
              <w:t>המאשימה</w:t>
            </w:r>
          </w:p>
        </w:tc>
      </w:tr>
      <w:tr w:rsidR="00347EF0" w:rsidRPr="00150BF6" w14:paraId="7788AFC7" w14:textId="77777777" w:rsidTr="00347EF0">
        <w:trPr>
          <w:trHeight w:val="355"/>
          <w:jc w:val="center"/>
        </w:trPr>
        <w:tc>
          <w:tcPr>
            <w:tcW w:w="923" w:type="dxa"/>
            <w:tcBorders>
              <w:top w:val="nil"/>
              <w:left w:val="nil"/>
              <w:bottom w:val="nil"/>
              <w:right w:val="nil"/>
            </w:tcBorders>
            <w:shd w:val="clear" w:color="auto" w:fill="auto"/>
          </w:tcPr>
          <w:p w14:paraId="4C81C8F2" w14:textId="77777777" w:rsidR="00347EF0" w:rsidRPr="00150BF6" w:rsidRDefault="00347EF0" w:rsidP="00347EF0">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2A06CB73" w14:textId="77777777" w:rsidR="00347EF0" w:rsidRPr="00150BF6" w:rsidRDefault="00347EF0" w:rsidP="00347EF0">
            <w:pPr>
              <w:jc w:val="center"/>
              <w:rPr>
                <w:rFonts w:ascii="FrankRuehl" w:hAnsi="FrankRuehl" w:cs="FrankRuehl"/>
                <w:b/>
                <w:bCs/>
                <w:sz w:val="28"/>
                <w:szCs w:val="28"/>
                <w:rtl/>
              </w:rPr>
            </w:pPr>
          </w:p>
          <w:p w14:paraId="61B7C4F4" w14:textId="77777777" w:rsidR="00347EF0" w:rsidRPr="00150BF6" w:rsidRDefault="00347EF0" w:rsidP="00347EF0">
            <w:pPr>
              <w:jc w:val="center"/>
              <w:rPr>
                <w:rFonts w:ascii="FrankRuehl" w:hAnsi="FrankRuehl" w:cs="FrankRuehl"/>
                <w:b/>
                <w:bCs/>
                <w:sz w:val="28"/>
                <w:szCs w:val="28"/>
                <w:rtl/>
              </w:rPr>
            </w:pPr>
            <w:r w:rsidRPr="00150BF6">
              <w:rPr>
                <w:rFonts w:ascii="FrankRuehl" w:hAnsi="FrankRuehl" w:cs="FrankRuehl"/>
                <w:b/>
                <w:bCs/>
                <w:sz w:val="28"/>
                <w:szCs w:val="28"/>
                <w:rtl/>
              </w:rPr>
              <w:t>נגד</w:t>
            </w:r>
          </w:p>
          <w:p w14:paraId="620BBE19" w14:textId="77777777" w:rsidR="00347EF0" w:rsidRPr="00150BF6" w:rsidRDefault="00347EF0" w:rsidP="00347EF0">
            <w:pPr>
              <w:jc w:val="both"/>
              <w:rPr>
                <w:rFonts w:ascii="FrankRuehl" w:hAnsi="FrankRuehl" w:cs="FrankRuehl"/>
                <w:b/>
                <w:bCs/>
                <w:sz w:val="28"/>
                <w:szCs w:val="28"/>
              </w:rPr>
            </w:pPr>
          </w:p>
        </w:tc>
      </w:tr>
      <w:tr w:rsidR="00347EF0" w:rsidRPr="00150BF6" w14:paraId="63F2B548" w14:textId="77777777" w:rsidTr="00347EF0">
        <w:trPr>
          <w:trHeight w:val="355"/>
          <w:jc w:val="center"/>
        </w:trPr>
        <w:tc>
          <w:tcPr>
            <w:tcW w:w="923" w:type="dxa"/>
            <w:tcBorders>
              <w:top w:val="nil"/>
              <w:left w:val="nil"/>
              <w:bottom w:val="nil"/>
              <w:right w:val="nil"/>
            </w:tcBorders>
            <w:shd w:val="clear" w:color="auto" w:fill="auto"/>
          </w:tcPr>
          <w:p w14:paraId="51CC584F" w14:textId="77777777" w:rsidR="00347EF0" w:rsidRPr="00150BF6" w:rsidRDefault="00347EF0" w:rsidP="00400596">
            <w:pPr>
              <w:rPr>
                <w:rFonts w:ascii="FrankRuehl" w:hAnsi="FrankRuehl" w:cs="FrankRuehl"/>
                <w:b/>
                <w:bCs/>
                <w:sz w:val="28"/>
                <w:szCs w:val="28"/>
                <w:rtl/>
              </w:rPr>
            </w:pPr>
          </w:p>
        </w:tc>
        <w:tc>
          <w:tcPr>
            <w:tcW w:w="5349" w:type="dxa"/>
            <w:tcBorders>
              <w:top w:val="nil"/>
              <w:left w:val="nil"/>
              <w:bottom w:val="nil"/>
              <w:right w:val="nil"/>
            </w:tcBorders>
            <w:shd w:val="clear" w:color="auto" w:fill="auto"/>
          </w:tcPr>
          <w:p w14:paraId="2764A1A6" w14:textId="77777777" w:rsidR="00347EF0" w:rsidRPr="00150BF6" w:rsidRDefault="00347EF0" w:rsidP="00400596">
            <w:pPr>
              <w:rPr>
                <w:rFonts w:ascii="FrankRuehl" w:hAnsi="FrankRuehl" w:cs="FrankRuehl"/>
                <w:b/>
                <w:bCs/>
                <w:sz w:val="28"/>
                <w:szCs w:val="28"/>
                <w:rtl/>
              </w:rPr>
            </w:pPr>
            <w:r w:rsidRPr="00150BF6">
              <w:rPr>
                <w:rFonts w:ascii="FrankRuehl" w:hAnsi="FrankRuehl" w:cs="FrankRuehl"/>
                <w:b/>
                <w:bCs/>
                <w:sz w:val="28"/>
                <w:szCs w:val="28"/>
                <w:rtl/>
              </w:rPr>
              <w:t>דניאל ברוך סבח</w:t>
            </w:r>
            <w:r w:rsidRPr="00150BF6">
              <w:rPr>
                <w:rFonts w:ascii="FrankRuehl" w:hAnsi="FrankRuehl" w:cs="FrankRuehl"/>
                <w:b/>
                <w:bCs/>
                <w:sz w:val="28"/>
                <w:szCs w:val="28"/>
                <w:rtl/>
              </w:rPr>
              <w:br/>
              <w:t>ע"י ב"כ עוה"ד הרצל אברהם</w:t>
            </w:r>
          </w:p>
        </w:tc>
        <w:tc>
          <w:tcPr>
            <w:tcW w:w="2548" w:type="dxa"/>
            <w:tcBorders>
              <w:top w:val="nil"/>
              <w:left w:val="nil"/>
              <w:bottom w:val="nil"/>
              <w:right w:val="nil"/>
            </w:tcBorders>
            <w:shd w:val="clear" w:color="auto" w:fill="auto"/>
          </w:tcPr>
          <w:p w14:paraId="5A9A13B4" w14:textId="77777777" w:rsidR="00347EF0" w:rsidRPr="00150BF6" w:rsidRDefault="00347EF0" w:rsidP="00347EF0">
            <w:pPr>
              <w:jc w:val="right"/>
              <w:rPr>
                <w:rFonts w:ascii="FrankRuehl" w:hAnsi="FrankRuehl" w:cs="FrankRuehl"/>
                <w:b/>
                <w:bCs/>
                <w:sz w:val="28"/>
                <w:szCs w:val="28"/>
              </w:rPr>
            </w:pPr>
          </w:p>
        </w:tc>
      </w:tr>
      <w:tr w:rsidR="00347EF0" w:rsidRPr="00150BF6" w14:paraId="19D76F63" w14:textId="77777777" w:rsidTr="00347EF0">
        <w:trPr>
          <w:trHeight w:val="355"/>
          <w:jc w:val="center"/>
        </w:trPr>
        <w:tc>
          <w:tcPr>
            <w:tcW w:w="923" w:type="dxa"/>
            <w:tcBorders>
              <w:top w:val="nil"/>
              <w:left w:val="nil"/>
              <w:bottom w:val="nil"/>
              <w:right w:val="nil"/>
            </w:tcBorders>
            <w:shd w:val="clear" w:color="auto" w:fill="auto"/>
          </w:tcPr>
          <w:p w14:paraId="712183A3" w14:textId="77777777" w:rsidR="00347EF0" w:rsidRPr="00150BF6" w:rsidRDefault="00347EF0" w:rsidP="00347EF0">
            <w:pPr>
              <w:jc w:val="both"/>
              <w:rPr>
                <w:rFonts w:ascii="FrankRuehl" w:hAnsi="FrankRuehl" w:cs="FrankRuehl"/>
                <w:b/>
                <w:bCs/>
                <w:sz w:val="28"/>
                <w:szCs w:val="28"/>
                <w:rtl/>
              </w:rPr>
            </w:pPr>
          </w:p>
        </w:tc>
        <w:tc>
          <w:tcPr>
            <w:tcW w:w="5349" w:type="dxa"/>
            <w:tcBorders>
              <w:top w:val="nil"/>
              <w:left w:val="nil"/>
              <w:bottom w:val="nil"/>
              <w:right w:val="nil"/>
            </w:tcBorders>
            <w:shd w:val="clear" w:color="auto" w:fill="auto"/>
          </w:tcPr>
          <w:p w14:paraId="2DC4076A" w14:textId="77777777" w:rsidR="00347EF0" w:rsidRPr="00150BF6" w:rsidRDefault="00347EF0" w:rsidP="00347EF0">
            <w:pPr>
              <w:jc w:val="both"/>
              <w:rPr>
                <w:rFonts w:ascii="FrankRuehl" w:hAnsi="FrankRuehl" w:cs="FrankRuehl"/>
                <w:b/>
                <w:bCs/>
                <w:sz w:val="28"/>
                <w:szCs w:val="28"/>
                <w:rtl/>
              </w:rPr>
            </w:pPr>
          </w:p>
        </w:tc>
        <w:tc>
          <w:tcPr>
            <w:tcW w:w="2548" w:type="dxa"/>
            <w:tcBorders>
              <w:top w:val="nil"/>
              <w:left w:val="nil"/>
              <w:bottom w:val="nil"/>
              <w:right w:val="nil"/>
            </w:tcBorders>
            <w:shd w:val="clear" w:color="auto" w:fill="auto"/>
          </w:tcPr>
          <w:p w14:paraId="545D4972" w14:textId="77777777" w:rsidR="00347EF0" w:rsidRPr="00150BF6" w:rsidRDefault="00347EF0" w:rsidP="00347EF0">
            <w:pPr>
              <w:jc w:val="right"/>
              <w:rPr>
                <w:rFonts w:ascii="FrankRuehl" w:hAnsi="FrankRuehl" w:cs="FrankRuehl"/>
                <w:b/>
                <w:bCs/>
                <w:sz w:val="28"/>
                <w:szCs w:val="28"/>
              </w:rPr>
            </w:pPr>
            <w:r w:rsidRPr="00150BF6">
              <w:rPr>
                <w:rFonts w:ascii="FrankRuehl" w:hAnsi="FrankRuehl" w:cs="FrankRuehl"/>
                <w:b/>
                <w:bCs/>
                <w:sz w:val="28"/>
                <w:szCs w:val="28"/>
                <w:rtl/>
              </w:rPr>
              <w:t>הנאשם</w:t>
            </w:r>
          </w:p>
        </w:tc>
      </w:tr>
    </w:tbl>
    <w:p w14:paraId="78D8DBB0" w14:textId="77777777" w:rsidR="00765BBD" w:rsidRPr="00765BBD" w:rsidRDefault="00765BBD" w:rsidP="00765BBD">
      <w:pPr>
        <w:spacing w:before="120" w:after="120" w:line="240" w:lineRule="exact"/>
        <w:ind w:left="283" w:hanging="283"/>
        <w:jc w:val="both"/>
        <w:rPr>
          <w:rFonts w:ascii="FrankRuehl" w:hAnsi="FrankRuehl" w:cs="FrankRuehl"/>
          <w:rtl/>
        </w:rPr>
      </w:pPr>
    </w:p>
    <w:p w14:paraId="3270EE04" w14:textId="77777777" w:rsidR="007B3BBB" w:rsidRPr="007B3BBB" w:rsidRDefault="007B3BBB" w:rsidP="007B3BBB">
      <w:pPr>
        <w:spacing w:before="120" w:after="120" w:line="240" w:lineRule="exact"/>
        <w:ind w:left="283" w:hanging="283"/>
        <w:jc w:val="both"/>
        <w:rPr>
          <w:rFonts w:ascii="FrankRuehl" w:hAnsi="FrankRuehl" w:cs="FrankRuehl"/>
          <w:rtl/>
        </w:rPr>
      </w:pPr>
    </w:p>
    <w:p w14:paraId="3167EBB1" w14:textId="77777777" w:rsidR="00373E81" w:rsidRDefault="00373E81" w:rsidP="00373E81">
      <w:pPr>
        <w:rPr>
          <w:rFonts w:ascii="FrankRuehl" w:hAnsi="FrankRuehl" w:cs="FrankRuehl"/>
          <w:sz w:val="28"/>
          <w:szCs w:val="28"/>
          <w:rtl/>
        </w:rPr>
      </w:pPr>
      <w:bookmarkStart w:id="3" w:name="LawTable"/>
      <w:bookmarkEnd w:id="3"/>
    </w:p>
    <w:p w14:paraId="7AC9AFC7" w14:textId="77777777" w:rsidR="00373E81" w:rsidRPr="00373E81" w:rsidRDefault="00373E81" w:rsidP="00373E81">
      <w:pPr>
        <w:spacing w:before="120" w:after="120" w:line="240" w:lineRule="exact"/>
        <w:ind w:left="283" w:hanging="283"/>
        <w:jc w:val="both"/>
        <w:rPr>
          <w:rFonts w:ascii="FrankRuehl" w:hAnsi="FrankRuehl" w:cs="FrankRuehl"/>
          <w:rtl/>
        </w:rPr>
      </w:pPr>
    </w:p>
    <w:p w14:paraId="26695443" w14:textId="77777777" w:rsidR="00373E81" w:rsidRPr="00373E81" w:rsidRDefault="00373E81" w:rsidP="00373E81">
      <w:pPr>
        <w:spacing w:before="120" w:after="120" w:line="240" w:lineRule="exact"/>
        <w:ind w:left="283" w:hanging="283"/>
        <w:jc w:val="both"/>
        <w:rPr>
          <w:rFonts w:ascii="FrankRuehl" w:hAnsi="FrankRuehl" w:cs="FrankRuehl"/>
          <w:rtl/>
        </w:rPr>
      </w:pPr>
    </w:p>
    <w:p w14:paraId="31D268A1" w14:textId="77777777" w:rsidR="00373E81" w:rsidRPr="00373E81" w:rsidRDefault="00373E81" w:rsidP="00373E81">
      <w:pPr>
        <w:spacing w:before="120" w:after="120" w:line="240" w:lineRule="exact"/>
        <w:ind w:left="283" w:hanging="283"/>
        <w:jc w:val="both"/>
        <w:rPr>
          <w:rFonts w:ascii="FrankRuehl" w:hAnsi="FrankRuehl" w:cs="FrankRuehl"/>
          <w:rtl/>
        </w:rPr>
      </w:pPr>
      <w:r w:rsidRPr="00373E81">
        <w:rPr>
          <w:rFonts w:ascii="FrankRuehl" w:hAnsi="FrankRuehl" w:cs="FrankRuehl"/>
          <w:rtl/>
        </w:rPr>
        <w:t xml:space="preserve">חקיקה שאוזכרה: </w:t>
      </w:r>
    </w:p>
    <w:p w14:paraId="7004BD9B" w14:textId="77777777" w:rsidR="00373E81" w:rsidRPr="00373E81" w:rsidRDefault="00373E81" w:rsidP="00373E81">
      <w:pPr>
        <w:spacing w:before="120" w:after="120" w:line="240" w:lineRule="exact"/>
        <w:ind w:left="283" w:hanging="283"/>
        <w:jc w:val="both"/>
        <w:rPr>
          <w:rFonts w:ascii="FrankRuehl" w:hAnsi="FrankRuehl" w:cs="FrankRuehl"/>
          <w:rtl/>
        </w:rPr>
      </w:pPr>
      <w:hyperlink r:id="rId8" w:history="1">
        <w:r w:rsidRPr="00373E81">
          <w:rPr>
            <w:rFonts w:ascii="FrankRuehl" w:hAnsi="FrankRuehl" w:cs="FrankRuehl"/>
            <w:color w:val="0000FF"/>
            <w:rtl/>
          </w:rPr>
          <w:t>פקודת הסמים המסוכנים [נוסח חדש], תשל"ג-1973</w:t>
        </w:r>
      </w:hyperlink>
      <w:r w:rsidRPr="00373E81">
        <w:rPr>
          <w:rFonts w:ascii="FrankRuehl" w:hAnsi="FrankRuehl" w:cs="FrankRuehl"/>
          <w:rtl/>
        </w:rPr>
        <w:t xml:space="preserve">: סע'  </w:t>
      </w:r>
      <w:hyperlink r:id="rId9" w:history="1">
        <w:r w:rsidRPr="00373E81">
          <w:rPr>
            <w:rFonts w:ascii="FrankRuehl" w:hAnsi="FrankRuehl" w:cs="FrankRuehl"/>
            <w:color w:val="0000FF"/>
            <w:rtl/>
          </w:rPr>
          <w:t>7(א)</w:t>
        </w:r>
      </w:hyperlink>
      <w:r w:rsidRPr="00373E81">
        <w:rPr>
          <w:rFonts w:ascii="FrankRuehl" w:hAnsi="FrankRuehl" w:cs="FrankRuehl"/>
          <w:rtl/>
        </w:rPr>
        <w:t xml:space="preserve">, </w:t>
      </w:r>
      <w:hyperlink r:id="rId10" w:history="1">
        <w:r w:rsidRPr="00373E81">
          <w:rPr>
            <w:rFonts w:ascii="FrankRuehl" w:hAnsi="FrankRuehl" w:cs="FrankRuehl"/>
            <w:color w:val="0000FF"/>
            <w:rtl/>
          </w:rPr>
          <w:t>7(ג)</w:t>
        </w:r>
      </w:hyperlink>
    </w:p>
    <w:p w14:paraId="00EACA57" w14:textId="77777777" w:rsidR="00373E81" w:rsidRPr="00373E81" w:rsidRDefault="00373E81" w:rsidP="00373E81">
      <w:pPr>
        <w:spacing w:before="120" w:after="120" w:line="240" w:lineRule="exact"/>
        <w:ind w:left="283" w:hanging="283"/>
        <w:jc w:val="both"/>
        <w:rPr>
          <w:rFonts w:ascii="FrankRuehl" w:hAnsi="FrankRuehl" w:cs="FrankRuehl"/>
          <w:rtl/>
        </w:rPr>
      </w:pPr>
      <w:hyperlink r:id="rId11" w:history="1">
        <w:r w:rsidRPr="00373E81">
          <w:rPr>
            <w:rFonts w:ascii="FrankRuehl" w:hAnsi="FrankRuehl" w:cs="FrankRuehl"/>
            <w:color w:val="0000FF"/>
            <w:rtl/>
          </w:rPr>
          <w:t>חוק העונשין, תשל"ז-1977</w:t>
        </w:r>
      </w:hyperlink>
      <w:r w:rsidRPr="00373E81">
        <w:rPr>
          <w:rFonts w:ascii="FrankRuehl" w:hAnsi="FrankRuehl" w:cs="FrankRuehl"/>
          <w:rtl/>
        </w:rPr>
        <w:t xml:space="preserve">: סע'  </w:t>
      </w:r>
      <w:hyperlink r:id="rId12" w:history="1">
        <w:r w:rsidRPr="00373E81">
          <w:rPr>
            <w:rFonts w:ascii="FrankRuehl" w:hAnsi="FrankRuehl" w:cs="FrankRuehl"/>
            <w:color w:val="0000FF"/>
            <w:rtl/>
          </w:rPr>
          <w:t>40ט'</w:t>
        </w:r>
      </w:hyperlink>
      <w:r w:rsidRPr="00373E81">
        <w:rPr>
          <w:rFonts w:ascii="FrankRuehl" w:hAnsi="FrankRuehl" w:cs="FrankRuehl"/>
          <w:rtl/>
        </w:rPr>
        <w:t xml:space="preserve">, </w:t>
      </w:r>
      <w:hyperlink r:id="rId13" w:history="1">
        <w:r w:rsidRPr="00373E81">
          <w:rPr>
            <w:rFonts w:ascii="FrankRuehl" w:hAnsi="FrankRuehl" w:cs="FrankRuehl"/>
            <w:color w:val="0000FF"/>
            <w:rtl/>
          </w:rPr>
          <w:t>40יא</w:t>
        </w:r>
      </w:hyperlink>
    </w:p>
    <w:p w14:paraId="4A6115CA" w14:textId="77777777" w:rsidR="00373E81" w:rsidRPr="00373E81" w:rsidRDefault="00373E81" w:rsidP="00373E81">
      <w:pPr>
        <w:rPr>
          <w:rFonts w:ascii="FrankRuehl" w:hAnsi="FrankRuehl" w:cs="FrankRuehl"/>
          <w:sz w:val="28"/>
          <w:szCs w:val="28"/>
          <w:rtl/>
        </w:rPr>
      </w:pPr>
      <w:bookmarkStart w:id="4" w:name="LawTable_End"/>
      <w:bookmarkEnd w:id="4"/>
    </w:p>
    <w:p w14:paraId="098DCA58" w14:textId="77777777" w:rsidR="00347EF0" w:rsidRPr="007B3BBB" w:rsidRDefault="00347EF0" w:rsidP="007B3BBB">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7EF0" w:rsidRPr="006C47A5" w14:paraId="046D195D" w14:textId="77777777" w:rsidTr="00347EF0">
        <w:trPr>
          <w:trHeight w:val="74"/>
          <w:jc w:val="center"/>
        </w:trPr>
        <w:tc>
          <w:tcPr>
            <w:tcW w:w="8820" w:type="dxa"/>
            <w:tcBorders>
              <w:top w:val="nil"/>
              <w:left w:val="nil"/>
              <w:bottom w:val="nil"/>
              <w:right w:val="nil"/>
            </w:tcBorders>
            <w:shd w:val="clear" w:color="auto" w:fill="auto"/>
          </w:tcPr>
          <w:p w14:paraId="1F983663" w14:textId="77777777" w:rsidR="00150BF6" w:rsidRPr="00150BF6" w:rsidRDefault="00150BF6" w:rsidP="00150BF6">
            <w:pPr>
              <w:jc w:val="center"/>
              <w:rPr>
                <w:rFonts w:ascii="FrankRuehl" w:hAnsi="FrankRuehl" w:cs="FrankRuehl"/>
                <w:b/>
                <w:bCs/>
                <w:sz w:val="28"/>
                <w:szCs w:val="28"/>
                <w:u w:val="single"/>
                <w:rtl/>
              </w:rPr>
            </w:pPr>
            <w:bookmarkStart w:id="5" w:name="PsakDin" w:colFirst="0" w:colLast="0"/>
            <w:bookmarkEnd w:id="0"/>
            <w:bookmarkEnd w:id="1"/>
            <w:r w:rsidRPr="00150BF6">
              <w:rPr>
                <w:rFonts w:ascii="FrankRuehl" w:hAnsi="FrankRuehl" w:cs="FrankRuehl"/>
                <w:b/>
                <w:bCs/>
                <w:sz w:val="28"/>
                <w:szCs w:val="28"/>
                <w:u w:val="single"/>
                <w:rtl/>
              </w:rPr>
              <w:t>גזר דין</w:t>
            </w:r>
          </w:p>
          <w:p w14:paraId="2D6B3215" w14:textId="77777777" w:rsidR="00347EF0" w:rsidRPr="00150BF6" w:rsidRDefault="00347EF0" w:rsidP="00150BF6">
            <w:pPr>
              <w:jc w:val="center"/>
              <w:rPr>
                <w:rFonts w:ascii="FrankRuehl" w:hAnsi="FrankRuehl" w:cs="FrankRuehl"/>
                <w:b/>
                <w:bCs/>
                <w:sz w:val="28"/>
                <w:szCs w:val="28"/>
                <w:u w:val="single"/>
                <w:rtl/>
              </w:rPr>
            </w:pPr>
          </w:p>
        </w:tc>
      </w:tr>
      <w:bookmarkEnd w:id="5"/>
    </w:tbl>
    <w:p w14:paraId="6872AE12" w14:textId="77777777" w:rsidR="00347EF0" w:rsidRPr="002B7D23" w:rsidRDefault="00347EF0" w:rsidP="00347EF0">
      <w:pPr>
        <w:rPr>
          <w:rFonts w:ascii="David" w:hAnsi="David"/>
          <w:sz w:val="26"/>
          <w:szCs w:val="26"/>
          <w:rtl/>
        </w:rPr>
      </w:pPr>
    </w:p>
    <w:p w14:paraId="128CC59A" w14:textId="77777777" w:rsidR="00347EF0" w:rsidRDefault="00347EF0" w:rsidP="00347EF0">
      <w:pPr>
        <w:spacing w:line="360" w:lineRule="auto"/>
        <w:rPr>
          <w:rFonts w:cs="FrankRuehl"/>
          <w:b/>
          <w:bCs/>
          <w:sz w:val="28"/>
          <w:szCs w:val="28"/>
          <w:u w:val="single"/>
        </w:rPr>
      </w:pPr>
      <w:r>
        <w:rPr>
          <w:rFonts w:cs="FrankRuehl"/>
          <w:b/>
          <w:bCs/>
          <w:sz w:val="28"/>
          <w:szCs w:val="28"/>
          <w:u w:val="single"/>
          <w:rtl/>
        </w:rPr>
        <w:t>כתב האישום</w:t>
      </w:r>
    </w:p>
    <w:p w14:paraId="3D856F59" w14:textId="77777777" w:rsidR="00347EF0" w:rsidRDefault="00347EF0" w:rsidP="00347EF0">
      <w:pPr>
        <w:spacing w:line="360" w:lineRule="auto"/>
        <w:jc w:val="both"/>
        <w:rPr>
          <w:rFonts w:cs="FrankRuehl"/>
          <w:sz w:val="28"/>
          <w:szCs w:val="28"/>
        </w:rPr>
      </w:pPr>
      <w:bookmarkStart w:id="6" w:name="ABSTRACT_START"/>
      <w:bookmarkEnd w:id="6"/>
      <w:r>
        <w:rPr>
          <w:rFonts w:cs="FrankRuehl"/>
          <w:sz w:val="28"/>
          <w:szCs w:val="28"/>
          <w:rtl/>
        </w:rPr>
        <w:t>הנאשם הורשע על פי הודאתו בעבירות ובעובדות המנויות בכתב האישום, בכך ש</w:t>
      </w:r>
      <w:r>
        <w:rPr>
          <w:rFonts w:cs="FrankRuehl" w:hint="cs"/>
          <w:sz w:val="28"/>
          <w:szCs w:val="28"/>
          <w:rtl/>
        </w:rPr>
        <w:t xml:space="preserve">ביום 8.10.2017, הגיעו שוטרים לבית החולים "הדסה עין כרם" והבחינו בנאשם לבוש בגדי עובד, מתכופף מתחת למכונה ומוציא שקית ובה 72.29 גרם קנביס מחולק לשקיות, מבחנות ומשקל דיגיטלי. בגין כך, הורשע הנאשם בעבירה של </w:t>
      </w:r>
      <w:r w:rsidRPr="00BA7DB6">
        <w:rPr>
          <w:rFonts w:cs="FrankRuehl" w:hint="cs"/>
          <w:b/>
          <w:bCs/>
          <w:sz w:val="28"/>
          <w:szCs w:val="28"/>
          <w:rtl/>
        </w:rPr>
        <w:t>החזקת סמים שלא לצריכה עצמית</w:t>
      </w:r>
      <w:r>
        <w:rPr>
          <w:rFonts w:cs="FrankRuehl" w:hint="cs"/>
          <w:sz w:val="28"/>
          <w:szCs w:val="28"/>
          <w:rtl/>
        </w:rPr>
        <w:t xml:space="preserve">, לפי </w:t>
      </w:r>
      <w:hyperlink r:id="rId14" w:history="1">
        <w:r w:rsidR="00765BBD" w:rsidRPr="00765BBD">
          <w:rPr>
            <w:rStyle w:val="Hyperlink"/>
            <w:rFonts w:cs="FrankRuehl" w:hint="eastAsia"/>
            <w:sz w:val="28"/>
            <w:szCs w:val="28"/>
            <w:rtl/>
          </w:rPr>
          <w:t>סעיפים</w:t>
        </w:r>
        <w:r w:rsidR="00765BBD" w:rsidRPr="00765BBD">
          <w:rPr>
            <w:rStyle w:val="Hyperlink"/>
            <w:rFonts w:cs="FrankRuehl"/>
            <w:sz w:val="28"/>
            <w:szCs w:val="28"/>
            <w:rtl/>
          </w:rPr>
          <w:t xml:space="preserve"> 7(א)</w:t>
        </w:r>
      </w:hyperlink>
      <w:r>
        <w:rPr>
          <w:rFonts w:cs="FrankRuehl" w:hint="cs"/>
          <w:sz w:val="28"/>
          <w:szCs w:val="28"/>
          <w:rtl/>
        </w:rPr>
        <w:t xml:space="preserve"> ו </w:t>
      </w:r>
      <w:r>
        <w:rPr>
          <w:rFonts w:cs="FrankRuehl"/>
          <w:sz w:val="28"/>
          <w:szCs w:val="28"/>
          <w:rtl/>
        </w:rPr>
        <w:t>–</w:t>
      </w:r>
      <w:r>
        <w:rPr>
          <w:rFonts w:cs="FrankRuehl" w:hint="cs"/>
          <w:sz w:val="28"/>
          <w:szCs w:val="28"/>
          <w:rtl/>
        </w:rPr>
        <w:t xml:space="preserve"> </w:t>
      </w:r>
      <w:hyperlink r:id="rId15" w:history="1">
        <w:r w:rsidR="00765BBD" w:rsidRPr="00765BBD">
          <w:rPr>
            <w:rStyle w:val="Hyperlink"/>
            <w:rFonts w:cs="FrankRuehl"/>
            <w:sz w:val="28"/>
            <w:szCs w:val="28"/>
            <w:rtl/>
          </w:rPr>
          <w:t>7(ג)</w:t>
        </w:r>
      </w:hyperlink>
      <w:r>
        <w:rPr>
          <w:rFonts w:cs="FrankRuehl" w:hint="cs"/>
          <w:sz w:val="28"/>
          <w:szCs w:val="28"/>
          <w:rtl/>
        </w:rPr>
        <w:t xml:space="preserve"> רישא ל</w:t>
      </w:r>
      <w:hyperlink r:id="rId16" w:history="1">
        <w:r w:rsidR="00150BF6" w:rsidRPr="00150BF6">
          <w:rPr>
            <w:rFonts w:cs="FrankRuehl"/>
            <w:color w:val="0000FF"/>
            <w:sz w:val="28"/>
            <w:szCs w:val="28"/>
            <w:u w:val="single"/>
            <w:rtl/>
          </w:rPr>
          <w:t>פקודת הסמים המסוכנים</w:t>
        </w:r>
      </w:hyperlink>
      <w:r>
        <w:rPr>
          <w:rFonts w:cs="FrankRuehl" w:hint="cs"/>
          <w:sz w:val="28"/>
          <w:szCs w:val="28"/>
          <w:rtl/>
        </w:rPr>
        <w:t xml:space="preserve"> (נוסח חדש), תשל"ג </w:t>
      </w:r>
      <w:r>
        <w:rPr>
          <w:rFonts w:cs="FrankRuehl"/>
          <w:sz w:val="28"/>
          <w:szCs w:val="28"/>
          <w:rtl/>
        </w:rPr>
        <w:t>–</w:t>
      </w:r>
      <w:r>
        <w:rPr>
          <w:rFonts w:cs="FrankRuehl" w:hint="cs"/>
          <w:sz w:val="28"/>
          <w:szCs w:val="28"/>
          <w:rtl/>
        </w:rPr>
        <w:t xml:space="preserve"> 1973.</w:t>
      </w:r>
    </w:p>
    <w:p w14:paraId="430D9155" w14:textId="77777777" w:rsidR="00347EF0" w:rsidRDefault="00347EF0" w:rsidP="00347EF0">
      <w:pPr>
        <w:spacing w:line="360" w:lineRule="auto"/>
        <w:jc w:val="both"/>
        <w:rPr>
          <w:rFonts w:cs="FrankRuehl"/>
          <w:b/>
          <w:bCs/>
          <w:sz w:val="28"/>
          <w:szCs w:val="28"/>
          <w:u w:val="single"/>
        </w:rPr>
      </w:pPr>
      <w:bookmarkStart w:id="7" w:name="ABSTRACT_END"/>
      <w:bookmarkEnd w:id="7"/>
    </w:p>
    <w:p w14:paraId="7A8D4836" w14:textId="77777777" w:rsidR="00347EF0" w:rsidRDefault="00347EF0" w:rsidP="00347EF0">
      <w:pPr>
        <w:spacing w:line="360" w:lineRule="auto"/>
        <w:jc w:val="both"/>
        <w:rPr>
          <w:rFonts w:cs="FrankRuehl"/>
          <w:b/>
          <w:bCs/>
          <w:sz w:val="28"/>
          <w:szCs w:val="28"/>
          <w:u w:val="single"/>
          <w:rtl/>
        </w:rPr>
      </w:pPr>
      <w:r>
        <w:rPr>
          <w:rFonts w:cs="FrankRuehl"/>
          <w:b/>
          <w:bCs/>
          <w:sz w:val="28"/>
          <w:szCs w:val="28"/>
          <w:u w:val="single"/>
          <w:rtl/>
        </w:rPr>
        <w:lastRenderedPageBreak/>
        <w:t>מהלך הדיון</w:t>
      </w:r>
    </w:p>
    <w:p w14:paraId="191833C2" w14:textId="77777777" w:rsidR="00347EF0" w:rsidRPr="00E71BBD" w:rsidRDefault="00347EF0" w:rsidP="00347EF0">
      <w:pPr>
        <w:spacing w:line="360" w:lineRule="auto"/>
        <w:jc w:val="both"/>
        <w:rPr>
          <w:rFonts w:cs="FrankRuehl"/>
          <w:sz w:val="28"/>
          <w:szCs w:val="28"/>
        </w:rPr>
      </w:pPr>
      <w:r>
        <w:rPr>
          <w:rFonts w:cs="FrankRuehl" w:hint="cs"/>
          <w:sz w:val="28"/>
          <w:szCs w:val="28"/>
          <w:rtl/>
        </w:rPr>
        <w:t>הנאשם הורשע על פי הודאתו, בכתב האישום, במסגרת הסדר טיעון, ללא הסכמה עונשית ונשלח לשירות המבחן שהגיש תסקיר בעניינו.</w:t>
      </w:r>
    </w:p>
    <w:p w14:paraId="508661EE" w14:textId="77777777" w:rsidR="00347EF0" w:rsidRDefault="00347EF0" w:rsidP="00347EF0">
      <w:pPr>
        <w:spacing w:line="360" w:lineRule="auto"/>
        <w:jc w:val="both"/>
        <w:rPr>
          <w:rFonts w:cs="FrankRuehl"/>
          <w:sz w:val="28"/>
          <w:szCs w:val="28"/>
        </w:rPr>
      </w:pPr>
    </w:p>
    <w:p w14:paraId="4E67DA1A" w14:textId="77777777" w:rsidR="00347EF0" w:rsidRDefault="00347EF0" w:rsidP="00347EF0">
      <w:pPr>
        <w:spacing w:line="360" w:lineRule="auto"/>
        <w:jc w:val="both"/>
        <w:rPr>
          <w:rFonts w:cs="FrankRuehl"/>
          <w:b/>
          <w:bCs/>
          <w:sz w:val="28"/>
          <w:szCs w:val="28"/>
          <w:u w:val="single"/>
        </w:rPr>
      </w:pPr>
      <w:r>
        <w:rPr>
          <w:rFonts w:cs="FrankRuehl"/>
          <w:b/>
          <w:bCs/>
          <w:sz w:val="28"/>
          <w:szCs w:val="28"/>
          <w:u w:val="single"/>
          <w:rtl/>
        </w:rPr>
        <w:t>תסקיר שירות המבחן</w:t>
      </w:r>
    </w:p>
    <w:p w14:paraId="0126EDD7" w14:textId="77777777" w:rsidR="00347EF0" w:rsidRDefault="00347EF0" w:rsidP="00347EF0">
      <w:pPr>
        <w:spacing w:line="360" w:lineRule="auto"/>
        <w:jc w:val="both"/>
        <w:rPr>
          <w:rFonts w:cs="FrankRuehl"/>
          <w:sz w:val="28"/>
          <w:szCs w:val="28"/>
        </w:rPr>
      </w:pPr>
      <w:r>
        <w:rPr>
          <w:rFonts w:cs="FrankRuehl"/>
          <w:sz w:val="28"/>
          <w:szCs w:val="28"/>
          <w:rtl/>
        </w:rPr>
        <w:t>מהתסקיר שהוגש בעניינו של הנאשם עולה</w:t>
      </w:r>
      <w:r>
        <w:rPr>
          <w:rFonts w:cs="FrankRuehl" w:hint="cs"/>
          <w:sz w:val="28"/>
          <w:szCs w:val="28"/>
          <w:rtl/>
        </w:rPr>
        <w:t xml:space="preserve">, כי הוא בן 50, רווק ואב לשלושה ילדים בגיל 28,13 ו </w:t>
      </w:r>
      <w:r>
        <w:rPr>
          <w:rFonts w:cs="FrankRuehl"/>
          <w:sz w:val="28"/>
          <w:szCs w:val="28"/>
          <w:rtl/>
        </w:rPr>
        <w:t>–</w:t>
      </w:r>
      <w:r>
        <w:rPr>
          <w:rFonts w:cs="FrankRuehl" w:hint="cs"/>
          <w:sz w:val="28"/>
          <w:szCs w:val="28"/>
          <w:rtl/>
        </w:rPr>
        <w:t xml:space="preserve"> 9. מתגורר בירושלים ועובד כסניטר בבית חולים. שירות המבחן גולל את קורות חייו של הנאשם מהן עולה, כי עד גיל 13 התגורר יחד עם משפחתו בארץ והתחנך במסגרות חינוך רגילות. בהיותו בן 13, לאחר שינוי נסיבות כלכליות, היגרה משפחתו לארה"ב. הנאשם סיפר כי חווה קשיי הסתגלות, לכן לא השתלב במסגרות חינוך והחל לעבוד עם אביו במכירות פומביות. בגיל 22 הקים בארה"ב עסק עצמאי למכירת נעליים. במסגרת מערכת יחסים זוגית שניהל בארה"ב נולדו לו שני ילדיו הגדולים, עמם אינו מקיים קשר הדוק כיום והם מתגוררים עם אמם בארה"ב. בגיל 39, על רקע מעצרים חוזרים בגין עבירות סמים, נתבקש לחזור ארצה ועבר להתגורר בבית דודתו. הנאשם סיפר, כי לאחר חזרתו ארצה, עבד שנתיים באבטחה, לאחר מכן שנתיים נוספות בעבודות שורות ולאחר מכן בעבודתו כיום. במהלך שהותו בארץ, הכיר בת זוג נוספת, ממנה נולדה לו בתו. הנאשם מקיים קשר קרוב וחם עם בתו ומתגורר בסמיכות אליה ואל אמה. אביו של הנאשם נפטר לפני כחמש שנים והנאשם שיתף כי סעד אותו בשנותיו האחרונות, כן שיתף כי בסמוך לפטירת אביו, נפטר אחיו בגיל 35 מאירוע לבבי. באשר לשימוש בסמים, הנאשם סיפר, כי החל להשתמש בסמים "קלים" בגיל 16 בנסיבות חברתיות, אולם אט אט העמיק את התמכרותו לסמים "קשים" יותר כגון הרואין ואסיד בתדירות גבוהה, דבר ששיבש את יכולתו התפקודית בתחום התעסוקה. לדבריו, הצליח להיגמל לבד מהסמים ה"קשים" ועם חזרתו ארצה נטה להשתמש רק בסמים מסוג קנאביס באופן יומיומי, אולם ציין כי בעקבות ההליך הפלילי הפסיק השימוש בסמים בשל החשש כי ייגזר עליו מאסר בפועל ולא יהיה באפשרותו לראות את בתו. מתוך שתי בדיקות סם שמסר בשירות המבחן, אחת נמצא נקיה משימוש בסם מסוג קנאביס. ביחס לעבירה המיוחסת לו, שיתף הנאשם כי באותה תקופה, על רקע אורח חייו, שוטרים היו מגיעים לבדיקה בביתו באופן תכוף. בשל כך ומתוך חשש, נהג לרכוש את הסמים באזור בית החולים, לחלק לשקיות לכמות שבועית ולהחביא אותן בבית החולים. שירות המבחן התרשם, כי הנאשם קיבל אחריות מלאה על מעשיו, הביע חרטה ורצון כן ואמיתי להשתלב בטיפול. לנוכח האמור, המליץ שירות המבחן, להטיל על הנאשם צו מבחן למשך שנה, במהלכה ישתלב הנאשם בטיפול ביחידה להתמכרויות. כן המליץ, להטיל על הנאשם 200 שעות של"ץ לצד ענישה מותנית.</w:t>
      </w:r>
    </w:p>
    <w:p w14:paraId="4D7F1524" w14:textId="77777777" w:rsidR="00347EF0" w:rsidRDefault="00347EF0" w:rsidP="00347EF0">
      <w:pPr>
        <w:spacing w:line="360" w:lineRule="auto"/>
        <w:jc w:val="both"/>
        <w:rPr>
          <w:rFonts w:cs="FrankRuehl"/>
          <w:b/>
          <w:bCs/>
          <w:sz w:val="28"/>
          <w:szCs w:val="28"/>
          <w:u w:val="single"/>
        </w:rPr>
      </w:pPr>
    </w:p>
    <w:p w14:paraId="1F5ADD39" w14:textId="77777777" w:rsidR="00347EF0" w:rsidRDefault="00347EF0" w:rsidP="00347EF0">
      <w:pPr>
        <w:spacing w:line="360" w:lineRule="auto"/>
        <w:jc w:val="both"/>
        <w:rPr>
          <w:rFonts w:cs="FrankRuehl"/>
          <w:b/>
          <w:bCs/>
          <w:sz w:val="28"/>
          <w:szCs w:val="28"/>
          <w:u w:val="single"/>
        </w:rPr>
      </w:pPr>
      <w:r>
        <w:rPr>
          <w:rFonts w:cs="FrankRuehl"/>
          <w:b/>
          <w:bCs/>
          <w:sz w:val="28"/>
          <w:szCs w:val="28"/>
          <w:u w:val="single"/>
          <w:rtl/>
        </w:rPr>
        <w:t>ראיות לעונש</w:t>
      </w:r>
    </w:p>
    <w:p w14:paraId="7BE59C29" w14:textId="77777777" w:rsidR="00347EF0" w:rsidRDefault="00347EF0" w:rsidP="00347EF0">
      <w:pPr>
        <w:spacing w:line="360" w:lineRule="auto"/>
        <w:jc w:val="both"/>
        <w:rPr>
          <w:rFonts w:cs="FrankRuehl"/>
          <w:sz w:val="28"/>
          <w:szCs w:val="28"/>
          <w:rtl/>
        </w:rPr>
      </w:pPr>
      <w:r>
        <w:rPr>
          <w:rFonts w:cs="FrankRuehl" w:hint="cs"/>
          <w:sz w:val="28"/>
          <w:szCs w:val="28"/>
          <w:rtl/>
        </w:rPr>
        <w:t>לנאשם שתי הרשעות קודמות בעבירות של שימוש בעצמי, בגינן הוטלו עליו עונשים של מאסר מותנה ושל"ץ.</w:t>
      </w:r>
    </w:p>
    <w:p w14:paraId="32A4C389" w14:textId="77777777" w:rsidR="00347EF0" w:rsidRDefault="00347EF0" w:rsidP="00347EF0">
      <w:pPr>
        <w:spacing w:line="360" w:lineRule="auto"/>
        <w:jc w:val="both"/>
        <w:rPr>
          <w:rFonts w:cs="FrankRuehl"/>
          <w:b/>
          <w:bCs/>
          <w:sz w:val="28"/>
          <w:szCs w:val="28"/>
          <w:u w:val="single"/>
          <w:rtl/>
        </w:rPr>
      </w:pPr>
    </w:p>
    <w:p w14:paraId="75EE354F" w14:textId="77777777" w:rsidR="00347EF0" w:rsidRDefault="00347EF0" w:rsidP="00347EF0">
      <w:pPr>
        <w:spacing w:line="360" w:lineRule="auto"/>
        <w:jc w:val="both"/>
        <w:rPr>
          <w:rFonts w:cs="FrankRuehl"/>
          <w:b/>
          <w:bCs/>
          <w:sz w:val="28"/>
          <w:szCs w:val="28"/>
          <w:u w:val="single"/>
          <w:rtl/>
        </w:rPr>
      </w:pPr>
      <w:r>
        <w:rPr>
          <w:rFonts w:cs="FrankRuehl"/>
          <w:b/>
          <w:bCs/>
          <w:sz w:val="28"/>
          <w:szCs w:val="28"/>
          <w:u w:val="single"/>
          <w:rtl/>
        </w:rPr>
        <w:t>טיעונים לעונש</w:t>
      </w:r>
    </w:p>
    <w:p w14:paraId="4E801009" w14:textId="77777777" w:rsidR="00347EF0" w:rsidRDefault="00347EF0" w:rsidP="00347EF0">
      <w:pPr>
        <w:spacing w:line="360" w:lineRule="auto"/>
        <w:jc w:val="both"/>
        <w:rPr>
          <w:rFonts w:cs="FrankRuehl"/>
          <w:sz w:val="28"/>
          <w:szCs w:val="28"/>
          <w:rtl/>
        </w:rPr>
      </w:pPr>
      <w:r>
        <w:rPr>
          <w:rFonts w:cs="FrankRuehl"/>
          <w:sz w:val="28"/>
          <w:szCs w:val="28"/>
          <w:rtl/>
        </w:rPr>
        <w:t xml:space="preserve">הצדדים לא הגיעו להסכמה עונשית. </w:t>
      </w:r>
    </w:p>
    <w:p w14:paraId="21F3F852" w14:textId="77777777" w:rsidR="00347EF0" w:rsidRDefault="00347EF0" w:rsidP="00347EF0">
      <w:pPr>
        <w:spacing w:line="360" w:lineRule="auto"/>
        <w:jc w:val="both"/>
        <w:rPr>
          <w:rFonts w:cs="FrankRuehl"/>
          <w:sz w:val="28"/>
          <w:szCs w:val="28"/>
          <w:rtl/>
        </w:rPr>
      </w:pPr>
      <w:r>
        <w:rPr>
          <w:rFonts w:cs="FrankRuehl"/>
          <w:sz w:val="28"/>
          <w:szCs w:val="28"/>
          <w:rtl/>
        </w:rPr>
        <w:t>מחד, ב"כ המאשימה טע</w:t>
      </w:r>
      <w:r>
        <w:rPr>
          <w:rFonts w:cs="FrankRuehl" w:hint="cs"/>
          <w:sz w:val="28"/>
          <w:szCs w:val="28"/>
          <w:rtl/>
        </w:rPr>
        <w:t xml:space="preserve">נה כי יש להטיל על הנאשם מאסר בעבודות שירות וענישה נלווית, נוכח נסיבות העבירה ונסיבותיו של הנאשם. </w:t>
      </w:r>
    </w:p>
    <w:p w14:paraId="278A2D78" w14:textId="77777777" w:rsidR="00347EF0" w:rsidRDefault="00347EF0" w:rsidP="00347EF0">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 xml:space="preserve">ביקש לאמץ את המלצת שירות המבחן. </w:t>
      </w:r>
    </w:p>
    <w:p w14:paraId="7AFF1999" w14:textId="77777777" w:rsidR="00347EF0" w:rsidRDefault="00347EF0" w:rsidP="00347EF0">
      <w:pPr>
        <w:spacing w:line="360" w:lineRule="auto"/>
        <w:jc w:val="both"/>
        <w:rPr>
          <w:rFonts w:cs="FrankRuehl"/>
          <w:b/>
          <w:bCs/>
          <w:sz w:val="28"/>
          <w:szCs w:val="28"/>
          <w:u w:val="single"/>
          <w:rtl/>
        </w:rPr>
      </w:pPr>
    </w:p>
    <w:p w14:paraId="27860DF3" w14:textId="77777777" w:rsidR="00347EF0" w:rsidRDefault="00347EF0" w:rsidP="00347EF0">
      <w:pPr>
        <w:spacing w:line="360" w:lineRule="auto"/>
        <w:jc w:val="both"/>
        <w:rPr>
          <w:rFonts w:cs="FrankRuehl"/>
          <w:b/>
          <w:bCs/>
          <w:sz w:val="28"/>
          <w:szCs w:val="28"/>
          <w:u w:val="single"/>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5CD1F76C" w14:textId="77777777" w:rsidR="00347EF0" w:rsidRDefault="00347EF0" w:rsidP="00347EF0">
      <w:pPr>
        <w:spacing w:line="360" w:lineRule="auto"/>
        <w:jc w:val="both"/>
        <w:rPr>
          <w:rFonts w:cs="FrankRuehl"/>
          <w:b/>
          <w:bCs/>
          <w:sz w:val="28"/>
          <w:szCs w:val="28"/>
          <w:u w:val="single"/>
          <w:rtl/>
        </w:rPr>
      </w:pPr>
    </w:p>
    <w:p w14:paraId="7E0DC365" w14:textId="77777777" w:rsidR="00347EF0" w:rsidRDefault="00347EF0" w:rsidP="00347EF0">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w:t>
      </w:r>
      <w:r>
        <w:rPr>
          <w:rFonts w:cs="FrankRuehl" w:hint="cs"/>
          <w:sz w:val="28"/>
          <w:szCs w:val="28"/>
          <w:rtl/>
        </w:rPr>
        <w:t xml:space="preserve"> בעניינו הפגיעה בערך המוגן, נמוכה.</w:t>
      </w:r>
    </w:p>
    <w:p w14:paraId="710DFFBC" w14:textId="77777777" w:rsidR="00347EF0" w:rsidRDefault="00347EF0" w:rsidP="00347EF0">
      <w:pPr>
        <w:spacing w:line="360" w:lineRule="auto"/>
        <w:jc w:val="both"/>
        <w:rPr>
          <w:rFonts w:cs="FrankRuehl"/>
          <w:b/>
          <w:bCs/>
          <w:sz w:val="28"/>
          <w:szCs w:val="28"/>
          <w:rtl/>
        </w:rPr>
      </w:pPr>
    </w:p>
    <w:p w14:paraId="4118CDDA" w14:textId="77777777" w:rsidR="00347EF0" w:rsidRDefault="00347EF0" w:rsidP="00347EF0">
      <w:pPr>
        <w:spacing w:line="360" w:lineRule="auto"/>
        <w:jc w:val="both"/>
        <w:rPr>
          <w:rFonts w:cs="FrankRuehl"/>
          <w:sz w:val="28"/>
          <w:szCs w:val="28"/>
        </w:rPr>
      </w:pPr>
      <w:r>
        <w:rPr>
          <w:rFonts w:cs="FrankRuehl"/>
          <w:b/>
          <w:bCs/>
          <w:sz w:val="28"/>
          <w:szCs w:val="28"/>
          <w:u w:val="single"/>
          <w:rtl/>
        </w:rPr>
        <w:t xml:space="preserve">נסיבות הקשורות בביצוע העבירה, לפי </w:t>
      </w:r>
      <w:hyperlink r:id="rId17" w:history="1">
        <w:r w:rsidR="00765BBD" w:rsidRPr="00765BBD">
          <w:rPr>
            <w:rStyle w:val="Hyperlink"/>
            <w:rFonts w:cs="FrankRuehl"/>
            <w:b/>
            <w:bCs/>
            <w:sz w:val="28"/>
            <w:szCs w:val="28"/>
            <w:rtl/>
          </w:rPr>
          <w:t>סעיף 40ט'</w:t>
        </w:r>
      </w:hyperlink>
      <w:r>
        <w:rPr>
          <w:rFonts w:cs="FrankRuehl"/>
          <w:b/>
          <w:bCs/>
          <w:sz w:val="28"/>
          <w:szCs w:val="28"/>
          <w:u w:val="single"/>
          <w:rtl/>
        </w:rPr>
        <w:t xml:space="preserve"> ל</w:t>
      </w:r>
      <w:hyperlink r:id="rId18" w:history="1">
        <w:r w:rsidR="00150BF6" w:rsidRPr="00150BF6">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בעבירה מתוכננת </w:t>
      </w:r>
      <w:r>
        <w:rPr>
          <w:rFonts w:cs="FrankRuehl"/>
          <w:sz w:val="28"/>
          <w:szCs w:val="28"/>
          <w:rtl/>
        </w:rPr>
        <w:t>–</w:t>
      </w:r>
      <w:r>
        <w:rPr>
          <w:rFonts w:cs="FrankRuehl" w:hint="cs"/>
          <w:sz w:val="28"/>
          <w:szCs w:val="28"/>
          <w:rtl/>
        </w:rPr>
        <w:t xml:space="preserve"> הנאשם החביא את הסמים בעבודתו ועל אף שהחלוקה לשקיות מעידה לכאורה על הכנה לסחר, נוכח כמות הסם שנתפסה, אני סבור כי הנאשם החזיק בסמים לצורך שימושו העצמי כעולה מהסבריו לשירות המבחן שהם סבירים והגיוניים. לא הוצגו אינדיקציות נוספות לסחר מלבד החזקה הנובעת מכמות הסמים והחלוקה לה נמצא הסבר; הנאשם אדם בוגר ולו האחריות הבלעדית לביצוע המעשים והוא צריך להימנע מביצועם.</w:t>
      </w:r>
    </w:p>
    <w:p w14:paraId="6F9DF617" w14:textId="77777777" w:rsidR="00347EF0" w:rsidRDefault="00347EF0" w:rsidP="00347EF0">
      <w:pPr>
        <w:spacing w:line="360" w:lineRule="auto"/>
        <w:jc w:val="both"/>
        <w:rPr>
          <w:rFonts w:cs="FrankRuehl"/>
          <w:b/>
          <w:bCs/>
          <w:sz w:val="28"/>
          <w:szCs w:val="28"/>
          <w:u w:val="single"/>
          <w:rtl/>
        </w:rPr>
      </w:pPr>
    </w:p>
    <w:p w14:paraId="19F6BEA7" w14:textId="77777777" w:rsidR="00347EF0" w:rsidRDefault="00347EF0" w:rsidP="00347EF0">
      <w:pPr>
        <w:spacing w:line="360" w:lineRule="auto"/>
        <w:jc w:val="both"/>
        <w:rPr>
          <w:rFonts w:cs="FrankRuehl"/>
          <w:sz w:val="28"/>
          <w:szCs w:val="28"/>
        </w:rPr>
      </w:pPr>
      <w:r>
        <w:rPr>
          <w:rFonts w:cs="FrankRuehl"/>
          <w:b/>
          <w:bCs/>
          <w:sz w:val="28"/>
          <w:szCs w:val="28"/>
          <w:u w:val="single"/>
          <w:rtl/>
        </w:rPr>
        <w:t>מדיניות הענישה הנוהגת</w:t>
      </w:r>
      <w:r>
        <w:rPr>
          <w:rFonts w:cs="FrankRuehl"/>
          <w:b/>
          <w:bCs/>
          <w:sz w:val="28"/>
          <w:szCs w:val="28"/>
          <w:rtl/>
        </w:rPr>
        <w:t xml:space="preserve"> – </w:t>
      </w:r>
      <w:r w:rsidRPr="00347EF0">
        <w:rPr>
          <w:rFonts w:ascii="Calibri" w:hAnsi="Calibri" w:cs="FrankRuehl"/>
          <w:sz w:val="28"/>
          <w:szCs w:val="28"/>
          <w:rtl/>
        </w:rPr>
        <w:t>סקירת הפסיקה בנסיבות דומות מלמדת על טווח עונשי רחב המוטל על נאשמים. מפנה ל</w:t>
      </w:r>
      <w:hyperlink r:id="rId19" w:history="1">
        <w:r w:rsidR="00150BF6" w:rsidRPr="00150BF6">
          <w:rPr>
            <w:rFonts w:ascii="Calibri" w:hAnsi="Calibri" w:cs="FrankRuehl" w:hint="eastAsia"/>
            <w:color w:val="0000FF"/>
            <w:sz w:val="28"/>
            <w:szCs w:val="28"/>
            <w:u w:val="single"/>
            <w:rtl/>
          </w:rPr>
          <w:t>ת</w:t>
        </w:r>
        <w:r w:rsidR="00150BF6" w:rsidRPr="00150BF6">
          <w:rPr>
            <w:rFonts w:ascii="Calibri" w:hAnsi="Calibri" w:cs="FrankRuehl"/>
            <w:color w:val="0000FF"/>
            <w:sz w:val="28"/>
            <w:szCs w:val="28"/>
            <w:u w:val="single"/>
            <w:rtl/>
          </w:rPr>
          <w:t>"</w:t>
        </w:r>
        <w:r w:rsidR="00150BF6" w:rsidRPr="00150BF6">
          <w:rPr>
            <w:rFonts w:ascii="Calibri" w:hAnsi="Calibri" w:cs="FrankRuehl" w:hint="eastAsia"/>
            <w:color w:val="0000FF"/>
            <w:sz w:val="28"/>
            <w:szCs w:val="28"/>
            <w:u w:val="single"/>
            <w:rtl/>
          </w:rPr>
          <w:t>פ</w:t>
        </w:r>
        <w:r w:rsidR="00150BF6" w:rsidRPr="00150BF6">
          <w:rPr>
            <w:rFonts w:ascii="Calibri" w:hAnsi="Calibri" w:cs="FrankRuehl"/>
            <w:color w:val="0000FF"/>
            <w:sz w:val="28"/>
            <w:szCs w:val="28"/>
            <w:u w:val="single"/>
            <w:rtl/>
          </w:rPr>
          <w:t xml:space="preserve"> (</w:t>
        </w:r>
        <w:r w:rsidR="00150BF6" w:rsidRPr="00150BF6">
          <w:rPr>
            <w:rFonts w:ascii="Calibri" w:hAnsi="Calibri" w:cs="FrankRuehl" w:hint="eastAsia"/>
            <w:color w:val="0000FF"/>
            <w:sz w:val="28"/>
            <w:szCs w:val="28"/>
            <w:u w:val="single"/>
            <w:rtl/>
          </w:rPr>
          <w:t>קרית</w:t>
        </w:r>
        <w:r w:rsidR="00150BF6" w:rsidRPr="00150BF6">
          <w:rPr>
            <w:rFonts w:ascii="Calibri" w:hAnsi="Calibri" w:cs="FrankRuehl"/>
            <w:color w:val="0000FF"/>
            <w:sz w:val="28"/>
            <w:szCs w:val="28"/>
            <w:u w:val="single"/>
            <w:rtl/>
          </w:rPr>
          <w:t xml:space="preserve"> </w:t>
        </w:r>
        <w:r w:rsidR="00150BF6" w:rsidRPr="00150BF6">
          <w:rPr>
            <w:rFonts w:ascii="Calibri" w:hAnsi="Calibri" w:cs="FrankRuehl" w:hint="eastAsia"/>
            <w:color w:val="0000FF"/>
            <w:sz w:val="28"/>
            <w:szCs w:val="28"/>
            <w:u w:val="single"/>
            <w:rtl/>
          </w:rPr>
          <w:t>שמונה</w:t>
        </w:r>
        <w:r w:rsidR="00150BF6" w:rsidRPr="00150BF6">
          <w:rPr>
            <w:rFonts w:ascii="Calibri" w:hAnsi="Calibri" w:cs="FrankRuehl"/>
            <w:color w:val="0000FF"/>
            <w:sz w:val="28"/>
            <w:szCs w:val="28"/>
            <w:u w:val="single"/>
            <w:rtl/>
          </w:rPr>
          <w:t>) 14998-08-16</w:t>
        </w:r>
      </w:hyperlink>
      <w:r w:rsidRPr="00347EF0">
        <w:rPr>
          <w:rFonts w:ascii="Calibri" w:hAnsi="Calibri" w:cs="FrankRuehl"/>
          <w:sz w:val="28"/>
          <w:szCs w:val="28"/>
          <w:rtl/>
        </w:rPr>
        <w:t xml:space="preserve">, </w:t>
      </w:r>
      <w:r w:rsidRPr="00347EF0">
        <w:rPr>
          <w:rFonts w:ascii="Calibri" w:hAnsi="Calibri" w:cs="FrankRuehl"/>
          <w:b/>
          <w:bCs/>
          <w:sz w:val="28"/>
          <w:szCs w:val="28"/>
          <w:u w:val="single"/>
          <w:rtl/>
        </w:rPr>
        <w:t>מדינת ישראל</w:t>
      </w:r>
      <w:r w:rsidRPr="00347EF0">
        <w:rPr>
          <w:rFonts w:ascii="Calibri" w:hAnsi="Calibri" w:cs="FrankRuehl"/>
          <w:sz w:val="28"/>
          <w:szCs w:val="28"/>
          <w:rtl/>
        </w:rPr>
        <w:t xml:space="preserve"> נ' </w:t>
      </w:r>
      <w:r w:rsidRPr="00347EF0">
        <w:rPr>
          <w:rFonts w:ascii="Calibri" w:hAnsi="Calibri" w:cs="FrankRuehl"/>
          <w:b/>
          <w:bCs/>
          <w:sz w:val="28"/>
          <w:szCs w:val="28"/>
          <w:u w:val="single"/>
          <w:rtl/>
        </w:rPr>
        <w:t>כהן</w:t>
      </w:r>
      <w:r w:rsidRPr="00347EF0">
        <w:rPr>
          <w:rFonts w:ascii="Calibri" w:hAnsi="Calibri" w:cs="FrankRuehl"/>
          <w:sz w:val="28"/>
          <w:szCs w:val="28"/>
          <w:rtl/>
        </w:rPr>
        <w:t xml:space="preserve">, שם סקר ביהמ"ש בהרחבה את הפסיקה הנוהגת המגוונת בתחום זה וקבע כי בנסיבות העניין מתחם הענישה צריך לעמוד על בין מאסר מותנה עד 12 חודשי מאסר. באותו תיק , בנוסף לעבירת החזקת סמים לשימוש עצמי, הורשע הנאשם בסחר בסמים ולאחר תסקיר חיובי הטיל ביהמ"ש מאסר מותנה, של"צ, קנס ופסילה. לא הוגש ערעור על פסק דין זה. בנסיבות חמורות בהרבה, בית המשפט העליון מסתפק לעתים קרובות בענישה הכוללת רכיב של מאסר בעבודות שירות: ר' לדוגמה: רע"פ </w:t>
      </w:r>
      <w:hyperlink r:id="rId20" w:history="1">
        <w:r w:rsidR="007B3BBB" w:rsidRPr="007B3BBB">
          <w:rPr>
            <w:rFonts w:ascii="Calibri" w:hAnsi="Calibri" w:cs="FrankRuehl"/>
            <w:color w:val="0000FF"/>
            <w:sz w:val="28"/>
            <w:szCs w:val="28"/>
            <w:u w:val="single"/>
            <w:rtl/>
          </w:rPr>
          <w:t xml:space="preserve">6161/16 </w:t>
        </w:r>
      </w:hyperlink>
      <w:r w:rsidRPr="00347EF0">
        <w:rPr>
          <w:rFonts w:ascii="Calibri" w:hAnsi="Calibri" w:cs="FrankRuehl"/>
          <w:sz w:val="28"/>
          <w:szCs w:val="28"/>
          <w:rtl/>
        </w:rPr>
        <w:t xml:space="preserve"> </w:t>
      </w:r>
      <w:r w:rsidRPr="00347EF0">
        <w:rPr>
          <w:rFonts w:ascii="Calibri" w:hAnsi="Calibri" w:cs="FrankRuehl"/>
          <w:b/>
          <w:bCs/>
          <w:sz w:val="28"/>
          <w:szCs w:val="28"/>
          <w:u w:val="single"/>
          <w:rtl/>
        </w:rPr>
        <w:t>יזרעאלוב</w:t>
      </w:r>
      <w:r w:rsidRPr="00347EF0">
        <w:rPr>
          <w:rFonts w:ascii="Calibri" w:hAnsi="Calibri" w:cs="FrankRuehl"/>
          <w:sz w:val="28"/>
          <w:szCs w:val="28"/>
          <w:rtl/>
        </w:rPr>
        <w:t xml:space="preserve"> נ' </w:t>
      </w:r>
      <w:r w:rsidRPr="00347EF0">
        <w:rPr>
          <w:rFonts w:ascii="Calibri" w:hAnsi="Calibri" w:cs="FrankRuehl"/>
          <w:b/>
          <w:bCs/>
          <w:sz w:val="28"/>
          <w:szCs w:val="28"/>
          <w:u w:val="single"/>
          <w:rtl/>
        </w:rPr>
        <w:t>מ"י</w:t>
      </w:r>
      <w:r w:rsidRPr="00347EF0">
        <w:rPr>
          <w:rFonts w:ascii="Calibri" w:hAnsi="Calibri" w:cs="FrankRuehl"/>
          <w:sz w:val="28"/>
          <w:szCs w:val="28"/>
          <w:rtl/>
        </w:rPr>
        <w:t xml:space="preserve"> (מיום 20.2.2017); </w:t>
      </w:r>
      <w:hyperlink r:id="rId21" w:history="1">
        <w:r w:rsidR="00150BF6" w:rsidRPr="00150BF6">
          <w:rPr>
            <w:rFonts w:ascii="Calibri" w:hAnsi="Calibri" w:cs="FrankRuehl" w:hint="eastAsia"/>
            <w:color w:val="0000FF"/>
            <w:sz w:val="28"/>
            <w:szCs w:val="28"/>
            <w:u w:val="single"/>
            <w:rtl/>
          </w:rPr>
          <w:t>רע</w:t>
        </w:r>
        <w:r w:rsidR="00150BF6" w:rsidRPr="00150BF6">
          <w:rPr>
            <w:rFonts w:ascii="Calibri" w:hAnsi="Calibri" w:cs="FrankRuehl"/>
            <w:color w:val="0000FF"/>
            <w:sz w:val="28"/>
            <w:szCs w:val="28"/>
            <w:u w:val="single"/>
            <w:rtl/>
          </w:rPr>
          <w:t>"</w:t>
        </w:r>
        <w:r w:rsidR="00150BF6" w:rsidRPr="00150BF6">
          <w:rPr>
            <w:rFonts w:ascii="Calibri" w:hAnsi="Calibri" w:cs="FrankRuehl" w:hint="eastAsia"/>
            <w:color w:val="0000FF"/>
            <w:sz w:val="28"/>
            <w:szCs w:val="28"/>
            <w:u w:val="single"/>
            <w:rtl/>
          </w:rPr>
          <w:t>פ</w:t>
        </w:r>
        <w:r w:rsidR="00150BF6" w:rsidRPr="00150BF6">
          <w:rPr>
            <w:rFonts w:ascii="Calibri" w:hAnsi="Calibri" w:cs="FrankRuehl"/>
            <w:color w:val="0000FF"/>
            <w:sz w:val="28"/>
            <w:szCs w:val="28"/>
            <w:u w:val="single"/>
            <w:rtl/>
          </w:rPr>
          <w:t xml:space="preserve"> 5478/19</w:t>
        </w:r>
      </w:hyperlink>
      <w:r w:rsidRPr="00347EF0">
        <w:rPr>
          <w:rFonts w:ascii="Calibri" w:hAnsi="Calibri" w:cs="FrankRuehl"/>
          <w:sz w:val="28"/>
          <w:szCs w:val="28"/>
          <w:rtl/>
        </w:rPr>
        <w:t xml:space="preserve"> </w:t>
      </w:r>
      <w:r w:rsidRPr="00347EF0">
        <w:rPr>
          <w:rFonts w:ascii="Calibri" w:hAnsi="Calibri" w:cs="FrankRuehl"/>
          <w:b/>
          <w:bCs/>
          <w:sz w:val="28"/>
          <w:szCs w:val="28"/>
          <w:u w:val="single"/>
          <w:rtl/>
        </w:rPr>
        <w:t>לוין</w:t>
      </w:r>
      <w:r w:rsidRPr="00347EF0">
        <w:rPr>
          <w:rFonts w:ascii="Calibri" w:hAnsi="Calibri" w:cs="FrankRuehl"/>
          <w:sz w:val="28"/>
          <w:szCs w:val="28"/>
          <w:rtl/>
        </w:rPr>
        <w:t xml:space="preserve"> נ' </w:t>
      </w:r>
      <w:r w:rsidRPr="00347EF0">
        <w:rPr>
          <w:rFonts w:ascii="Calibri" w:hAnsi="Calibri" w:cs="FrankRuehl"/>
          <w:b/>
          <w:bCs/>
          <w:sz w:val="28"/>
          <w:szCs w:val="28"/>
          <w:u w:val="single"/>
          <w:rtl/>
        </w:rPr>
        <w:t>מ"י</w:t>
      </w:r>
      <w:r w:rsidRPr="00347EF0">
        <w:rPr>
          <w:rFonts w:ascii="Calibri" w:hAnsi="Calibri" w:cs="FrankRuehl"/>
          <w:sz w:val="28"/>
          <w:szCs w:val="28"/>
          <w:rtl/>
        </w:rPr>
        <w:t xml:space="preserve">  (מיום 25.8.2019), שם הסתפק בית המשפט העליון בעונש של של"ץ בנסיבות חמורות יותר של סחר במספר מקרים.</w:t>
      </w:r>
    </w:p>
    <w:p w14:paraId="29FCCE88" w14:textId="77777777" w:rsidR="00347EF0" w:rsidRDefault="00347EF0" w:rsidP="00347EF0">
      <w:pPr>
        <w:spacing w:line="360" w:lineRule="auto"/>
        <w:jc w:val="both"/>
        <w:rPr>
          <w:rFonts w:cs="FrankRuehl"/>
          <w:sz w:val="28"/>
          <w:szCs w:val="28"/>
          <w:u w:val="single"/>
          <w:rtl/>
        </w:rPr>
      </w:pPr>
    </w:p>
    <w:p w14:paraId="628C0448" w14:textId="77777777" w:rsidR="00347EF0" w:rsidRDefault="00347EF0" w:rsidP="00347EF0">
      <w:pPr>
        <w:spacing w:line="360" w:lineRule="auto"/>
        <w:jc w:val="both"/>
        <w:rPr>
          <w:rFonts w:cs="FrankRuehl"/>
          <w:b/>
          <w:bCs/>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לעמוד על של"ץ ומאסר על תנאי ועד </w:t>
      </w:r>
      <w:r>
        <w:rPr>
          <w:rFonts w:cs="FrankRuehl" w:hint="cs"/>
          <w:sz w:val="28"/>
          <w:szCs w:val="28"/>
          <w:rtl/>
        </w:rPr>
        <w:t>12</w:t>
      </w:r>
      <w:r>
        <w:rPr>
          <w:rFonts w:cs="FrankRuehl"/>
          <w:sz w:val="28"/>
          <w:szCs w:val="28"/>
          <w:rtl/>
        </w:rPr>
        <w:t xml:space="preserve"> חודשי מאסר</w:t>
      </w:r>
      <w:r>
        <w:rPr>
          <w:rFonts w:cs="FrankRuehl" w:hint="cs"/>
          <w:b/>
          <w:bCs/>
          <w:sz w:val="28"/>
          <w:szCs w:val="28"/>
          <w:rtl/>
        </w:rPr>
        <w:t xml:space="preserve"> </w:t>
      </w:r>
      <w:r w:rsidRPr="00F227F6">
        <w:rPr>
          <w:rFonts w:cs="FrankRuehl" w:hint="cs"/>
          <w:sz w:val="28"/>
          <w:szCs w:val="28"/>
          <w:rtl/>
        </w:rPr>
        <w:t>בפועל</w:t>
      </w:r>
      <w:r>
        <w:rPr>
          <w:rFonts w:cs="FrankRuehl" w:hint="cs"/>
          <w:b/>
          <w:bCs/>
          <w:sz w:val="28"/>
          <w:szCs w:val="28"/>
          <w:rtl/>
        </w:rPr>
        <w:t xml:space="preserve">. </w:t>
      </w:r>
    </w:p>
    <w:p w14:paraId="308D25EF" w14:textId="77777777" w:rsidR="00347EF0" w:rsidRDefault="00347EF0" w:rsidP="00347EF0">
      <w:pPr>
        <w:spacing w:line="360" w:lineRule="auto"/>
        <w:jc w:val="both"/>
        <w:rPr>
          <w:rFonts w:cs="FrankRuehl"/>
          <w:b/>
          <w:bCs/>
          <w:sz w:val="28"/>
          <w:szCs w:val="28"/>
          <w:rtl/>
        </w:rPr>
      </w:pPr>
    </w:p>
    <w:p w14:paraId="31F50B41" w14:textId="77777777" w:rsidR="00347EF0" w:rsidRDefault="00347EF0" w:rsidP="00347EF0">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2" w:history="1">
        <w:r w:rsidR="00765BBD" w:rsidRPr="00765BBD">
          <w:rPr>
            <w:rStyle w:val="Hyperlink"/>
            <w:rFonts w:cs="FrankRuehl"/>
            <w:b/>
            <w:bCs/>
            <w:sz w:val="28"/>
            <w:szCs w:val="28"/>
            <w:rtl/>
          </w:rPr>
          <w:t>סעיף 40י"א</w:t>
        </w:r>
      </w:hyperlink>
      <w:r>
        <w:rPr>
          <w:rFonts w:cs="FrankRuehl"/>
          <w:b/>
          <w:bCs/>
          <w:sz w:val="28"/>
          <w:szCs w:val="28"/>
          <w:u w:val="single"/>
          <w:rtl/>
        </w:rPr>
        <w:t xml:space="preserve"> ל</w:t>
      </w:r>
      <w:hyperlink r:id="rId23" w:history="1">
        <w:r w:rsidR="00150BF6" w:rsidRPr="00150BF6">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הנאשם בן 50 שעבר מסכת חיים לא פשוטה ולטעמי הנאשם בדרכו מיטיב להתמודד עם קשייו ומנהל אורח חיים נורמטיבי ויציב מבחינה תעסוקתית, וזאת לצד המשך התמודדותו עם בעיית התמכרותו שטרם התגבר עליה. במהלך השנים, השתדל לשמור על יציבות תעסוקתית ומזה מספר שנים עובד בעבודה קבועה כסניטר בביה"ח. נדמה כי היותו אב לבת קטניה, הוא גורם משמעותי ומייצב בחייו המעניק לו משמעות וכוח להתמודד עם אתגרי החיים. עברו הפלילי של הנאשם רלבנטי אך אינו מכביד, ומתמקד אך רק בעבירות של שימוש עצמי ללא הדרדרות לעבירות אחרות. אני סבור כי בנסיבות העניין, שליחתו של הנאשם למאסר ולו בעבודות שירות, תדרדר את הנאשם שלא לצורך, תפגע במקור פרנסתו ותערער את יציבות חייו. לכן המלצת השירות נראית לי ואני מקבלה.</w:t>
      </w:r>
    </w:p>
    <w:p w14:paraId="20BD96C1" w14:textId="77777777" w:rsidR="00347EF0" w:rsidRDefault="00347EF0" w:rsidP="00347EF0">
      <w:pPr>
        <w:spacing w:line="360" w:lineRule="auto"/>
        <w:jc w:val="both"/>
        <w:rPr>
          <w:rFonts w:cs="FrankRuehl"/>
          <w:sz w:val="28"/>
          <w:szCs w:val="28"/>
          <w:rtl/>
        </w:rPr>
      </w:pPr>
      <w:r>
        <w:rPr>
          <w:rFonts w:cs="FrankRuehl"/>
          <w:sz w:val="28"/>
          <w:szCs w:val="28"/>
          <w:rtl/>
        </w:rPr>
        <w:t xml:space="preserve"> </w:t>
      </w:r>
    </w:p>
    <w:p w14:paraId="244D314C" w14:textId="77777777" w:rsidR="00347EF0" w:rsidRDefault="00347EF0" w:rsidP="00347EF0">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על כן, אני סבור כי יש למקם את הנאשם בתחתית המתחם שקבעתי.</w:t>
      </w:r>
    </w:p>
    <w:p w14:paraId="4068F984" w14:textId="77777777" w:rsidR="00347EF0" w:rsidRDefault="00347EF0" w:rsidP="00347EF0">
      <w:pPr>
        <w:spacing w:line="360" w:lineRule="auto"/>
        <w:jc w:val="both"/>
        <w:rPr>
          <w:rFonts w:cs="FrankRuehl"/>
          <w:b/>
          <w:bCs/>
          <w:sz w:val="28"/>
          <w:szCs w:val="28"/>
          <w:u w:val="single"/>
          <w:rtl/>
        </w:rPr>
      </w:pPr>
    </w:p>
    <w:p w14:paraId="16390CAE" w14:textId="77777777" w:rsidR="00347EF0" w:rsidRDefault="00347EF0" w:rsidP="00347EF0">
      <w:pPr>
        <w:spacing w:line="360" w:lineRule="auto"/>
        <w:jc w:val="both"/>
        <w:rPr>
          <w:rFonts w:cs="FrankRuehl"/>
          <w:b/>
          <w:bCs/>
          <w:sz w:val="28"/>
          <w:szCs w:val="28"/>
          <w:u w:val="single"/>
          <w:rtl/>
        </w:rPr>
      </w:pPr>
      <w:r>
        <w:rPr>
          <w:rFonts w:cs="FrankRuehl"/>
          <w:b/>
          <w:bCs/>
          <w:sz w:val="28"/>
          <w:szCs w:val="28"/>
          <w:u w:val="single"/>
          <w:rtl/>
        </w:rPr>
        <w:t>גזירת הדין</w:t>
      </w:r>
    </w:p>
    <w:p w14:paraId="25A82CE1" w14:textId="77777777" w:rsidR="00347EF0" w:rsidRDefault="00347EF0" w:rsidP="00347EF0">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3FCE7A05" w14:textId="77777777" w:rsidR="00347EF0" w:rsidRDefault="00347EF0" w:rsidP="00347EF0">
      <w:pPr>
        <w:numPr>
          <w:ilvl w:val="0"/>
          <w:numId w:val="1"/>
        </w:numPr>
        <w:spacing w:after="160" w:line="360" w:lineRule="auto"/>
        <w:contextualSpacing/>
        <w:jc w:val="both"/>
        <w:rPr>
          <w:rFonts w:cs="FrankRuehl"/>
          <w:sz w:val="28"/>
          <w:szCs w:val="28"/>
        </w:rPr>
      </w:pPr>
      <w:r>
        <w:rPr>
          <w:rFonts w:cs="FrankRuehl" w:hint="cs"/>
          <w:sz w:val="28"/>
          <w:szCs w:val="28"/>
          <w:rtl/>
        </w:rPr>
        <w:t xml:space="preserve">חודש מאסר שלא ירוצה אלא אם יעבור הנאשם בתוך שלוש שנים מהיום כל עבירת עוון לפי  </w:t>
      </w:r>
      <w:hyperlink r:id="rId24" w:history="1">
        <w:r w:rsidR="00150BF6" w:rsidRPr="00150BF6">
          <w:rPr>
            <w:rFonts w:cs="FrankRuehl"/>
            <w:color w:val="0000FF"/>
            <w:sz w:val="28"/>
            <w:szCs w:val="28"/>
            <w:u w:val="single"/>
            <w:rtl/>
          </w:rPr>
          <w:t>פקודת הסמים המסוכנים</w:t>
        </w:r>
      </w:hyperlink>
      <w:r>
        <w:rPr>
          <w:rFonts w:cs="FrankRuehl" w:hint="cs"/>
          <w:sz w:val="28"/>
          <w:szCs w:val="28"/>
          <w:rtl/>
        </w:rPr>
        <w:t>;</w:t>
      </w:r>
    </w:p>
    <w:p w14:paraId="6F2BFA30" w14:textId="77777777" w:rsidR="00347EF0" w:rsidRDefault="00347EF0" w:rsidP="00347EF0">
      <w:pPr>
        <w:numPr>
          <w:ilvl w:val="0"/>
          <w:numId w:val="1"/>
        </w:numPr>
        <w:spacing w:after="160" w:line="360" w:lineRule="auto"/>
        <w:contextualSpacing/>
        <w:jc w:val="both"/>
        <w:rPr>
          <w:rFonts w:cs="FrankRuehl"/>
          <w:sz w:val="28"/>
          <w:szCs w:val="28"/>
        </w:rPr>
      </w:pPr>
      <w:r>
        <w:rPr>
          <w:rFonts w:cs="FrankRuehl" w:hint="cs"/>
          <w:sz w:val="28"/>
          <w:szCs w:val="28"/>
          <w:rtl/>
        </w:rPr>
        <w:t xml:space="preserve">שישה חודשי מאסר שלא ירוצו אלא אם יעבור נאשם בתוך שלוש שנים מהיום כל עבירת פשע לפי </w:t>
      </w:r>
      <w:hyperlink r:id="rId25" w:history="1">
        <w:r w:rsidR="00150BF6" w:rsidRPr="00150BF6">
          <w:rPr>
            <w:rFonts w:cs="FrankRuehl"/>
            <w:color w:val="0000FF"/>
            <w:sz w:val="28"/>
            <w:szCs w:val="28"/>
            <w:u w:val="single"/>
            <w:rtl/>
          </w:rPr>
          <w:t>פקודת הסמים המסוכנים</w:t>
        </w:r>
      </w:hyperlink>
      <w:r>
        <w:rPr>
          <w:rFonts w:cs="FrankRuehl" w:hint="cs"/>
          <w:sz w:val="28"/>
          <w:szCs w:val="28"/>
          <w:rtl/>
        </w:rPr>
        <w:t>;</w:t>
      </w:r>
    </w:p>
    <w:p w14:paraId="052A049E" w14:textId="77777777" w:rsidR="00347EF0" w:rsidRDefault="00347EF0" w:rsidP="00347EF0">
      <w:pPr>
        <w:numPr>
          <w:ilvl w:val="0"/>
          <w:numId w:val="1"/>
        </w:numPr>
        <w:spacing w:after="160" w:line="360" w:lineRule="auto"/>
        <w:contextualSpacing/>
        <w:jc w:val="both"/>
        <w:rPr>
          <w:rFonts w:cs="FrankRuehl"/>
          <w:sz w:val="28"/>
          <w:szCs w:val="28"/>
        </w:rPr>
      </w:pPr>
      <w:r>
        <w:rPr>
          <w:rFonts w:cs="FrankRuehl" w:hint="cs"/>
          <w:sz w:val="28"/>
          <w:szCs w:val="28"/>
          <w:rtl/>
        </w:rPr>
        <w:t xml:space="preserve">200 </w:t>
      </w:r>
      <w:r>
        <w:rPr>
          <w:rFonts w:cs="FrankRuehl"/>
          <w:sz w:val="28"/>
          <w:szCs w:val="28"/>
          <w:rtl/>
        </w:rPr>
        <w:t xml:space="preserve">שעות שירות לתועלת הציבור (של"ץ), אשר ירוצו </w:t>
      </w:r>
      <w:r>
        <w:rPr>
          <w:rFonts w:cs="FrankRuehl" w:hint="cs"/>
          <w:sz w:val="28"/>
          <w:szCs w:val="28"/>
          <w:rtl/>
        </w:rPr>
        <w:t xml:space="preserve">לא לפני 9.9.2021 </w:t>
      </w:r>
      <w:r>
        <w:rPr>
          <w:rFonts w:cs="FrankRuehl"/>
          <w:sz w:val="28"/>
          <w:szCs w:val="28"/>
          <w:rtl/>
        </w:rPr>
        <w:t>על-פי תוכנית ש</w:t>
      </w:r>
      <w:r>
        <w:rPr>
          <w:rFonts w:cs="FrankRuehl" w:hint="cs"/>
          <w:sz w:val="28"/>
          <w:szCs w:val="28"/>
          <w:rtl/>
        </w:rPr>
        <w:t>י</w:t>
      </w:r>
      <w:r>
        <w:rPr>
          <w:rFonts w:cs="FrankRuehl"/>
          <w:sz w:val="28"/>
          <w:szCs w:val="28"/>
          <w:rtl/>
        </w:rPr>
        <w:t xml:space="preserve">כין שירות המבחן ובפיקוחו. הנאשם הוזהר כי אי-קיום צו השל"ץ באופן משביע רצון עלול להביא להפקעת הצו ולדיון מחודש בשאלת גזר הדין הראוי לרבות </w:t>
      </w:r>
      <w:r>
        <w:rPr>
          <w:rFonts w:cs="FrankRuehl" w:hint="cs"/>
          <w:sz w:val="28"/>
          <w:szCs w:val="28"/>
          <w:rtl/>
        </w:rPr>
        <w:t xml:space="preserve">אפשרות של </w:t>
      </w:r>
      <w:r>
        <w:rPr>
          <w:rFonts w:cs="FrankRuehl"/>
          <w:sz w:val="28"/>
          <w:szCs w:val="28"/>
          <w:rtl/>
        </w:rPr>
        <w:t>הטלת מאסר בפועל</w:t>
      </w:r>
      <w:r>
        <w:rPr>
          <w:rFonts w:cs="FrankRuehl" w:hint="cs"/>
          <w:sz w:val="28"/>
          <w:szCs w:val="28"/>
          <w:rtl/>
        </w:rPr>
        <w:t>. התוכנית תוגש בתוך 30 יום מהיום</w:t>
      </w:r>
      <w:r>
        <w:rPr>
          <w:rFonts w:cs="FrankRuehl"/>
          <w:sz w:val="28"/>
          <w:szCs w:val="28"/>
          <w:rtl/>
        </w:rPr>
        <w:t>;</w:t>
      </w:r>
    </w:p>
    <w:p w14:paraId="37FFDA92" w14:textId="77777777" w:rsidR="00347EF0" w:rsidRDefault="00347EF0" w:rsidP="00347EF0">
      <w:pPr>
        <w:numPr>
          <w:ilvl w:val="0"/>
          <w:numId w:val="1"/>
        </w:numPr>
        <w:spacing w:after="160" w:line="360" w:lineRule="auto"/>
        <w:contextualSpacing/>
        <w:jc w:val="both"/>
        <w:rPr>
          <w:rFonts w:cs="FrankRuehl"/>
          <w:sz w:val="28"/>
          <w:szCs w:val="28"/>
          <w:rtl/>
        </w:rPr>
      </w:pPr>
      <w:r>
        <w:rPr>
          <w:rFonts w:cs="FrankRuehl"/>
          <w:sz w:val="28"/>
          <w:szCs w:val="28"/>
          <w:rtl/>
        </w:rPr>
        <w:t xml:space="preserve">צו מבחן לתקופה של </w:t>
      </w:r>
      <w:r>
        <w:rPr>
          <w:rFonts w:cs="FrankRuehl" w:hint="cs"/>
          <w:sz w:val="28"/>
          <w:szCs w:val="28"/>
          <w:rtl/>
        </w:rPr>
        <w:t>18 חודשים מהיום</w:t>
      </w:r>
      <w:r>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6D70DD37" w14:textId="77777777" w:rsidR="00347EF0" w:rsidRDefault="00347EF0" w:rsidP="00347EF0">
      <w:pPr>
        <w:numPr>
          <w:ilvl w:val="0"/>
          <w:numId w:val="1"/>
        </w:numPr>
        <w:spacing w:after="160" w:line="360" w:lineRule="auto"/>
        <w:contextualSpacing/>
        <w:jc w:val="both"/>
        <w:rPr>
          <w:rFonts w:cs="FrankRuehl"/>
          <w:sz w:val="28"/>
          <w:szCs w:val="28"/>
        </w:rPr>
      </w:pPr>
      <w:r>
        <w:rPr>
          <w:rFonts w:cs="FrankRuehl"/>
          <w:sz w:val="28"/>
          <w:szCs w:val="28"/>
          <w:rtl/>
        </w:rPr>
        <w:t xml:space="preserve">התחייבות בסך </w:t>
      </w:r>
      <w:r>
        <w:rPr>
          <w:rFonts w:cs="FrankRuehl" w:hint="cs"/>
          <w:sz w:val="28"/>
          <w:szCs w:val="28"/>
          <w:rtl/>
        </w:rPr>
        <w:t xml:space="preserve">2,000 </w:t>
      </w:r>
      <w:r>
        <w:rPr>
          <w:rFonts w:cs="FrankRuehl"/>
          <w:sz w:val="28"/>
          <w:szCs w:val="28"/>
          <w:rtl/>
        </w:rPr>
        <w:t xml:space="preserve">₪ שלא לעבור כל </w:t>
      </w:r>
      <w:r>
        <w:rPr>
          <w:rFonts w:cs="FrankRuehl" w:hint="cs"/>
          <w:sz w:val="28"/>
          <w:szCs w:val="28"/>
          <w:rtl/>
        </w:rPr>
        <w:t xml:space="preserve">עבירה לפי פקודת הסמים </w:t>
      </w:r>
      <w:r>
        <w:rPr>
          <w:rFonts w:cs="FrankRuehl"/>
          <w:sz w:val="28"/>
          <w:szCs w:val="28"/>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1DE38071" w14:textId="77777777" w:rsidR="00347EF0" w:rsidRDefault="00347EF0" w:rsidP="00347EF0">
      <w:pPr>
        <w:spacing w:line="360" w:lineRule="auto"/>
        <w:rPr>
          <w:rFonts w:ascii="FrankRuehl" w:hAnsi="FrankRuehl" w:cs="FrankRuehl"/>
          <w:sz w:val="28"/>
          <w:szCs w:val="28"/>
        </w:rPr>
      </w:pPr>
    </w:p>
    <w:p w14:paraId="3BC33376" w14:textId="77777777" w:rsidR="00347EF0" w:rsidRDefault="00347EF0" w:rsidP="00347EF0">
      <w:pPr>
        <w:rPr>
          <w:rFonts w:ascii="FrankRuehl" w:hAnsi="FrankRuehl" w:cs="FrankRuehl"/>
          <w:sz w:val="28"/>
          <w:szCs w:val="28"/>
          <w:rtl/>
        </w:rPr>
      </w:pPr>
      <w:r>
        <w:rPr>
          <w:rFonts w:ascii="FrankRuehl" w:hAnsi="FrankRuehl" w:cs="FrankRuehl" w:hint="cs"/>
          <w:sz w:val="28"/>
          <w:szCs w:val="28"/>
          <w:rtl/>
        </w:rPr>
        <w:t>יש לשלוח לשירות המבחן.</w:t>
      </w:r>
    </w:p>
    <w:p w14:paraId="4A9A097D" w14:textId="77777777" w:rsidR="00347EF0" w:rsidRDefault="00347EF0" w:rsidP="00347EF0">
      <w:pPr>
        <w:rPr>
          <w:rFonts w:ascii="FrankRuehl" w:hAnsi="FrankRuehl" w:cs="FrankRuehl"/>
          <w:sz w:val="28"/>
          <w:szCs w:val="28"/>
          <w:rtl/>
        </w:rPr>
      </w:pPr>
    </w:p>
    <w:p w14:paraId="126ACF2A" w14:textId="77777777" w:rsidR="00347EF0" w:rsidRDefault="00347EF0" w:rsidP="00347EF0">
      <w:pPr>
        <w:rPr>
          <w:rFonts w:ascii="FrankRuehl" w:hAnsi="FrankRuehl" w:cs="FrankRuehl"/>
          <w:sz w:val="28"/>
          <w:szCs w:val="28"/>
          <w:rtl/>
        </w:rPr>
      </w:pPr>
      <w:r>
        <w:rPr>
          <w:rFonts w:ascii="FrankRuehl" w:hAnsi="FrankRuehl" w:cs="FrankRuehl" w:hint="cs"/>
          <w:sz w:val="28"/>
          <w:szCs w:val="28"/>
          <w:rtl/>
        </w:rPr>
        <w:t>מורה על השמדת הסמים.</w:t>
      </w:r>
    </w:p>
    <w:p w14:paraId="269A2E10" w14:textId="77777777" w:rsidR="00347EF0" w:rsidRDefault="00347EF0" w:rsidP="00347EF0">
      <w:pPr>
        <w:rPr>
          <w:rFonts w:ascii="FrankRuehl" w:hAnsi="FrankRuehl" w:cs="FrankRuehl"/>
          <w:sz w:val="28"/>
          <w:szCs w:val="28"/>
          <w:rtl/>
        </w:rPr>
      </w:pPr>
    </w:p>
    <w:p w14:paraId="03E5F14F" w14:textId="77777777" w:rsidR="00347EF0" w:rsidRDefault="00347EF0" w:rsidP="00347EF0">
      <w:pPr>
        <w:rPr>
          <w:rFonts w:ascii="FrankRuehl" w:hAnsi="FrankRuehl" w:cs="FrankRuehl"/>
          <w:sz w:val="28"/>
          <w:szCs w:val="28"/>
        </w:rPr>
      </w:pPr>
      <w:r>
        <w:rPr>
          <w:rFonts w:ascii="FrankRuehl" w:hAnsi="FrankRuehl" w:cs="FrankRuehl"/>
          <w:sz w:val="28"/>
          <w:szCs w:val="28"/>
          <w:rtl/>
        </w:rPr>
        <w:t>זכות ערעור כחוק לבית המשפט המחוזי בירושלים בתוך 45 יום מהיום.</w:t>
      </w:r>
    </w:p>
    <w:p w14:paraId="276720D8" w14:textId="77777777" w:rsidR="00347EF0" w:rsidRPr="00150BF6" w:rsidRDefault="00150BF6" w:rsidP="00347EF0">
      <w:pPr>
        <w:rPr>
          <w:color w:val="FFFFFF"/>
          <w:sz w:val="2"/>
          <w:szCs w:val="2"/>
          <w:rtl/>
        </w:rPr>
      </w:pPr>
      <w:r w:rsidRPr="00150BF6">
        <w:rPr>
          <w:color w:val="FFFFFF"/>
          <w:sz w:val="2"/>
          <w:szCs w:val="2"/>
          <w:rtl/>
        </w:rPr>
        <w:t>5129371</w:t>
      </w:r>
    </w:p>
    <w:p w14:paraId="3A63BA56" w14:textId="77777777" w:rsidR="00347EF0" w:rsidRPr="00150BF6" w:rsidRDefault="00150BF6" w:rsidP="00347EF0">
      <w:pPr>
        <w:rPr>
          <w:color w:val="FFFFFF"/>
          <w:sz w:val="2"/>
          <w:szCs w:val="2"/>
        </w:rPr>
      </w:pPr>
      <w:r w:rsidRPr="00150BF6">
        <w:rPr>
          <w:color w:val="FFFFFF"/>
          <w:sz w:val="2"/>
          <w:szCs w:val="2"/>
          <w:rtl/>
        </w:rPr>
        <w:t>54678313</w:t>
      </w:r>
    </w:p>
    <w:p w14:paraId="1EF0541B" w14:textId="77777777" w:rsidR="00347EF0" w:rsidRPr="002B7D23" w:rsidRDefault="00347EF0" w:rsidP="00347EF0">
      <w:pPr>
        <w:rPr>
          <w:rFonts w:ascii="David" w:hAnsi="David"/>
          <w:sz w:val="26"/>
          <w:szCs w:val="26"/>
          <w:rtl/>
        </w:rPr>
      </w:pPr>
    </w:p>
    <w:p w14:paraId="04D741A4" w14:textId="77777777" w:rsidR="00347EF0" w:rsidRPr="002B7D23" w:rsidRDefault="00150BF6" w:rsidP="00347EF0">
      <w:pPr>
        <w:rPr>
          <w:rFonts w:ascii="David" w:hAnsi="David"/>
          <w:sz w:val="26"/>
          <w:szCs w:val="26"/>
          <w:rtl/>
        </w:rPr>
      </w:pPr>
      <w:bookmarkStart w:id="8" w:name="Nitan"/>
      <w:r>
        <w:rPr>
          <w:rFonts w:ascii="David" w:hAnsi="David"/>
          <w:sz w:val="26"/>
          <w:szCs w:val="26"/>
          <w:rtl/>
        </w:rPr>
        <w:t xml:space="preserve">ניתן היום,  ה' אב תשפ"א, 14 יולי 2021, במעמד הצדדים. </w:t>
      </w:r>
      <w:bookmarkEnd w:id="8"/>
    </w:p>
    <w:p w14:paraId="50FDDC09" w14:textId="77777777" w:rsidR="00347EF0" w:rsidRPr="002B7D23" w:rsidRDefault="00347EF0" w:rsidP="00150BF6">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5EF2C99" w14:textId="77777777" w:rsidR="00347EF0" w:rsidRPr="00765BBD" w:rsidRDefault="00765BBD" w:rsidP="00347EF0">
      <w:pPr>
        <w:jc w:val="center"/>
        <w:rPr>
          <w:rFonts w:ascii="David" w:hAnsi="David"/>
          <w:color w:val="FFFFFF"/>
          <w:sz w:val="2"/>
          <w:szCs w:val="2"/>
          <w:rtl/>
        </w:rPr>
      </w:pPr>
      <w:r w:rsidRPr="00765BBD">
        <w:rPr>
          <w:rFonts w:ascii="David" w:hAnsi="David"/>
          <w:color w:val="FFFFFF"/>
          <w:sz w:val="2"/>
          <w:szCs w:val="2"/>
          <w:rtl/>
        </w:rPr>
        <w:t>5129371</w:t>
      </w:r>
    </w:p>
    <w:p w14:paraId="338EAF91" w14:textId="77777777" w:rsidR="004D129D" w:rsidRPr="00765BBD" w:rsidRDefault="00765BBD" w:rsidP="00150BF6">
      <w:pPr>
        <w:keepNext/>
        <w:rPr>
          <w:rFonts w:ascii="David" w:hAnsi="David"/>
          <w:color w:val="FFFFFF"/>
          <w:sz w:val="2"/>
          <w:szCs w:val="2"/>
          <w:rtl/>
        </w:rPr>
      </w:pPr>
      <w:r w:rsidRPr="00765BBD">
        <w:rPr>
          <w:rFonts w:ascii="David" w:hAnsi="David"/>
          <w:color w:val="FFFFFF"/>
          <w:sz w:val="2"/>
          <w:szCs w:val="2"/>
          <w:rtl/>
        </w:rPr>
        <w:t>54678313</w:t>
      </w:r>
    </w:p>
    <w:p w14:paraId="03F21A2E" w14:textId="77777777" w:rsidR="00150BF6" w:rsidRPr="00150BF6" w:rsidRDefault="00150BF6" w:rsidP="00150BF6">
      <w:pPr>
        <w:keepNext/>
        <w:rPr>
          <w:rFonts w:ascii="David" w:hAnsi="David"/>
          <w:color w:val="000000"/>
          <w:sz w:val="22"/>
          <w:szCs w:val="22"/>
          <w:rtl/>
        </w:rPr>
      </w:pPr>
      <w:r w:rsidRPr="00150BF6">
        <w:rPr>
          <w:rFonts w:ascii="David" w:hAnsi="David"/>
          <w:color w:val="000000"/>
          <w:sz w:val="22"/>
          <w:szCs w:val="22"/>
          <w:rtl/>
        </w:rPr>
        <w:t>דוד שאול גבאי ריכטר 54678313</w:t>
      </w:r>
    </w:p>
    <w:p w14:paraId="79E31BA4" w14:textId="77777777" w:rsidR="00150BF6" w:rsidRDefault="00150BF6" w:rsidP="00150BF6">
      <w:r w:rsidRPr="00150BF6">
        <w:rPr>
          <w:color w:val="000000"/>
          <w:rtl/>
        </w:rPr>
        <w:t>נוסח מסמך זה כפוף לשינויי ניסוח ועריכה</w:t>
      </w:r>
    </w:p>
    <w:p w14:paraId="18A866FB" w14:textId="77777777" w:rsidR="00150BF6" w:rsidRDefault="00150BF6" w:rsidP="00150BF6">
      <w:pPr>
        <w:rPr>
          <w:rtl/>
        </w:rPr>
      </w:pPr>
    </w:p>
    <w:p w14:paraId="0F835D2A" w14:textId="77777777" w:rsidR="00150BF6" w:rsidRDefault="00150BF6" w:rsidP="00150BF6">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D99CDA7" w14:textId="77777777" w:rsidR="00765BBD" w:rsidRPr="00765BBD" w:rsidRDefault="00765BBD" w:rsidP="00765BBD">
      <w:pPr>
        <w:keepNext/>
        <w:rPr>
          <w:rFonts w:ascii="David" w:hAnsi="David"/>
          <w:color w:val="000000"/>
          <w:sz w:val="22"/>
          <w:szCs w:val="22"/>
          <w:rtl/>
        </w:rPr>
      </w:pPr>
    </w:p>
    <w:sectPr w:rsidR="00765BBD" w:rsidRPr="00765BBD" w:rsidSect="00765BBD">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9FFB3" w14:textId="77777777" w:rsidR="00310F27" w:rsidRDefault="00310F27" w:rsidP="00FD233D">
      <w:r>
        <w:separator/>
      </w:r>
    </w:p>
  </w:endnote>
  <w:endnote w:type="continuationSeparator" w:id="0">
    <w:p w14:paraId="2BEFC30F" w14:textId="77777777" w:rsidR="00310F27" w:rsidRDefault="00310F27" w:rsidP="00FD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3D6F1" w14:textId="77777777" w:rsidR="00765BBD" w:rsidRDefault="00765BBD" w:rsidP="00765B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F9BD55" w14:textId="77777777" w:rsidR="00400596" w:rsidRPr="00765BBD" w:rsidRDefault="00765BBD" w:rsidP="00765BBD">
    <w:pPr>
      <w:pStyle w:val="a5"/>
      <w:pBdr>
        <w:top w:val="single" w:sz="4" w:space="1" w:color="auto"/>
        <w:between w:val="single" w:sz="4" w:space="0" w:color="auto"/>
      </w:pBdr>
      <w:spacing w:after="60"/>
      <w:jc w:val="center"/>
      <w:rPr>
        <w:rFonts w:ascii="FrankRuehl" w:hAnsi="FrankRuehl" w:cs="FrankRuehl"/>
        <w:color w:val="000000"/>
      </w:rPr>
    </w:pPr>
    <w:r w:rsidRPr="00765BB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584AD" w14:textId="77777777" w:rsidR="00765BBD" w:rsidRDefault="00765BBD" w:rsidP="00765B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7AFA">
      <w:rPr>
        <w:rFonts w:ascii="FrankRuehl" w:hAnsi="FrankRuehl" w:cs="FrankRuehl"/>
        <w:noProof/>
        <w:rtl/>
      </w:rPr>
      <w:t>1</w:t>
    </w:r>
    <w:r>
      <w:rPr>
        <w:rFonts w:ascii="FrankRuehl" w:hAnsi="FrankRuehl" w:cs="FrankRuehl"/>
        <w:rtl/>
      </w:rPr>
      <w:fldChar w:fldCharType="end"/>
    </w:r>
  </w:p>
  <w:p w14:paraId="770F85EF" w14:textId="77777777" w:rsidR="00400596" w:rsidRPr="00765BBD" w:rsidRDefault="00765BBD" w:rsidP="00765BBD">
    <w:pPr>
      <w:pStyle w:val="a5"/>
      <w:pBdr>
        <w:top w:val="single" w:sz="4" w:space="1" w:color="auto"/>
        <w:between w:val="single" w:sz="4" w:space="0" w:color="auto"/>
      </w:pBdr>
      <w:spacing w:after="60"/>
      <w:jc w:val="center"/>
      <w:rPr>
        <w:rFonts w:ascii="FrankRuehl" w:hAnsi="FrankRuehl" w:cs="FrankRuehl"/>
        <w:color w:val="000000"/>
      </w:rPr>
    </w:pPr>
    <w:r w:rsidRPr="00765BBD">
      <w:rPr>
        <w:rFonts w:ascii="FrankRuehl" w:hAnsi="FrankRuehl" w:cs="FrankRuehl"/>
        <w:color w:val="000000"/>
      </w:rPr>
      <w:pict w14:anchorId="008E9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6D8D8" w14:textId="77777777" w:rsidR="00310F27" w:rsidRDefault="00310F27" w:rsidP="00FD233D">
      <w:r>
        <w:separator/>
      </w:r>
    </w:p>
  </w:footnote>
  <w:footnote w:type="continuationSeparator" w:id="0">
    <w:p w14:paraId="4B5F7968" w14:textId="77777777" w:rsidR="00310F27" w:rsidRDefault="00310F27" w:rsidP="00FD2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AF997" w14:textId="77777777" w:rsidR="00150BF6" w:rsidRPr="00765BBD" w:rsidRDefault="00765BBD" w:rsidP="00765B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19883-06-19</w:t>
    </w:r>
    <w:r>
      <w:rPr>
        <w:rFonts w:ascii="David" w:hAnsi="David"/>
        <w:color w:val="000000"/>
        <w:sz w:val="22"/>
        <w:szCs w:val="22"/>
        <w:rtl/>
      </w:rPr>
      <w:tab/>
      <w:t xml:space="preserve"> מדינת ישראל נ' דניאל ברוך סבח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AE795" w14:textId="77777777" w:rsidR="00150BF6" w:rsidRPr="00765BBD" w:rsidRDefault="00765BBD" w:rsidP="00765B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19883-06-19</w:t>
    </w:r>
    <w:r>
      <w:rPr>
        <w:rFonts w:ascii="David" w:hAnsi="David"/>
        <w:color w:val="000000"/>
        <w:sz w:val="22"/>
        <w:szCs w:val="22"/>
        <w:rtl/>
      </w:rPr>
      <w:tab/>
      <w:t xml:space="preserve"> מדינת ישראל נ' דניאל ברוך סבח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05985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7EF0"/>
    <w:rsid w:val="000E3DDD"/>
    <w:rsid w:val="00150BF6"/>
    <w:rsid w:val="001B5A3B"/>
    <w:rsid w:val="002D7AFA"/>
    <w:rsid w:val="00310F27"/>
    <w:rsid w:val="00347EF0"/>
    <w:rsid w:val="00373E81"/>
    <w:rsid w:val="00400596"/>
    <w:rsid w:val="004D129D"/>
    <w:rsid w:val="004D22EA"/>
    <w:rsid w:val="00765BBD"/>
    <w:rsid w:val="00783A33"/>
    <w:rsid w:val="007B3BBB"/>
    <w:rsid w:val="00B332C9"/>
    <w:rsid w:val="00B94E75"/>
    <w:rsid w:val="00BA38D0"/>
    <w:rsid w:val="00FD23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05AC37"/>
  <w15:chartTrackingRefBased/>
  <w15:docId w15:val="{86171526-FB56-49DE-AF9C-6526AA3E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7E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7EF0"/>
    <w:pPr>
      <w:tabs>
        <w:tab w:val="center" w:pos="4153"/>
        <w:tab w:val="right" w:pos="8306"/>
      </w:tabs>
    </w:pPr>
  </w:style>
  <w:style w:type="character" w:customStyle="1" w:styleId="a4">
    <w:name w:val="כותרת עליונה תו"/>
    <w:link w:val="a3"/>
    <w:rsid w:val="00347EF0"/>
    <w:rPr>
      <w:rFonts w:ascii="Times New Roman" w:eastAsia="Times New Roman" w:hAnsi="Times New Roman" w:cs="David"/>
      <w:sz w:val="24"/>
      <w:szCs w:val="24"/>
    </w:rPr>
  </w:style>
  <w:style w:type="paragraph" w:styleId="a5">
    <w:name w:val="footer"/>
    <w:basedOn w:val="a"/>
    <w:link w:val="a6"/>
    <w:rsid w:val="00347EF0"/>
    <w:pPr>
      <w:tabs>
        <w:tab w:val="center" w:pos="4153"/>
        <w:tab w:val="right" w:pos="8306"/>
      </w:tabs>
    </w:pPr>
  </w:style>
  <w:style w:type="character" w:customStyle="1" w:styleId="a6">
    <w:name w:val="כותרת תחתונה תו"/>
    <w:link w:val="a5"/>
    <w:rsid w:val="00347EF0"/>
    <w:rPr>
      <w:rFonts w:ascii="Times New Roman" w:eastAsia="Times New Roman" w:hAnsi="Times New Roman" w:cs="David"/>
      <w:sz w:val="24"/>
      <w:szCs w:val="24"/>
    </w:rPr>
  </w:style>
  <w:style w:type="table" w:styleId="a7">
    <w:name w:val="Table Grid"/>
    <w:basedOn w:val="a1"/>
    <w:rsid w:val="00347E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7EF0"/>
  </w:style>
  <w:style w:type="character" w:styleId="Hyperlink">
    <w:name w:val="Hyperlink"/>
    <w:rsid w:val="00150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5975844" TargetMode="External"/><Relationship Id="rId7" Type="http://schemas.openxmlformats.org/officeDocument/2006/relationships/hyperlink" Target="http://www.nevo.co.il/case/2576809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147765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2191452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0ja"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8253</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3801214</vt:i4>
      </vt:variant>
      <vt:variant>
        <vt:i4>42</vt:i4>
      </vt:variant>
      <vt:variant>
        <vt:i4>0</vt:i4>
      </vt:variant>
      <vt:variant>
        <vt:i4>5</vt:i4>
      </vt:variant>
      <vt:variant>
        <vt:lpwstr>http://www.nevo.co.il/case/25975844</vt:lpwstr>
      </vt:variant>
      <vt:variant>
        <vt:lpwstr/>
      </vt:variant>
      <vt:variant>
        <vt:i4>3407988</vt:i4>
      </vt:variant>
      <vt:variant>
        <vt:i4>39</vt:i4>
      </vt:variant>
      <vt:variant>
        <vt:i4>0</vt:i4>
      </vt:variant>
      <vt:variant>
        <vt:i4>5</vt:i4>
      </vt:variant>
      <vt:variant>
        <vt:lpwstr>http://www.nevo.co.il/case/21477656</vt:lpwstr>
      </vt:variant>
      <vt:variant>
        <vt:lpwstr/>
      </vt:variant>
      <vt:variant>
        <vt:i4>3997809</vt:i4>
      </vt:variant>
      <vt:variant>
        <vt:i4>36</vt:i4>
      </vt:variant>
      <vt:variant>
        <vt:i4>0</vt:i4>
      </vt:variant>
      <vt:variant>
        <vt:i4>5</vt:i4>
      </vt:variant>
      <vt:variant>
        <vt:lpwstr>http://www.nevo.co.il/case/21914524</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3407991</vt:i4>
      </vt:variant>
      <vt:variant>
        <vt:i4>0</vt:i4>
      </vt:variant>
      <vt:variant>
        <vt:i4>0</vt:i4>
      </vt:variant>
      <vt:variant>
        <vt:i4>5</vt:i4>
      </vt:variant>
      <vt:variant>
        <vt:lpwstr>http://www.nevo.co.il/case/25768096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2025-04-23T00:12:00Z</dcterms:created>
  <dcterms:modified xsi:type="dcterms:W3CDTF">2025-04-23T00:12:00Z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19883</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דניאל ברוך סבח</vt:lpwstr>
  </property>
  <property fmtid="{D5CDD505-2E9C-101B-9397-08002B2CF9AE}" pid="10" name="LAWYER">
    <vt:lpwstr>שירן סיני;הרצל אברהם</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20210714</vt:lpwstr>
  </property>
  <property fmtid="{D5CDD505-2E9C-101B-9397-08002B2CF9AE}" pid="14" name="TYPE_N_DATE">
    <vt:lpwstr>38020210714</vt:lpwstr>
  </property>
  <property fmtid="{D5CDD505-2E9C-101B-9397-08002B2CF9AE}" pid="15" name="WORDNUMPAGES">
    <vt:lpwstr>5</vt:lpwstr>
  </property>
  <property fmtid="{D5CDD505-2E9C-101B-9397-08002B2CF9AE}" pid="16" name="TYPE_ABS_DATE">
    <vt:lpwstr>380020210714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25768096;21914524;21477656;25975844</vt:lpwstr>
  </property>
  <property fmtid="{D5CDD505-2E9C-101B-9397-08002B2CF9AE}" pid="36" name="LAWLISTTMP1">
    <vt:lpwstr>4216/007.a;007.c</vt:lpwstr>
  </property>
  <property fmtid="{D5CDD505-2E9C-101B-9397-08002B2CF9AE}" pid="37" name="LAWLISTTMP2">
    <vt:lpwstr>70301/040i;40ja</vt:lpwstr>
  </property>
</Properties>
</file>