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C10136" w:rsidRPr="001303C5" w14:paraId="2198E68D" w14:textId="77777777" w:rsidTr="004D405C">
        <w:trPr>
          <w:trHeight w:hRule="exact" w:val="418"/>
          <w:jc w:val="center"/>
        </w:trPr>
        <w:tc>
          <w:tcPr>
            <w:tcW w:w="8523" w:type="dxa"/>
            <w:gridSpan w:val="2"/>
          </w:tcPr>
          <w:p w14:paraId="1E1EE08B" w14:textId="77777777" w:rsidR="00C10136" w:rsidRPr="001303C5" w:rsidRDefault="00C10136" w:rsidP="00D400D0">
            <w:pPr>
              <w:pStyle w:val="a3"/>
              <w:jc w:val="center"/>
              <w:rPr>
                <w:rFonts w:ascii="Tahoma" w:hAnsi="Tahoma" w:cs="Tahoma"/>
                <w:color w:val="000080"/>
                <w:rtl/>
              </w:rPr>
            </w:pPr>
            <w:bookmarkStart w:id="0" w:name="LastJudge"/>
            <w:r w:rsidRPr="001303C5">
              <w:rPr>
                <w:rFonts w:ascii="Tahoma" w:hAnsi="Tahoma" w:cs="Tahoma"/>
                <w:b/>
                <w:bCs/>
                <w:color w:val="000080"/>
                <w:rtl/>
              </w:rPr>
              <w:t>בית משפט השלום בנתניה</w:t>
            </w:r>
          </w:p>
        </w:tc>
      </w:tr>
      <w:tr w:rsidR="00C10136" w:rsidRPr="001303C5" w14:paraId="12F5579E" w14:textId="77777777" w:rsidTr="004D405C">
        <w:trPr>
          <w:trHeight w:val="337"/>
          <w:jc w:val="center"/>
        </w:trPr>
        <w:tc>
          <w:tcPr>
            <w:tcW w:w="4946" w:type="dxa"/>
          </w:tcPr>
          <w:p w14:paraId="01D16F97" w14:textId="77777777" w:rsidR="00C10136" w:rsidRPr="001303C5" w:rsidRDefault="00C10136" w:rsidP="00D400D0">
            <w:pPr>
              <w:rPr>
                <w:rFonts w:cs="FrankRuehl"/>
                <w:sz w:val="28"/>
                <w:szCs w:val="28"/>
                <w:rtl/>
              </w:rPr>
            </w:pPr>
            <w:r w:rsidRPr="001303C5">
              <w:rPr>
                <w:rFonts w:cs="FrankRuehl"/>
                <w:sz w:val="28"/>
                <w:szCs w:val="28"/>
                <w:rtl/>
              </w:rPr>
              <w:t>ת"פ</w:t>
            </w:r>
            <w:r w:rsidRPr="001303C5">
              <w:rPr>
                <w:rFonts w:cs="FrankRuehl" w:hint="cs"/>
                <w:sz w:val="28"/>
                <w:szCs w:val="28"/>
                <w:rtl/>
              </w:rPr>
              <w:t xml:space="preserve"> </w:t>
            </w:r>
            <w:r w:rsidRPr="001303C5">
              <w:rPr>
                <w:rFonts w:cs="FrankRuehl"/>
                <w:sz w:val="28"/>
                <w:szCs w:val="28"/>
                <w:rtl/>
              </w:rPr>
              <w:t>45133-06-19</w:t>
            </w:r>
            <w:r w:rsidRPr="001303C5">
              <w:rPr>
                <w:rFonts w:cs="FrankRuehl" w:hint="cs"/>
                <w:sz w:val="28"/>
                <w:szCs w:val="28"/>
                <w:rtl/>
              </w:rPr>
              <w:t xml:space="preserve"> </w:t>
            </w:r>
            <w:r w:rsidRPr="001303C5">
              <w:rPr>
                <w:rFonts w:cs="FrankRuehl"/>
                <w:sz w:val="28"/>
                <w:szCs w:val="28"/>
                <w:rtl/>
              </w:rPr>
              <w:t>מדינת ישראל נ' כרייף</w:t>
            </w:r>
          </w:p>
        </w:tc>
        <w:tc>
          <w:tcPr>
            <w:tcW w:w="3577" w:type="dxa"/>
          </w:tcPr>
          <w:p w14:paraId="5AB2A874" w14:textId="77777777" w:rsidR="00C10136" w:rsidRPr="001303C5" w:rsidRDefault="00C10136" w:rsidP="00D400D0">
            <w:pPr>
              <w:pStyle w:val="a3"/>
              <w:jc w:val="right"/>
              <w:rPr>
                <w:rFonts w:cs="FrankRuehl"/>
                <w:sz w:val="28"/>
                <w:szCs w:val="28"/>
                <w:rtl/>
              </w:rPr>
            </w:pPr>
          </w:p>
        </w:tc>
      </w:tr>
    </w:tbl>
    <w:p w14:paraId="692EFAF9" w14:textId="77777777" w:rsidR="00C10136" w:rsidRPr="001303C5" w:rsidRDefault="00C10136" w:rsidP="00C10136">
      <w:pPr>
        <w:pStyle w:val="a3"/>
        <w:rPr>
          <w:rtl/>
        </w:rPr>
      </w:pPr>
    </w:p>
    <w:p w14:paraId="4A5F1399" w14:textId="77777777" w:rsidR="00C10136" w:rsidRPr="001303C5" w:rsidRDefault="00C10136" w:rsidP="00C10136">
      <w:pPr>
        <w:rPr>
          <w:rFonts w:ascii="David" w:hAnsi="David"/>
          <w:bCs/>
          <w:sz w:val="28"/>
          <w:szCs w:val="28"/>
          <w:rtl/>
        </w:rPr>
      </w:pPr>
    </w:p>
    <w:p w14:paraId="3C7FB910" w14:textId="77777777" w:rsidR="00C10136" w:rsidRPr="001303C5" w:rsidRDefault="00C10136" w:rsidP="00C10136">
      <w:pPr>
        <w:rPr>
          <w:rFonts w:ascii="David" w:hAnsi="David"/>
          <w:bCs/>
          <w:sz w:val="28"/>
          <w:szCs w:val="28"/>
        </w:rPr>
      </w:pPr>
      <w:r w:rsidRPr="001303C5">
        <w:rPr>
          <w:rFonts w:ascii="David" w:hAnsi="David"/>
          <w:bCs/>
          <w:sz w:val="28"/>
          <w:szCs w:val="28"/>
          <w:rtl/>
        </w:rPr>
        <w:softHyphen/>
      </w:r>
      <w:r w:rsidRPr="001303C5">
        <w:rPr>
          <w:rFonts w:ascii="David" w:hAnsi="David"/>
          <w:bCs/>
          <w:sz w:val="28"/>
          <w:szCs w:val="28"/>
          <w:rtl/>
        </w:rPr>
        <w:softHyphen/>
        <w:t>לפני:</w:t>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t>כבוד השופט גיא אבנון</w:t>
      </w:r>
    </w:p>
    <w:p w14:paraId="0AEB648C" w14:textId="77777777" w:rsidR="00C10136" w:rsidRPr="001303C5" w:rsidRDefault="00C10136" w:rsidP="00C10136">
      <w:pPr>
        <w:rPr>
          <w:rFonts w:ascii="David" w:hAnsi="David"/>
          <w:bCs/>
          <w:sz w:val="28"/>
          <w:szCs w:val="28"/>
          <w:rtl/>
        </w:rPr>
      </w:pPr>
    </w:p>
    <w:p w14:paraId="037CF826" w14:textId="77777777" w:rsidR="00C10136" w:rsidRPr="001303C5" w:rsidRDefault="00C10136" w:rsidP="00C10136">
      <w:pPr>
        <w:rPr>
          <w:rFonts w:ascii="David" w:hAnsi="David"/>
          <w:bCs/>
          <w:sz w:val="28"/>
          <w:szCs w:val="28"/>
          <w:rtl/>
        </w:rPr>
      </w:pPr>
      <w:r w:rsidRPr="001303C5">
        <w:rPr>
          <w:rFonts w:ascii="David" w:hAnsi="David"/>
          <w:bCs/>
          <w:sz w:val="28"/>
          <w:szCs w:val="28"/>
          <w:rtl/>
        </w:rPr>
        <w:t>ה</w:t>
      </w:r>
      <w:bookmarkStart w:id="1" w:name="FirstAppellant"/>
      <w:r w:rsidRPr="001303C5">
        <w:rPr>
          <w:rFonts w:ascii="David" w:hAnsi="David"/>
          <w:bCs/>
          <w:sz w:val="28"/>
          <w:szCs w:val="28"/>
          <w:rtl/>
        </w:rPr>
        <w:t>מאשימ</w:t>
      </w:r>
      <w:bookmarkEnd w:id="1"/>
      <w:r w:rsidRPr="001303C5">
        <w:rPr>
          <w:rFonts w:ascii="David" w:hAnsi="David"/>
          <w:bCs/>
          <w:sz w:val="28"/>
          <w:szCs w:val="28"/>
          <w:rtl/>
        </w:rPr>
        <w:t>ה:</w:t>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t>מדינת ישראל</w:t>
      </w:r>
    </w:p>
    <w:p w14:paraId="6C488080" w14:textId="77777777" w:rsidR="00C10136" w:rsidRPr="001303C5" w:rsidRDefault="00C10136" w:rsidP="00C10136">
      <w:pPr>
        <w:rPr>
          <w:rFonts w:ascii="David" w:hAnsi="David"/>
          <w:bCs/>
          <w:sz w:val="28"/>
          <w:szCs w:val="28"/>
          <w:rtl/>
        </w:rPr>
      </w:pP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t>באמצעות תביעות מרכז – שלוחת נתניה</w:t>
      </w:r>
    </w:p>
    <w:p w14:paraId="34769F45" w14:textId="77777777" w:rsidR="00C10136" w:rsidRPr="001303C5" w:rsidRDefault="00C10136" w:rsidP="00C10136">
      <w:pPr>
        <w:rPr>
          <w:rFonts w:ascii="David" w:hAnsi="David"/>
          <w:bCs/>
          <w:sz w:val="28"/>
          <w:szCs w:val="28"/>
          <w:rtl/>
        </w:rPr>
      </w:pPr>
    </w:p>
    <w:p w14:paraId="45C8DBC7" w14:textId="77777777" w:rsidR="00C10136" w:rsidRPr="001303C5" w:rsidRDefault="00C10136" w:rsidP="00C10136">
      <w:pPr>
        <w:rPr>
          <w:rFonts w:ascii="David" w:hAnsi="David"/>
          <w:bCs/>
          <w:sz w:val="28"/>
          <w:szCs w:val="28"/>
          <w:rtl/>
        </w:rPr>
      </w:pP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t>נ ג ד</w:t>
      </w:r>
    </w:p>
    <w:p w14:paraId="45A44699" w14:textId="77777777" w:rsidR="00C10136" w:rsidRPr="001303C5" w:rsidRDefault="00C10136" w:rsidP="00C10136">
      <w:pPr>
        <w:rPr>
          <w:rFonts w:ascii="David" w:hAnsi="David"/>
          <w:bCs/>
          <w:sz w:val="28"/>
          <w:szCs w:val="28"/>
          <w:rtl/>
        </w:rPr>
      </w:pPr>
    </w:p>
    <w:p w14:paraId="4A35253C" w14:textId="77777777" w:rsidR="00C10136" w:rsidRPr="001303C5" w:rsidRDefault="00C10136" w:rsidP="00C10136">
      <w:pPr>
        <w:rPr>
          <w:rFonts w:ascii="David" w:hAnsi="David"/>
          <w:bCs/>
          <w:sz w:val="28"/>
          <w:szCs w:val="28"/>
          <w:rtl/>
        </w:rPr>
      </w:pPr>
      <w:r w:rsidRPr="001303C5">
        <w:rPr>
          <w:rFonts w:ascii="David" w:hAnsi="David"/>
          <w:bCs/>
          <w:sz w:val="28"/>
          <w:szCs w:val="28"/>
          <w:rtl/>
        </w:rPr>
        <w:t>הנאשם:</w:t>
      </w:r>
      <w:r w:rsidRPr="001303C5">
        <w:rPr>
          <w:rFonts w:ascii="David" w:hAnsi="David"/>
          <w:bCs/>
          <w:sz w:val="28"/>
          <w:szCs w:val="28"/>
          <w:rtl/>
        </w:rPr>
        <w:tab/>
      </w:r>
      <w:r w:rsidRPr="001303C5">
        <w:rPr>
          <w:rFonts w:ascii="David" w:hAnsi="David"/>
          <w:bCs/>
          <w:sz w:val="28"/>
          <w:szCs w:val="28"/>
          <w:rtl/>
        </w:rPr>
        <w:tab/>
      </w:r>
      <w:r w:rsidRPr="001303C5">
        <w:rPr>
          <w:rFonts w:ascii="David" w:hAnsi="David"/>
          <w:bCs/>
          <w:sz w:val="28"/>
          <w:szCs w:val="28"/>
          <w:rtl/>
        </w:rPr>
        <w:tab/>
        <w:t xml:space="preserve">ברוך כרייף – ת"ז </w:t>
      </w:r>
      <w:r w:rsidR="001303C5">
        <w:rPr>
          <w:rFonts w:ascii="David" w:hAnsi="David"/>
          <w:bCs/>
          <w:sz w:val="28"/>
          <w:szCs w:val="28"/>
        </w:rPr>
        <w:t>xxxxxxxxx</w:t>
      </w:r>
    </w:p>
    <w:p w14:paraId="73E25DD6" w14:textId="77777777" w:rsidR="00C10136" w:rsidRPr="001303C5" w:rsidRDefault="00C10136" w:rsidP="00C10136">
      <w:pPr>
        <w:rPr>
          <w:rFonts w:ascii="David" w:hAnsi="David"/>
          <w:bCs/>
          <w:sz w:val="28"/>
          <w:szCs w:val="28"/>
          <w:rtl/>
        </w:rPr>
      </w:pPr>
    </w:p>
    <w:p w14:paraId="4E36E249" w14:textId="77777777" w:rsidR="00C10136" w:rsidRPr="001303C5" w:rsidRDefault="00C10136" w:rsidP="00C10136">
      <w:pPr>
        <w:rPr>
          <w:rFonts w:ascii="David" w:hAnsi="David"/>
          <w:b/>
          <w:sz w:val="28"/>
          <w:szCs w:val="28"/>
          <w:rtl/>
        </w:rPr>
      </w:pPr>
      <w:bookmarkStart w:id="2" w:name="FirstLawyer"/>
      <w:r w:rsidRPr="001303C5">
        <w:rPr>
          <w:rFonts w:ascii="David" w:hAnsi="David"/>
          <w:b/>
          <w:sz w:val="28"/>
          <w:szCs w:val="28"/>
          <w:rtl/>
        </w:rPr>
        <w:t>בשם</w:t>
      </w:r>
      <w:bookmarkEnd w:id="2"/>
      <w:r w:rsidRPr="001303C5">
        <w:rPr>
          <w:rFonts w:ascii="David" w:hAnsi="David"/>
          <w:b/>
          <w:sz w:val="28"/>
          <w:szCs w:val="28"/>
          <w:rtl/>
        </w:rPr>
        <w:t xml:space="preserve"> המאשימה:</w:t>
      </w:r>
      <w:r w:rsidRPr="001303C5">
        <w:rPr>
          <w:rFonts w:ascii="David" w:hAnsi="David"/>
          <w:b/>
          <w:sz w:val="28"/>
          <w:szCs w:val="28"/>
          <w:rtl/>
        </w:rPr>
        <w:tab/>
      </w:r>
      <w:r w:rsidRPr="001303C5">
        <w:rPr>
          <w:rFonts w:ascii="David" w:hAnsi="David"/>
          <w:b/>
          <w:sz w:val="28"/>
          <w:szCs w:val="28"/>
          <w:rtl/>
        </w:rPr>
        <w:tab/>
        <w:t>עו"ד מיכל אפלבוים</w:t>
      </w:r>
    </w:p>
    <w:p w14:paraId="2A93FAFD" w14:textId="77777777" w:rsidR="00C10136" w:rsidRPr="001303C5" w:rsidRDefault="00C10136" w:rsidP="00C10136">
      <w:pPr>
        <w:rPr>
          <w:rFonts w:ascii="David" w:hAnsi="David"/>
          <w:b/>
          <w:sz w:val="28"/>
          <w:szCs w:val="28"/>
          <w:rtl/>
        </w:rPr>
      </w:pPr>
      <w:r w:rsidRPr="001303C5">
        <w:rPr>
          <w:rFonts w:ascii="David" w:hAnsi="David"/>
          <w:b/>
          <w:sz w:val="28"/>
          <w:szCs w:val="28"/>
          <w:rtl/>
        </w:rPr>
        <w:t>בשם הנאשם:</w:t>
      </w:r>
      <w:r w:rsidRPr="001303C5">
        <w:rPr>
          <w:rFonts w:ascii="David" w:hAnsi="David"/>
          <w:b/>
          <w:sz w:val="28"/>
          <w:szCs w:val="28"/>
          <w:rtl/>
        </w:rPr>
        <w:tab/>
      </w:r>
      <w:r w:rsidRPr="001303C5">
        <w:rPr>
          <w:rFonts w:ascii="David" w:hAnsi="David"/>
          <w:b/>
          <w:sz w:val="28"/>
          <w:szCs w:val="28"/>
          <w:rtl/>
        </w:rPr>
        <w:tab/>
      </w:r>
      <w:r w:rsidRPr="001303C5">
        <w:rPr>
          <w:rFonts w:ascii="David" w:hAnsi="David"/>
          <w:b/>
          <w:sz w:val="28"/>
          <w:szCs w:val="28"/>
          <w:rtl/>
        </w:rPr>
        <w:tab/>
        <w:t>עו"ד מירב נוסבוים</w:t>
      </w:r>
    </w:p>
    <w:p w14:paraId="0A10880A" w14:textId="77777777" w:rsidR="00C10136" w:rsidRPr="001303C5" w:rsidRDefault="00C10136" w:rsidP="00C10136">
      <w:pPr>
        <w:rPr>
          <w:rFonts w:ascii="David" w:hAnsi="David"/>
          <w:bCs/>
          <w:sz w:val="28"/>
          <w:szCs w:val="28"/>
          <w:rtl/>
        </w:rPr>
      </w:pPr>
    </w:p>
    <w:p w14:paraId="373FB017" w14:textId="77777777" w:rsidR="00C10136" w:rsidRPr="001303C5" w:rsidRDefault="00C10136" w:rsidP="00C10136">
      <w:pPr>
        <w:rPr>
          <w:rFonts w:ascii="David" w:hAnsi="David"/>
          <w:bCs/>
          <w:sz w:val="28"/>
          <w:szCs w:val="28"/>
          <w:rtl/>
        </w:rPr>
      </w:pPr>
    </w:p>
    <w:p w14:paraId="21532EA2" w14:textId="77777777" w:rsidR="004D405C" w:rsidRDefault="004D405C" w:rsidP="00C10136">
      <w:pPr>
        <w:rPr>
          <w:rFonts w:ascii="David" w:hAnsi="David"/>
          <w:sz w:val="28"/>
          <w:szCs w:val="28"/>
          <w:rtl/>
        </w:rPr>
      </w:pPr>
    </w:p>
    <w:p w14:paraId="0F30D33F" w14:textId="77777777" w:rsidR="004D405C" w:rsidRPr="004D405C" w:rsidRDefault="004D405C" w:rsidP="004D405C">
      <w:pPr>
        <w:spacing w:after="120" w:line="240" w:lineRule="exact"/>
        <w:ind w:left="283" w:hanging="283"/>
        <w:jc w:val="both"/>
        <w:rPr>
          <w:rFonts w:ascii="FrankRuehl" w:hAnsi="FrankRuehl" w:cs="FrankRuehl"/>
          <w:rtl/>
        </w:rPr>
      </w:pPr>
    </w:p>
    <w:p w14:paraId="5F24DBEC" w14:textId="77777777" w:rsidR="00960217" w:rsidRDefault="00960217" w:rsidP="00960217">
      <w:pPr>
        <w:jc w:val="center"/>
        <w:rPr>
          <w:rFonts w:ascii="David" w:hAnsi="David"/>
          <w:sz w:val="28"/>
          <w:szCs w:val="28"/>
          <w:rtl/>
        </w:rPr>
      </w:pPr>
      <w:bookmarkStart w:id="3" w:name="LawTable"/>
      <w:bookmarkEnd w:id="3"/>
    </w:p>
    <w:p w14:paraId="2415C3E1" w14:textId="77777777" w:rsidR="00960217" w:rsidRPr="00960217" w:rsidRDefault="00960217" w:rsidP="00960217">
      <w:pPr>
        <w:spacing w:before="120" w:after="120" w:line="240" w:lineRule="exact"/>
        <w:ind w:left="283" w:hanging="283"/>
        <w:jc w:val="both"/>
        <w:rPr>
          <w:rFonts w:ascii="FrankRuehl" w:hAnsi="FrankRuehl" w:cs="FrankRuehl"/>
          <w:rtl/>
        </w:rPr>
      </w:pPr>
    </w:p>
    <w:p w14:paraId="72084BBA" w14:textId="77777777" w:rsidR="00960217" w:rsidRPr="00960217" w:rsidRDefault="00960217" w:rsidP="00960217">
      <w:pPr>
        <w:spacing w:before="120" w:after="120" w:line="240" w:lineRule="exact"/>
        <w:ind w:left="283" w:hanging="283"/>
        <w:jc w:val="both"/>
        <w:rPr>
          <w:rFonts w:ascii="FrankRuehl" w:hAnsi="FrankRuehl" w:cs="FrankRuehl"/>
          <w:rtl/>
        </w:rPr>
      </w:pPr>
    </w:p>
    <w:p w14:paraId="434E193A" w14:textId="77777777" w:rsidR="00960217" w:rsidRPr="00960217" w:rsidRDefault="00960217" w:rsidP="00960217">
      <w:pPr>
        <w:spacing w:before="120" w:after="120" w:line="240" w:lineRule="exact"/>
        <w:ind w:left="283" w:hanging="283"/>
        <w:jc w:val="both"/>
        <w:rPr>
          <w:rFonts w:ascii="FrankRuehl" w:hAnsi="FrankRuehl" w:cs="FrankRuehl"/>
          <w:rtl/>
        </w:rPr>
      </w:pPr>
      <w:r w:rsidRPr="00960217">
        <w:rPr>
          <w:rFonts w:ascii="FrankRuehl" w:hAnsi="FrankRuehl" w:cs="FrankRuehl"/>
          <w:rtl/>
        </w:rPr>
        <w:t xml:space="preserve">חקיקה שאוזכרה: </w:t>
      </w:r>
    </w:p>
    <w:p w14:paraId="262AAD40" w14:textId="77777777" w:rsidR="00960217" w:rsidRPr="00960217" w:rsidRDefault="00960217" w:rsidP="00960217">
      <w:pPr>
        <w:spacing w:before="120" w:after="120" w:line="240" w:lineRule="exact"/>
        <w:ind w:left="283" w:hanging="283"/>
        <w:jc w:val="both"/>
        <w:rPr>
          <w:rFonts w:ascii="FrankRuehl" w:hAnsi="FrankRuehl" w:cs="FrankRuehl"/>
          <w:rtl/>
        </w:rPr>
      </w:pPr>
      <w:hyperlink r:id="rId6" w:history="1">
        <w:r w:rsidRPr="00960217">
          <w:rPr>
            <w:rFonts w:ascii="FrankRuehl" w:hAnsi="FrankRuehl" w:cs="FrankRuehl"/>
            <w:color w:val="0000FF"/>
            <w:rtl/>
          </w:rPr>
          <w:t>פקודת הסמים המסוכנים [נוסח חדש], תשל"ג-1973</w:t>
        </w:r>
      </w:hyperlink>
      <w:r w:rsidRPr="00960217">
        <w:rPr>
          <w:rFonts w:ascii="FrankRuehl" w:hAnsi="FrankRuehl" w:cs="FrankRuehl"/>
          <w:rtl/>
        </w:rPr>
        <w:t xml:space="preserve">: סע'  </w:t>
      </w:r>
      <w:hyperlink r:id="rId7" w:history="1">
        <w:r w:rsidRPr="00960217">
          <w:rPr>
            <w:rFonts w:ascii="FrankRuehl" w:hAnsi="FrankRuehl" w:cs="FrankRuehl"/>
            <w:color w:val="0000FF"/>
            <w:rtl/>
          </w:rPr>
          <w:t>7.א.</w:t>
        </w:r>
      </w:hyperlink>
      <w:r w:rsidRPr="00960217">
        <w:rPr>
          <w:rFonts w:ascii="FrankRuehl" w:hAnsi="FrankRuehl" w:cs="FrankRuehl"/>
          <w:rtl/>
        </w:rPr>
        <w:t xml:space="preserve">, </w:t>
      </w:r>
      <w:hyperlink r:id="rId8" w:history="1">
        <w:r w:rsidRPr="00960217">
          <w:rPr>
            <w:rFonts w:ascii="FrankRuehl" w:hAnsi="FrankRuehl" w:cs="FrankRuehl"/>
            <w:color w:val="0000FF"/>
            <w:rtl/>
          </w:rPr>
          <w:t>7.ג</w:t>
        </w:r>
      </w:hyperlink>
      <w:r w:rsidRPr="00960217">
        <w:rPr>
          <w:rFonts w:ascii="FrankRuehl" w:hAnsi="FrankRuehl" w:cs="FrankRuehl"/>
          <w:rtl/>
        </w:rPr>
        <w:t xml:space="preserve">, </w:t>
      </w:r>
      <w:hyperlink r:id="rId9" w:history="1">
        <w:r w:rsidRPr="00960217">
          <w:rPr>
            <w:rFonts w:ascii="FrankRuehl" w:hAnsi="FrankRuehl" w:cs="FrankRuehl"/>
            <w:color w:val="0000FF"/>
            <w:rtl/>
          </w:rPr>
          <w:t>14</w:t>
        </w:r>
      </w:hyperlink>
    </w:p>
    <w:p w14:paraId="4E45284C" w14:textId="77777777" w:rsidR="00960217" w:rsidRPr="00960217" w:rsidRDefault="00960217" w:rsidP="00960217">
      <w:pPr>
        <w:spacing w:before="120" w:after="120" w:line="240" w:lineRule="exact"/>
        <w:ind w:left="283" w:hanging="283"/>
        <w:jc w:val="both"/>
        <w:rPr>
          <w:rFonts w:ascii="FrankRuehl" w:hAnsi="FrankRuehl" w:cs="FrankRuehl"/>
          <w:rtl/>
        </w:rPr>
      </w:pPr>
      <w:hyperlink r:id="rId10" w:history="1">
        <w:r w:rsidRPr="00960217">
          <w:rPr>
            <w:rFonts w:ascii="FrankRuehl" w:hAnsi="FrankRuehl" w:cs="FrankRuehl"/>
            <w:color w:val="0000FF"/>
            <w:rtl/>
          </w:rPr>
          <w:t>חוק העונשין, תשל"ז-1977</w:t>
        </w:r>
      </w:hyperlink>
      <w:r w:rsidRPr="00960217">
        <w:rPr>
          <w:rFonts w:ascii="FrankRuehl" w:hAnsi="FrankRuehl" w:cs="FrankRuehl"/>
          <w:rtl/>
        </w:rPr>
        <w:t xml:space="preserve">: סע'  </w:t>
      </w:r>
      <w:hyperlink r:id="rId11" w:history="1">
        <w:r w:rsidRPr="00960217">
          <w:rPr>
            <w:rFonts w:ascii="FrankRuehl" w:hAnsi="FrankRuehl" w:cs="FrankRuehl"/>
            <w:color w:val="0000FF"/>
            <w:rtl/>
          </w:rPr>
          <w:t>25</w:t>
        </w:r>
      </w:hyperlink>
      <w:r w:rsidRPr="00960217">
        <w:rPr>
          <w:rFonts w:ascii="FrankRuehl" w:hAnsi="FrankRuehl" w:cs="FrankRuehl"/>
          <w:rtl/>
        </w:rPr>
        <w:t xml:space="preserve">, </w:t>
      </w:r>
      <w:hyperlink r:id="rId12" w:history="1">
        <w:r w:rsidRPr="00960217">
          <w:rPr>
            <w:rFonts w:ascii="FrankRuehl" w:hAnsi="FrankRuehl" w:cs="FrankRuehl"/>
            <w:color w:val="0000FF"/>
            <w:rtl/>
          </w:rPr>
          <w:t>40ג(א)</w:t>
        </w:r>
      </w:hyperlink>
      <w:r w:rsidRPr="00960217">
        <w:rPr>
          <w:rFonts w:ascii="FrankRuehl" w:hAnsi="FrankRuehl" w:cs="FrankRuehl"/>
          <w:rtl/>
        </w:rPr>
        <w:t xml:space="preserve">, </w:t>
      </w:r>
      <w:hyperlink r:id="rId13" w:history="1">
        <w:r w:rsidRPr="00960217">
          <w:rPr>
            <w:rFonts w:ascii="FrankRuehl" w:hAnsi="FrankRuehl" w:cs="FrankRuehl"/>
            <w:color w:val="0000FF"/>
            <w:rtl/>
          </w:rPr>
          <w:t>40ט</w:t>
        </w:r>
      </w:hyperlink>
    </w:p>
    <w:p w14:paraId="4E27C05A" w14:textId="77777777" w:rsidR="00960217" w:rsidRPr="00960217" w:rsidRDefault="00960217" w:rsidP="00960217">
      <w:pPr>
        <w:spacing w:before="120" w:after="120" w:line="240" w:lineRule="exact"/>
        <w:ind w:left="283" w:hanging="283"/>
        <w:jc w:val="both"/>
        <w:rPr>
          <w:rFonts w:ascii="FrankRuehl" w:hAnsi="FrankRuehl" w:cs="FrankRuehl"/>
          <w:rtl/>
        </w:rPr>
      </w:pPr>
      <w:hyperlink r:id="rId14" w:history="1">
        <w:r w:rsidRPr="00960217">
          <w:rPr>
            <w:rFonts w:ascii="FrankRuehl" w:hAnsi="FrankRuehl" w:cs="FrankRuehl"/>
            <w:color w:val="0000FF"/>
            <w:rtl/>
          </w:rPr>
          <w:t>תקנות התעבורה, תשכ"א-1961 - לא מרובדות</w:t>
        </w:r>
      </w:hyperlink>
      <w:r w:rsidRPr="00960217">
        <w:rPr>
          <w:rFonts w:ascii="FrankRuehl" w:hAnsi="FrankRuehl" w:cs="FrankRuehl"/>
          <w:rtl/>
        </w:rPr>
        <w:t xml:space="preserve">: סע'  </w:t>
      </w:r>
      <w:hyperlink r:id="rId15" w:history="1">
        <w:r w:rsidRPr="00960217">
          <w:rPr>
            <w:rFonts w:ascii="FrankRuehl" w:hAnsi="FrankRuehl" w:cs="FrankRuehl"/>
            <w:color w:val="0000FF"/>
            <w:rtl/>
          </w:rPr>
          <w:t>15ב</w:t>
        </w:r>
      </w:hyperlink>
    </w:p>
    <w:p w14:paraId="660B273E" w14:textId="77777777" w:rsidR="00960217" w:rsidRPr="00960217" w:rsidRDefault="00960217" w:rsidP="00960217">
      <w:pPr>
        <w:jc w:val="center"/>
        <w:rPr>
          <w:rFonts w:ascii="David" w:hAnsi="David"/>
          <w:sz w:val="28"/>
          <w:szCs w:val="28"/>
          <w:rtl/>
        </w:rPr>
      </w:pPr>
      <w:bookmarkStart w:id="4" w:name="LawTable_End"/>
      <w:bookmarkEnd w:id="4"/>
    </w:p>
    <w:p w14:paraId="54ED5A9A" w14:textId="77777777" w:rsidR="001303C5" w:rsidRPr="001303C5" w:rsidRDefault="001303C5" w:rsidP="00C10136">
      <w:pPr>
        <w:jc w:val="center"/>
        <w:rPr>
          <w:rFonts w:ascii="David" w:hAnsi="David"/>
          <w:bCs/>
          <w:sz w:val="28"/>
          <w:szCs w:val="28"/>
          <w:rtl/>
        </w:rPr>
      </w:pPr>
    </w:p>
    <w:p w14:paraId="30B9A10F" w14:textId="77777777" w:rsidR="001303C5" w:rsidRPr="001303C5" w:rsidRDefault="001303C5" w:rsidP="001303C5">
      <w:pPr>
        <w:spacing w:line="360" w:lineRule="auto"/>
        <w:jc w:val="center"/>
        <w:rPr>
          <w:rFonts w:ascii="David" w:hAnsi="David"/>
          <w:bCs/>
          <w:sz w:val="28"/>
          <w:szCs w:val="28"/>
          <w:u w:val="single"/>
          <w:rtl/>
        </w:rPr>
      </w:pPr>
      <w:bookmarkStart w:id="5" w:name="PsakDin"/>
      <w:bookmarkEnd w:id="0"/>
      <w:r w:rsidRPr="001303C5">
        <w:rPr>
          <w:rFonts w:ascii="David" w:hAnsi="David"/>
          <w:bCs/>
          <w:sz w:val="28"/>
          <w:szCs w:val="28"/>
          <w:u w:val="single"/>
          <w:rtl/>
        </w:rPr>
        <w:t>גזר דין</w:t>
      </w:r>
    </w:p>
    <w:bookmarkEnd w:id="5"/>
    <w:p w14:paraId="5C64917E" w14:textId="77777777" w:rsidR="00C10136" w:rsidRPr="002F70B0" w:rsidRDefault="00C10136" w:rsidP="00C10136">
      <w:pPr>
        <w:spacing w:line="360" w:lineRule="auto"/>
        <w:jc w:val="both"/>
        <w:rPr>
          <w:rFonts w:ascii="FrankRuehl" w:hAnsi="FrankRuehl" w:cs="FrankRuehl"/>
          <w:sz w:val="28"/>
          <w:szCs w:val="28"/>
          <w:rtl/>
        </w:rPr>
      </w:pPr>
    </w:p>
    <w:p w14:paraId="192E6ED6" w14:textId="77777777" w:rsidR="00C10136" w:rsidRPr="002F70B0" w:rsidRDefault="00C10136" w:rsidP="00C10136">
      <w:pPr>
        <w:spacing w:line="360" w:lineRule="auto"/>
        <w:ind w:firstLine="720"/>
        <w:jc w:val="both"/>
        <w:rPr>
          <w:rFonts w:ascii="FrankRuehl" w:eastAsia="Calibri" w:hAnsi="FrankRuehl" w:cs="FrankRuehl"/>
          <w:sz w:val="28"/>
          <w:szCs w:val="28"/>
          <w:rtl/>
        </w:rPr>
      </w:pPr>
      <w:bookmarkStart w:id="6" w:name="ABSTRACT_START"/>
      <w:bookmarkEnd w:id="6"/>
      <w:r w:rsidRPr="002F70B0">
        <w:rPr>
          <w:rFonts w:ascii="FrankRuehl" w:eastAsia="Calibri" w:hAnsi="FrankRuehl" w:cs="FrankRuehl"/>
          <w:sz w:val="28"/>
          <w:szCs w:val="28"/>
          <w:rtl/>
        </w:rPr>
        <w:t xml:space="preserve">ביום 21.7.20 הורשע הנאשם בהתאם להודאתו בכתב אישום מתוקן בביצוע עבירות בשני אישומים. באישום ראשון: </w:t>
      </w:r>
      <w:r w:rsidRPr="002F70B0">
        <w:rPr>
          <w:rFonts w:ascii="FrankRuehl" w:eastAsia="Calibri" w:hAnsi="FrankRuehl" w:cs="Miriam"/>
          <w:b/>
          <w:sz w:val="28"/>
          <w:rtl/>
        </w:rPr>
        <w:t xml:space="preserve">ניסיון לתיווך בעסקת סמים מסוכנים </w:t>
      </w:r>
      <w:r w:rsidRPr="002F70B0">
        <w:rPr>
          <w:rFonts w:ascii="FrankRuehl" w:eastAsia="Calibri" w:hAnsi="FrankRuehl" w:cs="FrankRuehl"/>
          <w:sz w:val="28"/>
          <w:szCs w:val="28"/>
          <w:rtl/>
        </w:rPr>
        <w:t xml:space="preserve">(שתי הזדמנויות), לפי </w:t>
      </w:r>
      <w:hyperlink r:id="rId16" w:history="1">
        <w:r w:rsidR="004D405C" w:rsidRPr="004D405C">
          <w:rPr>
            <w:rStyle w:val="Hyperlink"/>
            <w:rFonts w:ascii="FrankRuehl" w:eastAsia="Calibri" w:hAnsi="FrankRuehl" w:cs="FrankRuehl"/>
            <w:sz w:val="28"/>
            <w:szCs w:val="28"/>
            <w:rtl/>
          </w:rPr>
          <w:t>סעיף 14</w:t>
        </w:r>
      </w:hyperlink>
      <w:r w:rsidRPr="002F70B0">
        <w:rPr>
          <w:rFonts w:ascii="FrankRuehl" w:eastAsia="Calibri" w:hAnsi="FrankRuehl" w:cs="FrankRuehl"/>
          <w:sz w:val="28"/>
          <w:szCs w:val="28"/>
          <w:rtl/>
        </w:rPr>
        <w:t xml:space="preserve"> ל</w:t>
      </w:r>
      <w:hyperlink r:id="rId17" w:history="1">
        <w:r w:rsidR="001303C5" w:rsidRPr="001303C5">
          <w:rPr>
            <w:rFonts w:ascii="FrankRuehl" w:eastAsia="Calibri" w:hAnsi="FrankRuehl" w:cs="FrankRuehl"/>
            <w:color w:val="0000FF"/>
            <w:sz w:val="28"/>
            <w:szCs w:val="28"/>
            <w:u w:val="single"/>
            <w:rtl/>
          </w:rPr>
          <w:t>פקודת הסמים המסוכנים</w:t>
        </w:r>
      </w:hyperlink>
      <w:r w:rsidRPr="002F70B0">
        <w:rPr>
          <w:rFonts w:ascii="FrankRuehl" w:eastAsia="Calibri" w:hAnsi="FrankRuehl" w:cs="FrankRuehl"/>
          <w:sz w:val="28"/>
          <w:szCs w:val="28"/>
          <w:rtl/>
        </w:rPr>
        <w:t xml:space="preserve"> [נוסח חדש], תשל"ג-1973 (להלן: </w:t>
      </w:r>
      <w:r w:rsidRPr="002F70B0">
        <w:rPr>
          <w:rFonts w:ascii="FrankRuehl" w:eastAsia="Calibri" w:hAnsi="FrankRuehl" w:cs="Miriam"/>
          <w:b/>
          <w:sz w:val="28"/>
          <w:rtl/>
        </w:rPr>
        <w:t>פקודת הסמים</w:t>
      </w:r>
      <w:r w:rsidRPr="002F70B0">
        <w:rPr>
          <w:rFonts w:ascii="FrankRuehl" w:eastAsia="Calibri" w:hAnsi="FrankRuehl" w:cs="FrankRuehl"/>
          <w:sz w:val="28"/>
          <w:szCs w:val="28"/>
          <w:rtl/>
        </w:rPr>
        <w:t xml:space="preserve">), </w:t>
      </w:r>
      <w:hyperlink r:id="rId18" w:history="1">
        <w:r w:rsidR="004D405C" w:rsidRPr="004D405C">
          <w:rPr>
            <w:rStyle w:val="Hyperlink"/>
            <w:rFonts w:ascii="FrankRuehl" w:eastAsia="Calibri" w:hAnsi="FrankRuehl" w:cs="FrankRuehl"/>
            <w:sz w:val="28"/>
            <w:szCs w:val="28"/>
            <w:rtl/>
          </w:rPr>
          <w:t>וסעיף 25</w:t>
        </w:r>
      </w:hyperlink>
      <w:r w:rsidRPr="002F70B0">
        <w:rPr>
          <w:rFonts w:ascii="FrankRuehl" w:eastAsia="Calibri" w:hAnsi="FrankRuehl" w:cs="FrankRuehl"/>
          <w:sz w:val="28"/>
          <w:szCs w:val="28"/>
          <w:rtl/>
        </w:rPr>
        <w:t xml:space="preserve"> ל</w:t>
      </w:r>
      <w:hyperlink r:id="rId19" w:history="1">
        <w:r w:rsidR="001303C5" w:rsidRPr="001303C5">
          <w:rPr>
            <w:rFonts w:ascii="FrankRuehl" w:eastAsia="Calibri" w:hAnsi="FrankRuehl" w:cs="FrankRuehl"/>
            <w:color w:val="0000FF"/>
            <w:sz w:val="28"/>
            <w:szCs w:val="28"/>
            <w:u w:val="single"/>
            <w:rtl/>
          </w:rPr>
          <w:t>חוק העונשין</w:t>
        </w:r>
      </w:hyperlink>
      <w:r w:rsidRPr="002F70B0">
        <w:rPr>
          <w:rFonts w:ascii="FrankRuehl" w:eastAsia="Calibri" w:hAnsi="FrankRuehl" w:cs="FrankRuehl"/>
          <w:sz w:val="28"/>
          <w:szCs w:val="28"/>
          <w:rtl/>
        </w:rPr>
        <w:t xml:space="preserve">, תשל"ז-1977 (להלן: </w:t>
      </w:r>
      <w:r w:rsidRPr="002F70B0">
        <w:rPr>
          <w:rFonts w:ascii="FrankRuehl" w:eastAsia="Calibri" w:hAnsi="FrankRuehl" w:cs="Miriam"/>
          <w:b/>
          <w:sz w:val="28"/>
          <w:rtl/>
        </w:rPr>
        <w:t>חוק העונשין</w:t>
      </w:r>
      <w:r w:rsidRPr="002F70B0">
        <w:rPr>
          <w:rFonts w:ascii="FrankRuehl" w:eastAsia="Calibri" w:hAnsi="FrankRuehl" w:cs="FrankRuehl"/>
          <w:sz w:val="28"/>
          <w:szCs w:val="28"/>
          <w:rtl/>
        </w:rPr>
        <w:t xml:space="preserve">). באישום שני: </w:t>
      </w:r>
      <w:r w:rsidRPr="002F70B0">
        <w:rPr>
          <w:rFonts w:ascii="FrankRuehl" w:eastAsia="Calibri" w:hAnsi="FrankRuehl" w:cs="Miriam"/>
          <w:b/>
          <w:sz w:val="28"/>
          <w:rtl/>
        </w:rPr>
        <w:t>החזקת סמים לצריכה עצמית</w:t>
      </w:r>
      <w:r w:rsidRPr="002F70B0">
        <w:rPr>
          <w:rFonts w:ascii="FrankRuehl" w:eastAsia="Calibri" w:hAnsi="FrankRuehl" w:cs="FrankRuehl"/>
          <w:sz w:val="28"/>
          <w:szCs w:val="28"/>
          <w:rtl/>
        </w:rPr>
        <w:t xml:space="preserve">, לפי סעיפים </w:t>
      </w:r>
      <w:hyperlink r:id="rId20" w:history="1">
        <w:r w:rsidR="004D405C" w:rsidRPr="004D405C">
          <w:rPr>
            <w:rStyle w:val="Hyperlink"/>
            <w:rFonts w:ascii="FrankRuehl" w:eastAsia="Calibri" w:hAnsi="FrankRuehl" w:cs="FrankRuehl"/>
            <w:sz w:val="28"/>
            <w:szCs w:val="28"/>
            <w:rtl/>
          </w:rPr>
          <w:t>7(א) ו- 7(ג)</w:t>
        </w:r>
      </w:hyperlink>
      <w:r w:rsidRPr="002F70B0">
        <w:rPr>
          <w:rFonts w:ascii="FrankRuehl" w:eastAsia="Calibri" w:hAnsi="FrankRuehl" w:cs="FrankRuehl"/>
          <w:sz w:val="28"/>
          <w:szCs w:val="28"/>
          <w:rtl/>
        </w:rPr>
        <w:t xml:space="preserve"> סיפא לפקודת הסמים. הצדדים הודיעו על הסדר דיוני במסגרתו תגביל עצמה המאשימה לעונש מאסר בפועל שלא יעלה על 9 חודשי מאסר לריצוי בדרך של עבודות שירות, בכפוף לכך שהנאשם יימצא מתאים. ההגנה ביקשה לבחון אפשרות לסיים את ההליך ללא הרשעה, והנאשם הופנה לקבלת תסקיר מבחן.</w:t>
      </w:r>
    </w:p>
    <w:p w14:paraId="255EB5FA" w14:textId="77777777" w:rsidR="00C10136" w:rsidRPr="002F70B0" w:rsidRDefault="00C10136" w:rsidP="00C10136">
      <w:pPr>
        <w:spacing w:line="360" w:lineRule="auto"/>
        <w:jc w:val="both"/>
        <w:rPr>
          <w:rFonts w:ascii="FrankRuehl" w:eastAsia="Calibri" w:hAnsi="FrankRuehl" w:cs="FrankRuehl"/>
          <w:sz w:val="28"/>
          <w:szCs w:val="28"/>
          <w:rtl/>
        </w:rPr>
      </w:pPr>
      <w:bookmarkStart w:id="7" w:name="ABSTRACT_END"/>
      <w:bookmarkEnd w:id="7"/>
    </w:p>
    <w:p w14:paraId="3D77EE12" w14:textId="77777777" w:rsidR="00C10136" w:rsidRPr="002F70B0" w:rsidRDefault="00C10136" w:rsidP="00C10136">
      <w:pPr>
        <w:spacing w:line="360" w:lineRule="auto"/>
        <w:jc w:val="both"/>
        <w:rPr>
          <w:rFonts w:ascii="FrankRuehl" w:eastAsia="Calibri" w:hAnsi="FrankRuehl" w:cs="Miriam"/>
          <w:b/>
          <w:sz w:val="28"/>
          <w:rtl/>
        </w:rPr>
      </w:pPr>
      <w:r w:rsidRPr="002F70B0">
        <w:rPr>
          <w:rFonts w:ascii="FrankRuehl" w:eastAsia="Calibri" w:hAnsi="FrankRuehl" w:cs="Miriam"/>
          <w:b/>
          <w:sz w:val="28"/>
          <w:rtl/>
        </w:rPr>
        <w:t>עיקרי כתב האישום</w:t>
      </w:r>
    </w:p>
    <w:p w14:paraId="3CF4EF7F" w14:textId="77777777" w:rsidR="00C10136" w:rsidRPr="002F70B0" w:rsidRDefault="00C10136" w:rsidP="00C10136">
      <w:pPr>
        <w:spacing w:line="360" w:lineRule="auto"/>
        <w:jc w:val="both"/>
        <w:rPr>
          <w:rFonts w:ascii="FrankRuehl" w:eastAsia="Calibri" w:hAnsi="FrankRuehl" w:cs="FrankRuehl"/>
          <w:sz w:val="28"/>
          <w:szCs w:val="28"/>
          <w:rtl/>
        </w:rPr>
      </w:pPr>
    </w:p>
    <w:p w14:paraId="1B94B581" w14:textId="77777777" w:rsidR="00C10136" w:rsidRPr="002F70B0" w:rsidRDefault="00C10136" w:rsidP="00C10136">
      <w:pPr>
        <w:spacing w:line="360" w:lineRule="auto"/>
        <w:jc w:val="both"/>
        <w:rPr>
          <w:rFonts w:ascii="FrankRuehl" w:eastAsia="Calibri" w:hAnsi="FrankRuehl" w:cs="FrankRuehl"/>
          <w:sz w:val="28"/>
          <w:szCs w:val="28"/>
          <w:rtl/>
        </w:rPr>
      </w:pPr>
      <w:r w:rsidRPr="002F70B0">
        <w:rPr>
          <w:rFonts w:ascii="FrankRuehl" w:eastAsia="Calibri" w:hAnsi="FrankRuehl" w:cs="FrankRuehl"/>
          <w:sz w:val="28"/>
          <w:szCs w:val="28"/>
          <w:rtl/>
        </w:rPr>
        <w:t>1.</w:t>
      </w:r>
      <w:r w:rsidRPr="002F70B0">
        <w:rPr>
          <w:rFonts w:ascii="FrankRuehl" w:eastAsia="Calibri" w:hAnsi="FrankRuehl" w:cs="FrankRuehl"/>
          <w:sz w:val="28"/>
          <w:szCs w:val="28"/>
          <w:rtl/>
        </w:rPr>
        <w:tab/>
        <w:t xml:space="preserve">בחלק הכללי נסקר אופן השימוש ביישומון "טלגראס" (להלן: </w:t>
      </w:r>
      <w:r w:rsidRPr="002F70B0">
        <w:rPr>
          <w:rFonts w:ascii="FrankRuehl" w:eastAsia="Calibri" w:hAnsi="FrankRuehl" w:cs="Miriam"/>
          <w:b/>
          <w:sz w:val="28"/>
          <w:rtl/>
        </w:rPr>
        <w:t>היישומון</w:t>
      </w:r>
      <w:r w:rsidRPr="002F70B0">
        <w:rPr>
          <w:rFonts w:ascii="FrankRuehl" w:eastAsia="Calibri" w:hAnsi="FrankRuehl" w:cs="FrankRuehl"/>
          <w:sz w:val="28"/>
          <w:szCs w:val="28"/>
          <w:rtl/>
        </w:rPr>
        <w:t>) המהווה פלטפורמת תקשורת מוצפנת לביצוע עסקאות סחר בסמים.</w:t>
      </w:r>
    </w:p>
    <w:p w14:paraId="3303CB97"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33A61C66"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Miriam"/>
          <w:b/>
          <w:sz w:val="28"/>
          <w:rtl/>
        </w:rPr>
        <w:t>אישום מס' 1:</w:t>
      </w:r>
      <w:r w:rsidRPr="002F70B0">
        <w:rPr>
          <w:rFonts w:ascii="FrankRuehl" w:eastAsia="Calibri" w:hAnsi="FrankRuehl" w:cs="FrankRuehl"/>
          <w:sz w:val="28"/>
          <w:szCs w:val="28"/>
          <w:rtl/>
        </w:rPr>
        <w:t xml:space="preserve"> ביום 05.01.19 במסגרת התכתבויות ביישומון בין הנאשם לבין אחד בשם בר (להלן: </w:t>
      </w:r>
      <w:r w:rsidRPr="002F70B0">
        <w:rPr>
          <w:rFonts w:ascii="FrankRuehl" w:eastAsia="Calibri" w:hAnsi="FrankRuehl" w:cs="Miriam"/>
          <w:b/>
          <w:sz w:val="28"/>
          <w:rtl/>
        </w:rPr>
        <w:t>בר</w:t>
      </w:r>
      <w:r w:rsidRPr="002F70B0">
        <w:rPr>
          <w:rFonts w:ascii="FrankRuehl" w:eastAsia="Calibri" w:hAnsi="FrankRuehl" w:cs="FrankRuehl"/>
          <w:sz w:val="28"/>
          <w:szCs w:val="28"/>
          <w:rtl/>
        </w:rPr>
        <w:t xml:space="preserve">), שלח האחרון לנאשם תיעוד של סמים באיכויות שונות והציע לו לרכוש אותם, כשהדגיש כי "זה לפני הניקוי". הנאשם השיב לבר כי הוא רואה שמדובר בסמים שגודלו בחממה, וביקש לדעת את המחיר לגרם. בר השיב כי התמונה לא משקפת את איכות הסם וכי הוא טרם ערך ניקוי, והנאשם הודיע לבר כי הוא בדרכו אליו. במועד שאינו ידוע נפגשו השניים. ביום 07.01.2019 שלח הנאשם לבר הודעה ובה ביקש ממנו "לארגן" עבורו סמים מסוג אחר, וכי הוא מגיע אליו מחר. בר שאל את הנאשם האם </w:t>
      </w:r>
      <w:r w:rsidRPr="002F70B0">
        <w:rPr>
          <w:rFonts w:ascii="FrankRuehl" w:eastAsia="Calibri" w:hAnsi="FrankRuehl" w:cs="Miriam"/>
          <w:b/>
          <w:sz w:val="28"/>
          <w:rtl/>
        </w:rPr>
        <w:t>האחר</w:t>
      </w:r>
      <w:r w:rsidRPr="002F70B0">
        <w:rPr>
          <w:rFonts w:ascii="FrankRuehl" w:eastAsia="Calibri" w:hAnsi="FrankRuehl" w:cs="FrankRuehl"/>
          <w:sz w:val="28"/>
          <w:szCs w:val="28"/>
          <w:rtl/>
        </w:rPr>
        <w:t xml:space="preserve"> לא אהב את הסוג הראשון שהנאשם הביא לו, הנאשם השיב בשלילה, ובר הבטיח לנאשם שידאג היום לסמים באיכות שונה, אבל התמורה תהיה יקרה יותר בהתאם. הנאשם נענה בחיוב תוך שהדגיש בפני בר: "כמה שיותר מהר הוא צריך, שלא יעבור הלאה". מאוחר יותר עדכן הנאשם את בר כי איננו מעוניין עוד שבר ישיג את הסמים בעבור האחר, ודרש כי בר יעביר אליו את הכספים אותם חייב לו. בר ניסה לשכנע את הנאשם שיגיד לאחר לרכוש מהסוג הראשון ששלח לו, וכך עדיין יישאר לשניהם רווח מהעסקה. הנאשם הסביר כי הוא עושה הכל כדי לקדם ולהוציא את העסקה לפועל (נסיעות, זמן, משא ומתן), וכעס על בר שבעטיו נאלץ להפסיד את העסקה עם האחר, וכדבריו: "אני לא זוכר בחיים שלי שנתקעתי". בהמשך ביקש הנאשם מבר לשלוח לו סמים (30-20 בודדים). השניים התמקחו על המחיר. הנאשם ביקש מבר לשלוח לו כמה דוגמאות שיוכל להראות לאחר, ובר הציע לשלוח בינתיים את התמונות ששלח בצירוף המחירים הנקובים "לחבר שלך", בהדגשת רווחיות העסקה לשניהם.</w:t>
      </w:r>
    </w:p>
    <w:p w14:paraId="069C45E8"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34328862"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ביום 03</w:t>
      </w:r>
      <w:r>
        <w:rPr>
          <w:rFonts w:ascii="FrankRuehl" w:eastAsia="Calibri" w:hAnsi="FrankRuehl" w:cs="FrankRuehl" w:hint="cs"/>
          <w:sz w:val="28"/>
          <w:szCs w:val="28"/>
          <w:rtl/>
        </w:rPr>
        <w:t>.</w:t>
      </w:r>
      <w:r w:rsidRPr="002F70B0">
        <w:rPr>
          <w:rFonts w:ascii="FrankRuehl" w:eastAsia="Calibri" w:hAnsi="FrankRuehl" w:cs="FrankRuehl"/>
          <w:sz w:val="28"/>
          <w:szCs w:val="28"/>
          <w:rtl/>
        </w:rPr>
        <w:t>06</w:t>
      </w:r>
      <w:r>
        <w:rPr>
          <w:rFonts w:ascii="FrankRuehl" w:eastAsia="Calibri" w:hAnsi="FrankRuehl" w:cs="FrankRuehl" w:hint="cs"/>
          <w:sz w:val="28"/>
          <w:szCs w:val="28"/>
          <w:rtl/>
        </w:rPr>
        <w:t>.</w:t>
      </w:r>
      <w:r w:rsidRPr="002F70B0">
        <w:rPr>
          <w:rFonts w:ascii="FrankRuehl" w:eastAsia="Calibri" w:hAnsi="FrankRuehl" w:cs="FrankRuehl"/>
          <w:sz w:val="28"/>
          <w:szCs w:val="28"/>
          <w:rtl/>
        </w:rPr>
        <w:t>19 ביקש הנאשם מבר שישלח לו תמונות של הסמים אותם ראה אצלו באותו היום. בר שלח תמונות וסרטון, הנאשם ביקש "חצי" ושאל את המחיר. בר השיב בשאלה "לפי כמה אפשר לדחוף לו?" הנאשם השיב כי "לפי 40". ביום 04/06/2019 ביקש הנאשם מבר לרכוש "חצי"</w:t>
      </w:r>
      <w:r>
        <w:rPr>
          <w:rFonts w:ascii="FrankRuehl" w:eastAsia="Calibri" w:hAnsi="FrankRuehl" w:cs="FrankRuehl"/>
          <w:sz w:val="28"/>
          <w:szCs w:val="28"/>
          <w:rtl/>
        </w:rPr>
        <w:t xml:space="preserve"> בעבור אחר, אך שבר ינסה להוריד </w:t>
      </w:r>
      <w:r>
        <w:rPr>
          <w:rFonts w:ascii="FrankRuehl" w:eastAsia="Calibri" w:hAnsi="FrankRuehl" w:cs="FrankRuehl" w:hint="cs"/>
          <w:sz w:val="28"/>
          <w:szCs w:val="28"/>
          <w:rtl/>
        </w:rPr>
        <w:t>מן ה</w:t>
      </w:r>
      <w:r w:rsidRPr="002F70B0">
        <w:rPr>
          <w:rFonts w:ascii="FrankRuehl" w:eastAsia="Calibri" w:hAnsi="FrankRuehl" w:cs="FrankRuehl"/>
          <w:sz w:val="28"/>
          <w:szCs w:val="28"/>
          <w:rtl/>
        </w:rPr>
        <w:t>מחיר שהציע. בר השיב שימסור לנאשם "טעימה" כדי שיעביר לאחר עם התמונות, ואם האחר ירצה הוא "יארגן" בעבור הנאשם "חצי", בתנאי שהתמורה תשולם במועד ביצוע העסקה.</w:t>
      </w:r>
    </w:p>
    <w:p w14:paraId="11A6ECCC"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4BD715BE"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Miriam"/>
          <w:b/>
          <w:sz w:val="28"/>
          <w:rtl/>
        </w:rPr>
        <w:t>אישום מס' 2:</w:t>
      </w:r>
      <w:r w:rsidRPr="002F70B0">
        <w:rPr>
          <w:rFonts w:ascii="FrankRuehl" w:eastAsia="Calibri" w:hAnsi="FrankRuehl" w:cs="FrankRuehl"/>
          <w:sz w:val="28"/>
          <w:szCs w:val="28"/>
          <w:rtl/>
        </w:rPr>
        <w:t xml:space="preserve"> ביום 04</w:t>
      </w:r>
      <w:r>
        <w:rPr>
          <w:rFonts w:ascii="FrankRuehl" w:eastAsia="Calibri" w:hAnsi="FrankRuehl" w:cs="FrankRuehl" w:hint="cs"/>
          <w:sz w:val="28"/>
          <w:szCs w:val="28"/>
          <w:rtl/>
        </w:rPr>
        <w:t>.</w:t>
      </w:r>
      <w:r w:rsidRPr="002F70B0">
        <w:rPr>
          <w:rFonts w:ascii="FrankRuehl" w:eastAsia="Calibri" w:hAnsi="FrankRuehl" w:cs="FrankRuehl"/>
          <w:sz w:val="28"/>
          <w:szCs w:val="28"/>
          <w:rtl/>
        </w:rPr>
        <w:t>06</w:t>
      </w:r>
      <w:r>
        <w:rPr>
          <w:rFonts w:ascii="FrankRuehl" w:eastAsia="Calibri" w:hAnsi="FrankRuehl" w:cs="FrankRuehl" w:hint="cs"/>
          <w:sz w:val="28"/>
          <w:szCs w:val="28"/>
          <w:rtl/>
        </w:rPr>
        <w:t>.</w:t>
      </w:r>
      <w:r w:rsidRPr="002F70B0">
        <w:rPr>
          <w:rFonts w:ascii="FrankRuehl" w:eastAsia="Calibri" w:hAnsi="FrankRuehl" w:cs="FrankRuehl"/>
          <w:sz w:val="28"/>
          <w:szCs w:val="28"/>
          <w:rtl/>
        </w:rPr>
        <w:t>19 נתפסו בחדרו של הנאשם סמים מסוכנים מסוג קנבוס במשקל כולל של 3.13 גרם נטו.</w:t>
      </w:r>
    </w:p>
    <w:p w14:paraId="1569E661"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1AB7CE3D" w14:textId="77777777" w:rsidR="00C10136" w:rsidRPr="002F70B0" w:rsidRDefault="00C10136" w:rsidP="00C10136">
      <w:pPr>
        <w:spacing w:line="360" w:lineRule="auto"/>
        <w:jc w:val="both"/>
        <w:rPr>
          <w:rFonts w:ascii="FrankRuehl" w:eastAsia="Calibri" w:hAnsi="FrankRuehl" w:cs="Miriam"/>
          <w:b/>
          <w:sz w:val="28"/>
          <w:rtl/>
        </w:rPr>
      </w:pPr>
      <w:r w:rsidRPr="002F70B0">
        <w:rPr>
          <w:rFonts w:ascii="FrankRuehl" w:eastAsia="Calibri" w:hAnsi="FrankRuehl" w:cs="Miriam"/>
          <w:b/>
          <w:sz w:val="28"/>
          <w:rtl/>
        </w:rPr>
        <w:t>תסקיר מבחן</w:t>
      </w:r>
    </w:p>
    <w:p w14:paraId="186FBA14" w14:textId="77777777" w:rsidR="00C10136" w:rsidRPr="002F70B0" w:rsidRDefault="00C10136" w:rsidP="00C10136">
      <w:pPr>
        <w:spacing w:line="360" w:lineRule="auto"/>
        <w:jc w:val="both"/>
        <w:rPr>
          <w:rFonts w:ascii="FrankRuehl" w:eastAsia="Calibri" w:hAnsi="FrankRuehl" w:cs="Miriam"/>
          <w:b/>
          <w:sz w:val="28"/>
          <w:rtl/>
        </w:rPr>
      </w:pPr>
    </w:p>
    <w:p w14:paraId="1142426C" w14:textId="77777777" w:rsidR="00C10136" w:rsidRPr="002F70B0" w:rsidRDefault="00C10136" w:rsidP="00C10136">
      <w:pPr>
        <w:spacing w:line="360" w:lineRule="auto"/>
        <w:jc w:val="both"/>
        <w:rPr>
          <w:rFonts w:ascii="FrankRuehl" w:eastAsia="Calibri" w:hAnsi="FrankRuehl" w:cs="FrankRuehl"/>
          <w:sz w:val="28"/>
          <w:szCs w:val="28"/>
          <w:rtl/>
        </w:rPr>
      </w:pPr>
      <w:r w:rsidRPr="002F70B0">
        <w:rPr>
          <w:rFonts w:ascii="FrankRuehl" w:eastAsia="Calibri" w:hAnsi="FrankRuehl" w:cs="FrankRuehl"/>
          <w:sz w:val="28"/>
          <w:szCs w:val="28"/>
          <w:rtl/>
        </w:rPr>
        <w:t>2.</w:t>
      </w:r>
      <w:r w:rsidRPr="002F70B0">
        <w:rPr>
          <w:rFonts w:ascii="FrankRuehl" w:eastAsia="Calibri" w:hAnsi="FrankRuehl" w:cs="FrankRuehl"/>
          <w:sz w:val="28"/>
          <w:szCs w:val="28"/>
          <w:rtl/>
        </w:rPr>
        <w:tab/>
        <w:t>ממצאי התסקיר יובאו בתמצית, מפאת צנעת הפרט. הנאשם בן 28, מתגורר ביחידת דיור בסמיכות לבית הוריו, עובד כספר גברים, נעדר הרשעות קודמות, בעל השכלה תיכונית, השלים שירות צבאי מלא, בתחילה כלוחם ובהמשך בתפקיד עורפי בעקבות פציעה בתאונת דרכים. הנאשם הציג לקצינת המבחן תעודת שחרור בה הוערך לטובה על ידי מפקדיו. לאחר שחרורו מצה"ל השתלב בעבודה מועדפת כפועל ייצור, בהמשך טייל ועבד בארה"ב לאורך כשנה ומחצה, וכשחזר ארצה בשנת 2017 השתלב בעבודה בקווי חלוקה של חברת קייטרינג</w:t>
      </w:r>
      <w:r>
        <w:rPr>
          <w:rFonts w:ascii="FrankRuehl" w:eastAsia="Calibri" w:hAnsi="FrankRuehl" w:cs="FrankRuehl" w:hint="cs"/>
          <w:sz w:val="28"/>
          <w:szCs w:val="28"/>
          <w:rtl/>
        </w:rPr>
        <w:t>,</w:t>
      </w:r>
      <w:r w:rsidRPr="002F70B0">
        <w:rPr>
          <w:rFonts w:ascii="FrankRuehl" w:eastAsia="Calibri" w:hAnsi="FrankRuehl" w:cs="FrankRuehl"/>
          <w:sz w:val="28"/>
          <w:szCs w:val="28"/>
          <w:rtl/>
        </w:rPr>
        <w:t xml:space="preserve"> ועם אביו בתחום ההסעות. בשנת 2019 השלים בהצלחה לימודי סַפַּרות גברים, ופתח מספרה משלו.</w:t>
      </w:r>
    </w:p>
    <w:p w14:paraId="35FAE2B5"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74D7F971"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הנאשם הודה בביצוע העבירות בהן הורשע, וביטא הכרה בפסול שבהתנהגותו. לטענתו, בתקופה הרלוונטית "היה בין עבודות, חווה הרגשת תקיעות בחייו", והיה מעונין להרוויח "כסף קל" באופן חד-פעמי, כששיתוף הפעולה עם בר, קרוב משפחתו, הקל עליו את הנגישות ליישומון. הנאשם אף תיאר צריכת קנאביס בתדירות של פעם-פעמיים בשבוע, אשר הופסקה בעקבות מעצרו בהליך דנן. בהתאם, בדיקות שנתן שנלקחו מהנאשם נמצאו נקיות. הנאשם הוסיף וטען כי ניתק את קשריו עם גורמים עמם היה משתמש בקנאביס על רקע חברתי, שלל צורך בטיפול ייעודי בהתמכרויות, והדגיש כי ההליך הפלילי השפיע עליו באופן מרתיע.</w:t>
      </w:r>
    </w:p>
    <w:p w14:paraId="1C894D07"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5A5CCB73"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קצין המבחן התרשם כי לנאשם רקע נורמטיבי, אינו מאופין בקווי אישיות עברייניים, מגלה יכולת היענות לגורמי סמכות, שיתף פעולה באופן מלא עם שירות המבחן, הפגין יציבות תעסוקתית,  יכולת הבנה של הגורמים שהובילו אותו לשימוש מזדמן בסמים, ועצם קיומו של ההליך הפלילי מהווה גורם הרתעה משמעותי עבורו. הנאשם ביטא שאיפות נורמטיביות לעתיד ורצון למנף את העסק שמנהל כיום כספר גברים, ובמקביל שוקל להשתלב בעבודה בתחום ההסעות בדומה לאביו. מכאן, הנאשם איננו זקוק להתערבות טיפולית כלשהי, וממילא פחת משמעותית הסיכון להישנות התנהגות דומה בעתיד.</w:t>
      </w:r>
    </w:p>
    <w:p w14:paraId="34F5E6AD"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589F43E7"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הגם שלא הוצגה אינדיקציה לפגיעה מוחשית כתוצאה מהרשעה, המליץ קצין המבחן לשקול בחיוב ביטול ההרשעה, על מנת שלא לפגוע בעתידו של הנאשם כאדם צעיר שעדיין מבסס את עתידו הכלכלי והתעסוקתי. עוד המליץ קצין המבחן להטיל על הנאשם צו שירות לתועלת הציבור (של"צ) בהיקף של 280 שעות.</w:t>
      </w:r>
    </w:p>
    <w:p w14:paraId="70FCD293"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2E27538E" w14:textId="77777777" w:rsidR="00C10136" w:rsidRPr="002F70B0" w:rsidRDefault="00C10136" w:rsidP="00C10136">
      <w:pPr>
        <w:spacing w:line="360" w:lineRule="auto"/>
        <w:jc w:val="both"/>
        <w:rPr>
          <w:rFonts w:ascii="FrankRuehl" w:eastAsia="Calibri" w:hAnsi="FrankRuehl" w:cs="Miriam"/>
          <w:b/>
          <w:sz w:val="28"/>
          <w:rtl/>
        </w:rPr>
      </w:pPr>
      <w:r w:rsidRPr="002F70B0">
        <w:rPr>
          <w:rFonts w:ascii="FrankRuehl" w:eastAsia="Calibri" w:hAnsi="FrankRuehl" w:cs="Miriam"/>
          <w:b/>
          <w:sz w:val="28"/>
          <w:rtl/>
        </w:rPr>
        <w:t>תמצית טיעוני הצדדים לעונש</w:t>
      </w:r>
    </w:p>
    <w:p w14:paraId="35BD35B2" w14:textId="77777777" w:rsidR="00C10136" w:rsidRPr="002F70B0" w:rsidRDefault="00C10136" w:rsidP="00C10136">
      <w:pPr>
        <w:spacing w:line="360" w:lineRule="auto"/>
        <w:jc w:val="both"/>
        <w:rPr>
          <w:rFonts w:ascii="FrankRuehl" w:eastAsia="Calibri" w:hAnsi="FrankRuehl" w:cs="Miriam"/>
          <w:b/>
          <w:sz w:val="28"/>
          <w:rtl/>
        </w:rPr>
      </w:pPr>
    </w:p>
    <w:p w14:paraId="36C1AF9A" w14:textId="77777777" w:rsidR="00C10136" w:rsidRPr="002F70B0" w:rsidRDefault="00C10136" w:rsidP="00C10136">
      <w:pPr>
        <w:spacing w:line="360" w:lineRule="auto"/>
        <w:jc w:val="both"/>
        <w:rPr>
          <w:rFonts w:ascii="FrankRuehl" w:eastAsia="Calibri" w:hAnsi="FrankRuehl" w:cs="FrankRuehl"/>
          <w:sz w:val="28"/>
          <w:szCs w:val="28"/>
          <w:rtl/>
        </w:rPr>
      </w:pPr>
      <w:r w:rsidRPr="002F70B0">
        <w:rPr>
          <w:rFonts w:ascii="FrankRuehl" w:eastAsia="Calibri" w:hAnsi="FrankRuehl" w:cs="FrankRuehl"/>
          <w:sz w:val="28"/>
          <w:szCs w:val="28"/>
          <w:rtl/>
        </w:rPr>
        <w:t>3.</w:t>
      </w:r>
      <w:r w:rsidRPr="002F70B0">
        <w:rPr>
          <w:rFonts w:ascii="FrankRuehl" w:eastAsia="Calibri" w:hAnsi="FrankRuehl" w:cs="FrankRuehl"/>
          <w:sz w:val="28"/>
          <w:szCs w:val="28"/>
          <w:rtl/>
        </w:rPr>
        <w:tab/>
      </w:r>
      <w:r w:rsidRPr="002F70B0">
        <w:rPr>
          <w:rFonts w:ascii="FrankRuehl" w:eastAsia="Calibri" w:hAnsi="FrankRuehl" w:cs="Miriam"/>
          <w:b/>
          <w:sz w:val="28"/>
          <w:rtl/>
        </w:rPr>
        <w:t>ב"כ המאשימה</w:t>
      </w:r>
      <w:r w:rsidRPr="002F70B0">
        <w:rPr>
          <w:rFonts w:ascii="FrankRuehl" w:eastAsia="Calibri" w:hAnsi="FrankRuehl" w:cs="FrankRuehl"/>
          <w:sz w:val="28"/>
          <w:szCs w:val="28"/>
          <w:rtl/>
        </w:rPr>
        <w:t xml:space="preserve"> טענה לערכים המוגנים אשר נפגעו כתוצאה ממעשיו של הנאשם, הפנתה לפסיקה וביקשה לקבוע מתחם ענישה בין 6 חודשי מאסר שיכול וירצו בעבודות שירות לבין 12 חודשי מאסר בפועל, כשבהתאם להסדר בין הצדדים הגבילה עצמה לרף עליון של 9 חודשי מאסר בעבודות שירות. בכל הנוגע לשאלת ההרשעה, הנאשם לא הצביע על נזק קונקרטי, ואין מקום לקבל את המלצתו של קצין המבחן. אשר לגזירת העונש בתוך המתחם, הפנתה להתרשמותו החיובית של קצין המבחן מהנאשם, לגילו הצעיר, להיעדר הרשעות קודמות, לנטילת אחריות, וביקשה לקבוע את העונש בשליש התחתון של המתחם, בצירוף עונשים נלווים בדמות מאסר מותנה, קנס שיופקד לקרן החילוט, פסילת רישיון נהיגה בפועל ועל תנאי.</w:t>
      </w:r>
    </w:p>
    <w:p w14:paraId="3F7A7ACA"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58C57B09"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Miriam"/>
          <w:b/>
          <w:sz w:val="28"/>
          <w:rtl/>
        </w:rPr>
        <w:t>ב"כ הנאשם</w:t>
      </w:r>
      <w:r w:rsidRPr="002F70B0">
        <w:rPr>
          <w:rFonts w:ascii="FrankRuehl" w:eastAsia="Calibri" w:hAnsi="FrankRuehl" w:cs="FrankRuehl"/>
          <w:sz w:val="28"/>
          <w:szCs w:val="28"/>
          <w:rtl/>
        </w:rPr>
        <w:t xml:space="preserve"> טענה כי חלף זמן רב מאז ביצוע העבירות, כי לנאשם לא הייתה כל השפעה אקטיבית על עסקאות הסמים מושא כתב האישום, וכי חלקו של הנאשם היה קטן וזניח ביחס לפרשייה שנחקרה. עסקינן בהסתבכות יחידה של הנאשם בפלילים, בחור צעיר וחיובי, סקרה את נסיבותיו כפי שהובאו בידי קצין המבחן. מבלי להקל ראש, הסם הקשור בביצוע העבירות איננו מסוגי הסמים הקשים, ובמבחן המציאות לא קרה דבר, הסם "לא עבר ידיים" ולא נגרמו נזקים. הנאשם טיפל בעצמו ללא צורך בהליך שיקומי, שינה את מעגל חבריו, חדל משימוש בסמים כפי שהוכח בבדיקות שתן שניטלו ממנו, ואף קצין המבחן התרשם כי איננו נזק</w:t>
      </w:r>
      <w:r>
        <w:rPr>
          <w:rFonts w:ascii="FrankRuehl" w:eastAsia="Calibri" w:hAnsi="FrankRuehl" w:cs="FrankRuehl" w:hint="cs"/>
          <w:sz w:val="28"/>
          <w:szCs w:val="28"/>
          <w:rtl/>
        </w:rPr>
        <w:t>ק</w:t>
      </w:r>
      <w:r w:rsidRPr="002F70B0">
        <w:rPr>
          <w:rFonts w:ascii="FrankRuehl" w:eastAsia="Calibri" w:hAnsi="FrankRuehl" w:cs="FrankRuehl"/>
          <w:sz w:val="28"/>
          <w:szCs w:val="28"/>
          <w:rtl/>
        </w:rPr>
        <w:t xml:space="preserve"> לטיפול כלשהו. הנאשם הודה במעשיו, קיבל אחריות מלאה, מכיר בפסול שבהתנהגותו ומכה על חטא.</w:t>
      </w:r>
    </w:p>
    <w:p w14:paraId="2B0DF870"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5200B74E"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 xml:space="preserve">ב"כ הנאשם ביקשה לאמץ את המלצת קצין המבחן ולסיים את ההליך ללא הרשעה, זאת בין השאר על רקע המצב הכלכלי הקשה הפוקד את המשק כולו, והנאשם בתוכו, בעקבות משבר הקורונה. הנאשם לא הצליח להתפרנס ונאלץ לסגור את המספרה. בעקבות זאת ביקש להוציא רישיון נהיגה לרכב הסעות (הוצג מסמך </w:t>
      </w:r>
      <w:r w:rsidRPr="002F70B0">
        <w:rPr>
          <w:rFonts w:ascii="FrankRuehl" w:eastAsia="Calibri" w:hAnsi="FrankRuehl" w:cs="Miriam"/>
          <w:b/>
          <w:sz w:val="28"/>
          <w:rtl/>
        </w:rPr>
        <w:t>ענ/1</w:t>
      </w:r>
      <w:r w:rsidRPr="002F70B0">
        <w:rPr>
          <w:rFonts w:ascii="FrankRuehl" w:eastAsia="Calibri" w:hAnsi="FrankRuehl" w:cs="FrankRuehl"/>
          <w:sz w:val="28"/>
          <w:szCs w:val="28"/>
          <w:rtl/>
        </w:rPr>
        <w:t xml:space="preserve">), אותו לא יוכל לקבל ככל שהרשעתו תעמוד על כנה. הפנתה בהקשר זה </w:t>
      </w:r>
      <w:hyperlink r:id="rId21" w:history="1">
        <w:r w:rsidR="004D405C" w:rsidRPr="004D405C">
          <w:rPr>
            <w:rStyle w:val="Hyperlink"/>
            <w:rFonts w:ascii="FrankRuehl" w:eastAsia="Calibri" w:hAnsi="FrankRuehl" w:cs="FrankRuehl"/>
            <w:sz w:val="28"/>
            <w:szCs w:val="28"/>
            <w:rtl/>
          </w:rPr>
          <w:t>לתקנה 15ב</w:t>
        </w:r>
      </w:hyperlink>
      <w:r w:rsidRPr="002F70B0">
        <w:rPr>
          <w:rFonts w:ascii="FrankRuehl" w:eastAsia="Calibri" w:hAnsi="FrankRuehl" w:cs="FrankRuehl"/>
          <w:sz w:val="28"/>
          <w:szCs w:val="28"/>
          <w:rtl/>
        </w:rPr>
        <w:t xml:space="preserve"> ל</w:t>
      </w:r>
      <w:hyperlink r:id="rId22" w:history="1">
        <w:r w:rsidR="001303C5" w:rsidRPr="001303C5">
          <w:rPr>
            <w:rFonts w:ascii="FrankRuehl" w:eastAsia="Calibri" w:hAnsi="FrankRuehl" w:cs="FrankRuehl"/>
            <w:color w:val="0000FF"/>
            <w:sz w:val="28"/>
            <w:szCs w:val="28"/>
            <w:u w:val="single"/>
            <w:rtl/>
          </w:rPr>
          <w:t>תקנות התעבורה</w:t>
        </w:r>
      </w:hyperlink>
      <w:r w:rsidRPr="002F70B0">
        <w:rPr>
          <w:rFonts w:ascii="FrankRuehl" w:eastAsia="Calibri" w:hAnsi="FrankRuehl" w:cs="FrankRuehl"/>
          <w:sz w:val="28"/>
          <w:szCs w:val="28"/>
          <w:rtl/>
        </w:rPr>
        <w:t xml:space="preserve">, תשכ"א-1961 (להלן: </w:t>
      </w:r>
      <w:r w:rsidRPr="002F70B0">
        <w:rPr>
          <w:rFonts w:ascii="FrankRuehl" w:eastAsia="Calibri" w:hAnsi="FrankRuehl" w:cs="Miriam"/>
          <w:b/>
          <w:sz w:val="28"/>
          <w:rtl/>
        </w:rPr>
        <w:t>תקנות התעבורה</w:t>
      </w:r>
      <w:r w:rsidRPr="002F70B0">
        <w:rPr>
          <w:rFonts w:ascii="FrankRuehl" w:eastAsia="Calibri" w:hAnsi="FrankRuehl" w:cs="FrankRuehl"/>
          <w:sz w:val="28"/>
          <w:szCs w:val="28"/>
          <w:rtl/>
        </w:rPr>
        <w:t>). מכאן, ביקשה ללמוד כי ההרשעה תפגע בנאשם באופן משמעותי, במידה המצדיקה ביטולהּ. הציגה פסיקה לתמיכה בטענותיה.</w:t>
      </w:r>
    </w:p>
    <w:p w14:paraId="00850448"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0A01E293"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Miriam"/>
          <w:b/>
          <w:sz w:val="28"/>
          <w:rtl/>
        </w:rPr>
        <w:t>הנאשם</w:t>
      </w:r>
      <w:r w:rsidRPr="002F70B0">
        <w:rPr>
          <w:rFonts w:ascii="FrankRuehl" w:eastAsia="Calibri" w:hAnsi="FrankRuehl" w:cs="FrankRuehl"/>
          <w:sz w:val="28"/>
          <w:szCs w:val="28"/>
          <w:rtl/>
        </w:rPr>
        <w:t xml:space="preserve"> הביע צער וחרטה על "הטעות שעשיתי". הבהיר כי מעונין להתקדם בחייו, תיאר את מצבו הכלכלי והנזק שנגרם לו בעקבות משבר הקורונה, החליט לחזור לתחום ההסעות, להוציא רישיון נהיגה לאוטובוס ולהתקדם. לשאלת בית המשפט, הביע נכונות לרצות עונשו בעבודות שירות, ככל שייגזר עליו עונש מאסר בפועל.</w:t>
      </w:r>
    </w:p>
    <w:p w14:paraId="055DDF86" w14:textId="77777777" w:rsidR="00C10136" w:rsidRPr="002F70B0" w:rsidRDefault="00C10136" w:rsidP="00C10136">
      <w:pPr>
        <w:spacing w:line="360" w:lineRule="auto"/>
        <w:jc w:val="both"/>
        <w:rPr>
          <w:rFonts w:ascii="FrankRuehl" w:eastAsia="Calibri" w:hAnsi="FrankRuehl" w:cs="FrankRuehl"/>
          <w:sz w:val="28"/>
          <w:szCs w:val="28"/>
          <w:rtl/>
        </w:rPr>
      </w:pPr>
    </w:p>
    <w:p w14:paraId="7D54C68B"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בהמשך לטיעוני הצדדים לעונש הופנה הנאשם לקבלת חוות דעת מאת הממונה על עבודות שירות, ונמצא מתאים.</w:t>
      </w:r>
    </w:p>
    <w:p w14:paraId="3851C728" w14:textId="77777777" w:rsidR="00C10136" w:rsidRPr="002F70B0" w:rsidRDefault="00C10136" w:rsidP="00C10136">
      <w:pPr>
        <w:spacing w:line="360" w:lineRule="auto"/>
        <w:jc w:val="both"/>
        <w:rPr>
          <w:rFonts w:ascii="FrankRuehl" w:eastAsia="Calibri" w:hAnsi="FrankRuehl" w:cs="FrankRuehl"/>
          <w:sz w:val="28"/>
          <w:szCs w:val="28"/>
          <w:rtl/>
        </w:rPr>
      </w:pPr>
    </w:p>
    <w:p w14:paraId="3452271E" w14:textId="77777777" w:rsidR="00C10136" w:rsidRPr="002F70B0" w:rsidRDefault="00C10136" w:rsidP="00C10136">
      <w:pPr>
        <w:spacing w:line="360" w:lineRule="auto"/>
        <w:jc w:val="both"/>
        <w:rPr>
          <w:rFonts w:ascii="FrankRuehl" w:eastAsia="Calibri" w:hAnsi="FrankRuehl" w:cs="Miriam"/>
          <w:b/>
          <w:sz w:val="28"/>
          <w:rtl/>
        </w:rPr>
      </w:pPr>
      <w:r w:rsidRPr="002F70B0">
        <w:rPr>
          <w:rFonts w:ascii="FrankRuehl" w:eastAsia="Calibri" w:hAnsi="FrankRuehl" w:cs="Miriam"/>
          <w:b/>
          <w:sz w:val="28"/>
          <w:rtl/>
        </w:rPr>
        <w:t>דיון</w:t>
      </w:r>
    </w:p>
    <w:p w14:paraId="4EB37EB7" w14:textId="77777777" w:rsidR="00C10136" w:rsidRPr="002F70B0" w:rsidRDefault="00C10136" w:rsidP="00C10136">
      <w:pPr>
        <w:spacing w:line="360" w:lineRule="auto"/>
        <w:jc w:val="both"/>
        <w:rPr>
          <w:rFonts w:ascii="FrankRuehl" w:eastAsia="Calibri" w:hAnsi="FrankRuehl" w:cs="FrankRuehl"/>
          <w:sz w:val="28"/>
          <w:szCs w:val="28"/>
          <w:rtl/>
        </w:rPr>
      </w:pPr>
    </w:p>
    <w:p w14:paraId="571123FF" w14:textId="77777777" w:rsidR="00C10136" w:rsidRPr="002F70B0" w:rsidRDefault="00C10136" w:rsidP="00C10136">
      <w:pPr>
        <w:spacing w:line="360" w:lineRule="auto"/>
        <w:jc w:val="both"/>
        <w:rPr>
          <w:rFonts w:ascii="FrankRuehl" w:eastAsia="Calibri" w:hAnsi="FrankRuehl" w:cs="Miriam"/>
          <w:b/>
          <w:sz w:val="28"/>
          <w:rtl/>
        </w:rPr>
      </w:pPr>
      <w:r w:rsidRPr="002F70B0">
        <w:rPr>
          <w:rFonts w:ascii="FrankRuehl" w:eastAsia="Calibri" w:hAnsi="FrankRuehl" w:cs="Miriam"/>
          <w:b/>
          <w:sz w:val="28"/>
          <w:rtl/>
        </w:rPr>
        <w:t>קביעת המתחם</w:t>
      </w:r>
    </w:p>
    <w:p w14:paraId="479ECE98" w14:textId="77777777" w:rsidR="00C10136" w:rsidRPr="002F70B0" w:rsidRDefault="00C10136" w:rsidP="00C10136">
      <w:pPr>
        <w:spacing w:line="360" w:lineRule="auto"/>
        <w:jc w:val="both"/>
        <w:rPr>
          <w:rFonts w:ascii="FrankRuehl" w:eastAsia="Calibri" w:hAnsi="FrankRuehl" w:cs="Miriam"/>
          <w:b/>
          <w:sz w:val="28"/>
          <w:rtl/>
        </w:rPr>
      </w:pPr>
    </w:p>
    <w:p w14:paraId="326878B5" w14:textId="77777777" w:rsidR="00C10136" w:rsidRPr="002F70B0" w:rsidRDefault="00C10136" w:rsidP="00C10136">
      <w:pPr>
        <w:spacing w:line="360" w:lineRule="auto"/>
        <w:jc w:val="both"/>
        <w:rPr>
          <w:rFonts w:ascii="FrankRuehl" w:eastAsia="Calibri" w:hAnsi="FrankRuehl" w:cs="FrankRuehl"/>
          <w:sz w:val="28"/>
          <w:szCs w:val="28"/>
          <w:rtl/>
        </w:rPr>
      </w:pPr>
      <w:r w:rsidRPr="002F70B0">
        <w:rPr>
          <w:rFonts w:ascii="FrankRuehl" w:eastAsia="Calibri" w:hAnsi="FrankRuehl" w:cs="FrankRuehl"/>
          <w:sz w:val="28"/>
          <w:szCs w:val="28"/>
          <w:rtl/>
        </w:rPr>
        <w:t>4.</w:t>
      </w:r>
      <w:r w:rsidRPr="002F70B0">
        <w:rPr>
          <w:rFonts w:ascii="FrankRuehl" w:eastAsia="Calibri" w:hAnsi="FrankRuehl" w:cs="FrankRuehl"/>
          <w:sz w:val="28"/>
          <w:szCs w:val="28"/>
          <w:rtl/>
        </w:rPr>
        <w:tab/>
        <w:t>מתחם העונש ההולם ייקבע בהתאם לעיקרון ההלימה תוך התחשבות בערכים החברתיים שנפגעו כתוצאה מביצוע העבירות, במידת הפגיעה בהם ובמדיניות הענישה הנהוגה, והכל בנסיבות הקשורות בביצוע העבירות. הנאשם הורשע אמנם בביצוע שתי עבירות הכרוכות בסמים מסוכנים, אך לנוכח העובדה שהאישום השני – החזקת סם לצריכה עצמית בוצע יום אחד בלבד לאחר האירוע השני מושא האישום הראשון, ומאחר שהצדדים ממילא לא עתרו לקבוע מתחמי ענישה נפרדים, לא ראיתי הצדקה לקבוע מתחמים שונים, ואסתפק במתחם עונש כולל.</w:t>
      </w:r>
    </w:p>
    <w:p w14:paraId="6CEB8946"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22FE343F" w14:textId="77777777" w:rsidR="00C10136" w:rsidRPr="002F70B0" w:rsidRDefault="00C10136" w:rsidP="00C10136">
      <w:pPr>
        <w:spacing w:line="360" w:lineRule="auto"/>
        <w:ind w:firstLine="720"/>
        <w:jc w:val="both"/>
        <w:rPr>
          <w:rFonts w:ascii="David" w:eastAsia="Calibri" w:hAnsi="David" w:cs="FrankRuehl"/>
          <w:sz w:val="28"/>
          <w:szCs w:val="28"/>
          <w:rtl/>
        </w:rPr>
      </w:pPr>
      <w:r w:rsidRPr="002F70B0">
        <w:rPr>
          <w:rFonts w:ascii="David" w:eastAsia="Calibri" w:hAnsi="David" w:cs="FrankRuehl"/>
          <w:sz w:val="28"/>
          <w:szCs w:val="28"/>
          <w:rtl/>
        </w:rPr>
        <w:t xml:space="preserve">לא אכביר מלים בדבר הערכים החברתיים המוגנים אשר נפגעים כתוצאה מעבירות הסחר בסמים. הפסיקה חזרה ושנתה כי מדובר בעבירות הפוגעות בשלום הציבור, בבריאותו ובביטחונו. </w:t>
      </w:r>
      <w:r w:rsidRPr="002F70B0">
        <w:rPr>
          <w:rFonts w:ascii="Calibri" w:eastAsia="Calibri" w:hAnsi="Calibri" w:cs="Miriam"/>
          <w:b/>
          <w:sz w:val="28"/>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2F70B0">
        <w:rPr>
          <w:rFonts w:ascii="Calibri" w:eastAsia="Calibri" w:hAnsi="Calibri" w:cs="FrankRuehl"/>
          <w:sz w:val="28"/>
          <w:szCs w:val="28"/>
          <w:rtl/>
        </w:rPr>
        <w:t xml:space="preserve"> – </w:t>
      </w:r>
      <w:hyperlink r:id="rId23" w:history="1">
        <w:r w:rsidR="001303C5" w:rsidRPr="001303C5">
          <w:rPr>
            <w:rFonts w:ascii="Calibri" w:eastAsia="Calibri" w:hAnsi="Calibri" w:cs="FrankRuehl" w:hint="cs"/>
            <w:color w:val="0000FF"/>
            <w:sz w:val="28"/>
            <w:szCs w:val="28"/>
            <w:u w:val="single"/>
            <w:rtl/>
          </w:rPr>
          <w:t>רע</w:t>
        </w:r>
        <w:r w:rsidR="001303C5" w:rsidRPr="001303C5">
          <w:rPr>
            <w:rFonts w:ascii="Calibri" w:eastAsia="Calibri" w:hAnsi="Calibri" w:cs="FrankRuehl"/>
            <w:color w:val="0000FF"/>
            <w:sz w:val="28"/>
            <w:szCs w:val="28"/>
            <w:u w:val="single"/>
            <w:rtl/>
          </w:rPr>
          <w:t>"</w:t>
        </w:r>
        <w:r w:rsidR="001303C5" w:rsidRPr="001303C5">
          <w:rPr>
            <w:rFonts w:ascii="Calibri" w:eastAsia="Calibri" w:hAnsi="Calibri" w:cs="FrankRuehl" w:hint="cs"/>
            <w:color w:val="0000FF"/>
            <w:sz w:val="28"/>
            <w:szCs w:val="28"/>
            <w:u w:val="single"/>
            <w:rtl/>
          </w:rPr>
          <w:t>פ</w:t>
        </w:r>
        <w:r w:rsidR="001303C5" w:rsidRPr="001303C5">
          <w:rPr>
            <w:rFonts w:ascii="Calibri" w:eastAsia="Calibri" w:hAnsi="Calibri" w:cs="FrankRuehl"/>
            <w:color w:val="0000FF"/>
            <w:sz w:val="28"/>
            <w:szCs w:val="28"/>
            <w:u w:val="single"/>
            <w:rtl/>
          </w:rPr>
          <w:t xml:space="preserve"> 6869/17</w:t>
        </w:r>
      </w:hyperlink>
      <w:r w:rsidRPr="002F70B0">
        <w:rPr>
          <w:rFonts w:ascii="Calibri" w:eastAsia="Calibri" w:hAnsi="Calibri" w:cs="FrankRuehl"/>
          <w:sz w:val="28"/>
          <w:szCs w:val="28"/>
          <w:rtl/>
        </w:rPr>
        <w:t xml:space="preserve"> </w:t>
      </w:r>
      <w:r w:rsidRPr="002F70B0">
        <w:rPr>
          <w:rFonts w:ascii="Calibri" w:eastAsia="Calibri" w:hAnsi="Calibri" w:cs="Miriam"/>
          <w:b/>
          <w:sz w:val="28"/>
          <w:rtl/>
        </w:rPr>
        <w:t xml:space="preserve">יבגני פילברג נ' מדינת ישראל </w:t>
      </w:r>
      <w:r w:rsidRPr="002F70B0">
        <w:rPr>
          <w:rFonts w:ascii="Calibri" w:eastAsia="Calibri" w:hAnsi="Calibri" w:cs="FrankRuehl"/>
          <w:sz w:val="28"/>
          <w:szCs w:val="28"/>
          <w:rtl/>
        </w:rPr>
        <w:t xml:space="preserve">(11.9.17). </w:t>
      </w:r>
      <w:r w:rsidRPr="002F70B0">
        <w:rPr>
          <w:rFonts w:ascii="David" w:eastAsia="Calibri" w:hAnsi="David" w:cs="FrankRuehl"/>
          <w:sz w:val="28"/>
          <w:szCs w:val="28"/>
          <w:rtl/>
        </w:rPr>
        <w:t>סחר והפצת סמים מסוכנים טומנים בחובם פגיעות ונזקים ישירים ועקיפים, מעצימים את העבריינות בחברה כולה ומהווים זרז לביצוע עבירות נוספות ומגוונות. הסחר באמצעות יישומון הטלגראס מעמיד את הציבור בסכנה מורכבת, ויוצר מצב בו הקלות והזמינות של רכישת סמים מסוכנים מאפשרים חדירת הסמים לאוכלוסיות נוספות ובפרט לקטינים, שיתכן כי לא היו נחשפים לסם בדרך אחרת.</w:t>
      </w:r>
    </w:p>
    <w:p w14:paraId="0D272B6F" w14:textId="77777777" w:rsidR="00C10136" w:rsidRPr="002F70B0" w:rsidRDefault="00C10136" w:rsidP="00C10136">
      <w:pPr>
        <w:spacing w:line="360" w:lineRule="auto"/>
        <w:ind w:firstLine="720"/>
        <w:jc w:val="both"/>
        <w:rPr>
          <w:rFonts w:ascii="David" w:eastAsia="Calibri" w:hAnsi="David" w:cs="FrankRuehl"/>
          <w:sz w:val="28"/>
          <w:szCs w:val="28"/>
          <w:rtl/>
        </w:rPr>
      </w:pPr>
    </w:p>
    <w:p w14:paraId="32B9ECEF" w14:textId="77777777" w:rsidR="00C10136" w:rsidRPr="002F70B0" w:rsidRDefault="00C10136" w:rsidP="00C10136">
      <w:pPr>
        <w:spacing w:line="360" w:lineRule="auto"/>
        <w:ind w:firstLine="720"/>
        <w:jc w:val="both"/>
        <w:rPr>
          <w:rFonts w:ascii="David" w:eastAsia="Calibri" w:hAnsi="David" w:cs="FrankRuehl"/>
          <w:sz w:val="28"/>
          <w:szCs w:val="28"/>
          <w:rtl/>
        </w:rPr>
      </w:pPr>
      <w:r w:rsidRPr="002F70B0">
        <w:rPr>
          <w:rFonts w:ascii="David" w:eastAsia="Calibri" w:hAnsi="David" w:cs="FrankRuehl"/>
          <w:sz w:val="28"/>
          <w:szCs w:val="28"/>
          <w:rtl/>
        </w:rPr>
        <w:t>בכל הנוגע לאישום הראשון – ניסיון תיווך בסמים בשני אירועים. צודקת ב"כ הנאשם בטענתה כי סופו של יום לא הושלמה עסקת סמים, ולא הועבר סם "מיד ליד". עוד מקובלת עליי טענתה כי לכאורה, הנאשם איננו העבריין הבכיר באותן עסקאות. מנגד, מידת מעורבותו של הנאשם בעולם הסמים עמוקה ביותר, ויעיד על כך תוכנן המפורט של השיחות בינו לבין בר, כעולה מכתב האישום המתוקן. הנאשם בקיא בסוגי הסם, במחירים, באופן הגידול, מזהה את איכות הסם לפי תמונה. הנאשם פעל באינטנסיביות על מנת לנסות ולהשלים את עסקאות הסם, והעובדה שאלו כשלו</w:t>
      </w:r>
      <w:r>
        <w:rPr>
          <w:rFonts w:ascii="David" w:eastAsia="Calibri" w:hAnsi="David" w:cs="FrankRuehl" w:hint="cs"/>
          <w:sz w:val="28"/>
          <w:szCs w:val="28"/>
          <w:rtl/>
        </w:rPr>
        <w:t xml:space="preserve"> </w:t>
      </w:r>
      <w:r>
        <w:rPr>
          <w:rFonts w:ascii="David" w:eastAsia="Calibri" w:hAnsi="David" w:cs="FrankRuehl"/>
          <w:sz w:val="28"/>
          <w:szCs w:val="28"/>
          <w:rtl/>
        </w:rPr>
        <w:t>–</w:t>
      </w:r>
      <w:r w:rsidRPr="002F70B0">
        <w:rPr>
          <w:rFonts w:ascii="David" w:eastAsia="Calibri" w:hAnsi="David" w:cs="FrankRuehl"/>
          <w:sz w:val="28"/>
          <w:szCs w:val="28"/>
          <w:rtl/>
        </w:rPr>
        <w:t xml:space="preserve"> מקורה איננו ב"חזרה בתשובה" מתוך הפנמת הפסול במעשיו, אלא להיפך – הֵסֵבָּה לנאשם צער, תחושת פספוס ואובדן הכנסות. אמנם, מדובר "בסך הכל" בשני אירועים של ניסיון לתיווך בסמים, אך דווקא מרחק הזמנים המשמעותי בין האירועים (5 חודשים) מלמד על מי שהיה שקוע עמוק בתחום באותה התקופה.</w:t>
      </w:r>
    </w:p>
    <w:p w14:paraId="21C35BBA" w14:textId="77777777" w:rsidR="00C10136" w:rsidRPr="002F70B0" w:rsidRDefault="00C10136" w:rsidP="00C10136">
      <w:pPr>
        <w:spacing w:line="360" w:lineRule="auto"/>
        <w:jc w:val="both"/>
        <w:rPr>
          <w:rFonts w:ascii="FrankRuehl" w:eastAsia="Calibri" w:hAnsi="FrankRuehl" w:cs="FrankRuehl"/>
          <w:sz w:val="28"/>
          <w:szCs w:val="28"/>
        </w:rPr>
      </w:pPr>
    </w:p>
    <w:p w14:paraId="5EA2AC4F" w14:textId="77777777" w:rsidR="00C10136" w:rsidRPr="002F70B0" w:rsidRDefault="00C10136" w:rsidP="00C10136">
      <w:pPr>
        <w:spacing w:line="360" w:lineRule="auto"/>
        <w:jc w:val="both"/>
        <w:rPr>
          <w:rFonts w:ascii="FrankRuehl" w:eastAsia="Calibri" w:hAnsi="FrankRuehl" w:cs="FrankRuehl"/>
          <w:sz w:val="28"/>
          <w:szCs w:val="28"/>
          <w:rtl/>
        </w:rPr>
      </w:pPr>
      <w:r w:rsidRPr="002F70B0">
        <w:rPr>
          <w:rFonts w:ascii="FrankRuehl" w:eastAsia="Calibri" w:hAnsi="FrankRuehl" w:cs="FrankRuehl"/>
          <w:sz w:val="28"/>
          <w:szCs w:val="28"/>
          <w:rtl/>
        </w:rPr>
        <w:t>5.</w:t>
      </w:r>
      <w:r w:rsidRPr="002F70B0">
        <w:rPr>
          <w:rFonts w:ascii="FrankRuehl" w:eastAsia="Calibri" w:hAnsi="FrankRuehl" w:cs="FrankRuehl"/>
          <w:sz w:val="28"/>
          <w:szCs w:val="28"/>
          <w:rtl/>
        </w:rPr>
        <w:tab/>
        <w:t>מנעד העונש בעבירות סמים מגוון, ונגזר מסוג העבירה – סחר, עסקה אחרת, תיווך, החזקה שלא לצריכה עצמית, וכיוצ"ב – אלו גם אלו – כולן חלק משרשרת מכירת הסם, וראויות לענישה מחמירה</w:t>
      </w:r>
      <w:r>
        <w:rPr>
          <w:rFonts w:ascii="FrankRuehl" w:eastAsia="Calibri" w:hAnsi="FrankRuehl" w:cs="FrankRuehl" w:hint="cs"/>
          <w:sz w:val="28"/>
          <w:szCs w:val="28"/>
          <w:rtl/>
        </w:rPr>
        <w:t>.</w:t>
      </w:r>
      <w:r>
        <w:rPr>
          <w:rFonts w:ascii="FrankRuehl" w:eastAsia="Calibri" w:hAnsi="FrankRuehl" w:cs="FrankRuehl"/>
          <w:sz w:val="28"/>
          <w:szCs w:val="28"/>
          <w:rtl/>
        </w:rPr>
        <w:t xml:space="preserve"> סוג הסם</w:t>
      </w:r>
      <w:r>
        <w:rPr>
          <w:rFonts w:ascii="FrankRuehl" w:eastAsia="Calibri" w:hAnsi="FrankRuehl" w:cs="FrankRuehl" w:hint="cs"/>
          <w:sz w:val="28"/>
          <w:szCs w:val="28"/>
          <w:rtl/>
        </w:rPr>
        <w:t>, משקלו,</w:t>
      </w:r>
      <w:r>
        <w:rPr>
          <w:rFonts w:ascii="FrankRuehl" w:eastAsia="Calibri" w:hAnsi="FrankRuehl" w:cs="FrankRuehl"/>
          <w:sz w:val="28"/>
          <w:szCs w:val="28"/>
          <w:rtl/>
        </w:rPr>
        <w:t xml:space="preserve"> כמות העסקאות ותדירותן</w:t>
      </w:r>
      <w:r>
        <w:rPr>
          <w:rFonts w:ascii="FrankRuehl" w:eastAsia="Calibri" w:hAnsi="FrankRuehl" w:cs="FrankRuehl" w:hint="cs"/>
          <w:sz w:val="28"/>
          <w:szCs w:val="28"/>
          <w:rtl/>
        </w:rPr>
        <w:t xml:space="preserve"> </w:t>
      </w:r>
      <w:r>
        <w:rPr>
          <w:rFonts w:ascii="FrankRuehl" w:eastAsia="Calibri" w:hAnsi="FrankRuehl" w:cs="FrankRuehl"/>
          <w:sz w:val="28"/>
          <w:szCs w:val="28"/>
          <w:rtl/>
        </w:rPr>
        <w:t>–</w:t>
      </w:r>
      <w:r>
        <w:rPr>
          <w:rFonts w:ascii="FrankRuehl" w:eastAsia="Calibri" w:hAnsi="FrankRuehl" w:cs="FrankRuehl" w:hint="cs"/>
          <w:sz w:val="28"/>
          <w:szCs w:val="28"/>
          <w:rtl/>
        </w:rPr>
        <w:t xml:space="preserve"> כל אלו שיקולים רלוונטיים.</w:t>
      </w:r>
    </w:p>
    <w:p w14:paraId="21B94651" w14:textId="77777777" w:rsidR="00C10136" w:rsidRPr="002F70B0" w:rsidRDefault="00C10136" w:rsidP="00C10136">
      <w:pPr>
        <w:spacing w:line="360" w:lineRule="auto"/>
        <w:jc w:val="both"/>
        <w:rPr>
          <w:rFonts w:ascii="FrankRuehl" w:eastAsia="Calibri" w:hAnsi="FrankRuehl" w:cs="FrankRuehl"/>
          <w:sz w:val="28"/>
          <w:szCs w:val="28"/>
          <w:rtl/>
        </w:rPr>
      </w:pPr>
    </w:p>
    <w:p w14:paraId="5BCB4F51"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ב</w:t>
      </w:r>
      <w:hyperlink r:id="rId24" w:history="1">
        <w:r w:rsidR="001303C5" w:rsidRPr="001303C5">
          <w:rPr>
            <w:rFonts w:ascii="FrankRuehl" w:eastAsia="Calibri" w:hAnsi="FrankRuehl" w:cs="FrankRuehl"/>
            <w:color w:val="0000FF"/>
            <w:sz w:val="28"/>
            <w:szCs w:val="28"/>
            <w:u w:val="single"/>
            <w:rtl/>
          </w:rPr>
          <w:t>עפ"ג (מחוזי מרכז-לוד) 8209-08-19</w:t>
        </w:r>
      </w:hyperlink>
      <w:r w:rsidRPr="002F70B0">
        <w:rPr>
          <w:rFonts w:ascii="FrankRuehl" w:eastAsia="Calibri" w:hAnsi="FrankRuehl" w:cs="FrankRuehl"/>
          <w:sz w:val="28"/>
          <w:szCs w:val="28"/>
          <w:rtl/>
        </w:rPr>
        <w:t xml:space="preserve"> </w:t>
      </w:r>
      <w:r w:rsidRPr="002F70B0">
        <w:rPr>
          <w:rFonts w:ascii="FrankRuehl" w:eastAsia="Calibri" w:hAnsi="FrankRuehl" w:cs="Miriam"/>
          <w:b/>
          <w:sz w:val="28"/>
          <w:rtl/>
        </w:rPr>
        <w:t>מדינת ישראל נ' פסו</w:t>
      </w:r>
      <w:r w:rsidRPr="002F70B0">
        <w:rPr>
          <w:rFonts w:ascii="FrankRuehl" w:eastAsia="Calibri" w:hAnsi="FrankRuehl" w:cs="FrankRuehl"/>
          <w:sz w:val="28"/>
          <w:szCs w:val="28"/>
          <w:rtl/>
        </w:rPr>
        <w:t xml:space="preserve"> (9.12.19) החמיר בית המשפט בעונשו של מי שסחר בסם מסוג קנאביס ב- 53 עסקאות באמצעות יישומון "טלגר</w:t>
      </w:r>
      <w:r>
        <w:rPr>
          <w:rFonts w:ascii="FrankRuehl" w:eastAsia="Calibri" w:hAnsi="FrankRuehl" w:cs="FrankRuehl" w:hint="cs"/>
          <w:sz w:val="28"/>
          <w:szCs w:val="28"/>
          <w:rtl/>
        </w:rPr>
        <w:t>א</w:t>
      </w:r>
      <w:r w:rsidRPr="002F70B0">
        <w:rPr>
          <w:rFonts w:ascii="FrankRuehl" w:eastAsia="Calibri" w:hAnsi="FrankRuehl" w:cs="FrankRuehl"/>
          <w:sz w:val="28"/>
          <w:szCs w:val="28"/>
          <w:rtl/>
        </w:rPr>
        <w:t xml:space="preserve">ס". לעניננו, בית המשפט אישר את מתחם העונש שנקבע בבית משפט השלום בעבור עסקה בודדת במשקל 10-1 גרם, בין מספר חודשי מאסר בעבודות שירות לבין 10 חודשי מאסר בפועל. פסק הדין אושר בבית המשפט העליון – </w:t>
      </w:r>
      <w:hyperlink r:id="rId25" w:history="1">
        <w:r w:rsidR="001303C5" w:rsidRPr="001303C5">
          <w:rPr>
            <w:rFonts w:ascii="FrankRuehl" w:eastAsia="Calibri" w:hAnsi="FrankRuehl" w:cs="FrankRuehl"/>
            <w:color w:val="0000FF"/>
            <w:sz w:val="28"/>
            <w:szCs w:val="28"/>
            <w:u w:val="single"/>
            <w:rtl/>
          </w:rPr>
          <w:t>רע"פ 8695/19</w:t>
        </w:r>
      </w:hyperlink>
      <w:r w:rsidRPr="002F70B0">
        <w:rPr>
          <w:rFonts w:ascii="FrankRuehl" w:eastAsia="Calibri" w:hAnsi="FrankRuehl" w:cs="FrankRuehl"/>
          <w:sz w:val="28"/>
          <w:szCs w:val="28"/>
          <w:rtl/>
        </w:rPr>
        <w:t xml:space="preserve"> </w:t>
      </w:r>
      <w:r w:rsidRPr="002F70B0">
        <w:rPr>
          <w:rFonts w:ascii="FrankRuehl" w:eastAsia="Calibri" w:hAnsi="FrankRuehl" w:cs="Miriam"/>
          <w:b/>
          <w:sz w:val="28"/>
          <w:rtl/>
        </w:rPr>
        <w:t xml:space="preserve">פסו נ' מדינת ישראל </w:t>
      </w:r>
      <w:r w:rsidRPr="002F70B0">
        <w:rPr>
          <w:rFonts w:ascii="FrankRuehl" w:eastAsia="Calibri" w:hAnsi="FrankRuehl" w:cs="FrankRuehl"/>
          <w:sz w:val="28"/>
          <w:szCs w:val="28"/>
          <w:rtl/>
        </w:rPr>
        <w:t xml:space="preserve">(5.1.20). </w:t>
      </w:r>
    </w:p>
    <w:p w14:paraId="21AEB19E"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45E0B00C"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 xml:space="preserve">כן ראו </w:t>
      </w:r>
      <w:hyperlink r:id="rId26" w:history="1">
        <w:r w:rsidR="001303C5" w:rsidRPr="001303C5">
          <w:rPr>
            <w:rFonts w:ascii="FrankRuehl" w:eastAsia="Calibri" w:hAnsi="FrankRuehl" w:cs="FrankRuehl"/>
            <w:color w:val="0000FF"/>
            <w:sz w:val="28"/>
            <w:szCs w:val="28"/>
            <w:u w:val="single"/>
            <w:rtl/>
          </w:rPr>
          <w:t>רע"פ 7858/19</w:t>
        </w:r>
      </w:hyperlink>
      <w:r w:rsidRPr="002F70B0">
        <w:rPr>
          <w:rFonts w:ascii="FrankRuehl" w:eastAsia="Calibri" w:hAnsi="FrankRuehl" w:cs="FrankRuehl"/>
          <w:sz w:val="28"/>
          <w:szCs w:val="28"/>
          <w:rtl/>
        </w:rPr>
        <w:t xml:space="preserve"> </w:t>
      </w:r>
      <w:r w:rsidRPr="002F70B0">
        <w:rPr>
          <w:rFonts w:ascii="FrankRuehl" w:eastAsia="Calibri" w:hAnsi="FrankRuehl" w:cs="Miriam"/>
          <w:b/>
          <w:sz w:val="28"/>
          <w:rtl/>
        </w:rPr>
        <w:t xml:space="preserve">וקנין נ' מדינת ישראל </w:t>
      </w:r>
      <w:r w:rsidRPr="002F70B0">
        <w:rPr>
          <w:rFonts w:ascii="FrankRuehl" w:eastAsia="Calibri" w:hAnsi="FrankRuehl" w:cs="FrankRuehl"/>
          <w:sz w:val="28"/>
          <w:szCs w:val="28"/>
          <w:rtl/>
        </w:rPr>
        <w:t>(28.11.19). המבקש הורשע בהתאם להודאתו בשתי עבירות סחר בסמים מסוג קנאביס וחשיש במשקל כולל 5.8 גרם. בית משפט השלום התחשב בכמויות הסם הקטנות ובסכומי הכסף הזעומים ששולמו תמורתן, ומנגד עמד על חומרתן של העבירות ועל הצורך בענישה מחמירה ומרתיעה גם בנסיבות אלו. משכך נקבע מתחם עונש כולל בין מספר חודשי מאסר לבין 8 חודשים שניתן לרצות בעבודות שירות. עונשו של המבקש נגזר ל- 5 חודשי מאסר, עליו הצטברו מאסרים מותנים, ובסך הכל נדון ל- 12 חודשי מאסר בפועל ועונשים נלווים. ערעורו של המבקש לבית המשפט המחוזי נדחה, וכך גם בקשת רשות ערעור.</w:t>
      </w:r>
    </w:p>
    <w:p w14:paraId="57CE984C" w14:textId="77777777" w:rsidR="00C10136" w:rsidRPr="002F70B0" w:rsidRDefault="00C10136" w:rsidP="00C10136">
      <w:pPr>
        <w:spacing w:line="360" w:lineRule="auto"/>
        <w:ind w:firstLine="720"/>
        <w:jc w:val="both"/>
        <w:rPr>
          <w:rFonts w:ascii="FrankRuehl" w:eastAsia="Calibri" w:hAnsi="FrankRuehl" w:cs="FrankRuehl"/>
          <w:sz w:val="28"/>
          <w:szCs w:val="28"/>
          <w:rtl/>
        </w:rPr>
      </w:pPr>
    </w:p>
    <w:p w14:paraId="2BB57094" w14:textId="77777777" w:rsidR="00C10136" w:rsidRPr="002F70B0" w:rsidRDefault="00C10136" w:rsidP="00C10136">
      <w:pPr>
        <w:spacing w:line="360" w:lineRule="auto"/>
        <w:ind w:firstLine="720"/>
        <w:jc w:val="both"/>
        <w:rPr>
          <w:rFonts w:ascii="FrankRuehl" w:eastAsia="Calibri" w:hAnsi="FrankRuehl" w:cs="FrankRuehl"/>
          <w:sz w:val="28"/>
          <w:szCs w:val="28"/>
          <w:rtl/>
        </w:rPr>
      </w:pPr>
      <w:r w:rsidRPr="002F70B0">
        <w:rPr>
          <w:rFonts w:ascii="FrankRuehl" w:eastAsia="Calibri" w:hAnsi="FrankRuehl" w:cs="FrankRuehl"/>
          <w:sz w:val="28"/>
          <w:szCs w:val="28"/>
          <w:rtl/>
        </w:rPr>
        <w:t>בחנתי את פסקי הדין שהציגו הצדדים, ואין בה</w:t>
      </w:r>
      <w:r>
        <w:rPr>
          <w:rFonts w:ascii="FrankRuehl" w:eastAsia="Calibri" w:hAnsi="FrankRuehl" w:cs="FrankRuehl" w:hint="cs"/>
          <w:sz w:val="28"/>
          <w:szCs w:val="28"/>
          <w:rtl/>
        </w:rPr>
        <w:t>ם</w:t>
      </w:r>
      <w:r w:rsidRPr="002F70B0">
        <w:rPr>
          <w:rFonts w:ascii="FrankRuehl" w:eastAsia="Calibri" w:hAnsi="FrankRuehl" w:cs="FrankRuehl"/>
          <w:sz w:val="28"/>
          <w:szCs w:val="28"/>
          <w:rtl/>
        </w:rPr>
        <w:t xml:space="preserve"> כדי לשנות ממסקנתי בדבר הענישה הנוהגת. לאחר שנתתי דעתי לשיקולים המנויים </w:t>
      </w:r>
      <w:hyperlink r:id="rId27" w:history="1">
        <w:r w:rsidR="004D405C" w:rsidRPr="004D405C">
          <w:rPr>
            <w:rStyle w:val="Hyperlink"/>
            <w:rFonts w:ascii="FrankRuehl" w:eastAsia="Calibri" w:hAnsi="FrankRuehl" w:cs="FrankRuehl"/>
            <w:sz w:val="28"/>
            <w:szCs w:val="28"/>
            <w:rtl/>
          </w:rPr>
          <w:t>בסעיף 40ג(א)</w:t>
        </w:r>
      </w:hyperlink>
      <w:r w:rsidRPr="002F70B0">
        <w:rPr>
          <w:rFonts w:ascii="FrankRuehl" w:eastAsia="Calibri" w:hAnsi="FrankRuehl" w:cs="FrankRuehl"/>
          <w:sz w:val="28"/>
          <w:szCs w:val="28"/>
          <w:rtl/>
        </w:rPr>
        <w:t xml:space="preserve"> </w:t>
      </w:r>
      <w:hyperlink r:id="rId28" w:history="1">
        <w:r w:rsidR="004D405C" w:rsidRPr="004D405C">
          <w:rPr>
            <w:rStyle w:val="Hyperlink"/>
            <w:rFonts w:ascii="FrankRuehl" w:eastAsia="Calibri" w:hAnsi="FrankRuehl" w:cs="FrankRuehl"/>
            <w:sz w:val="28"/>
            <w:szCs w:val="28"/>
            <w:rtl/>
          </w:rPr>
          <w:t>וסעיף 40ט</w:t>
        </w:r>
      </w:hyperlink>
      <w:r w:rsidRPr="002F70B0">
        <w:rPr>
          <w:rFonts w:ascii="FrankRuehl" w:eastAsia="Calibri" w:hAnsi="FrankRuehl" w:cs="FrankRuehl"/>
          <w:sz w:val="28"/>
          <w:szCs w:val="28"/>
          <w:rtl/>
        </w:rPr>
        <w:t xml:space="preserve"> ל</w:t>
      </w:r>
      <w:hyperlink r:id="rId29" w:history="1">
        <w:r w:rsidR="001303C5" w:rsidRPr="001303C5">
          <w:rPr>
            <w:rFonts w:ascii="FrankRuehl" w:eastAsia="Calibri" w:hAnsi="FrankRuehl" w:cs="FrankRuehl"/>
            <w:color w:val="0000FF"/>
            <w:sz w:val="28"/>
            <w:szCs w:val="28"/>
            <w:u w:val="single"/>
            <w:rtl/>
          </w:rPr>
          <w:t>חוק העונשין</w:t>
        </w:r>
      </w:hyperlink>
      <w:r w:rsidRPr="002F70B0">
        <w:rPr>
          <w:rFonts w:ascii="FrankRuehl" w:eastAsia="Calibri" w:hAnsi="FrankRuehl" w:cs="FrankRuehl"/>
          <w:sz w:val="28"/>
          <w:szCs w:val="28"/>
          <w:rtl/>
        </w:rPr>
        <w:t xml:space="preserve">, לאור הממצאים עליהם עמדתי לעיל ולאחר שבחנתי את מדיניות הענישה הנוהגת, ותוך שלקחתי בחשבון את סוג העבירה בה הורשע הנאשם, סוג הסם, הכמויות הקטנות ומספר האירועים המצומצם, </w:t>
      </w:r>
      <w:r w:rsidRPr="002F70B0">
        <w:rPr>
          <w:rFonts w:ascii="FrankRuehl" w:eastAsia="Calibri" w:hAnsi="FrankRuehl" w:cs="Miriam"/>
          <w:b/>
          <w:sz w:val="28"/>
          <w:rtl/>
        </w:rPr>
        <w:t>מצאתי לקבוע מתחם עונש כולל בין עונש מאסר קצר שניתן לרצותו בעבודות שירות, לבין 8 חודשי מאסר בפועל</w:t>
      </w:r>
      <w:r w:rsidRPr="002F70B0">
        <w:rPr>
          <w:rFonts w:ascii="FrankRuehl" w:eastAsia="Calibri" w:hAnsi="FrankRuehl" w:cs="FrankRuehl"/>
          <w:sz w:val="28"/>
          <w:szCs w:val="28"/>
          <w:rtl/>
        </w:rPr>
        <w:t>.</w:t>
      </w:r>
    </w:p>
    <w:p w14:paraId="6AACB6DA" w14:textId="77777777" w:rsidR="00C10136" w:rsidRPr="002F70B0" w:rsidRDefault="00C10136" w:rsidP="00C10136">
      <w:pPr>
        <w:spacing w:line="360" w:lineRule="auto"/>
        <w:jc w:val="both"/>
        <w:rPr>
          <w:rFonts w:ascii="FrankRuehl" w:eastAsia="Calibri" w:hAnsi="FrankRuehl" w:cs="FrankRuehl"/>
          <w:b/>
          <w:sz w:val="28"/>
          <w:szCs w:val="28"/>
          <w:rtl/>
        </w:rPr>
      </w:pPr>
    </w:p>
    <w:p w14:paraId="7EEFC845" w14:textId="77777777" w:rsidR="00C10136" w:rsidRPr="002F70B0" w:rsidRDefault="00C10136" w:rsidP="00C10136">
      <w:pPr>
        <w:spacing w:line="360" w:lineRule="auto"/>
        <w:jc w:val="both"/>
        <w:rPr>
          <w:rFonts w:ascii="Miriam" w:eastAsia="Calibri" w:hAnsi="Miriam" w:cs="Miriam"/>
          <w:b/>
          <w:rtl/>
        </w:rPr>
      </w:pPr>
      <w:r w:rsidRPr="002F70B0">
        <w:rPr>
          <w:rFonts w:ascii="Miriam" w:eastAsia="Calibri" w:hAnsi="Miriam" w:cs="Miriam"/>
          <w:b/>
          <w:rtl/>
        </w:rPr>
        <w:t>גזירת העונש המתאים לנאשם</w:t>
      </w:r>
    </w:p>
    <w:p w14:paraId="4FE301AA" w14:textId="77777777" w:rsidR="00C10136" w:rsidRPr="002F70B0" w:rsidRDefault="00C10136" w:rsidP="00C10136">
      <w:pPr>
        <w:spacing w:line="360" w:lineRule="auto"/>
        <w:jc w:val="both"/>
        <w:rPr>
          <w:rFonts w:ascii="FrankRuehl" w:eastAsia="Calibri" w:hAnsi="FrankRuehl" w:cs="FrankRuehl"/>
          <w:bCs/>
          <w:sz w:val="28"/>
          <w:szCs w:val="28"/>
          <w:rtl/>
        </w:rPr>
      </w:pPr>
    </w:p>
    <w:p w14:paraId="52C3C7AD" w14:textId="77777777" w:rsidR="00C10136" w:rsidRPr="002F70B0" w:rsidRDefault="00C10136" w:rsidP="00C10136">
      <w:pPr>
        <w:spacing w:line="360" w:lineRule="auto"/>
        <w:jc w:val="both"/>
        <w:rPr>
          <w:rFonts w:ascii="FrankRuehl" w:eastAsia="Calibri" w:hAnsi="FrankRuehl" w:cs="FrankRuehl"/>
          <w:b/>
          <w:sz w:val="28"/>
          <w:szCs w:val="28"/>
          <w:rtl/>
        </w:rPr>
      </w:pPr>
      <w:r w:rsidRPr="002F70B0">
        <w:rPr>
          <w:rFonts w:ascii="FrankRuehl" w:eastAsia="Calibri" w:hAnsi="FrankRuehl" w:cs="FrankRuehl"/>
          <w:b/>
          <w:sz w:val="28"/>
          <w:szCs w:val="28"/>
          <w:rtl/>
        </w:rPr>
        <w:t>6.</w:t>
      </w:r>
      <w:r w:rsidRPr="002F70B0">
        <w:rPr>
          <w:rFonts w:ascii="FrankRuehl" w:eastAsia="Calibri" w:hAnsi="FrankRuehl" w:cs="FrankRuehl"/>
          <w:b/>
          <w:sz w:val="28"/>
          <w:szCs w:val="28"/>
          <w:rtl/>
        </w:rPr>
        <w:tab/>
        <w:t>הנאשם צעיר בן 28, נעדר הרשעות קודמות, הודה במעשיו, הביע חרטה, שיתף פעולה עם שירות המבחן, וניסה לעמוד על המניעים למעשיו. תסקיר המבחן חיובי, וקצין המבחן אף הרחיק לכת והמליץ לבטל את ההרשעה, על מנת שלא לפגוע בעתידו המקצועי של הנאשם. בניגוד למאשימה, שביקשה להעמיד את עונשו של הנאשם בשליש התחתון, סבורני כי ראוי למקמו בחלקו התחתון של המתחם, אך אין מקום לחרוג הימנו לקולה משיקולי שיקום.</w:t>
      </w:r>
    </w:p>
    <w:p w14:paraId="3BD0076C" w14:textId="77777777" w:rsidR="00C10136" w:rsidRPr="002F70B0" w:rsidRDefault="00C10136" w:rsidP="00C10136">
      <w:pPr>
        <w:spacing w:line="360" w:lineRule="auto"/>
        <w:ind w:firstLine="720"/>
        <w:jc w:val="both"/>
        <w:rPr>
          <w:rFonts w:ascii="FrankRuehl" w:eastAsia="Calibri" w:hAnsi="FrankRuehl" w:cs="FrankRuehl"/>
          <w:b/>
          <w:sz w:val="28"/>
          <w:szCs w:val="28"/>
          <w:rtl/>
        </w:rPr>
      </w:pPr>
    </w:p>
    <w:p w14:paraId="36B99054"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2F70B0">
        <w:rPr>
          <w:rFonts w:ascii="FrankRuehl" w:eastAsia="Calibri" w:hAnsi="FrankRuehl" w:cs="FrankRuehl"/>
          <w:b/>
          <w:spacing w:val="10"/>
          <w:sz w:val="28"/>
          <w:szCs w:val="28"/>
          <w:rtl/>
        </w:rPr>
        <w:tab/>
        <w:t xml:space="preserve">מנגד, לא מצאתי כי ענינו של הנאשם בא בגדרי אותם חריגים שבחריגים המצדיקים ביטול ההרשעה. </w:t>
      </w:r>
      <w:r w:rsidRPr="002F70B0">
        <w:rPr>
          <w:rFonts w:ascii="Arial TUR" w:hAnsi="Arial TUR" w:cs="FrankRuehl"/>
          <w:spacing w:val="10"/>
          <w:sz w:val="22"/>
          <w:szCs w:val="28"/>
          <w:rtl/>
        </w:rPr>
        <w:t>כידוע, ב</w:t>
      </w:r>
      <w:hyperlink r:id="rId30" w:history="1">
        <w:r w:rsidR="001303C5" w:rsidRPr="001303C5">
          <w:rPr>
            <w:rFonts w:ascii="Arial TUR" w:hAnsi="Arial TUR" w:cs="FrankRuehl"/>
            <w:color w:val="0000FF"/>
            <w:spacing w:val="10"/>
            <w:sz w:val="22"/>
            <w:szCs w:val="28"/>
            <w:u w:val="single"/>
            <w:rtl/>
          </w:rPr>
          <w:t>ע"פ 2083/96</w:t>
        </w:r>
      </w:hyperlink>
      <w:r w:rsidRPr="002F70B0">
        <w:rPr>
          <w:rFonts w:ascii="Arial TUR" w:hAnsi="Arial TUR" w:cs="FrankRuehl"/>
          <w:spacing w:val="10"/>
          <w:sz w:val="22"/>
          <w:szCs w:val="28"/>
          <w:rtl/>
        </w:rPr>
        <w:t xml:space="preserve"> </w:t>
      </w:r>
      <w:r w:rsidRPr="002F70B0">
        <w:rPr>
          <w:rFonts w:ascii="Century" w:hAnsi="Century" w:cs="Miriam"/>
          <w:b/>
          <w:sz w:val="22"/>
          <w:rtl/>
        </w:rPr>
        <w:t>כתב נ' מדינת ישראל</w:t>
      </w:r>
      <w:r w:rsidRPr="002F70B0">
        <w:rPr>
          <w:rFonts w:ascii="Arial TUR" w:hAnsi="Arial TUR" w:cs="FrankRuehl"/>
          <w:spacing w:val="10"/>
          <w:sz w:val="22"/>
          <w:szCs w:val="28"/>
          <w:rtl/>
        </w:rPr>
        <w:t>, פ"ד נב(3) 337 (1997)</w:t>
      </w:r>
      <w:r>
        <w:rPr>
          <w:rFonts w:ascii="Arial TUR" w:hAnsi="Arial TUR" w:cs="FrankRuehl" w:hint="cs"/>
          <w:spacing w:val="10"/>
          <w:sz w:val="22"/>
          <w:szCs w:val="28"/>
          <w:rtl/>
        </w:rPr>
        <w:t>,</w:t>
      </w:r>
      <w:r w:rsidRPr="002F70B0">
        <w:rPr>
          <w:rFonts w:ascii="Arial TUR" w:hAnsi="Arial TUR" w:cs="FrankRuehl"/>
          <w:spacing w:val="10"/>
          <w:sz w:val="22"/>
          <w:szCs w:val="28"/>
          <w:rtl/>
        </w:rPr>
        <w:t xml:space="preserve"> נקבע כי משהוכח ביצועהּ של עבירה, הרשעה היא הכלל, ואילו </w:t>
      </w:r>
      <w:r w:rsidRPr="002F70B0">
        <w:rPr>
          <w:rFonts w:ascii="Century" w:hAnsi="Century" w:cs="Miriam"/>
          <w:b/>
          <w:sz w:val="22"/>
          <w:rtl/>
        </w:rPr>
        <w:t>אי הרשעה</w:t>
      </w:r>
      <w:r w:rsidRPr="002F70B0">
        <w:rPr>
          <w:rFonts w:ascii="Arial TUR" w:hAnsi="Arial TUR" w:cs="FrankRuehl"/>
          <w:spacing w:val="10"/>
          <w:sz w:val="22"/>
          <w:szCs w:val="28"/>
          <w:rtl/>
        </w:rPr>
        <w:t xml:space="preserve"> היא החריג. על נאשם המבקש להימנע מהרשעה הנטל להראות בראיות מבוססות כי ההרשעה תפגע פגיעה חמורה וקונקרטית בסיכויי שיקומו, וכי סוג העבירה מאפשר להימנע מהרשעה, מבלי לפגוע באופן מהותי בשיקולי ענישה נוספים. </w:t>
      </w:r>
    </w:p>
    <w:p w14:paraId="07E2B50B"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F482843"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2F70B0">
        <w:rPr>
          <w:rFonts w:ascii="Arial TUR" w:hAnsi="Arial TUR" w:cs="FrankRuehl"/>
          <w:spacing w:val="10"/>
          <w:sz w:val="22"/>
          <w:szCs w:val="28"/>
          <w:rtl/>
        </w:rPr>
        <w:tab/>
        <w:t xml:space="preserve">אשר לסוג העבירה, רק לעתים נדירות יורה בית המשפט על ביטול הרשעה למי שמעורב בשרשרת הסחר בסמים. ראו, מבין רבים, </w:t>
      </w:r>
      <w:hyperlink r:id="rId31" w:history="1">
        <w:r w:rsidR="001303C5" w:rsidRPr="001303C5">
          <w:rPr>
            <w:rFonts w:ascii="Arial TUR" w:hAnsi="Arial TUR" w:cs="FrankRuehl"/>
            <w:color w:val="0000FF"/>
            <w:spacing w:val="10"/>
            <w:sz w:val="22"/>
            <w:szCs w:val="28"/>
            <w:u w:val="single"/>
            <w:rtl/>
          </w:rPr>
          <w:t>רע"פ 5478/19</w:t>
        </w:r>
      </w:hyperlink>
      <w:r w:rsidRPr="002F70B0">
        <w:rPr>
          <w:rFonts w:ascii="Arial TUR" w:hAnsi="Arial TUR" w:cs="FrankRuehl"/>
          <w:spacing w:val="10"/>
          <w:sz w:val="22"/>
          <w:szCs w:val="28"/>
          <w:rtl/>
        </w:rPr>
        <w:t xml:space="preserve"> </w:t>
      </w:r>
      <w:r w:rsidRPr="002F70B0">
        <w:rPr>
          <w:rFonts w:ascii="Arial TUR" w:hAnsi="Arial TUR" w:cs="Miriam"/>
          <w:b/>
          <w:spacing w:val="10"/>
          <w:sz w:val="22"/>
          <w:rtl/>
        </w:rPr>
        <w:t xml:space="preserve">לוין נ' מדינת ישראל </w:t>
      </w:r>
      <w:r w:rsidRPr="002F70B0">
        <w:rPr>
          <w:rFonts w:ascii="Arial TUR" w:hAnsi="Arial TUR" w:cs="FrankRuehl"/>
          <w:spacing w:val="10"/>
          <w:sz w:val="22"/>
          <w:szCs w:val="28"/>
          <w:rtl/>
        </w:rPr>
        <w:t xml:space="preserve">(25.8.19) (להלן: </w:t>
      </w:r>
      <w:r w:rsidRPr="002F70B0">
        <w:rPr>
          <w:rFonts w:ascii="Arial TUR" w:hAnsi="Arial TUR" w:cs="Miriam"/>
          <w:b/>
          <w:spacing w:val="10"/>
          <w:sz w:val="22"/>
          <w:rtl/>
        </w:rPr>
        <w:t>ענין לוין</w:t>
      </w:r>
      <w:r w:rsidRPr="002F70B0">
        <w:rPr>
          <w:rFonts w:ascii="Arial TUR" w:hAnsi="Arial TUR" w:cs="FrankRuehl"/>
          <w:spacing w:val="10"/>
          <w:sz w:val="22"/>
          <w:szCs w:val="28"/>
          <w:rtl/>
        </w:rPr>
        <w:t>): "</w:t>
      </w:r>
      <w:r w:rsidRPr="002F70B0">
        <w:rPr>
          <w:rFonts w:ascii="Arial TUR" w:hAnsi="Arial TUR" w:cs="FrankRuehl"/>
          <w:spacing w:val="10"/>
          <w:sz w:val="28"/>
          <w:szCs w:val="28"/>
          <w:rtl/>
        </w:rPr>
        <w:t>בית משפט זה עמד זה מכבר על כך ש"</w:t>
      </w:r>
      <w:r w:rsidRPr="002F70B0">
        <w:rPr>
          <w:rFonts w:ascii="Century" w:hAnsi="Century" w:cs="Miriam"/>
          <w:b/>
          <w:sz w:val="22"/>
          <w:rtl/>
        </w:rPr>
        <w:t>בענייני סחר בסמים אי הרשעה צריכה להיות נדירה שבנדירות, נוכח חומרתה – חוטא ומחטיא את הזולת</w:t>
      </w:r>
      <w:r w:rsidRPr="002F70B0">
        <w:rPr>
          <w:rFonts w:ascii="Arial TUR" w:hAnsi="Arial TUR" w:cs="FrankRuehl"/>
          <w:spacing w:val="10"/>
          <w:sz w:val="28"/>
          <w:szCs w:val="28"/>
          <w:rtl/>
        </w:rPr>
        <w:t>" (</w:t>
      </w:r>
      <w:hyperlink r:id="rId32" w:history="1">
        <w:r w:rsidR="001303C5" w:rsidRPr="001303C5">
          <w:rPr>
            <w:rFonts w:ascii="Arial TUR" w:hAnsi="Arial TUR" w:cs="FrankRuehl"/>
            <w:color w:val="0000FF"/>
            <w:spacing w:val="10"/>
            <w:sz w:val="28"/>
            <w:szCs w:val="28"/>
            <w:u w:val="single"/>
            <w:rtl/>
          </w:rPr>
          <w:t>רע"פ 873/12</w:t>
        </w:r>
      </w:hyperlink>
      <w:r w:rsidRPr="002F70B0">
        <w:rPr>
          <w:rFonts w:ascii="Arial TUR" w:hAnsi="Arial TUR" w:cs="FrankRuehl"/>
          <w:spacing w:val="10"/>
          <w:sz w:val="28"/>
          <w:szCs w:val="28"/>
          <w:rtl/>
        </w:rPr>
        <w:t xml:space="preserve"> </w:t>
      </w:r>
      <w:r w:rsidRPr="002F70B0">
        <w:rPr>
          <w:rFonts w:ascii="Century" w:hAnsi="Century" w:cs="Miriam"/>
          <w:b/>
          <w:sz w:val="22"/>
          <w:rtl/>
        </w:rPr>
        <w:t>פלוני נ' מדינת ישראל</w:t>
      </w:r>
      <w:r w:rsidRPr="002F70B0">
        <w:rPr>
          <w:rFonts w:ascii="Arial TUR" w:hAnsi="Arial TUR" w:cs="FrankRuehl"/>
          <w:spacing w:val="10"/>
          <w:sz w:val="28"/>
          <w:szCs w:val="28"/>
          <w:rtl/>
        </w:rPr>
        <w:t xml:space="preserve">, פסקה ז (2.2.2012))". </w:t>
      </w:r>
    </w:p>
    <w:p w14:paraId="2E3D4DD6"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0DFC6C4"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2F70B0">
        <w:rPr>
          <w:rFonts w:ascii="Arial TUR" w:hAnsi="Arial TUR" w:cs="FrankRuehl"/>
          <w:spacing w:val="10"/>
          <w:sz w:val="22"/>
          <w:szCs w:val="28"/>
          <w:rtl/>
        </w:rPr>
        <w:tab/>
        <w:t xml:space="preserve">אשר לאופי הפגיעה, הנאשם לא הצביע ולו על ראשית ראיה לפגיעה קונקרטית. המסמך שהציג (ענ/1) – מסרונים מרשות הרישוי מחודשים ינואר-פברואר 2021 על כך שהחל בתהליך הוצאת רישיון נהיגה לרכב הסעות – ללא ראיות נוספות כלשהן – אין בו דבר וחצי דבר. יותר מכך, גם אילו נקבל את טענות הנאשם כפשוטן, כי הוא מצוי בתוך התהליך, וכי הוא מתעתד לעסוק בתחום עיסוק זה, אין בהן די. ראשית, הוראת החיקוק אליה הפנה הנאשם – </w:t>
      </w:r>
      <w:hyperlink r:id="rId33" w:history="1">
        <w:r w:rsidR="004D405C" w:rsidRPr="004D405C">
          <w:rPr>
            <w:rStyle w:val="Hyperlink"/>
            <w:rFonts w:ascii="Arial TUR" w:hAnsi="Arial TUR" w:cs="FrankRuehl"/>
            <w:spacing w:val="10"/>
            <w:sz w:val="22"/>
            <w:szCs w:val="28"/>
            <w:rtl/>
          </w:rPr>
          <w:t>תקנה 15ב</w:t>
        </w:r>
      </w:hyperlink>
      <w:r w:rsidRPr="002F70B0">
        <w:rPr>
          <w:rFonts w:ascii="Arial TUR" w:hAnsi="Arial TUR" w:cs="FrankRuehl"/>
          <w:spacing w:val="10"/>
          <w:sz w:val="22"/>
          <w:szCs w:val="28"/>
          <w:rtl/>
        </w:rPr>
        <w:t xml:space="preserve"> ל</w:t>
      </w:r>
      <w:hyperlink r:id="rId34" w:history="1">
        <w:r w:rsidR="001303C5" w:rsidRPr="001303C5">
          <w:rPr>
            <w:rFonts w:ascii="Arial TUR" w:hAnsi="Arial TUR" w:cs="FrankRuehl"/>
            <w:color w:val="0000FF"/>
            <w:spacing w:val="10"/>
            <w:sz w:val="22"/>
            <w:szCs w:val="28"/>
            <w:u w:val="single"/>
            <w:rtl/>
          </w:rPr>
          <w:t>תקנות התעבורה</w:t>
        </w:r>
      </w:hyperlink>
      <w:r w:rsidRPr="002F70B0">
        <w:rPr>
          <w:rFonts w:ascii="Arial TUR" w:hAnsi="Arial TUR" w:cs="FrankRuehl"/>
          <w:spacing w:val="10"/>
          <w:sz w:val="22"/>
          <w:szCs w:val="28"/>
          <w:rtl/>
        </w:rPr>
        <w:t>, מורה כי הרשעה בפלילים היא שיקול רלוונטי אחד מבין מגוון שיקולים בהחלטה האם להעניק רישיון למועמד. שנית, ממילא יש להותיר את ההכרעה בשאלת מתן הרישיון לגורמים האמונים על כך. ראו ענין לוין:</w:t>
      </w:r>
    </w:p>
    <w:p w14:paraId="23D8ED46"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4136661" w14:textId="77777777" w:rsidR="00C10136" w:rsidRPr="002F70B0" w:rsidRDefault="00C10136" w:rsidP="00C10136">
      <w:pPr>
        <w:tabs>
          <w:tab w:val="left" w:pos="800"/>
        </w:tabs>
        <w:overflowPunct w:val="0"/>
        <w:autoSpaceDE w:val="0"/>
        <w:autoSpaceDN w:val="0"/>
        <w:adjustRightInd w:val="0"/>
        <w:ind w:left="1644" w:right="1247"/>
        <w:jc w:val="both"/>
        <w:rPr>
          <w:rFonts w:ascii="Arial TUR" w:hAnsi="Arial TUR" w:cs="FrankRuehl"/>
          <w:spacing w:val="10"/>
          <w:sz w:val="22"/>
          <w:szCs w:val="28"/>
          <w:rtl/>
        </w:rPr>
      </w:pPr>
      <w:r w:rsidRPr="002F70B0">
        <w:rPr>
          <w:rFonts w:ascii="Arial TUR" w:hAnsi="Arial TUR" w:cs="FrankRuehl"/>
          <w:spacing w:val="10"/>
          <w:sz w:val="22"/>
          <w:szCs w:val="28"/>
          <w:rtl/>
        </w:rPr>
        <w:t xml:space="preserve">"יתרה מכך, אני סבור כי גם אם עלולה להיפגע יכולתה של המבקשת לשמש כמפקדת בצה"ל, יש להותיר את הדיון בדבר בידי הגורם המוסמך. הדבר עולה בקנה אחד עם האינטרס הציבורי שכן משנמצא כי נאשם ביצע עבירה פלילית שעלולה להשפיע על כשירותו לעיסוק מסוים, מן הראוי כי </w:t>
      </w:r>
      <w:r w:rsidRPr="002F70B0">
        <w:rPr>
          <w:rFonts w:ascii="FrankRuehl" w:hAnsi="FrankRuehl" w:cs="FrankRuehl"/>
          <w:color w:val="333333"/>
          <w:spacing w:val="10"/>
          <w:sz w:val="28"/>
          <w:szCs w:val="28"/>
          <w:shd w:val="clear" w:color="auto" w:fill="FFFFFF"/>
          <w:rtl/>
        </w:rPr>
        <w:t>הדבר יבחן על ידי הגורמים המוסמכים לכך</w:t>
      </w:r>
      <w:r w:rsidRPr="002F70B0">
        <w:rPr>
          <w:rFonts w:ascii="Arial TUR" w:hAnsi="Arial TUR" w:cs="FrankRuehl"/>
          <w:spacing w:val="10"/>
          <w:sz w:val="22"/>
          <w:szCs w:val="28"/>
          <w:rtl/>
        </w:rPr>
        <w:t xml:space="preserve"> (ראו והשוו: </w:t>
      </w:r>
      <w:hyperlink r:id="rId35" w:history="1">
        <w:r w:rsidR="001303C5" w:rsidRPr="001303C5">
          <w:rPr>
            <w:rFonts w:ascii="Arial TUR" w:hAnsi="Arial TUR" w:cs="FrankRuehl"/>
            <w:color w:val="0000FF"/>
            <w:spacing w:val="10"/>
            <w:sz w:val="22"/>
            <w:szCs w:val="28"/>
            <w:u w:val="single"/>
            <w:rtl/>
          </w:rPr>
          <w:t>רע"פ 5018/18</w:t>
        </w:r>
      </w:hyperlink>
      <w:r w:rsidRPr="002F70B0">
        <w:rPr>
          <w:rFonts w:ascii="Arial TUR" w:hAnsi="Arial TUR" w:cs="FrankRuehl"/>
          <w:spacing w:val="10"/>
          <w:sz w:val="22"/>
          <w:szCs w:val="28"/>
          <w:rtl/>
        </w:rPr>
        <w:t xml:space="preserve"> </w:t>
      </w:r>
      <w:r w:rsidRPr="002F70B0">
        <w:rPr>
          <w:rFonts w:ascii="Century" w:hAnsi="Century" w:cs="Miriam"/>
          <w:b/>
          <w:sz w:val="22"/>
          <w:rtl/>
        </w:rPr>
        <w:t>עומר בוזגלו נ' מדינת ישראל</w:t>
      </w:r>
      <w:r w:rsidRPr="002F70B0">
        <w:rPr>
          <w:rFonts w:ascii="Arial TUR" w:hAnsi="Arial TUR" w:cs="FrankRuehl"/>
          <w:spacing w:val="10"/>
          <w:sz w:val="22"/>
          <w:szCs w:val="28"/>
          <w:rtl/>
        </w:rPr>
        <w:t xml:space="preserve">, פסקה 9 (21.10.2018); </w:t>
      </w:r>
      <w:hyperlink r:id="rId36" w:history="1">
        <w:r w:rsidR="001303C5" w:rsidRPr="001303C5">
          <w:rPr>
            <w:rFonts w:ascii="Arial TUR" w:hAnsi="Arial TUR" w:cs="FrankRuehl"/>
            <w:color w:val="0000FF"/>
            <w:spacing w:val="10"/>
            <w:sz w:val="22"/>
            <w:szCs w:val="28"/>
            <w:u w:val="single"/>
            <w:rtl/>
          </w:rPr>
          <w:t>רע"פ 923/19</w:t>
        </w:r>
      </w:hyperlink>
      <w:r w:rsidRPr="002F70B0">
        <w:rPr>
          <w:rFonts w:ascii="Arial TUR" w:hAnsi="Arial TUR" w:cs="FrankRuehl"/>
          <w:spacing w:val="10"/>
          <w:sz w:val="22"/>
          <w:szCs w:val="28"/>
          <w:rtl/>
        </w:rPr>
        <w:t xml:space="preserve"> </w:t>
      </w:r>
      <w:r w:rsidRPr="002F70B0">
        <w:rPr>
          <w:rFonts w:ascii="Century" w:hAnsi="Century" w:cs="Miriam"/>
          <w:b/>
          <w:sz w:val="22"/>
          <w:rtl/>
        </w:rPr>
        <w:t>פלונית נ' מדינת ישראל</w:t>
      </w:r>
      <w:r w:rsidRPr="002F70B0">
        <w:rPr>
          <w:rFonts w:ascii="Arial TUR" w:hAnsi="Arial TUR" w:cs="FrankRuehl"/>
          <w:spacing w:val="10"/>
          <w:sz w:val="22"/>
          <w:szCs w:val="28"/>
          <w:rtl/>
        </w:rPr>
        <w:t>, פסקה 8 (2.4.2019))."</w:t>
      </w:r>
    </w:p>
    <w:p w14:paraId="074B7551"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74E04697"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2F70B0">
        <w:rPr>
          <w:rFonts w:ascii="Arial TUR" w:hAnsi="Arial TUR" w:cs="FrankRuehl"/>
          <w:spacing w:val="10"/>
          <w:sz w:val="28"/>
          <w:szCs w:val="28"/>
          <w:rtl/>
        </w:rPr>
        <w:tab/>
        <w:t>מכאן, הבקשה לביטול ההרשעה נדחית.</w:t>
      </w:r>
    </w:p>
    <w:p w14:paraId="5B010876"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51AE8F93"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2F70B0">
        <w:rPr>
          <w:rFonts w:ascii="Arial TUR" w:hAnsi="Arial TUR" w:cs="Miriam"/>
          <w:b/>
          <w:spacing w:val="10"/>
          <w:sz w:val="28"/>
          <w:rtl/>
        </w:rPr>
        <w:t>תוצאה</w:t>
      </w:r>
    </w:p>
    <w:p w14:paraId="30C6EC25" w14:textId="77777777" w:rsidR="00C10136" w:rsidRPr="002F70B0" w:rsidRDefault="00C10136" w:rsidP="00C10136">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5A5E16F0" w14:textId="77777777" w:rsidR="00C10136" w:rsidRPr="002F70B0" w:rsidRDefault="00C10136" w:rsidP="00C10136">
      <w:pPr>
        <w:spacing w:line="360" w:lineRule="auto"/>
        <w:jc w:val="both"/>
        <w:rPr>
          <w:rFonts w:ascii="FrankRuehl" w:hAnsi="FrankRuehl" w:cs="FrankRuehl"/>
          <w:sz w:val="28"/>
          <w:szCs w:val="28"/>
          <w:rtl/>
        </w:rPr>
      </w:pPr>
      <w:r w:rsidRPr="002F70B0">
        <w:rPr>
          <w:rFonts w:ascii="FrankRuehl" w:hAnsi="FrankRuehl" w:cs="FrankRuehl"/>
          <w:sz w:val="28"/>
          <w:szCs w:val="28"/>
          <w:rtl/>
        </w:rPr>
        <w:t>7.</w:t>
      </w:r>
      <w:r w:rsidRPr="002F70B0">
        <w:rPr>
          <w:rFonts w:ascii="FrankRuehl" w:hAnsi="FrankRuehl" w:cs="FrankRuehl"/>
          <w:sz w:val="28"/>
          <w:szCs w:val="28"/>
          <w:rtl/>
        </w:rPr>
        <w:tab/>
        <w:t>החלטתי לגזור על הנאשם את העונשים הבאים:</w:t>
      </w:r>
    </w:p>
    <w:p w14:paraId="66A2EAAC" w14:textId="77777777" w:rsidR="00C10136" w:rsidRPr="002F70B0" w:rsidRDefault="00C10136" w:rsidP="00C10136">
      <w:pPr>
        <w:spacing w:line="360" w:lineRule="auto"/>
        <w:ind w:left="1440" w:hanging="720"/>
        <w:jc w:val="both"/>
        <w:rPr>
          <w:rFonts w:ascii="FrankRuehl" w:hAnsi="FrankRuehl" w:cs="FrankRuehl"/>
          <w:sz w:val="28"/>
          <w:szCs w:val="28"/>
          <w:rtl/>
        </w:rPr>
      </w:pPr>
      <w:r w:rsidRPr="002F70B0">
        <w:rPr>
          <w:rFonts w:ascii="FrankRuehl" w:hAnsi="FrankRuehl" w:cs="FrankRuehl"/>
          <w:sz w:val="28"/>
          <w:szCs w:val="28"/>
          <w:rtl/>
        </w:rPr>
        <w:t>א.</w:t>
      </w:r>
      <w:r w:rsidRPr="002F70B0">
        <w:rPr>
          <w:rFonts w:ascii="FrankRuehl" w:hAnsi="FrankRuehl" w:cs="FrankRuehl"/>
          <w:sz w:val="28"/>
          <w:szCs w:val="28"/>
          <w:rtl/>
        </w:rPr>
        <w:tab/>
        <w:t>3 חודשי מאסר בפועל (תקופת המעצר - 16 ימים, נלקחה בחשבון, ולא תקוזז מעונש המאסר).</w:t>
      </w:r>
    </w:p>
    <w:p w14:paraId="1311C17F" w14:textId="77777777" w:rsidR="00C10136" w:rsidRPr="002F70B0" w:rsidRDefault="00C10136" w:rsidP="00C10136">
      <w:pPr>
        <w:spacing w:line="360" w:lineRule="auto"/>
        <w:ind w:left="1440"/>
        <w:jc w:val="both"/>
        <w:rPr>
          <w:rFonts w:ascii="FrankRuehl" w:hAnsi="FrankRuehl" w:cs="FrankRuehl"/>
          <w:sz w:val="28"/>
          <w:szCs w:val="28"/>
          <w:rtl/>
        </w:rPr>
      </w:pPr>
      <w:r w:rsidRPr="002F70B0">
        <w:rPr>
          <w:rFonts w:ascii="FrankRuehl" w:hAnsi="FrankRuehl" w:cs="FrankRuehl"/>
          <w:sz w:val="28"/>
          <w:szCs w:val="28"/>
          <w:rtl/>
        </w:rPr>
        <w:t>המאסר ירוצה בדרך של עבודות שירות בתחנת משטרת חדרה, בהתאם לחוות דעת הממונה על עבודות שירות מיום 2.3.21. הנאשם יתייצב ביום 26.5.21 בשעה 8:00 במשרדי הממונה במפקדת מחוז צפון של שב"ס.</w:t>
      </w:r>
    </w:p>
    <w:p w14:paraId="2B38E607" w14:textId="77777777" w:rsidR="00C10136" w:rsidRPr="002F70B0" w:rsidRDefault="00C10136" w:rsidP="00C10136">
      <w:pPr>
        <w:spacing w:line="360" w:lineRule="auto"/>
        <w:ind w:left="1440"/>
        <w:jc w:val="both"/>
        <w:rPr>
          <w:rFonts w:ascii="FrankRuehl" w:hAnsi="FrankRuehl" w:cs="FrankRuehl"/>
          <w:sz w:val="28"/>
          <w:szCs w:val="28"/>
          <w:rtl/>
        </w:rPr>
      </w:pPr>
      <w:r w:rsidRPr="002F70B0">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40DD598F" w14:textId="77777777" w:rsidR="00C10136" w:rsidRPr="002F70B0" w:rsidRDefault="00C10136" w:rsidP="00C10136">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ב</w:t>
      </w:r>
      <w:r w:rsidRPr="002F70B0">
        <w:rPr>
          <w:rFonts w:ascii="FrankRuehl" w:hAnsi="FrankRuehl" w:cs="FrankRuehl"/>
          <w:sz w:val="28"/>
          <w:szCs w:val="28"/>
          <w:rtl/>
        </w:rPr>
        <w:t>.</w:t>
      </w:r>
      <w:r w:rsidRPr="002F70B0">
        <w:rPr>
          <w:rFonts w:ascii="FrankRuehl" w:hAnsi="FrankRuehl" w:cs="FrankRuehl"/>
          <w:sz w:val="28"/>
          <w:szCs w:val="28"/>
          <w:rtl/>
        </w:rPr>
        <w:tab/>
        <w:t>6 חודשי מאסר אותם לא ירצה הנאשם אלא אם יעבור בתוך שלוש שנים עבירות סמים מסוג פשע.</w:t>
      </w:r>
    </w:p>
    <w:p w14:paraId="06C19393" w14:textId="77777777" w:rsidR="00C10136" w:rsidRPr="002F70B0" w:rsidRDefault="00C10136" w:rsidP="00C10136">
      <w:pPr>
        <w:spacing w:line="360" w:lineRule="auto"/>
        <w:ind w:left="1440" w:hanging="720"/>
        <w:jc w:val="both"/>
        <w:rPr>
          <w:rFonts w:ascii="FrankRuehl" w:hAnsi="FrankRuehl" w:cs="FrankRuehl"/>
          <w:sz w:val="28"/>
          <w:szCs w:val="28"/>
          <w:rtl/>
        </w:rPr>
      </w:pPr>
      <w:r w:rsidRPr="002F70B0">
        <w:rPr>
          <w:rFonts w:ascii="FrankRuehl" w:hAnsi="FrankRuehl" w:cs="FrankRuehl"/>
          <w:sz w:val="28"/>
          <w:szCs w:val="28"/>
          <w:rtl/>
        </w:rPr>
        <w:tab/>
        <w:t>3 חודשי מאסר אותם לא ירצה האשם אלא אם יעבור בתוך שלוש שנים עבירות סמים מסוג עוון.</w:t>
      </w:r>
    </w:p>
    <w:p w14:paraId="4B4732F6" w14:textId="77777777" w:rsidR="00C10136" w:rsidRPr="002F70B0" w:rsidRDefault="00C10136" w:rsidP="00C10136">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ג</w:t>
      </w:r>
      <w:r w:rsidRPr="002F70B0">
        <w:rPr>
          <w:rFonts w:ascii="FrankRuehl" w:hAnsi="FrankRuehl" w:cs="FrankRuehl"/>
          <w:sz w:val="28"/>
          <w:szCs w:val="28"/>
          <w:rtl/>
        </w:rPr>
        <w:t>.</w:t>
      </w:r>
      <w:r w:rsidRPr="002F70B0">
        <w:rPr>
          <w:rFonts w:ascii="FrankRuehl" w:hAnsi="FrankRuehl" w:cs="FrankRuehl"/>
          <w:sz w:val="28"/>
          <w:szCs w:val="28"/>
          <w:rtl/>
        </w:rPr>
        <w:tab/>
        <w:t>קנס בסך 2,000 ש"ח ₪ או חודש מאסר תמורתו. הקנס ישולם עד יום 10.</w:t>
      </w:r>
      <w:r>
        <w:rPr>
          <w:rFonts w:ascii="FrankRuehl" w:hAnsi="FrankRuehl" w:cs="FrankRuehl" w:hint="cs"/>
          <w:sz w:val="28"/>
          <w:szCs w:val="28"/>
          <w:rtl/>
        </w:rPr>
        <w:t>6</w:t>
      </w:r>
      <w:r w:rsidRPr="002F70B0">
        <w:rPr>
          <w:rFonts w:ascii="FrankRuehl" w:hAnsi="FrankRuehl" w:cs="FrankRuehl"/>
          <w:sz w:val="28"/>
          <w:szCs w:val="28"/>
          <w:rtl/>
        </w:rPr>
        <w:t>.21.</w:t>
      </w:r>
    </w:p>
    <w:p w14:paraId="057AE8ED" w14:textId="77777777" w:rsidR="00C10136" w:rsidRPr="002F70B0" w:rsidRDefault="00C10136" w:rsidP="00C10136">
      <w:pPr>
        <w:spacing w:line="360" w:lineRule="auto"/>
        <w:ind w:left="1440" w:hanging="720"/>
        <w:jc w:val="both"/>
        <w:rPr>
          <w:rFonts w:ascii="FrankRuehl" w:hAnsi="FrankRuehl" w:cs="FrankRuehl"/>
          <w:sz w:val="28"/>
          <w:szCs w:val="28"/>
          <w:rtl/>
        </w:rPr>
      </w:pPr>
      <w:r>
        <w:rPr>
          <w:rFonts w:ascii="FrankRuehl" w:hAnsi="FrankRuehl" w:cs="FrankRuehl" w:hint="cs"/>
          <w:sz w:val="28"/>
          <w:szCs w:val="28"/>
          <w:rtl/>
        </w:rPr>
        <w:t>ד</w:t>
      </w:r>
      <w:r w:rsidRPr="002F70B0">
        <w:rPr>
          <w:rFonts w:ascii="FrankRuehl" w:hAnsi="FrankRuehl" w:cs="FrankRuehl"/>
          <w:sz w:val="28"/>
          <w:szCs w:val="28"/>
          <w:rtl/>
        </w:rPr>
        <w:t>.</w:t>
      </w:r>
      <w:r w:rsidRPr="002F70B0">
        <w:rPr>
          <w:rFonts w:ascii="FrankRuehl" w:hAnsi="FrankRuehl" w:cs="FrankRuehl"/>
          <w:sz w:val="28"/>
          <w:szCs w:val="28"/>
          <w:rtl/>
        </w:rPr>
        <w:tab/>
        <w:t xml:space="preserve">הנאשם ייפסל מלקבל ומלהחזיק רישיון נהיגה לתקופה של 4 חודשים, ואולם הנאשם לא יישא בעונש זה אלא אם יעבור בתוך 3 שנים ממועד שחרורו ממאסר עבירה כלשהי על פקודת הסמים. </w:t>
      </w:r>
    </w:p>
    <w:p w14:paraId="5746929B" w14:textId="77777777" w:rsidR="00C10136" w:rsidRPr="002F70B0" w:rsidRDefault="00C10136" w:rsidP="00C10136">
      <w:pPr>
        <w:spacing w:line="360" w:lineRule="auto"/>
        <w:jc w:val="both"/>
        <w:rPr>
          <w:rFonts w:ascii="FrankRuehl" w:hAnsi="FrankRuehl" w:cs="FrankRuehl"/>
          <w:sz w:val="28"/>
          <w:szCs w:val="28"/>
          <w:rtl/>
        </w:rPr>
      </w:pPr>
    </w:p>
    <w:p w14:paraId="49731B3A" w14:textId="77777777" w:rsidR="00C10136" w:rsidRPr="002F70B0" w:rsidRDefault="00C10136" w:rsidP="00C10136">
      <w:pPr>
        <w:spacing w:line="360" w:lineRule="auto"/>
        <w:jc w:val="both"/>
        <w:rPr>
          <w:rFonts w:ascii="FrankRuehl" w:hAnsi="FrankRuehl" w:cs="Miriam"/>
          <w:b/>
          <w:sz w:val="28"/>
          <w:u w:val="single"/>
          <w:rtl/>
        </w:rPr>
      </w:pPr>
      <w:r w:rsidRPr="002F70B0">
        <w:rPr>
          <w:rFonts w:ascii="FrankRuehl" w:hAnsi="FrankRuehl" w:cs="Miriam"/>
          <w:b/>
          <w:sz w:val="28"/>
          <w:u w:val="single"/>
          <w:rtl/>
        </w:rPr>
        <w:t>זכות ערעור לבית המשפט המחוזי תוך 45 ימים מהיום.</w:t>
      </w:r>
    </w:p>
    <w:p w14:paraId="5FE84E85" w14:textId="77777777" w:rsidR="00C10136" w:rsidRPr="002F70B0" w:rsidRDefault="00C10136" w:rsidP="00C10136">
      <w:pPr>
        <w:spacing w:line="360" w:lineRule="auto"/>
        <w:rPr>
          <w:rFonts w:ascii="FrankRuehl" w:hAnsi="FrankRuehl" w:cs="FrankRuehl"/>
          <w:sz w:val="28"/>
          <w:szCs w:val="28"/>
          <w:rtl/>
        </w:rPr>
      </w:pPr>
    </w:p>
    <w:p w14:paraId="6E1924F9" w14:textId="77777777" w:rsidR="00C10136" w:rsidRPr="002F70B0" w:rsidRDefault="00C10136" w:rsidP="00C10136">
      <w:pPr>
        <w:spacing w:line="360" w:lineRule="auto"/>
        <w:jc w:val="both"/>
        <w:rPr>
          <w:rFonts w:ascii="FrankRuehl" w:hAnsi="FrankRuehl" w:cs="Miriam"/>
          <w:b/>
          <w:sz w:val="28"/>
          <w:u w:val="single"/>
          <w:rtl/>
        </w:rPr>
      </w:pPr>
      <w:r w:rsidRPr="002F70B0">
        <w:rPr>
          <w:rFonts w:ascii="FrankRuehl" w:hAnsi="FrankRuehl" w:cs="Miriam"/>
          <w:b/>
          <w:sz w:val="28"/>
          <w:u w:val="single"/>
          <w:rtl/>
        </w:rPr>
        <w:t>המזכירות תעביר עותק מגזר הדין לשירות המבחן ולממונה על עבודות שירות.</w:t>
      </w:r>
    </w:p>
    <w:p w14:paraId="55AC4A6F" w14:textId="77777777" w:rsidR="00C10136" w:rsidRPr="002F70B0" w:rsidRDefault="00C10136" w:rsidP="00C10136">
      <w:pPr>
        <w:spacing w:line="360" w:lineRule="auto"/>
        <w:jc w:val="both"/>
        <w:rPr>
          <w:rFonts w:ascii="FrankRuehl" w:hAnsi="FrankRuehl" w:cs="Miriam"/>
          <w:b/>
          <w:sz w:val="28"/>
          <w:u w:val="single"/>
          <w:rtl/>
        </w:rPr>
      </w:pPr>
    </w:p>
    <w:p w14:paraId="4DB06668" w14:textId="77777777" w:rsidR="00C10136" w:rsidRPr="001303C5" w:rsidRDefault="001303C5" w:rsidP="00C10136">
      <w:pPr>
        <w:rPr>
          <w:color w:val="FFFFFF"/>
          <w:sz w:val="2"/>
          <w:szCs w:val="2"/>
          <w:rtl/>
        </w:rPr>
      </w:pPr>
      <w:r w:rsidRPr="001303C5">
        <w:rPr>
          <w:color w:val="FFFFFF"/>
          <w:sz w:val="2"/>
          <w:szCs w:val="2"/>
          <w:rtl/>
        </w:rPr>
        <w:t>5129371</w:t>
      </w:r>
    </w:p>
    <w:p w14:paraId="035574B5" w14:textId="77777777" w:rsidR="00C10136" w:rsidRDefault="001303C5" w:rsidP="00C10136">
      <w:pPr>
        <w:rPr>
          <w:rFonts w:cs="FrankRuehl"/>
          <w:sz w:val="28"/>
          <w:szCs w:val="28"/>
          <w:rtl/>
        </w:rPr>
      </w:pPr>
      <w:bookmarkStart w:id="8" w:name="Nitan"/>
      <w:r w:rsidRPr="001303C5">
        <w:rPr>
          <w:rFonts w:ascii="Arial" w:hAnsi="Arial"/>
          <w:color w:val="FFFFFF"/>
          <w:sz w:val="2"/>
          <w:szCs w:val="2"/>
          <w:rtl/>
        </w:rPr>
        <w:t>54678313</w:t>
      </w:r>
      <w:r>
        <w:rPr>
          <w:rFonts w:ascii="Arial" w:hAnsi="Arial"/>
          <w:rtl/>
        </w:rPr>
        <w:t xml:space="preserve">ניתן היום,  י"א ניסן תשפ"א, 24 מרץ 2021, במעמד הצדדים. </w:t>
      </w:r>
      <w:bookmarkEnd w:id="8"/>
    </w:p>
    <w:p w14:paraId="006AFDD4" w14:textId="77777777" w:rsidR="00C10136" w:rsidRDefault="00C10136" w:rsidP="001303C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9858BA" w14:textId="77777777" w:rsidR="00C10136" w:rsidRDefault="00C10136" w:rsidP="00C10136">
      <w:pPr>
        <w:jc w:val="center"/>
        <w:rPr>
          <w:rFonts w:ascii="Arial" w:hAnsi="Arial" w:cs="FrankRuehl"/>
          <w:sz w:val="28"/>
          <w:szCs w:val="28"/>
          <w:rtl/>
        </w:rPr>
      </w:pPr>
    </w:p>
    <w:p w14:paraId="26909F94" w14:textId="77777777" w:rsidR="00C10136" w:rsidRDefault="00C10136" w:rsidP="00C10136">
      <w:pPr>
        <w:rPr>
          <w:rFonts w:cs="FrankRuehl"/>
          <w:sz w:val="28"/>
          <w:szCs w:val="28"/>
          <w:rtl/>
        </w:rPr>
      </w:pPr>
    </w:p>
    <w:p w14:paraId="1546C51A" w14:textId="77777777" w:rsidR="00C10136" w:rsidRDefault="00C10136" w:rsidP="00C10136">
      <w:pPr>
        <w:pStyle w:val="a3"/>
        <w:jc w:val="center"/>
        <w:rPr>
          <w:rtl/>
        </w:rPr>
      </w:pPr>
    </w:p>
    <w:p w14:paraId="5704277C" w14:textId="77777777" w:rsidR="00FD7633" w:rsidRPr="001303C5" w:rsidRDefault="00FD7633" w:rsidP="001303C5">
      <w:pPr>
        <w:keepNext/>
        <w:rPr>
          <w:rFonts w:ascii="David" w:hAnsi="David"/>
          <w:color w:val="000000"/>
          <w:sz w:val="22"/>
          <w:szCs w:val="22"/>
          <w:rtl/>
        </w:rPr>
      </w:pPr>
    </w:p>
    <w:p w14:paraId="556BA89C" w14:textId="77777777" w:rsidR="001303C5" w:rsidRPr="001303C5" w:rsidRDefault="001303C5" w:rsidP="001303C5">
      <w:pPr>
        <w:keepNext/>
        <w:rPr>
          <w:rFonts w:ascii="David" w:hAnsi="David"/>
          <w:color w:val="000000"/>
          <w:sz w:val="22"/>
          <w:szCs w:val="22"/>
          <w:rtl/>
        </w:rPr>
      </w:pPr>
      <w:r w:rsidRPr="001303C5">
        <w:rPr>
          <w:rFonts w:ascii="David" w:hAnsi="David"/>
          <w:color w:val="000000"/>
          <w:sz w:val="22"/>
          <w:szCs w:val="22"/>
          <w:rtl/>
        </w:rPr>
        <w:t>גיא אבנון 54678313</w:t>
      </w:r>
    </w:p>
    <w:p w14:paraId="1E3041B0" w14:textId="77777777" w:rsidR="001303C5" w:rsidRDefault="001303C5" w:rsidP="001303C5">
      <w:r w:rsidRPr="001303C5">
        <w:rPr>
          <w:color w:val="000000"/>
          <w:rtl/>
        </w:rPr>
        <w:t>נוסח מסמך זה כפוף לשינויי ניסוח ועריכה</w:t>
      </w:r>
    </w:p>
    <w:p w14:paraId="3C54CEAF" w14:textId="77777777" w:rsidR="001303C5" w:rsidRDefault="00F71E8F" w:rsidP="001303C5">
      <w:pPr>
        <w:rPr>
          <w:rFonts w:hint="cs"/>
          <w:rtl/>
        </w:rPr>
      </w:pPr>
      <w:r>
        <w:rPr>
          <w:rFonts w:hint="cs"/>
          <w:rtl/>
        </w:rPr>
        <w:t xml:space="preserve"> </w:t>
      </w:r>
    </w:p>
    <w:p w14:paraId="1C89EFEF" w14:textId="77777777" w:rsidR="001303C5" w:rsidRDefault="001303C5" w:rsidP="001303C5">
      <w:pPr>
        <w:jc w:val="center"/>
        <w:rPr>
          <w:rFonts w:hint="cs"/>
          <w:color w:val="0000FF"/>
          <w:u w:val="single"/>
        </w:rPr>
      </w:pPr>
      <w:hyperlink r:id="rId37" w:history="1">
        <w:r>
          <w:rPr>
            <w:color w:val="0000FF"/>
            <w:u w:val="single"/>
            <w:rtl/>
          </w:rPr>
          <w:t>בעניין עריכה ושינויים במסמכי פסיקה, חקיקה ועוד באתר נבו – הקש כאן</w:t>
        </w:r>
      </w:hyperlink>
      <w:r w:rsidR="00A44DED">
        <w:rPr>
          <w:rFonts w:hint="cs"/>
          <w:color w:val="0000FF"/>
          <w:u w:val="single"/>
          <w:rtl/>
        </w:rPr>
        <w:t xml:space="preserve"> </w:t>
      </w:r>
    </w:p>
    <w:p w14:paraId="72C66DED" w14:textId="77777777" w:rsidR="001303C5" w:rsidRPr="001303C5" w:rsidRDefault="001303C5" w:rsidP="001303C5">
      <w:pPr>
        <w:jc w:val="center"/>
        <w:rPr>
          <w:color w:val="0000FF"/>
          <w:u w:val="single"/>
        </w:rPr>
      </w:pPr>
    </w:p>
    <w:sectPr w:rsidR="001303C5" w:rsidRPr="001303C5" w:rsidSect="001303C5">
      <w:headerReference w:type="even" r:id="rId38"/>
      <w:headerReference w:type="default" r:id="rId39"/>
      <w:footerReference w:type="even" r:id="rId40"/>
      <w:footerReference w:type="default" r:id="rId4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EAD47" w14:textId="77777777" w:rsidR="0068332C" w:rsidRDefault="0068332C" w:rsidP="00B16B0E">
      <w:r>
        <w:separator/>
      </w:r>
    </w:p>
  </w:endnote>
  <w:endnote w:type="continuationSeparator" w:id="0">
    <w:p w14:paraId="64190B12" w14:textId="77777777" w:rsidR="0068332C" w:rsidRDefault="0068332C" w:rsidP="00B1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2C4DA" w14:textId="77777777" w:rsidR="001303C5" w:rsidRDefault="001303C5" w:rsidP="001303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669751" w14:textId="77777777" w:rsidR="00D400D0" w:rsidRPr="001303C5" w:rsidRDefault="001303C5" w:rsidP="001303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85724" w14:textId="77777777" w:rsidR="001303C5" w:rsidRDefault="001303C5" w:rsidP="001303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4DA1">
      <w:rPr>
        <w:rFonts w:ascii="FrankRuehl" w:hAnsi="FrankRuehl" w:cs="FrankRuehl"/>
        <w:noProof/>
        <w:rtl/>
      </w:rPr>
      <w:t>1</w:t>
    </w:r>
    <w:r>
      <w:rPr>
        <w:rFonts w:ascii="FrankRuehl" w:hAnsi="FrankRuehl" w:cs="FrankRuehl"/>
        <w:rtl/>
      </w:rPr>
      <w:fldChar w:fldCharType="end"/>
    </w:r>
  </w:p>
  <w:p w14:paraId="4603E588" w14:textId="77777777" w:rsidR="00D400D0" w:rsidRPr="001303C5" w:rsidRDefault="001303C5" w:rsidP="001303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65A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DC50" w14:textId="77777777" w:rsidR="0068332C" w:rsidRDefault="0068332C" w:rsidP="00B16B0E">
      <w:r>
        <w:separator/>
      </w:r>
    </w:p>
  </w:footnote>
  <w:footnote w:type="continuationSeparator" w:id="0">
    <w:p w14:paraId="3B3FA100" w14:textId="77777777" w:rsidR="0068332C" w:rsidRDefault="0068332C" w:rsidP="00B16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BCF2" w14:textId="77777777" w:rsidR="001303C5" w:rsidRPr="001303C5" w:rsidRDefault="001303C5" w:rsidP="001303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45133-06-19</w:t>
    </w:r>
    <w:r>
      <w:rPr>
        <w:rFonts w:ascii="David" w:hAnsi="David"/>
        <w:color w:val="000000"/>
        <w:sz w:val="22"/>
        <w:szCs w:val="22"/>
        <w:rtl/>
      </w:rPr>
      <w:tab/>
      <w:t xml:space="preserve"> מדינת ישראל נ' ברוך כרייף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EE9EA" w14:textId="77777777" w:rsidR="001303C5" w:rsidRPr="001303C5" w:rsidRDefault="001303C5" w:rsidP="001303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45133-06-19</w:t>
    </w:r>
    <w:r>
      <w:rPr>
        <w:rFonts w:ascii="David" w:hAnsi="David"/>
        <w:color w:val="000000"/>
        <w:sz w:val="22"/>
        <w:szCs w:val="22"/>
        <w:rtl/>
      </w:rPr>
      <w:tab/>
      <w:t xml:space="preserve"> מדינת ישראל נ' ברוך כרייף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0136"/>
    <w:rsid w:val="001303C5"/>
    <w:rsid w:val="001B5A3B"/>
    <w:rsid w:val="004D405C"/>
    <w:rsid w:val="00584DA1"/>
    <w:rsid w:val="0068332C"/>
    <w:rsid w:val="008D0CF8"/>
    <w:rsid w:val="00960217"/>
    <w:rsid w:val="00A44DED"/>
    <w:rsid w:val="00AE5272"/>
    <w:rsid w:val="00B16B0E"/>
    <w:rsid w:val="00C10136"/>
    <w:rsid w:val="00D400D0"/>
    <w:rsid w:val="00D609E0"/>
    <w:rsid w:val="00EA10EB"/>
    <w:rsid w:val="00EB4A68"/>
    <w:rsid w:val="00F5489D"/>
    <w:rsid w:val="00F71E8F"/>
    <w:rsid w:val="00FD76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99CA10"/>
  <w15:chartTrackingRefBased/>
  <w15:docId w15:val="{5F74C302-A26A-4BF1-A044-4FEF982C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01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0136"/>
    <w:pPr>
      <w:tabs>
        <w:tab w:val="center" w:pos="4153"/>
        <w:tab w:val="right" w:pos="8306"/>
      </w:tabs>
    </w:pPr>
  </w:style>
  <w:style w:type="character" w:customStyle="1" w:styleId="a4">
    <w:name w:val="כותרת עליונה תו"/>
    <w:link w:val="a3"/>
    <w:rsid w:val="00C10136"/>
    <w:rPr>
      <w:rFonts w:ascii="Times New Roman" w:eastAsia="Times New Roman" w:hAnsi="Times New Roman" w:cs="David"/>
      <w:sz w:val="24"/>
      <w:szCs w:val="24"/>
    </w:rPr>
  </w:style>
  <w:style w:type="paragraph" w:styleId="a5">
    <w:name w:val="footer"/>
    <w:basedOn w:val="a"/>
    <w:link w:val="a6"/>
    <w:rsid w:val="00C10136"/>
    <w:pPr>
      <w:tabs>
        <w:tab w:val="center" w:pos="4153"/>
        <w:tab w:val="right" w:pos="8306"/>
      </w:tabs>
    </w:pPr>
  </w:style>
  <w:style w:type="character" w:customStyle="1" w:styleId="a6">
    <w:name w:val="כותרת תחתונה תו"/>
    <w:link w:val="a5"/>
    <w:rsid w:val="00C10136"/>
    <w:rPr>
      <w:rFonts w:ascii="Times New Roman" w:eastAsia="Times New Roman" w:hAnsi="Times New Roman" w:cs="David"/>
      <w:sz w:val="24"/>
      <w:szCs w:val="24"/>
    </w:rPr>
  </w:style>
  <w:style w:type="character" w:styleId="a7">
    <w:name w:val="page number"/>
    <w:rsid w:val="00C10136"/>
  </w:style>
  <w:style w:type="character" w:styleId="Hyperlink">
    <w:name w:val="Hyperlink"/>
    <w:rsid w:val="00130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26222649" TargetMode="External"/><Relationship Id="rId39" Type="http://schemas.openxmlformats.org/officeDocument/2006/relationships/header" Target="header2.xml"/><Relationship Id="rId21" Type="http://schemas.openxmlformats.org/officeDocument/2006/relationships/hyperlink" Target="http://www.nevo.co.il/law/74274/15b" TargetMode="External"/><Relationship Id="rId34" Type="http://schemas.openxmlformats.org/officeDocument/2006/relationships/hyperlink" Target="http://www.nevo.co.il/law/74274"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4" TargetMode="External"/><Relationship Id="rId20" Type="http://schemas.openxmlformats.org/officeDocument/2006/relationships/hyperlink" Target="http://www.nevo.co.il/law/4216/7.a.;7.c"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5" TargetMode="External"/><Relationship Id="rId24" Type="http://schemas.openxmlformats.org/officeDocument/2006/relationships/hyperlink" Target="http://www.nevo.co.il/case/25927150" TargetMode="External"/><Relationship Id="rId32" Type="http://schemas.openxmlformats.org/officeDocument/2006/relationships/hyperlink" Target="http://www.nevo.co.il/case/624862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4274/15b" TargetMode="External"/><Relationship Id="rId23" Type="http://schemas.openxmlformats.org/officeDocument/2006/relationships/hyperlink" Target="http://www.nevo.co.il/case/22961877"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5417769"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975844" TargetMode="External"/><Relationship Id="rId4" Type="http://schemas.openxmlformats.org/officeDocument/2006/relationships/footnotes" Target="footnotes.xml"/><Relationship Id="rId9" Type="http://schemas.openxmlformats.org/officeDocument/2006/relationships/hyperlink" Target="http://www.nevo.co.il/law/4216/14"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4274"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5810781" TargetMode="External"/><Relationship Id="rId35" Type="http://schemas.openxmlformats.org/officeDocument/2006/relationships/hyperlink" Target="http://www.nevo.co.il/case/24345651"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318040" TargetMode="External"/><Relationship Id="rId33" Type="http://schemas.openxmlformats.org/officeDocument/2006/relationships/hyperlink" Target="http://www.nevo.co.il/law/74274/15b"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2637</Words>
  <Characters>13189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15795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3604599</vt:i4>
      </vt:variant>
      <vt:variant>
        <vt:i4>90</vt:i4>
      </vt:variant>
      <vt:variant>
        <vt:i4>0</vt:i4>
      </vt:variant>
      <vt:variant>
        <vt:i4>5</vt:i4>
      </vt:variant>
      <vt:variant>
        <vt:lpwstr>http://www.nevo.co.il/case/25417769</vt:lpwstr>
      </vt:variant>
      <vt:variant>
        <vt:lpwstr/>
      </vt:variant>
      <vt:variant>
        <vt:i4>3211378</vt:i4>
      </vt:variant>
      <vt:variant>
        <vt:i4>87</vt:i4>
      </vt:variant>
      <vt:variant>
        <vt:i4>0</vt:i4>
      </vt:variant>
      <vt:variant>
        <vt:i4>5</vt:i4>
      </vt:variant>
      <vt:variant>
        <vt:lpwstr>http://www.nevo.co.il/case/24345651</vt:lpwstr>
      </vt:variant>
      <vt:variant>
        <vt:lpwstr/>
      </vt:variant>
      <vt:variant>
        <vt:i4>7929957</vt:i4>
      </vt:variant>
      <vt:variant>
        <vt:i4>84</vt:i4>
      </vt:variant>
      <vt:variant>
        <vt:i4>0</vt:i4>
      </vt:variant>
      <vt:variant>
        <vt:i4>5</vt:i4>
      </vt:variant>
      <vt:variant>
        <vt:lpwstr>http://www.nevo.co.il/law/74274</vt:lpwstr>
      </vt:variant>
      <vt:variant>
        <vt:lpwstr/>
      </vt:variant>
      <vt:variant>
        <vt:i4>6488160</vt:i4>
      </vt:variant>
      <vt:variant>
        <vt:i4>81</vt:i4>
      </vt:variant>
      <vt:variant>
        <vt:i4>0</vt:i4>
      </vt:variant>
      <vt:variant>
        <vt:i4>5</vt:i4>
      </vt:variant>
      <vt:variant>
        <vt:lpwstr>http://www.nevo.co.il/law/74274/15b</vt:lpwstr>
      </vt:variant>
      <vt:variant>
        <vt:lpwstr/>
      </vt:variant>
      <vt:variant>
        <vt:i4>3407996</vt:i4>
      </vt:variant>
      <vt:variant>
        <vt:i4>78</vt:i4>
      </vt:variant>
      <vt:variant>
        <vt:i4>0</vt:i4>
      </vt:variant>
      <vt:variant>
        <vt:i4>5</vt:i4>
      </vt:variant>
      <vt:variant>
        <vt:lpwstr>http://www.nevo.co.il/case/6248620</vt:lpwstr>
      </vt:variant>
      <vt:variant>
        <vt:lpwstr/>
      </vt:variant>
      <vt:variant>
        <vt:i4>3801214</vt:i4>
      </vt:variant>
      <vt:variant>
        <vt:i4>75</vt:i4>
      </vt:variant>
      <vt:variant>
        <vt:i4>0</vt:i4>
      </vt:variant>
      <vt:variant>
        <vt:i4>5</vt:i4>
      </vt:variant>
      <vt:variant>
        <vt:lpwstr>http://www.nevo.co.il/case/25975844</vt:lpwstr>
      </vt:variant>
      <vt:variant>
        <vt:lpwstr/>
      </vt:variant>
      <vt:variant>
        <vt:i4>3276916</vt:i4>
      </vt:variant>
      <vt:variant>
        <vt:i4>72</vt:i4>
      </vt:variant>
      <vt:variant>
        <vt:i4>0</vt:i4>
      </vt:variant>
      <vt:variant>
        <vt:i4>5</vt:i4>
      </vt:variant>
      <vt:variant>
        <vt:lpwstr>http://www.nevo.co.il/case/5810781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3539062</vt:i4>
      </vt:variant>
      <vt:variant>
        <vt:i4>60</vt:i4>
      </vt:variant>
      <vt:variant>
        <vt:i4>0</vt:i4>
      </vt:variant>
      <vt:variant>
        <vt:i4>5</vt:i4>
      </vt:variant>
      <vt:variant>
        <vt:lpwstr>http://www.nevo.co.il/case/26222649</vt:lpwstr>
      </vt:variant>
      <vt:variant>
        <vt:lpwstr/>
      </vt:variant>
      <vt:variant>
        <vt:i4>3997811</vt:i4>
      </vt:variant>
      <vt:variant>
        <vt:i4>57</vt:i4>
      </vt:variant>
      <vt:variant>
        <vt:i4>0</vt:i4>
      </vt:variant>
      <vt:variant>
        <vt:i4>5</vt:i4>
      </vt:variant>
      <vt:variant>
        <vt:lpwstr>http://www.nevo.co.il/case/26318040</vt:lpwstr>
      </vt:variant>
      <vt:variant>
        <vt:lpwstr/>
      </vt:variant>
      <vt:variant>
        <vt:i4>3735666</vt:i4>
      </vt:variant>
      <vt:variant>
        <vt:i4>54</vt:i4>
      </vt:variant>
      <vt:variant>
        <vt:i4>0</vt:i4>
      </vt:variant>
      <vt:variant>
        <vt:i4>5</vt:i4>
      </vt:variant>
      <vt:variant>
        <vt:lpwstr>http://www.nevo.co.il/case/25927150</vt:lpwstr>
      </vt:variant>
      <vt:variant>
        <vt:lpwstr/>
      </vt:variant>
      <vt:variant>
        <vt:i4>3997816</vt:i4>
      </vt:variant>
      <vt:variant>
        <vt:i4>51</vt:i4>
      </vt:variant>
      <vt:variant>
        <vt:i4>0</vt:i4>
      </vt:variant>
      <vt:variant>
        <vt:i4>5</vt:i4>
      </vt:variant>
      <vt:variant>
        <vt:lpwstr>http://www.nevo.co.il/case/22961877</vt:lpwstr>
      </vt:variant>
      <vt:variant>
        <vt:lpwstr/>
      </vt:variant>
      <vt:variant>
        <vt:i4>7929957</vt:i4>
      </vt:variant>
      <vt:variant>
        <vt:i4>48</vt:i4>
      </vt:variant>
      <vt:variant>
        <vt:i4>0</vt:i4>
      </vt:variant>
      <vt:variant>
        <vt:i4>5</vt:i4>
      </vt:variant>
      <vt:variant>
        <vt:lpwstr>http://www.nevo.co.il/law/74274</vt:lpwstr>
      </vt:variant>
      <vt:variant>
        <vt:lpwstr/>
      </vt:variant>
      <vt:variant>
        <vt:i4>6488160</vt:i4>
      </vt:variant>
      <vt:variant>
        <vt:i4>45</vt:i4>
      </vt:variant>
      <vt:variant>
        <vt:i4>0</vt:i4>
      </vt:variant>
      <vt:variant>
        <vt:i4>5</vt:i4>
      </vt:variant>
      <vt:variant>
        <vt:lpwstr>http://www.nevo.co.il/law/74274/15b</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http://www.nevo.co.il/law/4216/14</vt:lpwstr>
      </vt:variant>
      <vt:variant>
        <vt:lpwstr/>
      </vt:variant>
      <vt:variant>
        <vt:i4>6488160</vt:i4>
      </vt:variant>
      <vt:variant>
        <vt:i4>27</vt:i4>
      </vt:variant>
      <vt:variant>
        <vt:i4>0</vt:i4>
      </vt:variant>
      <vt:variant>
        <vt:i4>5</vt:i4>
      </vt:variant>
      <vt:variant>
        <vt:lpwstr>http://www.nevo.co.il/law/74274/15b</vt:lpwstr>
      </vt:variant>
      <vt:variant>
        <vt:lpwstr/>
      </vt:variant>
      <vt:variant>
        <vt:i4>7929957</vt:i4>
      </vt:variant>
      <vt:variant>
        <vt:i4>24</vt:i4>
      </vt:variant>
      <vt:variant>
        <vt:i4>0</vt:i4>
      </vt:variant>
      <vt:variant>
        <vt:i4>5</vt:i4>
      </vt:variant>
      <vt:variant>
        <vt:lpwstr>http://www.nevo.co.il/law/74274</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45133</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ברוך כרייף</vt:lpwstr>
  </property>
  <property fmtid="{D5CDD505-2E9C-101B-9397-08002B2CF9AE}" pid="10" name="LAWYER">
    <vt:lpwstr>מיכל אפלבוים;מירב נוסבוים</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20210324</vt:lpwstr>
  </property>
  <property fmtid="{D5CDD505-2E9C-101B-9397-08002B2CF9AE}" pid="14" name="TYPE_N_DATE">
    <vt:lpwstr>38020210324</vt:lpwstr>
  </property>
  <property fmtid="{D5CDD505-2E9C-101B-9397-08002B2CF9AE}" pid="15" name="WORDNUMPAGES">
    <vt:lpwstr>9</vt:lpwstr>
  </property>
  <property fmtid="{D5CDD505-2E9C-101B-9397-08002B2CF9AE}" pid="16" name="TYPE_ABS_DATE">
    <vt:lpwstr>380020210324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22961877;25927150;26318040;26222649;5810781;25975844;6248620;24345651;25417769</vt:lpwstr>
  </property>
  <property fmtid="{D5CDD505-2E9C-101B-9397-08002B2CF9AE}" pid="36" name="LAWLISTTMP1">
    <vt:lpwstr>4216/014;007.a;007.c</vt:lpwstr>
  </property>
  <property fmtid="{D5CDD505-2E9C-101B-9397-08002B2CF9AE}" pid="37" name="LAWLISTTMP2">
    <vt:lpwstr>70301/025;040c.a;040i</vt:lpwstr>
  </property>
  <property fmtid="{D5CDD505-2E9C-101B-9397-08002B2CF9AE}" pid="38" name="LAWLISTTMP3">
    <vt:lpwstr>74274/015b:2</vt:lpwstr>
  </property>
</Properties>
</file>