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4084E" w:rsidRPr="00D30E43" w14:paraId="55071112" w14:textId="77777777" w:rsidTr="0056307D">
        <w:trPr>
          <w:trHeight w:hRule="exact" w:val="418"/>
          <w:jc w:val="center"/>
        </w:trPr>
        <w:tc>
          <w:tcPr>
            <w:tcW w:w="8721" w:type="dxa"/>
            <w:gridSpan w:val="2"/>
          </w:tcPr>
          <w:p w14:paraId="29B9B951" w14:textId="77777777" w:rsidR="00F4084E" w:rsidRPr="005142ED" w:rsidRDefault="00F4084E" w:rsidP="00512560">
            <w:pPr>
              <w:pStyle w:val="a3"/>
              <w:jc w:val="center"/>
              <w:rPr>
                <w:rFonts w:ascii="Tahoma" w:hAnsi="Tahoma" w:cs="Tahoma"/>
                <w:color w:val="000080"/>
                <w:rtl/>
                <w:lang w:val="en-US" w:eastAsia="en-US"/>
              </w:rPr>
            </w:pPr>
            <w:r w:rsidRPr="005142ED">
              <w:rPr>
                <w:rFonts w:ascii="Tahoma" w:hAnsi="Tahoma" w:cs="Tahoma"/>
                <w:b/>
                <w:bCs/>
                <w:color w:val="000080"/>
                <w:rtl/>
                <w:lang w:val="en-US" w:eastAsia="en-US"/>
              </w:rPr>
              <w:t>בית משפט השלום בקריות</w:t>
            </w:r>
          </w:p>
        </w:tc>
      </w:tr>
      <w:tr w:rsidR="00F4084E" w:rsidRPr="00D30E43" w14:paraId="429903C0" w14:textId="77777777" w:rsidTr="0056307D">
        <w:trPr>
          <w:trHeight w:val="337"/>
          <w:jc w:val="center"/>
        </w:trPr>
        <w:tc>
          <w:tcPr>
            <w:tcW w:w="5055" w:type="dxa"/>
          </w:tcPr>
          <w:p w14:paraId="0B26C5AB" w14:textId="77777777" w:rsidR="00F4084E" w:rsidRPr="00D30E43" w:rsidRDefault="00F4084E" w:rsidP="00512560">
            <w:pPr>
              <w:rPr>
                <w:rFonts w:cs="FrankRuehl"/>
                <w:sz w:val="28"/>
                <w:szCs w:val="28"/>
                <w:rtl/>
              </w:rPr>
            </w:pPr>
            <w:r w:rsidRPr="00D30E43">
              <w:rPr>
                <w:rFonts w:cs="FrankRuehl"/>
                <w:sz w:val="28"/>
                <w:szCs w:val="28"/>
                <w:rtl/>
              </w:rPr>
              <w:t>ת"פ</w:t>
            </w:r>
            <w:r w:rsidRPr="00D30E43">
              <w:rPr>
                <w:rFonts w:cs="FrankRuehl" w:hint="cs"/>
                <w:sz w:val="28"/>
                <w:szCs w:val="28"/>
                <w:rtl/>
              </w:rPr>
              <w:t xml:space="preserve"> </w:t>
            </w:r>
            <w:r w:rsidRPr="00D30E43">
              <w:rPr>
                <w:rFonts w:cs="FrankRuehl"/>
                <w:sz w:val="28"/>
                <w:szCs w:val="28"/>
                <w:rtl/>
              </w:rPr>
              <w:t>64995-06-19</w:t>
            </w:r>
            <w:r w:rsidRPr="00D30E43">
              <w:rPr>
                <w:rFonts w:cs="FrankRuehl" w:hint="cs"/>
                <w:sz w:val="28"/>
                <w:szCs w:val="28"/>
                <w:rtl/>
              </w:rPr>
              <w:t xml:space="preserve"> </w:t>
            </w:r>
            <w:r w:rsidRPr="00D30E43">
              <w:rPr>
                <w:rFonts w:cs="FrankRuehl"/>
                <w:sz w:val="28"/>
                <w:szCs w:val="28"/>
                <w:rtl/>
              </w:rPr>
              <w:t>מדינת ישראל נ' דראגמה</w:t>
            </w:r>
          </w:p>
          <w:p w14:paraId="6979FAB3" w14:textId="77777777" w:rsidR="00F4084E" w:rsidRPr="005142ED" w:rsidRDefault="00F4084E" w:rsidP="00512560">
            <w:pPr>
              <w:pStyle w:val="a3"/>
              <w:rPr>
                <w:rFonts w:cs="FrankRuehl"/>
                <w:sz w:val="28"/>
                <w:szCs w:val="28"/>
                <w:rtl/>
                <w:lang w:val="en-US" w:eastAsia="en-US"/>
              </w:rPr>
            </w:pPr>
          </w:p>
        </w:tc>
        <w:tc>
          <w:tcPr>
            <w:tcW w:w="3666" w:type="dxa"/>
          </w:tcPr>
          <w:p w14:paraId="07938D1B" w14:textId="77777777" w:rsidR="00F4084E" w:rsidRPr="005142ED" w:rsidRDefault="00F4084E" w:rsidP="00512560">
            <w:pPr>
              <w:pStyle w:val="a3"/>
              <w:jc w:val="right"/>
              <w:rPr>
                <w:rFonts w:cs="FrankRuehl"/>
                <w:sz w:val="28"/>
                <w:szCs w:val="28"/>
                <w:rtl/>
                <w:lang w:val="en-US" w:eastAsia="en-US"/>
              </w:rPr>
            </w:pPr>
          </w:p>
        </w:tc>
      </w:tr>
    </w:tbl>
    <w:p w14:paraId="0331A669" w14:textId="77777777" w:rsidR="00F4084E" w:rsidRPr="00D30E43" w:rsidRDefault="00F4084E" w:rsidP="00F4084E">
      <w:pPr>
        <w:pStyle w:val="a3"/>
        <w:rPr>
          <w:rtl/>
        </w:rPr>
      </w:pPr>
      <w:r w:rsidRPr="00D30E43">
        <w:rPr>
          <w:rFonts w:hint="cs"/>
          <w:rtl/>
        </w:rPr>
        <w:t xml:space="preserve"> </w:t>
      </w:r>
    </w:p>
    <w:p w14:paraId="22C9AC77" w14:textId="77777777" w:rsidR="00F4084E" w:rsidRPr="00D30E43" w:rsidRDefault="00F4084E" w:rsidP="00F4084E">
      <w:pPr>
        <w:rPr>
          <w:rtl/>
        </w:rPr>
      </w:pPr>
    </w:p>
    <w:p w14:paraId="2DEA0C0E" w14:textId="77777777" w:rsidR="00F4084E" w:rsidRPr="00D30E43" w:rsidRDefault="00F4084E" w:rsidP="00F4084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4084E" w:rsidRPr="00D30E43" w14:paraId="6E436B70" w14:textId="77777777" w:rsidTr="00F4084E">
        <w:trPr>
          <w:trHeight w:val="295"/>
          <w:jc w:val="center"/>
        </w:trPr>
        <w:tc>
          <w:tcPr>
            <w:tcW w:w="923" w:type="dxa"/>
            <w:tcBorders>
              <w:top w:val="nil"/>
              <w:left w:val="nil"/>
              <w:bottom w:val="nil"/>
              <w:right w:val="nil"/>
            </w:tcBorders>
            <w:shd w:val="clear" w:color="auto" w:fill="auto"/>
          </w:tcPr>
          <w:p w14:paraId="06DD2FC2" w14:textId="77777777" w:rsidR="00F4084E" w:rsidRPr="00D30E43" w:rsidRDefault="00F4084E" w:rsidP="00F4084E">
            <w:pPr>
              <w:jc w:val="both"/>
              <w:rPr>
                <w:rFonts w:ascii="David" w:hAnsi="David"/>
                <w:b/>
                <w:bCs/>
              </w:rPr>
            </w:pPr>
            <w:r w:rsidRPr="00D30E43">
              <w:rPr>
                <w:rFonts w:ascii="David" w:hAnsi="David"/>
                <w:b/>
                <w:bCs/>
                <w:rtl/>
              </w:rPr>
              <w:t xml:space="preserve">בפני </w:t>
            </w:r>
          </w:p>
        </w:tc>
        <w:tc>
          <w:tcPr>
            <w:tcW w:w="7897" w:type="dxa"/>
            <w:gridSpan w:val="2"/>
            <w:tcBorders>
              <w:top w:val="nil"/>
              <w:left w:val="nil"/>
              <w:bottom w:val="nil"/>
              <w:right w:val="nil"/>
            </w:tcBorders>
            <w:shd w:val="clear" w:color="auto" w:fill="auto"/>
          </w:tcPr>
          <w:p w14:paraId="6E7DE191" w14:textId="77777777" w:rsidR="00F4084E" w:rsidRPr="00D30E43" w:rsidRDefault="00F4084E" w:rsidP="00F4084E">
            <w:pPr>
              <w:jc w:val="both"/>
              <w:rPr>
                <w:rFonts w:ascii="David" w:hAnsi="David"/>
                <w:b/>
                <w:bCs/>
              </w:rPr>
            </w:pPr>
            <w:r w:rsidRPr="00D30E43">
              <w:rPr>
                <w:rFonts w:ascii="David" w:hAnsi="David"/>
                <w:b/>
                <w:bCs/>
                <w:rtl/>
              </w:rPr>
              <w:t xml:space="preserve">כב' השופט יוסי טורס , סגן הנשיא </w:t>
            </w:r>
          </w:p>
        </w:tc>
      </w:tr>
      <w:tr w:rsidR="00F4084E" w:rsidRPr="00D30E43" w14:paraId="748BC73A" w14:textId="77777777" w:rsidTr="00F4084E">
        <w:trPr>
          <w:trHeight w:val="355"/>
          <w:jc w:val="center"/>
        </w:trPr>
        <w:tc>
          <w:tcPr>
            <w:tcW w:w="923" w:type="dxa"/>
            <w:tcBorders>
              <w:top w:val="nil"/>
              <w:left w:val="nil"/>
              <w:bottom w:val="nil"/>
              <w:right w:val="nil"/>
            </w:tcBorders>
            <w:shd w:val="clear" w:color="auto" w:fill="auto"/>
          </w:tcPr>
          <w:p w14:paraId="2B7D99F4" w14:textId="77777777" w:rsidR="00F4084E" w:rsidRPr="00D30E43" w:rsidRDefault="00F4084E" w:rsidP="00F4084E">
            <w:pPr>
              <w:jc w:val="both"/>
              <w:rPr>
                <w:rFonts w:ascii="David" w:hAnsi="David"/>
                <w:b/>
                <w:bCs/>
              </w:rPr>
            </w:pPr>
            <w:bookmarkStart w:id="0" w:name="FirstAppellant"/>
            <w:bookmarkStart w:id="1" w:name="LastJudge"/>
            <w:bookmarkEnd w:id="1"/>
            <w:r w:rsidRPr="00D30E43">
              <w:rPr>
                <w:rFonts w:ascii="David" w:hAnsi="David"/>
                <w:b/>
                <w:bCs/>
                <w:rtl/>
              </w:rPr>
              <w:t>בעניין:</w:t>
            </w:r>
          </w:p>
        </w:tc>
        <w:tc>
          <w:tcPr>
            <w:tcW w:w="4126" w:type="dxa"/>
            <w:tcBorders>
              <w:top w:val="nil"/>
              <w:left w:val="nil"/>
              <w:bottom w:val="nil"/>
              <w:right w:val="nil"/>
            </w:tcBorders>
            <w:shd w:val="clear" w:color="auto" w:fill="auto"/>
          </w:tcPr>
          <w:p w14:paraId="0C87FFA2" w14:textId="77777777" w:rsidR="00F4084E" w:rsidRPr="00D30E43" w:rsidRDefault="00F4084E" w:rsidP="00512560">
            <w:pPr>
              <w:rPr>
                <w:rFonts w:ascii="David" w:hAnsi="David"/>
                <w:b/>
                <w:bCs/>
              </w:rPr>
            </w:pPr>
            <w:r w:rsidRPr="00D30E43">
              <w:rPr>
                <w:rFonts w:ascii="David" w:hAnsi="David"/>
                <w:b/>
                <w:bCs/>
                <w:rtl/>
              </w:rPr>
              <w:t>מדינת ישראל</w:t>
            </w:r>
          </w:p>
        </w:tc>
        <w:tc>
          <w:tcPr>
            <w:tcW w:w="3771" w:type="dxa"/>
            <w:tcBorders>
              <w:top w:val="nil"/>
              <w:left w:val="nil"/>
              <w:bottom w:val="nil"/>
              <w:right w:val="nil"/>
            </w:tcBorders>
            <w:shd w:val="clear" w:color="auto" w:fill="auto"/>
          </w:tcPr>
          <w:p w14:paraId="5866A318" w14:textId="77777777" w:rsidR="00F4084E" w:rsidRPr="00D30E43" w:rsidRDefault="00F4084E" w:rsidP="00F4084E">
            <w:pPr>
              <w:jc w:val="both"/>
              <w:rPr>
                <w:rFonts w:ascii="David" w:hAnsi="David"/>
                <w:b/>
                <w:bCs/>
              </w:rPr>
            </w:pPr>
          </w:p>
        </w:tc>
      </w:tr>
      <w:bookmarkEnd w:id="0"/>
      <w:tr w:rsidR="00F4084E" w:rsidRPr="00D30E43" w14:paraId="764C3F58" w14:textId="77777777" w:rsidTr="00F4084E">
        <w:trPr>
          <w:trHeight w:val="355"/>
          <w:jc w:val="center"/>
        </w:trPr>
        <w:tc>
          <w:tcPr>
            <w:tcW w:w="923" w:type="dxa"/>
            <w:tcBorders>
              <w:top w:val="nil"/>
              <w:left w:val="nil"/>
              <w:bottom w:val="nil"/>
              <w:right w:val="nil"/>
            </w:tcBorders>
            <w:shd w:val="clear" w:color="auto" w:fill="auto"/>
          </w:tcPr>
          <w:p w14:paraId="3166F169" w14:textId="77777777" w:rsidR="00F4084E" w:rsidRPr="00D30E43" w:rsidRDefault="00F4084E" w:rsidP="00F4084E">
            <w:pPr>
              <w:jc w:val="both"/>
              <w:rPr>
                <w:rFonts w:ascii="David" w:hAnsi="David"/>
                <w:b/>
                <w:bCs/>
                <w:rtl/>
              </w:rPr>
            </w:pPr>
          </w:p>
        </w:tc>
        <w:tc>
          <w:tcPr>
            <w:tcW w:w="4126" w:type="dxa"/>
            <w:tcBorders>
              <w:top w:val="nil"/>
              <w:left w:val="nil"/>
              <w:bottom w:val="nil"/>
              <w:right w:val="nil"/>
            </w:tcBorders>
            <w:shd w:val="clear" w:color="auto" w:fill="auto"/>
          </w:tcPr>
          <w:p w14:paraId="55480E01" w14:textId="77777777" w:rsidR="00F4084E" w:rsidRPr="00D30E43" w:rsidRDefault="00F4084E" w:rsidP="00F4084E">
            <w:pPr>
              <w:jc w:val="both"/>
              <w:rPr>
                <w:rFonts w:ascii="David" w:hAnsi="David"/>
                <w:b/>
                <w:bCs/>
                <w:rtl/>
              </w:rPr>
            </w:pPr>
          </w:p>
        </w:tc>
        <w:tc>
          <w:tcPr>
            <w:tcW w:w="3771" w:type="dxa"/>
            <w:tcBorders>
              <w:top w:val="nil"/>
              <w:left w:val="nil"/>
              <w:bottom w:val="nil"/>
              <w:right w:val="nil"/>
            </w:tcBorders>
            <w:shd w:val="clear" w:color="auto" w:fill="auto"/>
          </w:tcPr>
          <w:p w14:paraId="484E136E" w14:textId="77777777" w:rsidR="00F4084E" w:rsidRPr="00D30E43" w:rsidRDefault="00F4084E" w:rsidP="00F4084E">
            <w:pPr>
              <w:jc w:val="right"/>
              <w:rPr>
                <w:rFonts w:ascii="David" w:hAnsi="David"/>
                <w:b/>
                <w:bCs/>
                <w:rtl/>
              </w:rPr>
            </w:pPr>
            <w:r w:rsidRPr="00D30E43">
              <w:rPr>
                <w:rFonts w:ascii="David" w:hAnsi="David"/>
                <w:b/>
                <w:bCs/>
                <w:rtl/>
              </w:rPr>
              <w:t>המאשימה</w:t>
            </w:r>
          </w:p>
        </w:tc>
      </w:tr>
      <w:tr w:rsidR="00F4084E" w:rsidRPr="00D30E43" w14:paraId="5C81AD9B" w14:textId="77777777" w:rsidTr="00F4084E">
        <w:trPr>
          <w:trHeight w:val="355"/>
          <w:jc w:val="center"/>
        </w:trPr>
        <w:tc>
          <w:tcPr>
            <w:tcW w:w="923" w:type="dxa"/>
            <w:tcBorders>
              <w:top w:val="nil"/>
              <w:left w:val="nil"/>
              <w:bottom w:val="nil"/>
              <w:right w:val="nil"/>
            </w:tcBorders>
            <w:shd w:val="clear" w:color="auto" w:fill="auto"/>
          </w:tcPr>
          <w:p w14:paraId="662711BF" w14:textId="77777777" w:rsidR="00F4084E" w:rsidRPr="00D30E43" w:rsidRDefault="00F4084E" w:rsidP="00F4084E">
            <w:pPr>
              <w:jc w:val="both"/>
              <w:rPr>
                <w:rFonts w:ascii="David" w:hAnsi="David"/>
                <w:b/>
                <w:bCs/>
                <w:rtl/>
              </w:rPr>
            </w:pPr>
          </w:p>
        </w:tc>
        <w:tc>
          <w:tcPr>
            <w:tcW w:w="7897" w:type="dxa"/>
            <w:gridSpan w:val="2"/>
            <w:tcBorders>
              <w:top w:val="nil"/>
              <w:left w:val="nil"/>
              <w:bottom w:val="nil"/>
              <w:right w:val="nil"/>
            </w:tcBorders>
            <w:shd w:val="clear" w:color="auto" w:fill="auto"/>
          </w:tcPr>
          <w:p w14:paraId="03E0B31E" w14:textId="77777777" w:rsidR="00F4084E" w:rsidRPr="00D30E43" w:rsidRDefault="00F4084E" w:rsidP="00F4084E">
            <w:pPr>
              <w:jc w:val="center"/>
              <w:rPr>
                <w:rFonts w:ascii="David" w:hAnsi="David"/>
                <w:b/>
                <w:bCs/>
                <w:rtl/>
              </w:rPr>
            </w:pPr>
          </w:p>
          <w:p w14:paraId="5E443A7F" w14:textId="77777777" w:rsidR="00F4084E" w:rsidRPr="00D30E43" w:rsidRDefault="00F4084E" w:rsidP="00F4084E">
            <w:pPr>
              <w:jc w:val="center"/>
              <w:rPr>
                <w:rFonts w:ascii="David" w:hAnsi="David"/>
                <w:b/>
                <w:bCs/>
                <w:rtl/>
              </w:rPr>
            </w:pPr>
            <w:r w:rsidRPr="00D30E43">
              <w:rPr>
                <w:rFonts w:ascii="David" w:hAnsi="David"/>
                <w:b/>
                <w:bCs/>
                <w:rtl/>
              </w:rPr>
              <w:t>נגד</w:t>
            </w:r>
          </w:p>
          <w:p w14:paraId="7A85079B" w14:textId="77777777" w:rsidR="00F4084E" w:rsidRPr="00D30E43" w:rsidRDefault="00F4084E" w:rsidP="00F4084E">
            <w:pPr>
              <w:jc w:val="both"/>
              <w:rPr>
                <w:rFonts w:ascii="David" w:hAnsi="David"/>
                <w:b/>
                <w:bCs/>
              </w:rPr>
            </w:pPr>
          </w:p>
        </w:tc>
      </w:tr>
      <w:tr w:rsidR="00F4084E" w:rsidRPr="00D30E43" w14:paraId="5437A4AE" w14:textId="77777777" w:rsidTr="00F4084E">
        <w:trPr>
          <w:trHeight w:val="355"/>
          <w:jc w:val="center"/>
        </w:trPr>
        <w:tc>
          <w:tcPr>
            <w:tcW w:w="923" w:type="dxa"/>
            <w:tcBorders>
              <w:top w:val="nil"/>
              <w:left w:val="nil"/>
              <w:bottom w:val="nil"/>
              <w:right w:val="nil"/>
            </w:tcBorders>
            <w:shd w:val="clear" w:color="auto" w:fill="auto"/>
          </w:tcPr>
          <w:p w14:paraId="75EE0D83" w14:textId="77777777" w:rsidR="00F4084E" w:rsidRPr="00D30E43" w:rsidRDefault="00F4084E" w:rsidP="00512560">
            <w:pPr>
              <w:rPr>
                <w:rFonts w:ascii="David" w:hAnsi="David"/>
                <w:b/>
                <w:bCs/>
                <w:rtl/>
              </w:rPr>
            </w:pPr>
          </w:p>
        </w:tc>
        <w:tc>
          <w:tcPr>
            <w:tcW w:w="4126" w:type="dxa"/>
            <w:tcBorders>
              <w:top w:val="nil"/>
              <w:left w:val="nil"/>
              <w:bottom w:val="nil"/>
              <w:right w:val="nil"/>
            </w:tcBorders>
            <w:shd w:val="clear" w:color="auto" w:fill="auto"/>
          </w:tcPr>
          <w:p w14:paraId="4889649C" w14:textId="77777777" w:rsidR="00F4084E" w:rsidRPr="00D30E43" w:rsidRDefault="00F4084E" w:rsidP="00512560">
            <w:pPr>
              <w:rPr>
                <w:rFonts w:ascii="David" w:hAnsi="David"/>
                <w:b/>
                <w:bCs/>
                <w:rtl/>
              </w:rPr>
            </w:pPr>
            <w:r w:rsidRPr="00D30E43">
              <w:rPr>
                <w:rFonts w:ascii="David" w:hAnsi="David"/>
                <w:b/>
                <w:bCs/>
                <w:rtl/>
              </w:rPr>
              <w:t>רביע דראגמה</w:t>
            </w:r>
          </w:p>
        </w:tc>
        <w:tc>
          <w:tcPr>
            <w:tcW w:w="3771" w:type="dxa"/>
            <w:tcBorders>
              <w:top w:val="nil"/>
              <w:left w:val="nil"/>
              <w:bottom w:val="nil"/>
              <w:right w:val="nil"/>
            </w:tcBorders>
            <w:shd w:val="clear" w:color="auto" w:fill="auto"/>
          </w:tcPr>
          <w:p w14:paraId="59E57EA0" w14:textId="77777777" w:rsidR="00F4084E" w:rsidRPr="00D30E43" w:rsidRDefault="00F4084E" w:rsidP="00F4084E">
            <w:pPr>
              <w:jc w:val="right"/>
              <w:rPr>
                <w:rFonts w:ascii="David" w:hAnsi="David"/>
                <w:b/>
                <w:bCs/>
              </w:rPr>
            </w:pPr>
          </w:p>
        </w:tc>
      </w:tr>
      <w:tr w:rsidR="00F4084E" w:rsidRPr="00D30E43" w14:paraId="56E3B01E" w14:textId="77777777" w:rsidTr="00F4084E">
        <w:trPr>
          <w:trHeight w:val="355"/>
          <w:jc w:val="center"/>
        </w:trPr>
        <w:tc>
          <w:tcPr>
            <w:tcW w:w="923" w:type="dxa"/>
            <w:tcBorders>
              <w:top w:val="nil"/>
              <w:left w:val="nil"/>
              <w:bottom w:val="nil"/>
              <w:right w:val="nil"/>
            </w:tcBorders>
            <w:shd w:val="clear" w:color="auto" w:fill="auto"/>
          </w:tcPr>
          <w:p w14:paraId="75B577E8" w14:textId="77777777" w:rsidR="00F4084E" w:rsidRPr="00D30E43" w:rsidRDefault="00F4084E" w:rsidP="00F4084E">
            <w:pPr>
              <w:jc w:val="both"/>
              <w:rPr>
                <w:rFonts w:ascii="David" w:hAnsi="David"/>
                <w:b/>
                <w:bCs/>
                <w:rtl/>
              </w:rPr>
            </w:pPr>
          </w:p>
        </w:tc>
        <w:tc>
          <w:tcPr>
            <w:tcW w:w="4126" w:type="dxa"/>
            <w:tcBorders>
              <w:top w:val="nil"/>
              <w:left w:val="nil"/>
              <w:bottom w:val="nil"/>
              <w:right w:val="nil"/>
            </w:tcBorders>
            <w:shd w:val="clear" w:color="auto" w:fill="auto"/>
          </w:tcPr>
          <w:p w14:paraId="4DC5F12C" w14:textId="77777777" w:rsidR="00F4084E" w:rsidRPr="00D30E43" w:rsidRDefault="00F4084E" w:rsidP="00F4084E">
            <w:pPr>
              <w:jc w:val="both"/>
              <w:rPr>
                <w:rFonts w:ascii="David" w:hAnsi="David"/>
                <w:b/>
                <w:bCs/>
                <w:rtl/>
              </w:rPr>
            </w:pPr>
          </w:p>
        </w:tc>
        <w:tc>
          <w:tcPr>
            <w:tcW w:w="3771" w:type="dxa"/>
            <w:tcBorders>
              <w:top w:val="nil"/>
              <w:left w:val="nil"/>
              <w:bottom w:val="nil"/>
              <w:right w:val="nil"/>
            </w:tcBorders>
            <w:shd w:val="clear" w:color="auto" w:fill="auto"/>
          </w:tcPr>
          <w:p w14:paraId="3DC2026C" w14:textId="77777777" w:rsidR="00F4084E" w:rsidRPr="00D30E43" w:rsidRDefault="00F4084E" w:rsidP="00F4084E">
            <w:pPr>
              <w:jc w:val="right"/>
              <w:rPr>
                <w:rFonts w:ascii="David" w:hAnsi="David"/>
                <w:b/>
                <w:bCs/>
              </w:rPr>
            </w:pPr>
            <w:r w:rsidRPr="00D30E43">
              <w:rPr>
                <w:rFonts w:ascii="David" w:hAnsi="David"/>
                <w:b/>
                <w:bCs/>
                <w:rtl/>
              </w:rPr>
              <w:t>הנאשם</w:t>
            </w:r>
          </w:p>
        </w:tc>
      </w:tr>
    </w:tbl>
    <w:p w14:paraId="77E8424A" w14:textId="77777777" w:rsidR="0056307D" w:rsidRPr="0056307D" w:rsidRDefault="0056307D" w:rsidP="0056307D">
      <w:pPr>
        <w:spacing w:before="120" w:after="120" w:line="240" w:lineRule="exact"/>
        <w:ind w:left="283" w:hanging="283"/>
        <w:jc w:val="both"/>
        <w:rPr>
          <w:rFonts w:ascii="FrankRuehl" w:hAnsi="FrankRuehl" w:cs="FrankRuehl"/>
          <w:rtl/>
        </w:rPr>
      </w:pPr>
    </w:p>
    <w:p w14:paraId="24441775" w14:textId="77777777" w:rsidR="00623484" w:rsidRDefault="00623484" w:rsidP="00623484">
      <w:pPr>
        <w:rPr>
          <w:rtl/>
        </w:rPr>
      </w:pPr>
      <w:bookmarkStart w:id="2" w:name="LawTable"/>
      <w:bookmarkEnd w:id="2"/>
    </w:p>
    <w:p w14:paraId="63449FAB" w14:textId="77777777" w:rsidR="00623484" w:rsidRPr="00623484" w:rsidRDefault="00623484" w:rsidP="00623484">
      <w:pPr>
        <w:spacing w:before="120" w:after="120" w:line="240" w:lineRule="exact"/>
        <w:ind w:left="283" w:hanging="283"/>
        <w:jc w:val="both"/>
        <w:rPr>
          <w:rFonts w:ascii="FrankRuehl" w:hAnsi="FrankRuehl" w:cs="FrankRuehl"/>
          <w:rtl/>
        </w:rPr>
      </w:pPr>
    </w:p>
    <w:p w14:paraId="5AAE5DDA" w14:textId="77777777" w:rsidR="00623484" w:rsidRPr="00623484" w:rsidRDefault="00623484" w:rsidP="00623484">
      <w:pPr>
        <w:spacing w:before="120" w:after="120" w:line="240" w:lineRule="exact"/>
        <w:ind w:left="283" w:hanging="283"/>
        <w:jc w:val="both"/>
        <w:rPr>
          <w:rFonts w:ascii="FrankRuehl" w:hAnsi="FrankRuehl" w:cs="FrankRuehl"/>
          <w:rtl/>
        </w:rPr>
      </w:pPr>
    </w:p>
    <w:p w14:paraId="6E536243" w14:textId="77777777" w:rsidR="00623484" w:rsidRPr="00623484" w:rsidRDefault="00623484" w:rsidP="00623484">
      <w:pPr>
        <w:spacing w:before="120" w:after="120" w:line="240" w:lineRule="exact"/>
        <w:ind w:left="283" w:hanging="283"/>
        <w:jc w:val="both"/>
        <w:rPr>
          <w:rFonts w:ascii="FrankRuehl" w:hAnsi="FrankRuehl" w:cs="FrankRuehl"/>
          <w:rtl/>
        </w:rPr>
      </w:pPr>
      <w:r w:rsidRPr="00623484">
        <w:rPr>
          <w:rFonts w:ascii="FrankRuehl" w:hAnsi="FrankRuehl" w:cs="FrankRuehl"/>
          <w:rtl/>
        </w:rPr>
        <w:t xml:space="preserve">חקיקה שאוזכרה: </w:t>
      </w:r>
    </w:p>
    <w:p w14:paraId="0FED9E07" w14:textId="77777777" w:rsidR="00623484" w:rsidRPr="00623484" w:rsidRDefault="00623484" w:rsidP="00623484">
      <w:pPr>
        <w:spacing w:before="120" w:after="120" w:line="240" w:lineRule="exact"/>
        <w:ind w:left="283" w:hanging="283"/>
        <w:jc w:val="both"/>
        <w:rPr>
          <w:rFonts w:ascii="FrankRuehl" w:hAnsi="FrankRuehl" w:cs="FrankRuehl"/>
          <w:rtl/>
        </w:rPr>
      </w:pPr>
      <w:hyperlink r:id="rId7" w:history="1">
        <w:r w:rsidRPr="00623484">
          <w:rPr>
            <w:rFonts w:ascii="FrankRuehl" w:hAnsi="FrankRuehl" w:cs="FrankRuehl"/>
            <w:color w:val="0000FF"/>
            <w:rtl/>
          </w:rPr>
          <w:t>פקודת הסמים המסוכנים [נוסח חדש], תשל"ג-1973</w:t>
        </w:r>
      </w:hyperlink>
      <w:r w:rsidRPr="00623484">
        <w:rPr>
          <w:rFonts w:ascii="FrankRuehl" w:hAnsi="FrankRuehl" w:cs="FrankRuehl"/>
          <w:rtl/>
        </w:rPr>
        <w:t xml:space="preserve">: סע'  </w:t>
      </w:r>
      <w:hyperlink r:id="rId8" w:history="1">
        <w:r w:rsidRPr="00623484">
          <w:rPr>
            <w:rFonts w:ascii="FrankRuehl" w:hAnsi="FrankRuehl" w:cs="FrankRuehl"/>
            <w:color w:val="0000FF"/>
            <w:rtl/>
          </w:rPr>
          <w:t>7.א.</w:t>
        </w:r>
      </w:hyperlink>
      <w:r w:rsidRPr="00623484">
        <w:rPr>
          <w:rFonts w:ascii="FrankRuehl" w:hAnsi="FrankRuehl" w:cs="FrankRuehl"/>
          <w:rtl/>
        </w:rPr>
        <w:t xml:space="preserve">, </w:t>
      </w:r>
      <w:hyperlink r:id="rId9" w:history="1">
        <w:r w:rsidRPr="00623484">
          <w:rPr>
            <w:rFonts w:ascii="FrankRuehl" w:hAnsi="FrankRuehl" w:cs="FrankRuehl"/>
            <w:color w:val="0000FF"/>
            <w:rtl/>
          </w:rPr>
          <w:t>7.ג</w:t>
        </w:r>
      </w:hyperlink>
    </w:p>
    <w:p w14:paraId="29D4256C" w14:textId="77777777" w:rsidR="00623484" w:rsidRPr="00623484" w:rsidRDefault="00623484" w:rsidP="00623484">
      <w:pPr>
        <w:spacing w:before="120" w:after="120" w:line="240" w:lineRule="exact"/>
        <w:ind w:left="283" w:hanging="283"/>
        <w:jc w:val="both"/>
        <w:rPr>
          <w:rFonts w:ascii="FrankRuehl" w:hAnsi="FrankRuehl" w:cs="FrankRuehl"/>
          <w:rtl/>
        </w:rPr>
      </w:pPr>
      <w:hyperlink r:id="rId10" w:history="1">
        <w:r w:rsidRPr="00623484">
          <w:rPr>
            <w:rFonts w:ascii="FrankRuehl" w:hAnsi="FrankRuehl" w:cs="FrankRuehl"/>
            <w:color w:val="0000FF"/>
            <w:rtl/>
          </w:rPr>
          <w:t>חוק העונשין, תשל"ז-1977</w:t>
        </w:r>
      </w:hyperlink>
      <w:r w:rsidRPr="00623484">
        <w:rPr>
          <w:rFonts w:ascii="FrankRuehl" w:hAnsi="FrankRuehl" w:cs="FrankRuehl"/>
          <w:rtl/>
        </w:rPr>
        <w:t xml:space="preserve">: סע'  </w:t>
      </w:r>
      <w:hyperlink r:id="rId11" w:history="1">
        <w:r w:rsidRPr="00623484">
          <w:rPr>
            <w:rFonts w:ascii="FrankRuehl" w:hAnsi="FrankRuehl" w:cs="FrankRuehl"/>
            <w:color w:val="0000FF"/>
            <w:rtl/>
          </w:rPr>
          <w:t>40ט'</w:t>
        </w:r>
      </w:hyperlink>
    </w:p>
    <w:p w14:paraId="4AAC6086" w14:textId="77777777" w:rsidR="00623484" w:rsidRPr="00623484" w:rsidRDefault="00623484" w:rsidP="00623484">
      <w:pPr>
        <w:rPr>
          <w:rtl/>
        </w:rPr>
      </w:pPr>
      <w:bookmarkStart w:id="3" w:name="LawTable_End"/>
      <w:bookmarkEnd w:id="3"/>
    </w:p>
    <w:p w14:paraId="51FFC8AC" w14:textId="77777777" w:rsidR="00F4084E" w:rsidRPr="0056307D" w:rsidRDefault="00F4084E" w:rsidP="0056307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084E" w:rsidRPr="003E3D66" w14:paraId="3BE2BC62" w14:textId="77777777" w:rsidTr="00F4084E">
        <w:trPr>
          <w:trHeight w:val="355"/>
          <w:jc w:val="center"/>
        </w:trPr>
        <w:tc>
          <w:tcPr>
            <w:tcW w:w="8820" w:type="dxa"/>
            <w:tcBorders>
              <w:top w:val="nil"/>
              <w:left w:val="nil"/>
              <w:bottom w:val="nil"/>
              <w:right w:val="nil"/>
            </w:tcBorders>
            <w:shd w:val="clear" w:color="auto" w:fill="auto"/>
          </w:tcPr>
          <w:p w14:paraId="5CC26013" w14:textId="77777777" w:rsidR="00D30E43" w:rsidRPr="00D30E43" w:rsidRDefault="00D30E43" w:rsidP="00D30E43">
            <w:pPr>
              <w:jc w:val="center"/>
              <w:rPr>
                <w:rFonts w:ascii="David" w:hAnsi="David"/>
                <w:b/>
                <w:bCs/>
                <w:sz w:val="32"/>
                <w:szCs w:val="32"/>
                <w:u w:val="single"/>
                <w:rtl/>
              </w:rPr>
            </w:pPr>
            <w:bookmarkStart w:id="4" w:name="PsakDin" w:colFirst="0" w:colLast="0"/>
            <w:r w:rsidRPr="00D30E43">
              <w:rPr>
                <w:rFonts w:ascii="David" w:hAnsi="David"/>
                <w:b/>
                <w:bCs/>
                <w:sz w:val="32"/>
                <w:szCs w:val="32"/>
                <w:u w:val="single"/>
                <w:rtl/>
              </w:rPr>
              <w:t>גזר דין</w:t>
            </w:r>
          </w:p>
          <w:p w14:paraId="27ECA0D4" w14:textId="77777777" w:rsidR="00F4084E" w:rsidRPr="00D30E43" w:rsidRDefault="00F4084E" w:rsidP="00D30E43">
            <w:pPr>
              <w:jc w:val="center"/>
              <w:rPr>
                <w:rFonts w:ascii="David" w:hAnsi="David"/>
                <w:bCs/>
                <w:sz w:val="32"/>
                <w:szCs w:val="32"/>
                <w:u w:val="single"/>
                <w:rtl/>
              </w:rPr>
            </w:pPr>
          </w:p>
        </w:tc>
      </w:tr>
      <w:bookmarkEnd w:id="4"/>
    </w:tbl>
    <w:p w14:paraId="0461CD81" w14:textId="77777777" w:rsidR="00F4084E" w:rsidRPr="00B05847" w:rsidRDefault="00F4084E" w:rsidP="00F4084E">
      <w:pPr>
        <w:rPr>
          <w:rFonts w:ascii="Arial" w:hAnsi="Arial"/>
          <w:rtl/>
        </w:rPr>
      </w:pPr>
    </w:p>
    <w:p w14:paraId="37156F6F" w14:textId="77777777" w:rsidR="00F4084E" w:rsidRPr="00B05847" w:rsidRDefault="00F4084E" w:rsidP="00F4084E">
      <w:pPr>
        <w:rPr>
          <w:rFonts w:ascii="Arial" w:hAnsi="Arial"/>
          <w:rtl/>
        </w:rPr>
      </w:pPr>
    </w:p>
    <w:p w14:paraId="4C60B730" w14:textId="77777777" w:rsidR="00F4084E" w:rsidRPr="00F10435" w:rsidRDefault="00F4084E" w:rsidP="00F4084E">
      <w:pPr>
        <w:spacing w:after="160" w:line="360" w:lineRule="auto"/>
        <w:jc w:val="both"/>
        <w:rPr>
          <w:rFonts w:ascii="David" w:hAnsi="David"/>
          <w:b/>
          <w:bCs/>
          <w:u w:val="single"/>
          <w:rtl/>
        </w:rPr>
      </w:pPr>
      <w:r w:rsidRPr="00F10435">
        <w:rPr>
          <w:rFonts w:ascii="David" w:hAnsi="David"/>
          <w:b/>
          <w:bCs/>
          <w:u w:val="single"/>
          <w:rtl/>
        </w:rPr>
        <w:t>כתב האישום</w:t>
      </w:r>
    </w:p>
    <w:p w14:paraId="35607951" w14:textId="77777777" w:rsidR="00F4084E" w:rsidRDefault="00F4084E" w:rsidP="00F4084E">
      <w:pPr>
        <w:numPr>
          <w:ilvl w:val="0"/>
          <w:numId w:val="1"/>
        </w:numPr>
        <w:spacing w:after="160" w:line="360" w:lineRule="auto"/>
        <w:contextualSpacing/>
        <w:jc w:val="both"/>
        <w:rPr>
          <w:rFonts w:ascii="David" w:hAnsi="David"/>
        </w:rPr>
      </w:pPr>
      <w:bookmarkStart w:id="5" w:name="ABSTRACT_START"/>
      <w:bookmarkEnd w:id="5"/>
      <w:r w:rsidRPr="00F10435">
        <w:rPr>
          <w:rFonts w:ascii="David" w:hAnsi="David"/>
          <w:rtl/>
        </w:rPr>
        <w:t>הנאשם הורשע על פי הודאתו בעבירה של החזק</w:t>
      </w:r>
      <w:r>
        <w:rPr>
          <w:rFonts w:ascii="David" w:hAnsi="David" w:hint="cs"/>
          <w:rtl/>
        </w:rPr>
        <w:t>ת</w:t>
      </w:r>
      <w:r w:rsidRPr="00F10435">
        <w:rPr>
          <w:rFonts w:ascii="David" w:hAnsi="David"/>
          <w:rtl/>
        </w:rPr>
        <w:t xml:space="preserve"> סמים שלא לצריכה עצמית, עבירה לפי </w:t>
      </w:r>
      <w:hyperlink r:id="rId12" w:history="1">
        <w:r w:rsidR="0056307D" w:rsidRPr="0056307D">
          <w:rPr>
            <w:rStyle w:val="Hyperlink"/>
            <w:rFonts w:ascii="David" w:hAnsi="David"/>
            <w:rtl/>
          </w:rPr>
          <w:t>סעיף 7(א) + 7(ג)</w:t>
        </w:r>
      </w:hyperlink>
      <w:r w:rsidRPr="00F10435">
        <w:rPr>
          <w:rFonts w:ascii="David" w:hAnsi="David"/>
          <w:rtl/>
        </w:rPr>
        <w:t xml:space="preserve"> ל</w:t>
      </w:r>
      <w:hyperlink r:id="rId13" w:history="1">
        <w:r w:rsidR="00D30E43" w:rsidRPr="00D30E43">
          <w:rPr>
            <w:rFonts w:ascii="David" w:hAnsi="David"/>
            <w:color w:val="0000FF"/>
            <w:u w:val="single"/>
            <w:rtl/>
          </w:rPr>
          <w:t>פקודת הסמים המסוכנים</w:t>
        </w:r>
      </w:hyperlink>
      <w:r w:rsidRPr="00F10435">
        <w:rPr>
          <w:rFonts w:ascii="David" w:hAnsi="David"/>
          <w:rtl/>
        </w:rPr>
        <w:t xml:space="preserve"> (נוסח חדש), תשל"ג-1973. לפי עובדות כתב האישום, בתאריך 21.9.2017 נתפס הנאשם במתחם בילויים בחיפה כשהוא מחזיק בסם מסוכן מסוג חשיש במשקל נטו של 6.38 גרם וב-18 טבליות של סם מסוכן מסוג </w:t>
      </w:r>
      <w:r w:rsidRPr="00F4084E">
        <w:rPr>
          <w:rFonts w:ascii="Arial" w:hAnsi="Arial" w:cs="Arial"/>
          <w:sz w:val="22"/>
          <w:szCs w:val="22"/>
        </w:rPr>
        <w:t>MDMA</w:t>
      </w:r>
      <w:r w:rsidRPr="00F10435">
        <w:rPr>
          <w:rFonts w:ascii="David" w:hAnsi="David"/>
          <w:rtl/>
        </w:rPr>
        <w:t xml:space="preserve"> (להלן</w:t>
      </w:r>
      <w:r>
        <w:rPr>
          <w:rFonts w:ascii="David" w:hAnsi="David" w:hint="cs"/>
          <w:rtl/>
        </w:rPr>
        <w:t xml:space="preserve"> </w:t>
      </w:r>
      <w:r>
        <w:rPr>
          <w:rFonts w:ascii="David" w:hAnsi="David"/>
          <w:rtl/>
        </w:rPr>
        <w:t>–</w:t>
      </w:r>
      <w:r>
        <w:rPr>
          <w:rFonts w:ascii="Miriam" w:hAnsi="Miriam" w:cs="Miriam" w:hint="cs"/>
          <w:rtl/>
        </w:rPr>
        <w:t xml:space="preserve"> </w:t>
      </w:r>
      <w:r w:rsidRPr="00F10435">
        <w:rPr>
          <w:rFonts w:ascii="Miriam" w:hAnsi="Miriam" w:cs="Miriam" w:hint="eastAsia"/>
          <w:rtl/>
        </w:rPr>
        <w:t>הסמים</w:t>
      </w:r>
      <w:r w:rsidRPr="00F10435">
        <w:rPr>
          <w:rFonts w:ascii="David" w:hAnsi="David"/>
          <w:rtl/>
        </w:rPr>
        <w:t>). את הסמים החזיק הנאשם במקומות שונים על גופו וחפציו, כאשר חלק</w:t>
      </w:r>
      <w:r>
        <w:rPr>
          <w:rFonts w:ascii="David" w:hAnsi="David"/>
          <w:rtl/>
        </w:rPr>
        <w:t xml:space="preserve"> מן הסמים הטמין בתוך שערו האסוף</w:t>
      </w:r>
      <w:r>
        <w:rPr>
          <w:rFonts w:ascii="David" w:hAnsi="David" w:hint="cs"/>
          <w:rtl/>
        </w:rPr>
        <w:t>.</w:t>
      </w:r>
    </w:p>
    <w:p w14:paraId="511AD9D6" w14:textId="77777777" w:rsidR="00F4084E" w:rsidRDefault="00F4084E" w:rsidP="00F4084E">
      <w:pPr>
        <w:spacing w:after="160" w:line="360" w:lineRule="auto"/>
        <w:contextualSpacing/>
        <w:jc w:val="both"/>
        <w:rPr>
          <w:rFonts w:ascii="David" w:hAnsi="David"/>
          <w:rtl/>
        </w:rPr>
      </w:pPr>
      <w:bookmarkStart w:id="6" w:name="ABSTRACT_END"/>
      <w:bookmarkEnd w:id="6"/>
    </w:p>
    <w:p w14:paraId="0E23D68A" w14:textId="77777777" w:rsidR="00F4084E" w:rsidRDefault="00F4084E" w:rsidP="00F4084E">
      <w:pPr>
        <w:spacing w:after="160" w:line="360" w:lineRule="auto"/>
        <w:contextualSpacing/>
        <w:jc w:val="both"/>
        <w:rPr>
          <w:rFonts w:ascii="David" w:hAnsi="David"/>
          <w:b/>
          <w:bCs/>
          <w:u w:val="single"/>
          <w:rtl/>
        </w:rPr>
      </w:pPr>
      <w:r w:rsidRPr="003E3D66">
        <w:rPr>
          <w:rFonts w:ascii="David" w:hAnsi="David"/>
          <w:b/>
          <w:bCs/>
          <w:u w:val="single"/>
          <w:rtl/>
        </w:rPr>
        <w:t>הטיעונים לעונש והראיות</w:t>
      </w:r>
    </w:p>
    <w:p w14:paraId="0FEA1FE9" w14:textId="77777777" w:rsidR="00F4084E" w:rsidRPr="003E3D66" w:rsidRDefault="00F4084E" w:rsidP="00F4084E">
      <w:pPr>
        <w:spacing w:after="160" w:line="360" w:lineRule="auto"/>
        <w:contextualSpacing/>
        <w:jc w:val="both"/>
        <w:rPr>
          <w:rFonts w:ascii="David" w:hAnsi="David"/>
          <w:rtl/>
        </w:rPr>
      </w:pPr>
    </w:p>
    <w:p w14:paraId="23D6F4D4" w14:textId="77777777" w:rsidR="00F4084E" w:rsidRPr="00F10435" w:rsidRDefault="00F4084E" w:rsidP="00F4084E">
      <w:pPr>
        <w:numPr>
          <w:ilvl w:val="0"/>
          <w:numId w:val="1"/>
        </w:numPr>
        <w:spacing w:after="160" w:line="360" w:lineRule="auto"/>
        <w:contextualSpacing/>
        <w:jc w:val="both"/>
        <w:rPr>
          <w:rFonts w:ascii="David" w:hAnsi="David"/>
        </w:rPr>
      </w:pPr>
      <w:r w:rsidRPr="00F10435">
        <w:rPr>
          <w:rtl/>
        </w:rPr>
        <w:t xml:space="preserve">ב"כ המאשימה ציין כי מעשי הנאשם פגעו בערכים המוגנים של שלום הציבור ובריאותו. ביחס לנסיבות הקשורות לביצוע העבירה הפנה ב"כ המאשימה לחומרת העבירה הבאה לידי ביטוי </w:t>
      </w:r>
      <w:r w:rsidRPr="00F10435">
        <w:rPr>
          <w:rtl/>
        </w:rPr>
        <w:lastRenderedPageBreak/>
        <w:t xml:space="preserve">במקום ביצוע העבירה – </w:t>
      </w:r>
      <w:r>
        <w:rPr>
          <w:rFonts w:hint="cs"/>
          <w:rtl/>
        </w:rPr>
        <w:t xml:space="preserve">מתחם בילויים, </w:t>
      </w:r>
      <w:r w:rsidRPr="00F10435">
        <w:rPr>
          <w:rtl/>
        </w:rPr>
        <w:t xml:space="preserve">לכמות הטבליות ולאופן בו החזיק הנאשם בסמים. המאשימה עתרה למתחם </w:t>
      </w:r>
      <w:r>
        <w:rPr>
          <w:rFonts w:hint="cs"/>
          <w:rtl/>
        </w:rPr>
        <w:t xml:space="preserve">ענישה </w:t>
      </w:r>
      <w:r w:rsidRPr="00F10435">
        <w:rPr>
          <w:rtl/>
        </w:rPr>
        <w:t xml:space="preserve">הנע בין 8 חודשי מאסר ל-18 חודשי מאסר בפועל וציינה </w:t>
      </w:r>
      <w:r w:rsidRPr="00F10435">
        <w:rPr>
          <w:rFonts w:ascii="David" w:hAnsi="David"/>
          <w:rtl/>
        </w:rPr>
        <w:t xml:space="preserve">כי משלא נערך תסקיר מבחן בעניינו של הנאשם, אין מקום לסטות ממתחם העונש ההולם. באשר לקביעת העונש בתוך המתחם, הפנה ב"כ המאשימה לעברו הפלילי של הנאשם הכולל </w:t>
      </w:r>
      <w:r w:rsidRPr="00F10435">
        <w:rPr>
          <w:rtl/>
        </w:rPr>
        <w:t>הרשעות</w:t>
      </w:r>
      <w:r>
        <w:rPr>
          <w:rFonts w:hint="cs"/>
          <w:rtl/>
        </w:rPr>
        <w:t xml:space="preserve"> רבות</w:t>
      </w:r>
      <w:r w:rsidRPr="00F10435">
        <w:rPr>
          <w:rtl/>
        </w:rPr>
        <w:t xml:space="preserve">, כאשר האחרונה בהן בשנת 2018 ועניינה עבירות סמים. </w:t>
      </w:r>
      <w:r>
        <w:rPr>
          <w:rFonts w:hint="cs"/>
          <w:rtl/>
        </w:rPr>
        <w:t xml:space="preserve">לאור כך </w:t>
      </w:r>
      <w:r w:rsidRPr="00F10435">
        <w:rPr>
          <w:rtl/>
        </w:rPr>
        <w:t xml:space="preserve">ביקשה המאשימה </w:t>
      </w:r>
      <w:r>
        <w:rPr>
          <w:rFonts w:hint="cs"/>
          <w:rtl/>
        </w:rPr>
        <w:t xml:space="preserve">להטיל על הנאשם </w:t>
      </w:r>
      <w:r w:rsidRPr="00F10435">
        <w:rPr>
          <w:rtl/>
        </w:rPr>
        <w:t>9 חודשי מאסר בפועל שיכול וירוצו בעבודות שירות בכפוף לחוות דעת חיובית, לצד עונש מאסר מותנה משמעותי וקנס. עוד התבקש בית המשפט להטיל על הנאשם פסילת רישיון בפועל ועל תנאי.</w:t>
      </w:r>
    </w:p>
    <w:p w14:paraId="087B31ED" w14:textId="77777777" w:rsidR="00F4084E" w:rsidRPr="00F47A67" w:rsidRDefault="00F4084E" w:rsidP="00F4084E">
      <w:pPr>
        <w:spacing w:after="160" w:line="360" w:lineRule="auto"/>
        <w:contextualSpacing/>
        <w:jc w:val="both"/>
        <w:rPr>
          <w:rFonts w:ascii="David" w:hAnsi="David"/>
        </w:rPr>
      </w:pPr>
    </w:p>
    <w:p w14:paraId="7936FA74" w14:textId="77777777" w:rsidR="00F4084E" w:rsidRPr="00F10435" w:rsidRDefault="00F4084E" w:rsidP="00F4084E">
      <w:pPr>
        <w:numPr>
          <w:ilvl w:val="0"/>
          <w:numId w:val="1"/>
        </w:numPr>
        <w:spacing w:after="160" w:line="360" w:lineRule="auto"/>
        <w:contextualSpacing/>
        <w:jc w:val="both"/>
        <w:rPr>
          <w:rFonts w:ascii="David" w:hAnsi="David"/>
        </w:rPr>
      </w:pPr>
      <w:r>
        <w:rPr>
          <w:rFonts w:ascii="David" w:hAnsi="David" w:hint="cs"/>
          <w:rtl/>
        </w:rPr>
        <w:t xml:space="preserve">הסנגור טען כי אין למצוא בפקודת הסמים כמות המקימה חזקה להחזקה שלא לשימוש עצמי וטען כי הנאשם ביקש שלא להכביד ומשכך יש לזקוף זאת לזכותו, הגם שהסכים להרשעה בעבירה הכוללת יסוד של החזקה שלא לשימוש עצמי. הסנגור חלק על המתחם לו טענה המאשימה והגיש פסיקה. </w:t>
      </w:r>
      <w:r w:rsidRPr="00F10435">
        <w:rPr>
          <w:rFonts w:ascii="David" w:hAnsi="David"/>
          <w:rtl/>
        </w:rPr>
        <w:t xml:space="preserve">בגזירת העונש ביקש ב"כ הנאשם להביא בחשבון כי </w:t>
      </w:r>
      <w:r>
        <w:rPr>
          <w:rFonts w:ascii="David" w:hAnsi="David" w:hint="cs"/>
          <w:rtl/>
        </w:rPr>
        <w:t xml:space="preserve">העבירה בוצעה </w:t>
      </w:r>
      <w:r w:rsidRPr="00F10435">
        <w:rPr>
          <w:rFonts w:ascii="David" w:hAnsi="David"/>
          <w:rtl/>
        </w:rPr>
        <w:t xml:space="preserve">לפני </w:t>
      </w:r>
      <w:r>
        <w:rPr>
          <w:rFonts w:ascii="David" w:hAnsi="David" w:hint="cs"/>
          <w:rtl/>
        </w:rPr>
        <w:t>כ</w:t>
      </w:r>
      <w:r w:rsidRPr="00F10435">
        <w:rPr>
          <w:rFonts w:ascii="David" w:hAnsi="David"/>
          <w:rtl/>
        </w:rPr>
        <w:t xml:space="preserve">שלוש שנים, כאשר כתב האישום הוגש </w:t>
      </w:r>
      <w:r>
        <w:rPr>
          <w:rFonts w:ascii="David" w:hAnsi="David" w:hint="cs"/>
          <w:rtl/>
        </w:rPr>
        <w:t xml:space="preserve">לאחר כשנתיים. בעניין זה טען הסנגור כי אין הצדקה להטלת פסילה לאור חלוף הזמן. עוד הפנה </w:t>
      </w:r>
      <w:r w:rsidRPr="00F10435">
        <w:rPr>
          <w:rFonts w:ascii="David" w:hAnsi="David"/>
          <w:rtl/>
        </w:rPr>
        <w:t xml:space="preserve">הסניגור לעובדה שמלבד הרשעתו האחרונה של הנאשם בשנת 2018, רשומות לחובתו הרשעות ישנות מהשנים 2013 ו-2005. </w:t>
      </w:r>
      <w:r>
        <w:rPr>
          <w:rFonts w:ascii="David" w:hAnsi="David" w:hint="cs"/>
          <w:rtl/>
        </w:rPr>
        <w:t>הסניגור</w:t>
      </w:r>
      <w:r w:rsidRPr="00F10435">
        <w:rPr>
          <w:rFonts w:ascii="David" w:hAnsi="David"/>
          <w:rtl/>
        </w:rPr>
        <w:t xml:space="preserve"> ציין כי מדובר בנאשם שעשה שימוש לא מבוטל בסמים</w:t>
      </w:r>
      <w:r>
        <w:rPr>
          <w:rFonts w:ascii="David" w:hAnsi="David" w:hint="cs"/>
          <w:rtl/>
        </w:rPr>
        <w:t xml:space="preserve"> משך שנים</w:t>
      </w:r>
      <w:r w:rsidRPr="00F10435">
        <w:rPr>
          <w:rFonts w:ascii="David" w:hAnsi="David"/>
          <w:rtl/>
        </w:rPr>
        <w:t xml:space="preserve"> </w:t>
      </w:r>
      <w:r>
        <w:rPr>
          <w:rFonts w:ascii="David" w:hAnsi="David" w:hint="cs"/>
          <w:rtl/>
        </w:rPr>
        <w:t>ו</w:t>
      </w:r>
      <w:r w:rsidRPr="00F10435">
        <w:rPr>
          <w:rFonts w:ascii="David" w:hAnsi="David"/>
          <w:rtl/>
        </w:rPr>
        <w:t>כי מזה כשלוש שנים לא הסתבך בפלילים, החל לעבוד באופן מסודר ו</w:t>
      </w:r>
      <w:r>
        <w:rPr>
          <w:rFonts w:ascii="David" w:hAnsi="David" w:hint="cs"/>
          <w:rtl/>
        </w:rPr>
        <w:t xml:space="preserve">הוא </w:t>
      </w:r>
      <w:r w:rsidRPr="00F10435">
        <w:rPr>
          <w:rFonts w:ascii="David" w:hAnsi="David"/>
          <w:rtl/>
        </w:rPr>
        <w:t xml:space="preserve">מטפל באמו החולה. </w:t>
      </w:r>
      <w:r>
        <w:rPr>
          <w:rFonts w:ascii="David" w:hAnsi="David" w:hint="cs"/>
          <w:rtl/>
        </w:rPr>
        <w:t xml:space="preserve">כן </w:t>
      </w:r>
      <w:r w:rsidRPr="00F10435">
        <w:rPr>
          <w:rFonts w:ascii="David" w:hAnsi="David"/>
          <w:rtl/>
        </w:rPr>
        <w:t xml:space="preserve">הפנה </w:t>
      </w:r>
      <w:r>
        <w:rPr>
          <w:rFonts w:ascii="David" w:hAnsi="David" w:hint="cs"/>
          <w:rtl/>
        </w:rPr>
        <w:t xml:space="preserve">הסנגור </w:t>
      </w:r>
      <w:r>
        <w:rPr>
          <w:rFonts w:ascii="David" w:hAnsi="David"/>
          <w:rtl/>
        </w:rPr>
        <w:t>להודאת</w:t>
      </w:r>
      <w:r>
        <w:rPr>
          <w:rFonts w:ascii="David" w:hAnsi="David" w:hint="cs"/>
          <w:rtl/>
        </w:rPr>
        <w:t xml:space="preserve"> הנאשם, </w:t>
      </w:r>
      <w:r w:rsidRPr="00F10435">
        <w:rPr>
          <w:rFonts w:ascii="David" w:hAnsi="David"/>
          <w:rtl/>
        </w:rPr>
        <w:t xml:space="preserve">לחסכון </w:t>
      </w:r>
      <w:r>
        <w:rPr>
          <w:rFonts w:ascii="David" w:hAnsi="David" w:hint="cs"/>
          <w:rtl/>
        </w:rPr>
        <w:t>ב</w:t>
      </w:r>
      <w:r w:rsidRPr="00F10435">
        <w:rPr>
          <w:rFonts w:ascii="David" w:hAnsi="David"/>
          <w:rtl/>
        </w:rPr>
        <w:t>זמן השיפוטי</w:t>
      </w:r>
      <w:r>
        <w:rPr>
          <w:rFonts w:ascii="David" w:hAnsi="David" w:hint="cs"/>
          <w:rtl/>
        </w:rPr>
        <w:t xml:space="preserve"> וביקש </w:t>
      </w:r>
      <w:r>
        <w:rPr>
          <w:rFonts w:ascii="David" w:hAnsi="David"/>
          <w:rtl/>
        </w:rPr>
        <w:t xml:space="preserve">התחשבות בגזירת </w:t>
      </w:r>
      <w:r>
        <w:rPr>
          <w:rFonts w:ascii="David" w:hAnsi="David" w:hint="cs"/>
          <w:rtl/>
        </w:rPr>
        <w:t>ה</w:t>
      </w:r>
      <w:r>
        <w:rPr>
          <w:rFonts w:ascii="David" w:hAnsi="David"/>
          <w:rtl/>
        </w:rPr>
        <w:t>עונש</w:t>
      </w:r>
      <w:r>
        <w:rPr>
          <w:rFonts w:ascii="David" w:hAnsi="David" w:hint="cs"/>
          <w:rtl/>
        </w:rPr>
        <w:t>.</w:t>
      </w:r>
    </w:p>
    <w:p w14:paraId="4D333E88" w14:textId="77777777" w:rsidR="00F4084E" w:rsidRPr="00F10435" w:rsidRDefault="00F4084E" w:rsidP="00F4084E">
      <w:pPr>
        <w:spacing w:after="160" w:line="259" w:lineRule="auto"/>
        <w:ind w:left="720"/>
        <w:contextualSpacing/>
        <w:rPr>
          <w:rFonts w:ascii="David" w:hAnsi="David"/>
          <w:rtl/>
        </w:rPr>
      </w:pPr>
    </w:p>
    <w:p w14:paraId="41F2D421" w14:textId="77777777" w:rsidR="00F4084E" w:rsidRPr="00F10435" w:rsidRDefault="00F4084E" w:rsidP="00F4084E">
      <w:pPr>
        <w:numPr>
          <w:ilvl w:val="0"/>
          <w:numId w:val="1"/>
        </w:numPr>
        <w:spacing w:line="360" w:lineRule="auto"/>
        <w:contextualSpacing/>
        <w:jc w:val="both"/>
        <w:rPr>
          <w:rFonts w:ascii="David" w:hAnsi="David"/>
        </w:rPr>
      </w:pPr>
      <w:r w:rsidRPr="00F10435">
        <w:rPr>
          <w:rFonts w:ascii="David" w:hAnsi="David"/>
          <w:rtl/>
        </w:rPr>
        <w:t>הנאשם בדברו האחרון ציין כי טעה רבות במהלך חייו וכי בעת הזאת הוא מנסה להשתקם. הוא סיפר כי בעקבות מגפת הקורונה פוטר מעבודתו ומצא לאחרונה עבודה חדשה. הוא ביקש שלא להטיל עליו עונש של עבודות שירות, אשר לא יאפשר לו להמשיך בעבודתו.</w:t>
      </w:r>
    </w:p>
    <w:p w14:paraId="1BC0BEF9" w14:textId="77777777" w:rsidR="00F4084E" w:rsidRPr="00F10435" w:rsidRDefault="00F4084E" w:rsidP="00F4084E">
      <w:pPr>
        <w:spacing w:after="160" w:line="360" w:lineRule="auto"/>
        <w:contextualSpacing/>
        <w:jc w:val="both"/>
        <w:rPr>
          <w:rFonts w:ascii="David" w:hAnsi="David"/>
          <w:b/>
          <w:bCs/>
          <w:u w:val="single"/>
          <w:rtl/>
        </w:rPr>
      </w:pPr>
    </w:p>
    <w:p w14:paraId="4C6B06C9" w14:textId="77777777" w:rsidR="00F4084E" w:rsidRPr="00F10435" w:rsidRDefault="00F4084E" w:rsidP="00F4084E">
      <w:pPr>
        <w:spacing w:after="160" w:line="360" w:lineRule="auto"/>
        <w:contextualSpacing/>
        <w:jc w:val="both"/>
        <w:rPr>
          <w:rFonts w:ascii="David" w:hAnsi="David"/>
          <w:rtl/>
        </w:rPr>
      </w:pPr>
      <w:r w:rsidRPr="00F10435">
        <w:rPr>
          <w:rFonts w:ascii="David" w:hAnsi="David"/>
          <w:b/>
          <w:bCs/>
          <w:u w:val="single"/>
          <w:rtl/>
        </w:rPr>
        <w:t>דיון והכרעה</w:t>
      </w:r>
    </w:p>
    <w:p w14:paraId="40F02CEE" w14:textId="77777777" w:rsidR="00F4084E" w:rsidRPr="00F10435" w:rsidRDefault="00F4084E" w:rsidP="00F4084E">
      <w:pPr>
        <w:spacing w:after="160" w:line="360" w:lineRule="auto"/>
        <w:contextualSpacing/>
        <w:jc w:val="both"/>
        <w:rPr>
          <w:rFonts w:ascii="David" w:hAnsi="David"/>
          <w:b/>
          <w:bCs/>
          <w:rtl/>
        </w:rPr>
      </w:pPr>
    </w:p>
    <w:p w14:paraId="58F86D1E" w14:textId="77777777" w:rsidR="00F4084E" w:rsidRPr="00F10435" w:rsidRDefault="00F4084E" w:rsidP="00F4084E">
      <w:pPr>
        <w:spacing w:after="160" w:line="360" w:lineRule="auto"/>
        <w:contextualSpacing/>
        <w:jc w:val="both"/>
        <w:rPr>
          <w:rFonts w:ascii="David" w:hAnsi="David"/>
          <w:rtl/>
        </w:rPr>
      </w:pPr>
      <w:r w:rsidRPr="00F10435">
        <w:rPr>
          <w:rFonts w:ascii="David" w:hAnsi="David"/>
          <w:b/>
          <w:bCs/>
          <w:rtl/>
        </w:rPr>
        <w:t>קביעת מתחם העונש</w:t>
      </w:r>
    </w:p>
    <w:p w14:paraId="4D7EFCC0" w14:textId="77777777" w:rsidR="00F4084E" w:rsidRPr="00F10435" w:rsidRDefault="00F4084E" w:rsidP="00F4084E">
      <w:pPr>
        <w:spacing w:after="160" w:line="259" w:lineRule="auto"/>
        <w:ind w:left="720"/>
        <w:contextualSpacing/>
        <w:rPr>
          <w:rFonts w:ascii="David" w:hAnsi="David"/>
        </w:rPr>
      </w:pPr>
    </w:p>
    <w:p w14:paraId="1BB33E53" w14:textId="77777777" w:rsidR="00F4084E" w:rsidRPr="00F10435" w:rsidRDefault="00F4084E" w:rsidP="00F4084E">
      <w:pPr>
        <w:numPr>
          <w:ilvl w:val="0"/>
          <w:numId w:val="1"/>
        </w:numPr>
        <w:spacing w:after="160" w:line="360" w:lineRule="auto"/>
        <w:contextualSpacing/>
        <w:jc w:val="both"/>
        <w:rPr>
          <w:rFonts w:ascii="David" w:hAnsi="David"/>
          <w:rtl/>
        </w:rPr>
      </w:pPr>
      <w:r w:rsidRPr="00F10435">
        <w:rPr>
          <w:rFonts w:ascii="David" w:hAnsi="David"/>
          <w:rtl/>
        </w:rPr>
        <w:t>בהתאם לתיקון 113 ל</w:t>
      </w:r>
      <w:hyperlink r:id="rId14" w:history="1">
        <w:r w:rsidR="00D30E43" w:rsidRPr="00D30E43">
          <w:rPr>
            <w:rFonts w:ascii="David" w:hAnsi="David"/>
            <w:color w:val="0000FF"/>
            <w:u w:val="single"/>
            <w:rtl/>
          </w:rPr>
          <w:t>חוק העונשין</w:t>
        </w:r>
      </w:hyperlink>
      <w:r w:rsidRPr="00F10435">
        <w:rPr>
          <w:rFonts w:ascii="David" w:hAnsi="David"/>
          <w:rtl/>
        </w:rPr>
        <w:t xml:space="preserve"> התשל"ז-1977 (להלן: </w:t>
      </w:r>
      <w:r w:rsidRPr="00F10435">
        <w:rPr>
          <w:rFonts w:ascii="Miriam" w:hAnsi="Miriam" w:cs="Miriam" w:hint="eastAsia"/>
          <w:rtl/>
        </w:rPr>
        <w:t>חוק</w:t>
      </w:r>
      <w:r w:rsidRPr="00F10435">
        <w:rPr>
          <w:rFonts w:ascii="Miriam" w:hAnsi="Miriam" w:cs="Miriam"/>
          <w:rtl/>
        </w:rPr>
        <w:t xml:space="preserve"> </w:t>
      </w:r>
      <w:r w:rsidRPr="00F10435">
        <w:rPr>
          <w:rFonts w:ascii="Miriam" w:hAnsi="Miriam" w:cs="Miriam" w:hint="eastAsia"/>
          <w:rtl/>
        </w:rPr>
        <w:t>העונשין</w:t>
      </w:r>
      <w:r w:rsidRPr="00F10435">
        <w:rPr>
          <w:rFonts w:ascii="David" w:hAnsi="David"/>
          <w:rtl/>
        </w:rPr>
        <w:t>)</w:t>
      </w:r>
      <w:r w:rsidRPr="00F10435">
        <w:rPr>
          <w:rFonts w:ascii="Miriam" w:hAnsi="Miriam" w:cs="Miriam"/>
          <w:rtl/>
        </w:rPr>
        <w:t xml:space="preserve"> </w:t>
      </w:r>
      <w:r w:rsidRPr="00F10435">
        <w:rPr>
          <w:rFonts w:ascii="David" w:hAnsi="David"/>
          <w:rtl/>
        </w:rPr>
        <w:t xml:space="preserve">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15" w:history="1">
        <w:r w:rsidR="0056307D" w:rsidRPr="0056307D">
          <w:rPr>
            <w:rStyle w:val="Hyperlink"/>
            <w:rFonts w:ascii="David" w:hAnsi="David"/>
            <w:rtl/>
          </w:rPr>
          <w:t>סעיף 40ט'</w:t>
        </w:r>
      </w:hyperlink>
      <w:r w:rsidRPr="00F10435">
        <w:rPr>
          <w:rFonts w:ascii="David" w:hAnsi="David"/>
          <w:rtl/>
        </w:rPr>
        <w:t xml:space="preserve"> ל</w:t>
      </w:r>
      <w:hyperlink r:id="rId16" w:history="1">
        <w:r w:rsidR="00D30E43" w:rsidRPr="00D30E43">
          <w:rPr>
            <w:rFonts w:ascii="David" w:hAnsi="David"/>
            <w:color w:val="0000FF"/>
            <w:u w:val="single"/>
            <w:rtl/>
          </w:rPr>
          <w:t>חוק העונשין</w:t>
        </w:r>
      </w:hyperlink>
      <w:r w:rsidRPr="00F10435">
        <w:rPr>
          <w:rFonts w:ascii="David" w:hAnsi="David"/>
          <w:rtl/>
        </w:rPr>
        <w:t>. בענייננו, אין מחלוקת כי מדובר באירוע אחד ועל כן יש לקבוע מתחם אחד.</w:t>
      </w:r>
    </w:p>
    <w:p w14:paraId="466AB132" w14:textId="77777777" w:rsidR="00F4084E" w:rsidRPr="00F10435" w:rsidRDefault="00F4084E" w:rsidP="00F4084E">
      <w:pPr>
        <w:spacing w:after="160" w:line="259" w:lineRule="auto"/>
        <w:ind w:left="720"/>
        <w:contextualSpacing/>
        <w:rPr>
          <w:rFonts w:ascii="David" w:hAnsi="David"/>
        </w:rPr>
      </w:pPr>
    </w:p>
    <w:p w14:paraId="061CAA1A" w14:textId="77777777" w:rsidR="00F4084E" w:rsidRPr="00F10435" w:rsidRDefault="00F4084E" w:rsidP="00F4084E">
      <w:pPr>
        <w:numPr>
          <w:ilvl w:val="0"/>
          <w:numId w:val="1"/>
        </w:numPr>
        <w:spacing w:line="360" w:lineRule="auto"/>
        <w:contextualSpacing/>
        <w:jc w:val="both"/>
        <w:rPr>
          <w:rFonts w:ascii="David" w:hAnsi="David"/>
        </w:rPr>
      </w:pPr>
      <w:r w:rsidRPr="00F10435">
        <w:rPr>
          <w:rFonts w:ascii="David" w:hAnsi="David"/>
          <w:b/>
          <w:bCs/>
          <w:rtl/>
        </w:rPr>
        <w:t xml:space="preserve">הערכים המוגנים בבסיס העבירה: </w:t>
      </w:r>
      <w:r w:rsidRPr="00F10435">
        <w:rPr>
          <w:rFonts w:ascii="David" w:hAnsi="David"/>
          <w:rtl/>
        </w:rPr>
        <w:t xml:space="preserve">נגע הסמים מכלה כל חלקה טובה בחברה. על נזקיו הבריאותיים, החברתיים והכלכליים, אין צורך להכביר מילים (ראו למשל: </w:t>
      </w:r>
      <w:hyperlink r:id="rId17" w:history="1">
        <w:r w:rsidR="00D30E43" w:rsidRPr="00D30E43">
          <w:rPr>
            <w:rFonts w:ascii="David" w:hAnsi="David"/>
            <w:color w:val="0000FF"/>
            <w:u w:val="single"/>
            <w:rtl/>
          </w:rPr>
          <w:t>ע"פ 4592/15</w:t>
        </w:r>
      </w:hyperlink>
      <w:r w:rsidRPr="00F10435">
        <w:rPr>
          <w:rFonts w:ascii="David" w:hAnsi="David"/>
          <w:rtl/>
        </w:rPr>
        <w:t xml:space="preserve"> </w:t>
      </w:r>
      <w:r w:rsidRPr="00F10435">
        <w:rPr>
          <w:rFonts w:ascii="David" w:hAnsi="David"/>
          <w:b/>
          <w:bCs/>
          <w:rtl/>
        </w:rPr>
        <w:t xml:space="preserve">פדידה נ' </w:t>
      </w:r>
      <w:r w:rsidRPr="00F10435">
        <w:rPr>
          <w:rFonts w:ascii="David" w:hAnsi="David"/>
          <w:b/>
          <w:bCs/>
          <w:rtl/>
        </w:rPr>
        <w:lastRenderedPageBreak/>
        <w:t>מדינת ישראל</w:t>
      </w:r>
      <w:r w:rsidRPr="00F10435">
        <w:rPr>
          <w:rFonts w:ascii="David" w:hAnsi="David"/>
          <w:rtl/>
        </w:rPr>
        <w:t xml:space="preserve"> (8.2.2016), </w:t>
      </w:r>
      <w:hyperlink r:id="rId18" w:history="1">
        <w:r w:rsidR="00D30E43" w:rsidRPr="00D30E43">
          <w:rPr>
            <w:rFonts w:ascii="David" w:hAnsi="David"/>
            <w:color w:val="0000FF"/>
            <w:u w:val="single"/>
            <w:rtl/>
          </w:rPr>
          <w:t>ע"פ 1945/13</w:t>
        </w:r>
      </w:hyperlink>
      <w:r w:rsidRPr="00F10435">
        <w:rPr>
          <w:rFonts w:ascii="David" w:hAnsi="David"/>
          <w:rtl/>
        </w:rPr>
        <w:t xml:space="preserve"> </w:t>
      </w:r>
      <w:r w:rsidRPr="00F10435">
        <w:rPr>
          <w:rFonts w:ascii="David" w:hAnsi="David"/>
          <w:b/>
          <w:bCs/>
          <w:rtl/>
        </w:rPr>
        <w:t>עאמר נ' מדינת ישראל</w:t>
      </w:r>
      <w:r w:rsidRPr="00F10435">
        <w:rPr>
          <w:rFonts w:ascii="David" w:hAnsi="David"/>
          <w:rtl/>
        </w:rPr>
        <w:t xml:space="preserve"> (5.10.2014)). הצורך בסם מוליד מספר נזקי משנה ובהם נזקים לגופו של המשתמש בסם, ובעקיפין גם לשלום הציבור, בשל כך שלרוב מכורי הסם מבצעים עבירות רכוש על מנת לממנו. באשר לחומרת עבירת החזקת הסמים שלא לצריכה עצמית ראו ב</w:t>
      </w:r>
      <w:hyperlink r:id="rId19" w:history="1">
        <w:r w:rsidR="00D30E43" w:rsidRPr="00D30E43">
          <w:rPr>
            <w:rFonts w:ascii="David" w:hAnsi="David"/>
            <w:color w:val="0000FF"/>
            <w:u w:val="single"/>
            <w:rtl/>
          </w:rPr>
          <w:t>ע"פ 1345/08</w:t>
        </w:r>
      </w:hyperlink>
      <w:r w:rsidRPr="00F10435">
        <w:rPr>
          <w:rFonts w:ascii="David" w:hAnsi="David"/>
          <w:rtl/>
        </w:rPr>
        <w:t xml:space="preserve"> </w:t>
      </w:r>
      <w:r w:rsidRPr="00F10435">
        <w:rPr>
          <w:rFonts w:ascii="David" w:hAnsi="David"/>
          <w:b/>
          <w:bCs/>
          <w:rtl/>
        </w:rPr>
        <w:t>איסטחרוב נ' מדינת ישראל</w:t>
      </w:r>
      <w:r w:rsidRPr="00F10435">
        <w:rPr>
          <w:rFonts w:ascii="David" w:hAnsi="David"/>
          <w:rtl/>
        </w:rPr>
        <w:t xml:space="preserve"> (18.5.2009):</w:t>
      </w:r>
    </w:p>
    <w:p w14:paraId="14B6603E" w14:textId="77777777" w:rsidR="00F4084E" w:rsidRPr="00F10435" w:rsidRDefault="00F4084E" w:rsidP="00F4084E">
      <w:pPr>
        <w:spacing w:line="360" w:lineRule="auto"/>
        <w:ind w:left="1440" w:right="1134"/>
        <w:contextualSpacing/>
        <w:jc w:val="both"/>
        <w:rPr>
          <w:rFonts w:ascii="Miriam" w:hAnsi="Miriam" w:cs="Miriam"/>
          <w:rtl/>
        </w:rPr>
      </w:pPr>
    </w:p>
    <w:p w14:paraId="3396F83A" w14:textId="77777777" w:rsidR="00F4084E" w:rsidRPr="00F10435" w:rsidRDefault="00F4084E" w:rsidP="00F4084E">
      <w:pPr>
        <w:ind w:left="1440" w:right="1134"/>
        <w:contextualSpacing/>
        <w:jc w:val="both"/>
        <w:rPr>
          <w:rFonts w:ascii="Miriam" w:hAnsi="Miriam" w:cs="Miriam"/>
        </w:rPr>
      </w:pPr>
      <w:r w:rsidRPr="00F10435">
        <w:rPr>
          <w:rFonts w:ascii="Miriam" w:hAnsi="Miriam" w:cs="Miriam"/>
          <w:rtl/>
        </w:rPr>
        <w:t>"</w:t>
      </w:r>
      <w:r w:rsidRPr="00F10435">
        <w:rPr>
          <w:rFonts w:ascii="Miriam" w:hAnsi="Miriam" w:cs="Miriam" w:hint="eastAsia"/>
          <w:rtl/>
        </w:rPr>
        <w:t>אין</w:t>
      </w:r>
      <w:r w:rsidRPr="00F10435">
        <w:rPr>
          <w:rFonts w:ascii="Miriam" w:hAnsi="Miriam" w:cs="Miriam"/>
          <w:rtl/>
        </w:rPr>
        <w:t xml:space="preserve"> </w:t>
      </w:r>
      <w:r w:rsidRPr="00F10435">
        <w:rPr>
          <w:rFonts w:ascii="Miriam" w:hAnsi="Miriam" w:cs="Miriam" w:hint="eastAsia"/>
          <w:rtl/>
        </w:rPr>
        <w:t>מנוס</w:t>
      </w:r>
      <w:r w:rsidRPr="00F10435">
        <w:rPr>
          <w:rFonts w:ascii="Miriam" w:hAnsi="Miriam" w:cs="Miriam"/>
          <w:rtl/>
        </w:rPr>
        <w:t xml:space="preserve"> </w:t>
      </w:r>
      <w:r w:rsidRPr="00F10435">
        <w:rPr>
          <w:rFonts w:ascii="Miriam" w:hAnsi="Miriam" w:cs="Miriam" w:hint="eastAsia"/>
          <w:rtl/>
        </w:rPr>
        <w:t>מהכבדת</w:t>
      </w:r>
      <w:r w:rsidRPr="00F10435">
        <w:rPr>
          <w:rFonts w:ascii="Miriam" w:hAnsi="Miriam" w:cs="Miriam"/>
          <w:rtl/>
        </w:rPr>
        <w:t xml:space="preserve"> </w:t>
      </w:r>
      <w:r w:rsidRPr="00F10435">
        <w:rPr>
          <w:rFonts w:ascii="Miriam" w:hAnsi="Miriam" w:cs="Miriam" w:hint="eastAsia"/>
          <w:rtl/>
        </w:rPr>
        <w:t>היד</w:t>
      </w:r>
      <w:r w:rsidRPr="00F10435">
        <w:rPr>
          <w:rFonts w:ascii="Miriam" w:hAnsi="Miriam" w:cs="Miriam"/>
          <w:rtl/>
        </w:rPr>
        <w:t xml:space="preserve"> </w:t>
      </w:r>
      <w:r w:rsidRPr="00F10435">
        <w:rPr>
          <w:rFonts w:ascii="Miriam" w:hAnsi="Miriam" w:cs="Miriam" w:hint="eastAsia"/>
          <w:rtl/>
        </w:rPr>
        <w:t>על</w:t>
      </w:r>
      <w:r w:rsidRPr="00F10435">
        <w:rPr>
          <w:rFonts w:ascii="Miriam" w:hAnsi="Miriam" w:cs="Miriam"/>
          <w:rtl/>
        </w:rPr>
        <w:t xml:space="preserve"> </w:t>
      </w:r>
      <w:r w:rsidRPr="00F10435">
        <w:rPr>
          <w:rFonts w:ascii="Miriam" w:hAnsi="Miriam" w:cs="Miriam" w:hint="eastAsia"/>
          <w:rtl/>
        </w:rPr>
        <w:t>המחזיקים</w:t>
      </w:r>
      <w:r w:rsidRPr="00F10435">
        <w:rPr>
          <w:rFonts w:ascii="Miriam" w:hAnsi="Miriam" w:cs="Miriam"/>
          <w:rtl/>
        </w:rPr>
        <w:t xml:space="preserve"> </w:t>
      </w:r>
      <w:r w:rsidRPr="00F10435">
        <w:rPr>
          <w:rFonts w:ascii="Miriam" w:hAnsi="Miriam" w:cs="Miriam" w:hint="eastAsia"/>
          <w:rtl/>
        </w:rPr>
        <w:t>סמים</w:t>
      </w:r>
      <w:r w:rsidRPr="00F10435">
        <w:rPr>
          <w:rFonts w:ascii="Miriam" w:hAnsi="Miriam" w:cs="Miriam"/>
          <w:rtl/>
        </w:rPr>
        <w:t xml:space="preserve"> </w:t>
      </w:r>
      <w:r w:rsidRPr="00F10435">
        <w:rPr>
          <w:rFonts w:ascii="Miriam" w:hAnsi="Miriam" w:cs="Miriam" w:hint="eastAsia"/>
          <w:rtl/>
        </w:rPr>
        <w:t>שלא</w:t>
      </w:r>
      <w:r w:rsidRPr="00F10435">
        <w:rPr>
          <w:rFonts w:ascii="Miriam" w:hAnsi="Miriam" w:cs="Miriam"/>
          <w:rtl/>
        </w:rPr>
        <w:t xml:space="preserve"> </w:t>
      </w:r>
      <w:r w:rsidRPr="00F10435">
        <w:rPr>
          <w:rFonts w:ascii="Miriam" w:hAnsi="Miriam" w:cs="Miriam" w:hint="eastAsia"/>
          <w:rtl/>
        </w:rPr>
        <w:t>לצריכה</w:t>
      </w:r>
      <w:r w:rsidRPr="00F10435">
        <w:rPr>
          <w:rFonts w:ascii="Miriam" w:hAnsi="Miriam" w:cs="Miriam"/>
          <w:rtl/>
        </w:rPr>
        <w:t xml:space="preserve"> </w:t>
      </w:r>
      <w:r w:rsidRPr="00F10435">
        <w:rPr>
          <w:rFonts w:ascii="Miriam" w:hAnsi="Miriam" w:cs="Miriam" w:hint="eastAsia"/>
          <w:rtl/>
        </w:rPr>
        <w:t>עצמית</w:t>
      </w:r>
      <w:r w:rsidRPr="00F10435">
        <w:rPr>
          <w:rFonts w:ascii="Miriam" w:hAnsi="Miriam" w:cs="Miriam"/>
          <w:rtl/>
        </w:rPr>
        <w:t xml:space="preserve">, </w:t>
      </w:r>
      <w:r w:rsidRPr="00F10435">
        <w:rPr>
          <w:rFonts w:ascii="Miriam" w:hAnsi="Miriam" w:cs="Miriam" w:hint="eastAsia"/>
          <w:rtl/>
        </w:rPr>
        <w:t>שכל</w:t>
      </w:r>
      <w:r w:rsidRPr="00F10435">
        <w:rPr>
          <w:rFonts w:ascii="Miriam" w:hAnsi="Miriam" w:cs="Miriam"/>
          <w:rtl/>
        </w:rPr>
        <w:t xml:space="preserve"> </w:t>
      </w:r>
      <w:r w:rsidRPr="00F10435">
        <w:rPr>
          <w:rFonts w:ascii="Miriam" w:hAnsi="Miriam" w:cs="Miriam" w:hint="eastAsia"/>
          <w:rtl/>
        </w:rPr>
        <w:t>בר</w:t>
      </w:r>
      <w:r w:rsidRPr="00F10435">
        <w:rPr>
          <w:rFonts w:ascii="Miriam" w:hAnsi="Miriam" w:cs="Miriam"/>
          <w:rtl/>
        </w:rPr>
        <w:t xml:space="preserve"> </w:t>
      </w:r>
      <w:r w:rsidRPr="00F10435">
        <w:rPr>
          <w:rFonts w:ascii="Miriam" w:hAnsi="Miriam" w:cs="Miriam" w:hint="eastAsia"/>
          <w:rtl/>
        </w:rPr>
        <w:t>דעת</w:t>
      </w:r>
      <w:r w:rsidRPr="00F10435">
        <w:rPr>
          <w:rFonts w:ascii="Miriam" w:hAnsi="Miriam" w:cs="Miriam"/>
          <w:rtl/>
        </w:rPr>
        <w:t xml:space="preserve"> </w:t>
      </w:r>
      <w:r w:rsidRPr="00F10435">
        <w:rPr>
          <w:rFonts w:ascii="Miriam" w:hAnsi="Miriam" w:cs="Miriam" w:hint="eastAsia"/>
          <w:rtl/>
        </w:rPr>
        <w:t>מבין</w:t>
      </w:r>
      <w:r w:rsidRPr="00F10435">
        <w:rPr>
          <w:rFonts w:ascii="Miriam" w:hAnsi="Miriam" w:cs="Miriam"/>
          <w:rtl/>
        </w:rPr>
        <w:t xml:space="preserve"> </w:t>
      </w:r>
      <w:r w:rsidRPr="00F10435">
        <w:rPr>
          <w:rFonts w:ascii="Miriam" w:hAnsi="Miriam" w:cs="Miriam" w:hint="eastAsia"/>
          <w:rtl/>
        </w:rPr>
        <w:t>כי</w:t>
      </w:r>
      <w:r w:rsidRPr="00F10435">
        <w:rPr>
          <w:rFonts w:ascii="Miriam" w:hAnsi="Miriam" w:cs="Miriam"/>
          <w:rtl/>
        </w:rPr>
        <w:t xml:space="preserve"> </w:t>
      </w:r>
      <w:r w:rsidRPr="00F10435">
        <w:rPr>
          <w:rFonts w:ascii="Miriam" w:hAnsi="Miriam" w:cs="Miriam" w:hint="eastAsia"/>
          <w:rtl/>
        </w:rPr>
        <w:t>נועדו</w:t>
      </w:r>
      <w:r w:rsidRPr="00F10435">
        <w:rPr>
          <w:rFonts w:ascii="Miriam" w:hAnsi="Miriam" w:cs="Miriam"/>
          <w:rtl/>
        </w:rPr>
        <w:t xml:space="preserve"> </w:t>
      </w:r>
      <w:r w:rsidRPr="00F10435">
        <w:rPr>
          <w:rFonts w:ascii="Miriam" w:hAnsi="Miriam" w:cs="Miriam" w:hint="eastAsia"/>
          <w:rtl/>
        </w:rPr>
        <w:t>לצריכת</w:t>
      </w:r>
      <w:r w:rsidRPr="00F10435">
        <w:rPr>
          <w:rFonts w:ascii="Miriam" w:hAnsi="Miriam" w:cs="Miriam"/>
          <w:rtl/>
        </w:rPr>
        <w:t xml:space="preserve"> </w:t>
      </w:r>
      <w:r w:rsidRPr="00F10435">
        <w:rPr>
          <w:rFonts w:ascii="Miriam" w:hAnsi="Miriam" w:cs="Miriam" w:hint="eastAsia"/>
          <w:rtl/>
        </w:rPr>
        <w:t>הזולת</w:t>
      </w:r>
      <w:r w:rsidRPr="00F10435">
        <w:rPr>
          <w:rFonts w:ascii="Miriam" w:hAnsi="Miriam" w:cs="Miriam"/>
          <w:rtl/>
        </w:rPr>
        <w:t xml:space="preserve">, </w:t>
      </w:r>
      <w:r w:rsidRPr="00F10435">
        <w:rPr>
          <w:rFonts w:ascii="Miriam" w:hAnsi="Miriam" w:cs="Miriam" w:hint="eastAsia"/>
          <w:rtl/>
        </w:rPr>
        <w:t>קרי</w:t>
      </w:r>
      <w:r w:rsidRPr="00F10435">
        <w:rPr>
          <w:rFonts w:ascii="Miriam" w:hAnsi="Miriam" w:cs="Miriam"/>
          <w:rtl/>
        </w:rPr>
        <w:t xml:space="preserve">, </w:t>
      </w:r>
      <w:r w:rsidRPr="00F10435">
        <w:rPr>
          <w:rFonts w:ascii="Miriam" w:hAnsi="Miriam" w:cs="Miriam" w:hint="eastAsia"/>
          <w:rtl/>
        </w:rPr>
        <w:t>להוספת</w:t>
      </w:r>
      <w:r w:rsidRPr="00F10435">
        <w:rPr>
          <w:rFonts w:ascii="Miriam" w:hAnsi="Miriam" w:cs="Miriam"/>
          <w:rtl/>
        </w:rPr>
        <w:t xml:space="preserve"> </w:t>
      </w:r>
      <w:r w:rsidRPr="00F10435">
        <w:rPr>
          <w:rFonts w:ascii="Miriam" w:hAnsi="Miriam" w:cs="Miriam" w:hint="eastAsia"/>
          <w:rtl/>
        </w:rPr>
        <w:t>שמן</w:t>
      </w:r>
      <w:r w:rsidRPr="00F10435">
        <w:rPr>
          <w:rFonts w:ascii="Miriam" w:hAnsi="Miriam" w:cs="Miriam"/>
          <w:rtl/>
        </w:rPr>
        <w:t xml:space="preserve"> </w:t>
      </w:r>
      <w:r w:rsidRPr="00F10435">
        <w:rPr>
          <w:rFonts w:ascii="Miriam" w:hAnsi="Miriam" w:cs="Miriam" w:hint="eastAsia"/>
          <w:rtl/>
        </w:rPr>
        <w:t>על</w:t>
      </w:r>
      <w:r w:rsidRPr="00F10435">
        <w:rPr>
          <w:rFonts w:ascii="Miriam" w:hAnsi="Miriam" w:cs="Miriam"/>
          <w:rtl/>
        </w:rPr>
        <w:t xml:space="preserve"> </w:t>
      </w:r>
      <w:r w:rsidRPr="00F10435">
        <w:rPr>
          <w:rFonts w:ascii="Miriam" w:hAnsi="Miriam" w:cs="Miriam" w:hint="eastAsia"/>
          <w:rtl/>
        </w:rPr>
        <w:t>מדורת</w:t>
      </w:r>
      <w:r w:rsidRPr="00F10435">
        <w:rPr>
          <w:rFonts w:ascii="Miriam" w:hAnsi="Miriam" w:cs="Miriam"/>
          <w:rtl/>
        </w:rPr>
        <w:t xml:space="preserve"> </w:t>
      </w:r>
      <w:r w:rsidRPr="00F10435">
        <w:rPr>
          <w:rFonts w:ascii="Miriam" w:hAnsi="Miriam" w:cs="Miriam" w:hint="eastAsia"/>
          <w:rtl/>
        </w:rPr>
        <w:t>הסמים</w:t>
      </w:r>
      <w:r w:rsidRPr="00F10435">
        <w:rPr>
          <w:rFonts w:ascii="Miriam" w:hAnsi="Miriam" w:cs="Miriam"/>
          <w:rtl/>
        </w:rPr>
        <w:t xml:space="preserve"> </w:t>
      </w:r>
      <w:r w:rsidRPr="00F10435">
        <w:rPr>
          <w:rFonts w:ascii="Miriam" w:hAnsi="Miriam" w:cs="Miriam" w:hint="eastAsia"/>
          <w:rtl/>
        </w:rPr>
        <w:t>אשר</w:t>
      </w:r>
      <w:r w:rsidRPr="00F10435">
        <w:rPr>
          <w:rFonts w:ascii="Miriam" w:hAnsi="Miriam" w:cs="Miriam"/>
          <w:rtl/>
        </w:rPr>
        <w:t xml:space="preserve"> </w:t>
      </w:r>
      <w:r w:rsidRPr="00F10435">
        <w:rPr>
          <w:rFonts w:ascii="Miriam" w:hAnsi="Miriam" w:cs="Miriam" w:hint="eastAsia"/>
          <w:rtl/>
        </w:rPr>
        <w:t>להבותיה</w:t>
      </w:r>
      <w:r w:rsidRPr="00F10435">
        <w:rPr>
          <w:rFonts w:ascii="Miriam" w:hAnsi="Miriam" w:cs="Miriam"/>
          <w:rtl/>
        </w:rPr>
        <w:t xml:space="preserve"> </w:t>
      </w:r>
      <w:r w:rsidRPr="00F10435">
        <w:rPr>
          <w:rFonts w:ascii="Miriam" w:hAnsi="Miriam" w:cs="Miriam" w:hint="eastAsia"/>
          <w:rtl/>
        </w:rPr>
        <w:t>אופפות</w:t>
      </w:r>
      <w:r w:rsidRPr="00F10435">
        <w:rPr>
          <w:rFonts w:ascii="Miriam" w:hAnsi="Miriam" w:cs="Miriam"/>
          <w:rtl/>
        </w:rPr>
        <w:t xml:space="preserve"> </w:t>
      </w:r>
      <w:r w:rsidRPr="00F10435">
        <w:rPr>
          <w:rFonts w:ascii="Miriam" w:hAnsi="Miriam" w:cs="Miriam" w:hint="eastAsia"/>
          <w:rtl/>
        </w:rPr>
        <w:t>רבים</w:t>
      </w:r>
      <w:r w:rsidRPr="00F10435">
        <w:rPr>
          <w:rFonts w:ascii="Miriam" w:hAnsi="Miriam" w:cs="Miriam"/>
          <w:rtl/>
        </w:rPr>
        <w:t xml:space="preserve"> </w:t>
      </w:r>
      <w:r w:rsidRPr="00F10435">
        <w:rPr>
          <w:rFonts w:ascii="Miriam" w:hAnsi="Miriam" w:cs="Miriam" w:hint="eastAsia"/>
          <w:rtl/>
        </w:rPr>
        <w:t>וטובים</w:t>
      </w:r>
      <w:r w:rsidRPr="00F10435">
        <w:rPr>
          <w:rFonts w:ascii="Miriam" w:hAnsi="Miriam" w:cs="Miriam"/>
          <w:rtl/>
        </w:rPr>
        <w:t xml:space="preserve">, </w:t>
      </w:r>
      <w:r w:rsidRPr="00F10435">
        <w:rPr>
          <w:rFonts w:ascii="Miriam" w:hAnsi="Miriam" w:cs="Miriam" w:hint="eastAsia"/>
          <w:rtl/>
        </w:rPr>
        <w:t>או</w:t>
      </w:r>
      <w:r w:rsidRPr="00F10435">
        <w:rPr>
          <w:rFonts w:ascii="Miriam" w:hAnsi="Miriam" w:cs="Miriam"/>
          <w:rtl/>
        </w:rPr>
        <w:t xml:space="preserve"> </w:t>
      </w:r>
      <w:r w:rsidRPr="00F10435">
        <w:rPr>
          <w:rFonts w:ascii="Miriam" w:hAnsi="Miriam" w:cs="Miriam" w:hint="eastAsia"/>
          <w:rtl/>
        </w:rPr>
        <w:t>רבים</w:t>
      </w:r>
      <w:r w:rsidRPr="00F10435">
        <w:rPr>
          <w:rFonts w:ascii="Miriam" w:hAnsi="Miriam" w:cs="Miriam"/>
          <w:rtl/>
        </w:rPr>
        <w:t xml:space="preserve"> </w:t>
      </w:r>
      <w:r w:rsidRPr="00F10435">
        <w:rPr>
          <w:rFonts w:ascii="Miriam" w:hAnsi="Miriam" w:cs="Miriam" w:hint="eastAsia"/>
          <w:rtl/>
        </w:rPr>
        <w:t>שהיו</w:t>
      </w:r>
      <w:r w:rsidRPr="00F10435">
        <w:rPr>
          <w:rFonts w:ascii="Miriam" w:hAnsi="Miriam" w:cs="Miriam"/>
          <w:rtl/>
        </w:rPr>
        <w:t xml:space="preserve"> </w:t>
      </w:r>
      <w:r w:rsidRPr="00F10435">
        <w:rPr>
          <w:rFonts w:ascii="Miriam" w:hAnsi="Miriam" w:cs="Miriam" w:hint="eastAsia"/>
          <w:rtl/>
        </w:rPr>
        <w:t>טובים</w:t>
      </w:r>
      <w:r w:rsidRPr="00F10435">
        <w:rPr>
          <w:rFonts w:ascii="Miriam" w:hAnsi="Miriam" w:cs="Miriam"/>
          <w:rtl/>
        </w:rPr>
        <w:t xml:space="preserve">. </w:t>
      </w:r>
      <w:r w:rsidRPr="00F10435">
        <w:rPr>
          <w:rFonts w:ascii="Miriam" w:hAnsi="Miriam" w:cs="Miriam" w:hint="eastAsia"/>
          <w:rtl/>
        </w:rPr>
        <w:t>עבירה</w:t>
      </w:r>
      <w:r w:rsidRPr="00F10435">
        <w:rPr>
          <w:rFonts w:ascii="Miriam" w:hAnsi="Miriam" w:cs="Miriam"/>
          <w:rtl/>
        </w:rPr>
        <w:t xml:space="preserve"> </w:t>
      </w:r>
      <w:r w:rsidRPr="00F10435">
        <w:rPr>
          <w:rFonts w:ascii="Miriam" w:hAnsi="Miriam" w:cs="Miriam" w:hint="eastAsia"/>
          <w:rtl/>
        </w:rPr>
        <w:t>זו</w:t>
      </w:r>
      <w:r w:rsidRPr="00F10435">
        <w:rPr>
          <w:rFonts w:ascii="Miriam" w:hAnsi="Miriam" w:cs="Miriam"/>
          <w:rtl/>
        </w:rPr>
        <w:t xml:space="preserve"> </w:t>
      </w:r>
      <w:r w:rsidRPr="00F10435">
        <w:rPr>
          <w:rFonts w:ascii="Miriam" w:hAnsi="Miriam" w:cs="Miriam" w:hint="eastAsia"/>
          <w:rtl/>
        </w:rPr>
        <w:t>היא</w:t>
      </w:r>
      <w:r w:rsidRPr="00F10435">
        <w:rPr>
          <w:rFonts w:ascii="Miriam" w:hAnsi="Miriam" w:cs="Miriam"/>
          <w:rtl/>
        </w:rPr>
        <w:t xml:space="preserve"> </w:t>
      </w:r>
      <w:r w:rsidRPr="00F10435">
        <w:rPr>
          <w:rFonts w:ascii="Miriam" w:hAnsi="Miriam" w:cs="Miriam" w:hint="eastAsia"/>
          <w:rtl/>
        </w:rPr>
        <w:t>תאומתה</w:t>
      </w:r>
      <w:r w:rsidRPr="00F10435">
        <w:rPr>
          <w:rFonts w:ascii="Miriam" w:hAnsi="Miriam" w:cs="Miriam"/>
          <w:rtl/>
        </w:rPr>
        <w:t xml:space="preserve"> </w:t>
      </w:r>
      <w:r w:rsidRPr="00F10435">
        <w:rPr>
          <w:rFonts w:ascii="Miriam" w:hAnsi="Miriam" w:cs="Miriam" w:hint="eastAsia"/>
          <w:rtl/>
        </w:rPr>
        <w:t>הסטטוטורית</w:t>
      </w:r>
      <w:r w:rsidRPr="00F10435">
        <w:rPr>
          <w:rFonts w:ascii="Miriam" w:hAnsi="Miriam" w:cs="Miriam"/>
          <w:rtl/>
        </w:rPr>
        <w:t xml:space="preserve"> </w:t>
      </w:r>
      <w:r w:rsidRPr="00F10435">
        <w:rPr>
          <w:rFonts w:ascii="Miriam" w:hAnsi="Miriam" w:cs="Miriam" w:hint="eastAsia"/>
          <w:rtl/>
        </w:rPr>
        <w:t>של</w:t>
      </w:r>
      <w:r w:rsidRPr="00F10435">
        <w:rPr>
          <w:rFonts w:ascii="Miriam" w:hAnsi="Miriam" w:cs="Miriam"/>
          <w:rtl/>
        </w:rPr>
        <w:t xml:space="preserve"> </w:t>
      </w:r>
      <w:r w:rsidRPr="00F10435">
        <w:rPr>
          <w:rFonts w:ascii="Miriam" w:hAnsi="Miriam" w:cs="Miriam" w:hint="eastAsia"/>
          <w:rtl/>
        </w:rPr>
        <w:t>עבירת</w:t>
      </w:r>
      <w:r w:rsidRPr="00F10435">
        <w:rPr>
          <w:rFonts w:ascii="Miriam" w:hAnsi="Miriam" w:cs="Miriam"/>
          <w:rtl/>
        </w:rPr>
        <w:t xml:space="preserve"> </w:t>
      </w:r>
      <w:r w:rsidRPr="00F10435">
        <w:rPr>
          <w:rFonts w:ascii="Miriam" w:hAnsi="Miriam" w:cs="Miriam" w:hint="eastAsia"/>
          <w:rtl/>
        </w:rPr>
        <w:t>הסחר</w:t>
      </w:r>
      <w:r w:rsidRPr="00F10435">
        <w:rPr>
          <w:rFonts w:ascii="Miriam" w:hAnsi="Miriam" w:cs="Miriam"/>
          <w:rtl/>
        </w:rPr>
        <w:t xml:space="preserve"> </w:t>
      </w:r>
      <w:r w:rsidRPr="00F10435">
        <w:rPr>
          <w:rFonts w:ascii="Miriam" w:hAnsi="Miriam" w:cs="Miriam" w:hint="eastAsia"/>
          <w:rtl/>
        </w:rPr>
        <w:t>בסמים</w:t>
      </w:r>
      <w:r w:rsidRPr="00F10435">
        <w:rPr>
          <w:rFonts w:ascii="Miriam" w:hAnsi="Miriam" w:cs="Miriam"/>
          <w:rtl/>
        </w:rPr>
        <w:t xml:space="preserve">, </w:t>
      </w:r>
      <w:r w:rsidRPr="00F10435">
        <w:rPr>
          <w:rFonts w:ascii="Miriam" w:hAnsi="Miriam" w:cs="Miriam" w:hint="eastAsia"/>
          <w:rtl/>
        </w:rPr>
        <w:t>אלא</w:t>
      </w:r>
      <w:r w:rsidRPr="00F10435">
        <w:rPr>
          <w:rFonts w:ascii="Miriam" w:hAnsi="Miriam" w:cs="Miriam"/>
          <w:rtl/>
        </w:rPr>
        <w:t xml:space="preserve"> </w:t>
      </w:r>
      <w:r w:rsidRPr="00F10435">
        <w:rPr>
          <w:rFonts w:ascii="Miriam" w:hAnsi="Miriam" w:cs="Miriam" w:hint="eastAsia"/>
          <w:rtl/>
        </w:rPr>
        <w:t>שלא</w:t>
      </w:r>
      <w:r w:rsidRPr="00F10435">
        <w:rPr>
          <w:rFonts w:ascii="Miriam" w:hAnsi="Miriam" w:cs="Miriam"/>
          <w:rtl/>
        </w:rPr>
        <w:t xml:space="preserve"> </w:t>
      </w:r>
      <w:r w:rsidRPr="00F10435">
        <w:rPr>
          <w:rFonts w:ascii="Miriam" w:hAnsi="Miriam" w:cs="Miriam" w:hint="eastAsia"/>
          <w:rtl/>
        </w:rPr>
        <w:t>ניתן</w:t>
      </w:r>
      <w:r w:rsidRPr="00F10435">
        <w:rPr>
          <w:rFonts w:ascii="Miriam" w:hAnsi="Miriam" w:cs="Miriam"/>
          <w:rtl/>
        </w:rPr>
        <w:t xml:space="preserve"> </w:t>
      </w:r>
      <w:r w:rsidRPr="00F10435">
        <w:rPr>
          <w:rFonts w:ascii="Miriam" w:hAnsi="Miriam" w:cs="Miriam" w:hint="eastAsia"/>
          <w:rtl/>
        </w:rPr>
        <w:t>להוכיח</w:t>
      </w:r>
      <w:r w:rsidRPr="00F10435">
        <w:rPr>
          <w:rFonts w:ascii="Miriam" w:hAnsi="Miriam" w:cs="Miriam"/>
          <w:rtl/>
        </w:rPr>
        <w:t xml:space="preserve"> </w:t>
      </w:r>
      <w:r w:rsidRPr="00F10435">
        <w:rPr>
          <w:rFonts w:ascii="Miriam" w:hAnsi="Miriam" w:cs="Miriam" w:hint="eastAsia"/>
          <w:rtl/>
        </w:rPr>
        <w:t>לגביה</w:t>
      </w:r>
      <w:r w:rsidRPr="00F10435">
        <w:rPr>
          <w:rFonts w:ascii="Miriam" w:hAnsi="Miriam" w:cs="Miriam"/>
          <w:rtl/>
        </w:rPr>
        <w:t xml:space="preserve"> </w:t>
      </w:r>
      <w:r w:rsidRPr="00F10435">
        <w:rPr>
          <w:rFonts w:ascii="Miriam" w:hAnsi="Miriam" w:cs="Miriam" w:hint="eastAsia"/>
          <w:rtl/>
        </w:rPr>
        <w:t>את</w:t>
      </w:r>
      <w:r w:rsidRPr="00F10435">
        <w:rPr>
          <w:rFonts w:ascii="Miriam" w:hAnsi="Miriam" w:cs="Miriam"/>
          <w:rtl/>
        </w:rPr>
        <w:t xml:space="preserve"> </w:t>
      </w:r>
      <w:r w:rsidRPr="00F10435">
        <w:rPr>
          <w:rFonts w:ascii="Miriam" w:hAnsi="Miriam" w:cs="Miriam" w:hint="eastAsia"/>
          <w:rtl/>
        </w:rPr>
        <w:t>הסחר</w:t>
      </w:r>
      <w:r w:rsidRPr="00F10435">
        <w:rPr>
          <w:rFonts w:ascii="Miriam" w:hAnsi="Miriam" w:cs="Miriam"/>
          <w:rtl/>
        </w:rPr>
        <w:t xml:space="preserve"> </w:t>
      </w:r>
      <w:r w:rsidRPr="00F10435">
        <w:rPr>
          <w:rFonts w:ascii="Miriam" w:hAnsi="Miriam" w:cs="Miriam" w:hint="eastAsia"/>
          <w:rtl/>
        </w:rPr>
        <w:t>עצמו</w:t>
      </w:r>
      <w:r w:rsidRPr="00F10435">
        <w:rPr>
          <w:rFonts w:ascii="Miriam" w:hAnsi="Miriam" w:cs="Miriam"/>
          <w:rtl/>
        </w:rPr>
        <w:t xml:space="preserve">, </w:t>
      </w:r>
      <w:r w:rsidRPr="00F10435">
        <w:rPr>
          <w:rFonts w:ascii="Miriam" w:hAnsi="Miriam" w:cs="Miriam" w:hint="eastAsia"/>
          <w:rtl/>
        </w:rPr>
        <w:t>ונקבע</w:t>
      </w:r>
      <w:r w:rsidRPr="00F10435">
        <w:rPr>
          <w:rFonts w:ascii="Miriam" w:hAnsi="Miriam" w:cs="Miriam"/>
          <w:rtl/>
        </w:rPr>
        <w:t xml:space="preserve"> </w:t>
      </w:r>
      <w:r w:rsidRPr="00F10435">
        <w:rPr>
          <w:rFonts w:ascii="Miriam" w:hAnsi="Miriam" w:cs="Miriam" w:hint="eastAsia"/>
          <w:rtl/>
        </w:rPr>
        <w:t>לשתיהן</w:t>
      </w:r>
      <w:r w:rsidRPr="00F10435">
        <w:rPr>
          <w:rFonts w:ascii="Miriam" w:hAnsi="Miriam" w:cs="Miriam"/>
          <w:rtl/>
        </w:rPr>
        <w:t xml:space="preserve"> </w:t>
      </w:r>
      <w:r w:rsidRPr="00F10435">
        <w:rPr>
          <w:rFonts w:ascii="Miriam" w:hAnsi="Miriam" w:cs="Miriam" w:hint="eastAsia"/>
          <w:rtl/>
        </w:rPr>
        <w:t>עונשה</w:t>
      </w:r>
      <w:r w:rsidRPr="00F10435">
        <w:rPr>
          <w:rFonts w:ascii="Miriam" w:hAnsi="Miriam" w:cs="Miriam"/>
          <w:rtl/>
        </w:rPr>
        <w:t xml:space="preserve"> </w:t>
      </w:r>
      <w:r w:rsidRPr="00F10435">
        <w:rPr>
          <w:rFonts w:ascii="Miriam" w:hAnsi="Miriam" w:cs="Miriam" w:hint="eastAsia"/>
          <w:rtl/>
        </w:rPr>
        <w:t>זהה</w:t>
      </w:r>
      <w:r w:rsidRPr="00F10435">
        <w:rPr>
          <w:rFonts w:ascii="Miriam" w:hAnsi="Miriam" w:cs="Miriam"/>
          <w:rtl/>
        </w:rPr>
        <w:t xml:space="preserve"> [...]"</w:t>
      </w:r>
    </w:p>
    <w:p w14:paraId="41BD8A68" w14:textId="77777777" w:rsidR="00F4084E" w:rsidRPr="00F10435" w:rsidRDefault="00F4084E" w:rsidP="00F4084E">
      <w:pPr>
        <w:spacing w:line="360" w:lineRule="auto"/>
        <w:contextualSpacing/>
        <w:jc w:val="both"/>
        <w:rPr>
          <w:rFonts w:ascii="David" w:hAnsi="David"/>
          <w:rtl/>
        </w:rPr>
      </w:pPr>
    </w:p>
    <w:p w14:paraId="1F73A09C" w14:textId="77777777" w:rsidR="00F4084E" w:rsidRPr="007B19F8" w:rsidRDefault="00F4084E" w:rsidP="00F4084E">
      <w:pPr>
        <w:numPr>
          <w:ilvl w:val="0"/>
          <w:numId w:val="1"/>
        </w:numPr>
        <w:spacing w:line="360" w:lineRule="auto"/>
        <w:contextualSpacing/>
        <w:jc w:val="both"/>
        <w:rPr>
          <w:rFonts w:ascii="David" w:hAnsi="David"/>
        </w:rPr>
      </w:pPr>
      <w:r w:rsidRPr="00F10435">
        <w:rPr>
          <w:rFonts w:ascii="David" w:hAnsi="David"/>
          <w:b/>
          <w:bCs/>
          <w:rtl/>
        </w:rPr>
        <w:t>נסיבות ביצוע העבירה:</w:t>
      </w:r>
      <w:r w:rsidRPr="00F10435">
        <w:rPr>
          <w:rFonts w:ascii="David" w:hAnsi="David"/>
          <w:rtl/>
        </w:rPr>
        <w:t xml:space="preserve"> בהערכת חומרת נסיבות ביצוע עבירות סמים ישנה חשיבות</w:t>
      </w:r>
      <w:r>
        <w:rPr>
          <w:rFonts w:ascii="David" w:hAnsi="David" w:hint="cs"/>
          <w:rtl/>
        </w:rPr>
        <w:t>, מן הסתם,</w:t>
      </w:r>
      <w:r w:rsidRPr="00F10435">
        <w:rPr>
          <w:rFonts w:ascii="David" w:hAnsi="David"/>
          <w:rtl/>
        </w:rPr>
        <w:t xml:space="preserve"> לבחינת סוג הסם וכמותו (</w:t>
      </w:r>
      <w:hyperlink r:id="rId20" w:history="1">
        <w:r w:rsidR="00D30E43" w:rsidRPr="00D30E43">
          <w:rPr>
            <w:rFonts w:ascii="David" w:hAnsi="David"/>
            <w:color w:val="0000FF"/>
            <w:u w:val="single"/>
            <w:rtl/>
          </w:rPr>
          <w:t>ע"פ 1654/16</w:t>
        </w:r>
      </w:hyperlink>
      <w:r w:rsidRPr="00F10435">
        <w:rPr>
          <w:rFonts w:ascii="David" w:hAnsi="David"/>
          <w:rtl/>
        </w:rPr>
        <w:t xml:space="preserve"> </w:t>
      </w:r>
      <w:r w:rsidRPr="00F10435">
        <w:rPr>
          <w:rFonts w:ascii="David" w:hAnsi="David"/>
          <w:b/>
          <w:bCs/>
          <w:rtl/>
        </w:rPr>
        <w:t>שרר נ' מדינת ישראל</w:t>
      </w:r>
      <w:r w:rsidRPr="00F10435">
        <w:rPr>
          <w:rFonts w:ascii="David" w:hAnsi="David"/>
          <w:rtl/>
        </w:rPr>
        <w:t xml:space="preserve"> (27.2.2017)). </w:t>
      </w:r>
      <w:r>
        <w:rPr>
          <w:rFonts w:ascii="David" w:hAnsi="David" w:hint="cs"/>
          <w:rtl/>
        </w:rPr>
        <w:t xml:space="preserve">כמות טבליות ה- </w:t>
      </w:r>
      <w:r w:rsidRPr="00F4084E">
        <w:rPr>
          <w:rFonts w:ascii="Arial" w:hAnsi="Arial" w:cs="Arial"/>
          <w:sz w:val="22"/>
          <w:szCs w:val="22"/>
        </w:rPr>
        <w:t>MDMA</w:t>
      </w:r>
      <w:r w:rsidRPr="00F10435">
        <w:rPr>
          <w:rFonts w:ascii="David" w:hAnsi="David"/>
          <w:rtl/>
        </w:rPr>
        <w:t xml:space="preserve"> </w:t>
      </w:r>
      <w:r>
        <w:rPr>
          <w:rFonts w:ascii="David" w:hAnsi="David" w:hint="cs"/>
          <w:rtl/>
        </w:rPr>
        <w:t xml:space="preserve">אינה גדולה יחסית, אם כי היא אינה מבוטלת. לכך יש להוסיף שמדובר בסם קשה (להשפעתו הרעה של סם זה ראו </w:t>
      </w:r>
      <w:hyperlink r:id="rId21" w:history="1">
        <w:r w:rsidR="00D30E43" w:rsidRPr="00D30E43">
          <w:rPr>
            <w:rFonts w:ascii="David" w:hAnsi="David"/>
            <w:color w:val="0000FF"/>
            <w:u w:val="single"/>
            <w:rtl/>
          </w:rPr>
          <w:t>עפ"ג (י-ם) 29138-07-17</w:t>
        </w:r>
      </w:hyperlink>
      <w:r w:rsidRPr="007B19F8">
        <w:rPr>
          <w:rFonts w:ascii="David" w:hAnsi="David"/>
          <w:rtl/>
        </w:rPr>
        <w:t xml:space="preserve"> </w:t>
      </w:r>
      <w:r w:rsidRPr="007B19F8">
        <w:rPr>
          <w:rFonts w:ascii="David" w:hAnsi="David"/>
          <w:b/>
          <w:bCs/>
          <w:rtl/>
        </w:rPr>
        <w:t>מ</w:t>
      </w:r>
      <w:r w:rsidRPr="007B19F8">
        <w:rPr>
          <w:rFonts w:ascii="David" w:hAnsi="David" w:hint="cs"/>
          <w:b/>
          <w:bCs/>
          <w:rtl/>
        </w:rPr>
        <w:t xml:space="preserve">דינת ישראל </w:t>
      </w:r>
      <w:r w:rsidRPr="007B19F8">
        <w:rPr>
          <w:rFonts w:ascii="David" w:hAnsi="David"/>
          <w:b/>
          <w:bCs/>
          <w:rtl/>
        </w:rPr>
        <w:t>נ' גית</w:t>
      </w:r>
      <w:r w:rsidRPr="007B19F8">
        <w:rPr>
          <w:rFonts w:ascii="David" w:hAnsi="David"/>
          <w:rtl/>
        </w:rPr>
        <w:t xml:space="preserve"> (17.8.2017)</w:t>
      </w:r>
      <w:r>
        <w:rPr>
          <w:rFonts w:ascii="David" w:hAnsi="David" w:hint="cs"/>
          <w:rtl/>
        </w:rPr>
        <w:t xml:space="preserve">). </w:t>
      </w:r>
      <w:r w:rsidRPr="007B19F8">
        <w:rPr>
          <w:rFonts w:ascii="David" w:hAnsi="David" w:hint="cs"/>
          <w:rtl/>
        </w:rPr>
        <w:t>ביחס לחשיש, הרי שהכמות נמוכה, אך כאמור, החזקתו הייתה שלא לשימוש עצמי בלבד. בהינתן שהנאשם הורשע בהחזקת סם שלא לשימוש עצמי, אזי נסיבה נוספת לחומרה נוגעת לעובדה ש</w:t>
      </w:r>
      <w:r w:rsidRPr="007B19F8">
        <w:rPr>
          <w:rFonts w:ascii="David" w:hAnsi="David"/>
          <w:rtl/>
        </w:rPr>
        <w:t>הסמים נתפסו על</w:t>
      </w:r>
      <w:r w:rsidRPr="007B19F8">
        <w:rPr>
          <w:rFonts w:ascii="David" w:hAnsi="David" w:hint="cs"/>
          <w:rtl/>
        </w:rPr>
        <w:t xml:space="preserve"> גופו </w:t>
      </w:r>
      <w:r w:rsidRPr="007B19F8">
        <w:rPr>
          <w:rFonts w:ascii="David" w:hAnsi="David"/>
          <w:rtl/>
        </w:rPr>
        <w:t>בכניסה למתחם בילוי בשעות הקטנות של הלילה</w:t>
      </w:r>
      <w:r w:rsidRPr="007B19F8">
        <w:rPr>
          <w:rFonts w:ascii="David" w:hAnsi="David" w:hint="cs"/>
          <w:rtl/>
        </w:rPr>
        <w:t xml:space="preserve"> וכי חלקם אף הוסלקו בתוך שיערו האסוף. </w:t>
      </w:r>
    </w:p>
    <w:p w14:paraId="31E53892" w14:textId="77777777" w:rsidR="00F4084E" w:rsidRPr="00F10435" w:rsidRDefault="00F4084E" w:rsidP="00F4084E">
      <w:pPr>
        <w:spacing w:line="360" w:lineRule="auto"/>
        <w:contextualSpacing/>
        <w:jc w:val="both"/>
        <w:rPr>
          <w:rFonts w:ascii="David" w:hAnsi="David"/>
        </w:rPr>
      </w:pPr>
    </w:p>
    <w:p w14:paraId="41B7FFD9" w14:textId="77777777" w:rsidR="00F4084E" w:rsidRDefault="00F4084E" w:rsidP="00F4084E">
      <w:pPr>
        <w:numPr>
          <w:ilvl w:val="0"/>
          <w:numId w:val="1"/>
        </w:numPr>
        <w:spacing w:line="360" w:lineRule="auto"/>
        <w:contextualSpacing/>
        <w:jc w:val="both"/>
        <w:rPr>
          <w:rFonts w:ascii="David" w:hAnsi="David"/>
        </w:rPr>
      </w:pPr>
      <w:r w:rsidRPr="00F10435">
        <w:rPr>
          <w:rFonts w:ascii="David" w:hAnsi="David"/>
          <w:b/>
          <w:bCs/>
          <w:rtl/>
        </w:rPr>
        <w:t>מדיניות הענישה הנוהגת</w:t>
      </w:r>
      <w:r w:rsidRPr="00F10435">
        <w:rPr>
          <w:rFonts w:ascii="David" w:hAnsi="David"/>
          <w:rtl/>
        </w:rPr>
        <w:t xml:space="preserve">: מדיניות הענישה ביחס לעבירה של החזקת סם שלא לצריכה עצמית משתנה ממקרה למקרה ותלויה בין היתר בסוג הסם, בכמות, ובנסיבותיו של הנאשם (עבר פלילי, שיקום, תסקיר וכיוצב'). </w:t>
      </w:r>
      <w:r>
        <w:rPr>
          <w:rFonts w:ascii="David" w:hAnsi="David" w:hint="cs"/>
          <w:rtl/>
        </w:rPr>
        <w:t xml:space="preserve">עם זאת נקודת המוצא היא שמדובר בחוליה בשרשרת הפצת הסם ומכאן מתחייבת ענישה מחמירה. ראו: </w:t>
      </w:r>
    </w:p>
    <w:p w14:paraId="4ADEF442" w14:textId="77777777" w:rsidR="00F4084E" w:rsidRDefault="00F4084E" w:rsidP="00F4084E">
      <w:pPr>
        <w:overflowPunct w:val="0"/>
        <w:autoSpaceDE w:val="0"/>
        <w:autoSpaceDN w:val="0"/>
        <w:ind w:left="1642" w:right="1282"/>
        <w:jc w:val="both"/>
        <w:rPr>
          <w:rFonts w:ascii="Miriam" w:hAnsi="Miriam" w:cs="Miriam"/>
          <w:spacing w:val="10"/>
          <w:rtl/>
        </w:rPr>
      </w:pPr>
    </w:p>
    <w:p w14:paraId="664D6C4E" w14:textId="77777777" w:rsidR="00F4084E" w:rsidRPr="00ED2868" w:rsidRDefault="00F4084E" w:rsidP="00F4084E">
      <w:pPr>
        <w:overflowPunct w:val="0"/>
        <w:autoSpaceDE w:val="0"/>
        <w:autoSpaceDN w:val="0"/>
        <w:ind w:left="1642" w:right="1282"/>
        <w:jc w:val="both"/>
        <w:rPr>
          <w:rFonts w:ascii="Miriam" w:hAnsi="Miriam" w:cs="Miriam"/>
          <w:spacing w:val="10"/>
        </w:rPr>
      </w:pPr>
      <w:r w:rsidRPr="00ED2868">
        <w:rPr>
          <w:rFonts w:ascii="Miriam" w:hAnsi="Miriam" w:cs="Miriam"/>
          <w:spacing w:val="10"/>
          <w:rtl/>
        </w:rPr>
        <w:t xml:space="preserve">"על חומרתה המופלגת של עבירת החזקת סמים מסוכנים שלא לצריכה עצמית אין צורך להכביר מלים,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r w:rsidRPr="00294143">
        <w:rPr>
          <w:rFonts w:ascii="David" w:hAnsi="David"/>
          <w:spacing w:val="10"/>
          <w:rtl/>
        </w:rPr>
        <w:t>(</w:t>
      </w:r>
      <w:hyperlink r:id="rId22" w:history="1">
        <w:r w:rsidR="00D30E43" w:rsidRPr="00D30E43">
          <w:rPr>
            <w:rFonts w:ascii="David" w:hAnsi="David"/>
            <w:color w:val="0000FF"/>
            <w:spacing w:val="10"/>
            <w:u w:val="single"/>
            <w:rtl/>
          </w:rPr>
          <w:t>ע"פ 211/09</w:t>
        </w:r>
      </w:hyperlink>
      <w:r w:rsidRPr="00294143">
        <w:rPr>
          <w:rFonts w:ascii="David" w:hAnsi="David"/>
          <w:spacing w:val="10"/>
          <w:rtl/>
        </w:rPr>
        <w:t xml:space="preserve"> </w:t>
      </w:r>
      <w:r w:rsidRPr="00294143">
        <w:rPr>
          <w:rFonts w:ascii="David" w:hAnsi="David"/>
          <w:b/>
          <w:bCs/>
          <w:rtl/>
        </w:rPr>
        <w:t>אזולאי נ' מדינת ישראל</w:t>
      </w:r>
      <w:r w:rsidRPr="00294143">
        <w:rPr>
          <w:rFonts w:ascii="David" w:hAnsi="David"/>
          <w:spacing w:val="10"/>
          <w:rtl/>
        </w:rPr>
        <w:t xml:space="preserve"> (22.6.2010)) </w:t>
      </w:r>
    </w:p>
    <w:p w14:paraId="4340CE7E" w14:textId="77777777" w:rsidR="00F4084E" w:rsidRDefault="00F4084E" w:rsidP="00F4084E">
      <w:pPr>
        <w:pStyle w:val="a9"/>
        <w:spacing w:line="240" w:lineRule="auto"/>
        <w:rPr>
          <w:rFonts w:ascii="David" w:hAnsi="David"/>
          <w:rtl/>
        </w:rPr>
      </w:pPr>
    </w:p>
    <w:p w14:paraId="283E8FAB" w14:textId="77777777" w:rsidR="00F4084E" w:rsidRDefault="00F4084E" w:rsidP="00F4084E">
      <w:pPr>
        <w:numPr>
          <w:ilvl w:val="0"/>
          <w:numId w:val="1"/>
        </w:numPr>
        <w:spacing w:line="360" w:lineRule="auto"/>
        <w:contextualSpacing/>
        <w:jc w:val="both"/>
        <w:rPr>
          <w:rFonts w:ascii="David" w:hAnsi="David"/>
        </w:rPr>
      </w:pPr>
      <w:r w:rsidRPr="00F10435">
        <w:rPr>
          <w:rFonts w:ascii="David" w:hAnsi="David"/>
          <w:rtl/>
        </w:rPr>
        <w:t>לצורך בחינת מדיניות הענישה הנוהגת ניתן להפנות לפסקי הדין הבאים:</w:t>
      </w:r>
      <w:r>
        <w:rPr>
          <w:rFonts w:ascii="David" w:hAnsi="David" w:hint="cs"/>
          <w:rtl/>
        </w:rPr>
        <w:t xml:space="preserve"> </w:t>
      </w:r>
      <w:hyperlink r:id="rId23" w:history="1">
        <w:r w:rsidR="00D30E43" w:rsidRPr="00D30E43">
          <w:rPr>
            <w:rFonts w:ascii="David" w:hAnsi="David"/>
            <w:color w:val="0000FF"/>
            <w:u w:val="single"/>
            <w:rtl/>
          </w:rPr>
          <w:t>רע"פ 5170/09</w:t>
        </w:r>
      </w:hyperlink>
      <w:r w:rsidRPr="007B19F8">
        <w:rPr>
          <w:rFonts w:ascii="David" w:hAnsi="David"/>
          <w:rtl/>
        </w:rPr>
        <w:t xml:space="preserve"> </w:t>
      </w:r>
      <w:r w:rsidRPr="007B19F8">
        <w:rPr>
          <w:rFonts w:ascii="David" w:hAnsi="David"/>
          <w:b/>
          <w:bCs/>
          <w:rtl/>
        </w:rPr>
        <w:t>אבוטבול נ' מ</w:t>
      </w:r>
      <w:r w:rsidRPr="007B19F8">
        <w:rPr>
          <w:rFonts w:ascii="David" w:hAnsi="David" w:hint="cs"/>
          <w:b/>
          <w:bCs/>
          <w:rtl/>
        </w:rPr>
        <w:t>דינת ישראל</w:t>
      </w:r>
      <w:r w:rsidRPr="007B19F8">
        <w:rPr>
          <w:rFonts w:ascii="David" w:hAnsi="David" w:hint="cs"/>
          <w:rtl/>
        </w:rPr>
        <w:t xml:space="preserve"> </w:t>
      </w:r>
      <w:r w:rsidRPr="007B19F8">
        <w:rPr>
          <w:rFonts w:ascii="David" w:hAnsi="David"/>
          <w:rtl/>
        </w:rPr>
        <w:t xml:space="preserve">(6.9.2009) </w:t>
      </w:r>
      <w:r>
        <w:rPr>
          <w:rFonts w:ascii="David" w:hAnsi="David" w:hint="cs"/>
          <w:rtl/>
        </w:rPr>
        <w:t xml:space="preserve">בו </w:t>
      </w:r>
      <w:r w:rsidRPr="007B19F8">
        <w:rPr>
          <w:rFonts w:ascii="David" w:hAnsi="David"/>
          <w:rtl/>
        </w:rPr>
        <w:t>אושר עונש של 9 חודשי מאסר ל</w:t>
      </w:r>
      <w:r>
        <w:rPr>
          <w:rFonts w:ascii="David" w:hAnsi="David" w:hint="cs"/>
          <w:rtl/>
        </w:rPr>
        <w:t>נאשם</w:t>
      </w:r>
      <w:r w:rsidRPr="007B19F8">
        <w:rPr>
          <w:rFonts w:ascii="David" w:hAnsi="David"/>
          <w:rtl/>
        </w:rPr>
        <w:t xml:space="preserve"> שהחזיק 150 כדורי </w:t>
      </w:r>
      <w:r w:rsidRPr="00F4084E">
        <w:rPr>
          <w:rFonts w:ascii="Arial" w:hAnsi="Arial" w:cs="Arial"/>
          <w:sz w:val="22"/>
          <w:szCs w:val="22"/>
        </w:rPr>
        <w:t>MDMA</w:t>
      </w:r>
      <w:r>
        <w:rPr>
          <w:rFonts w:ascii="David" w:hAnsi="David" w:hint="cs"/>
          <w:rtl/>
        </w:rPr>
        <w:t xml:space="preserve">; </w:t>
      </w:r>
      <w:hyperlink r:id="rId24" w:history="1">
        <w:r w:rsidR="00D30E43" w:rsidRPr="00D30E43">
          <w:rPr>
            <w:rFonts w:ascii="David" w:hAnsi="David"/>
            <w:color w:val="0000FF"/>
            <w:u w:val="single"/>
            <w:rtl/>
          </w:rPr>
          <w:t>ע"פ (מחוזי ב"ש) 7318/06</w:t>
        </w:r>
      </w:hyperlink>
      <w:r w:rsidRPr="007B19F8">
        <w:rPr>
          <w:rFonts w:ascii="David" w:hAnsi="David"/>
          <w:rtl/>
        </w:rPr>
        <w:t xml:space="preserve"> </w:t>
      </w:r>
      <w:r w:rsidRPr="007B19F8">
        <w:rPr>
          <w:rFonts w:ascii="David" w:hAnsi="David"/>
          <w:b/>
          <w:bCs/>
          <w:rtl/>
        </w:rPr>
        <w:t>שריקי נ' מדינת ישראל</w:t>
      </w:r>
      <w:r w:rsidRPr="007B19F8">
        <w:rPr>
          <w:rFonts w:ascii="David" w:hAnsi="David"/>
          <w:rtl/>
        </w:rPr>
        <w:t xml:space="preserve"> (11.07.2007)‏‏ </w:t>
      </w:r>
      <w:r>
        <w:rPr>
          <w:rFonts w:ascii="David" w:hAnsi="David" w:hint="cs"/>
          <w:rtl/>
        </w:rPr>
        <w:t xml:space="preserve">בו אושר עונש בן 8 חודשי מאסר בגין החזקת </w:t>
      </w:r>
      <w:r w:rsidRPr="007B19F8">
        <w:rPr>
          <w:rFonts w:ascii="David" w:hAnsi="David"/>
          <w:rtl/>
        </w:rPr>
        <w:t xml:space="preserve">18 טבליות מסוג </w:t>
      </w:r>
      <w:r w:rsidRPr="00F4084E">
        <w:rPr>
          <w:rFonts w:ascii="Arial" w:hAnsi="Arial" w:cs="Arial"/>
          <w:sz w:val="22"/>
          <w:szCs w:val="22"/>
        </w:rPr>
        <w:t>MDMA</w:t>
      </w:r>
      <w:r w:rsidRPr="007B19F8">
        <w:rPr>
          <w:rFonts w:ascii="David" w:hAnsi="David"/>
          <w:rtl/>
        </w:rPr>
        <w:t>, שלא לצריכה עצמית</w:t>
      </w:r>
      <w:r>
        <w:rPr>
          <w:rFonts w:ascii="David" w:hAnsi="David" w:hint="cs"/>
          <w:rtl/>
        </w:rPr>
        <w:t xml:space="preserve"> וכן במועד אחר </w:t>
      </w:r>
      <w:r w:rsidRPr="007B19F8">
        <w:rPr>
          <w:rFonts w:ascii="David" w:hAnsi="David"/>
          <w:rtl/>
        </w:rPr>
        <w:t>סם מסוג קנבוס במשקל נטו</w:t>
      </w:r>
      <w:r>
        <w:rPr>
          <w:rFonts w:ascii="David" w:hAnsi="David"/>
          <w:rtl/>
        </w:rPr>
        <w:t xml:space="preserve"> של 504.6 גרם, שלא לצריכה עצמית</w:t>
      </w:r>
      <w:r>
        <w:rPr>
          <w:rFonts w:ascii="David" w:hAnsi="David" w:hint="cs"/>
          <w:rtl/>
        </w:rPr>
        <w:t xml:space="preserve">; </w:t>
      </w:r>
      <w:hyperlink r:id="rId25" w:history="1">
        <w:r w:rsidR="00D30E43" w:rsidRPr="00D30E43">
          <w:rPr>
            <w:rFonts w:ascii="David" w:hAnsi="David"/>
            <w:color w:val="0000FF"/>
            <w:u w:val="single"/>
            <w:rtl/>
          </w:rPr>
          <w:t>ע"פ 9979/08</w:t>
        </w:r>
      </w:hyperlink>
      <w:r w:rsidRPr="001C0D70">
        <w:rPr>
          <w:rFonts w:ascii="David" w:hAnsi="David"/>
          <w:rtl/>
        </w:rPr>
        <w:t xml:space="preserve"> </w:t>
      </w:r>
      <w:r w:rsidRPr="001C0D70">
        <w:rPr>
          <w:rFonts w:ascii="David" w:hAnsi="David"/>
          <w:b/>
          <w:bCs/>
          <w:rtl/>
        </w:rPr>
        <w:t>בודרם נגד מדינת ישראל</w:t>
      </w:r>
      <w:r w:rsidRPr="001C0D70">
        <w:rPr>
          <w:rFonts w:ascii="David" w:hAnsi="David"/>
          <w:rtl/>
        </w:rPr>
        <w:t xml:space="preserve"> (21.04.2009)</w:t>
      </w:r>
      <w:r>
        <w:rPr>
          <w:rFonts w:ascii="David" w:hAnsi="David" w:hint="cs"/>
          <w:rtl/>
        </w:rPr>
        <w:t xml:space="preserve"> בו אושר עונש בן </w:t>
      </w:r>
      <w:r w:rsidRPr="001C0D70">
        <w:rPr>
          <w:rFonts w:ascii="David" w:hAnsi="David"/>
          <w:rtl/>
        </w:rPr>
        <w:t xml:space="preserve">24 חודשי מאסר בפועל </w:t>
      </w:r>
      <w:r>
        <w:rPr>
          <w:rFonts w:ascii="David" w:hAnsi="David" w:hint="cs"/>
          <w:rtl/>
        </w:rPr>
        <w:t xml:space="preserve">בגין אחזקת </w:t>
      </w:r>
      <w:r w:rsidRPr="001C0D70">
        <w:rPr>
          <w:rFonts w:ascii="David" w:hAnsi="David"/>
          <w:rtl/>
        </w:rPr>
        <w:t xml:space="preserve">242 טבליות סם מסוג </w:t>
      </w:r>
      <w:r w:rsidRPr="00F4084E">
        <w:rPr>
          <w:rFonts w:ascii="Arial" w:hAnsi="Arial" w:cs="Arial"/>
          <w:sz w:val="22"/>
          <w:szCs w:val="22"/>
        </w:rPr>
        <w:t>MDMA</w:t>
      </w:r>
      <w:r w:rsidRPr="00F10435">
        <w:rPr>
          <w:rFonts w:ascii="David" w:hAnsi="David"/>
          <w:rtl/>
        </w:rPr>
        <w:t xml:space="preserve"> </w:t>
      </w:r>
      <w:r w:rsidRPr="001C0D70">
        <w:rPr>
          <w:rFonts w:ascii="David" w:hAnsi="David"/>
          <w:rtl/>
        </w:rPr>
        <w:t>וכ-</w:t>
      </w:r>
      <w:r>
        <w:rPr>
          <w:rFonts w:ascii="David" w:hAnsi="David"/>
          <w:rtl/>
        </w:rPr>
        <w:t>1.98 גרם חשיש, שלא לצריכה עצמית</w:t>
      </w:r>
      <w:r>
        <w:rPr>
          <w:rFonts w:ascii="David" w:hAnsi="David" w:hint="cs"/>
          <w:rtl/>
        </w:rPr>
        <w:t xml:space="preserve">; </w:t>
      </w:r>
      <w:hyperlink r:id="rId26" w:history="1">
        <w:r w:rsidR="00D30E43" w:rsidRPr="00D30E43">
          <w:rPr>
            <w:rFonts w:ascii="David" w:hAnsi="David"/>
            <w:color w:val="0000FF"/>
            <w:u w:val="single"/>
            <w:rtl/>
          </w:rPr>
          <w:t>עפ"ג (מח' י-ם) 29138-07-17</w:t>
        </w:r>
      </w:hyperlink>
      <w:r w:rsidRPr="00957582">
        <w:rPr>
          <w:rFonts w:ascii="David" w:hAnsi="David"/>
          <w:rtl/>
        </w:rPr>
        <w:t xml:space="preserve"> </w:t>
      </w:r>
      <w:r w:rsidRPr="00957582">
        <w:rPr>
          <w:rFonts w:ascii="David" w:hAnsi="David"/>
          <w:b/>
          <w:bCs/>
          <w:rtl/>
        </w:rPr>
        <w:t>מדינת ישראל נגד ג'ית</w:t>
      </w:r>
      <w:r w:rsidRPr="00957582">
        <w:rPr>
          <w:rFonts w:ascii="David" w:hAnsi="David"/>
          <w:rtl/>
        </w:rPr>
        <w:t xml:space="preserve">  (17.08.2017)</w:t>
      </w:r>
      <w:r w:rsidRPr="00957582">
        <w:rPr>
          <w:rFonts w:ascii="David" w:hAnsi="David" w:hint="cs"/>
          <w:rtl/>
        </w:rPr>
        <w:t xml:space="preserve"> בו הוחמר עונשו של נאשם והועמד על </w:t>
      </w:r>
      <w:r w:rsidRPr="00957582">
        <w:rPr>
          <w:rFonts w:ascii="David" w:hAnsi="David"/>
          <w:rtl/>
        </w:rPr>
        <w:t xml:space="preserve">14 חודשי מאסר בפועל </w:t>
      </w:r>
      <w:r w:rsidRPr="00957582">
        <w:rPr>
          <w:rFonts w:ascii="David" w:hAnsi="David" w:hint="cs"/>
          <w:rtl/>
        </w:rPr>
        <w:t xml:space="preserve">בגין </w:t>
      </w:r>
      <w:r w:rsidRPr="00957582">
        <w:rPr>
          <w:rFonts w:ascii="David" w:hAnsi="David"/>
          <w:rtl/>
        </w:rPr>
        <w:t xml:space="preserve">החזקת 12 פלטות חשיש במשקל 1.199 ק"ג וכן 408 טבליות סם מסוג </w:t>
      </w:r>
      <w:r w:rsidRPr="00F4084E">
        <w:rPr>
          <w:rFonts w:ascii="Arial" w:hAnsi="Arial" w:cs="Arial"/>
          <w:sz w:val="22"/>
          <w:szCs w:val="22"/>
        </w:rPr>
        <w:t>MDMA</w:t>
      </w:r>
      <w:r w:rsidRPr="00957582">
        <w:rPr>
          <w:rFonts w:ascii="David" w:hAnsi="David"/>
          <w:rtl/>
        </w:rPr>
        <w:t xml:space="preserve">, שלא לצריכה עצמית. בערעור נקבע שמתחם העונש ההולם נע בין 32-10 חודשי </w:t>
      </w:r>
      <w:r w:rsidRPr="00957582">
        <w:rPr>
          <w:rFonts w:ascii="David" w:hAnsi="David" w:hint="cs"/>
          <w:rtl/>
        </w:rPr>
        <w:t xml:space="preserve">מאסר; </w:t>
      </w:r>
      <w:hyperlink r:id="rId27" w:history="1">
        <w:r w:rsidR="00D30E43" w:rsidRPr="00D30E43">
          <w:rPr>
            <w:rFonts w:ascii="David" w:hAnsi="David"/>
            <w:color w:val="0000FF"/>
            <w:u w:val="single"/>
            <w:rtl/>
          </w:rPr>
          <w:t>עפ"ג (י-ם) 31347-08-14</w:t>
        </w:r>
      </w:hyperlink>
      <w:r w:rsidRPr="00957582">
        <w:rPr>
          <w:rFonts w:ascii="David" w:hAnsi="David"/>
          <w:rtl/>
        </w:rPr>
        <w:t xml:space="preserve"> </w:t>
      </w:r>
      <w:r w:rsidRPr="00957582">
        <w:rPr>
          <w:rFonts w:ascii="David" w:hAnsi="David"/>
          <w:b/>
          <w:bCs/>
          <w:rtl/>
        </w:rPr>
        <w:t>מדינת ישראל נגד בשיטי</w:t>
      </w:r>
      <w:r w:rsidRPr="00957582">
        <w:rPr>
          <w:rFonts w:ascii="David" w:hAnsi="David"/>
          <w:rtl/>
        </w:rPr>
        <w:t xml:space="preserve"> (10.12.14), </w:t>
      </w:r>
      <w:r>
        <w:rPr>
          <w:rFonts w:ascii="David" w:hAnsi="David" w:hint="cs"/>
          <w:rtl/>
        </w:rPr>
        <w:t xml:space="preserve">בו מדובר היה </w:t>
      </w:r>
      <w:r w:rsidRPr="00957582">
        <w:rPr>
          <w:rFonts w:ascii="David" w:hAnsi="David"/>
          <w:u w:val="single"/>
          <w:rtl/>
        </w:rPr>
        <w:t>במכירת</w:t>
      </w:r>
      <w:r w:rsidRPr="00957582">
        <w:rPr>
          <w:rFonts w:ascii="David" w:hAnsi="David"/>
          <w:rtl/>
        </w:rPr>
        <w:t xml:space="preserve"> סם מסוג קנאביס בשתי הזדמנויות, במשקל 97 גרם ו- 47 גרם וכן 5 טבליות </w:t>
      </w:r>
      <w:r w:rsidRPr="00F4084E">
        <w:rPr>
          <w:rFonts w:ascii="Arial" w:hAnsi="Arial" w:cs="Arial"/>
          <w:sz w:val="22"/>
          <w:szCs w:val="22"/>
        </w:rPr>
        <w:t>MDMA</w:t>
      </w:r>
      <w:r w:rsidRPr="00957582">
        <w:rPr>
          <w:rFonts w:ascii="David" w:hAnsi="David"/>
          <w:rtl/>
        </w:rPr>
        <w:t xml:space="preserve">. </w:t>
      </w:r>
      <w:r>
        <w:rPr>
          <w:rFonts w:ascii="David" w:hAnsi="David" w:hint="cs"/>
          <w:rtl/>
        </w:rPr>
        <w:t xml:space="preserve">על הנאשם </w:t>
      </w:r>
      <w:r w:rsidRPr="00957582">
        <w:rPr>
          <w:rFonts w:ascii="David" w:hAnsi="David"/>
          <w:rtl/>
        </w:rPr>
        <w:t xml:space="preserve">נגזרו 6 חודשי </w:t>
      </w:r>
      <w:r>
        <w:rPr>
          <w:rFonts w:ascii="David" w:hAnsi="David" w:hint="cs"/>
          <w:rtl/>
        </w:rPr>
        <w:t>מאסר ב</w:t>
      </w:r>
      <w:r w:rsidRPr="00957582">
        <w:rPr>
          <w:rFonts w:ascii="David" w:hAnsi="David"/>
          <w:rtl/>
        </w:rPr>
        <w:t xml:space="preserve">עבודות שרות, מאסר על תנאי וקנס; </w:t>
      </w:r>
      <w:hyperlink r:id="rId28" w:history="1">
        <w:r w:rsidR="00D30E43" w:rsidRPr="00D30E43">
          <w:rPr>
            <w:rFonts w:ascii="David" w:hAnsi="David"/>
            <w:color w:val="0000FF"/>
            <w:u w:val="single"/>
            <w:rtl/>
          </w:rPr>
          <w:t>ת"פ (שלום י-ם) 15744-01-19</w:t>
        </w:r>
      </w:hyperlink>
      <w:r w:rsidRPr="00957582">
        <w:rPr>
          <w:rFonts w:ascii="David" w:hAnsi="David"/>
          <w:rtl/>
        </w:rPr>
        <w:t xml:space="preserve"> </w:t>
      </w:r>
      <w:r w:rsidRPr="00E22D17">
        <w:rPr>
          <w:rFonts w:ascii="David" w:hAnsi="David"/>
          <w:b/>
          <w:bCs/>
          <w:rtl/>
        </w:rPr>
        <w:t>מדינת ישראל נ' עואודה</w:t>
      </w:r>
      <w:r w:rsidRPr="00957582">
        <w:rPr>
          <w:rFonts w:ascii="David" w:hAnsi="David"/>
          <w:rtl/>
        </w:rPr>
        <w:t xml:space="preserve"> (18.11.2019)‏ </w:t>
      </w:r>
      <w:r w:rsidRPr="00957582">
        <w:rPr>
          <w:rFonts w:ascii="David" w:hAnsi="David" w:hint="cs"/>
          <w:rtl/>
        </w:rPr>
        <w:t xml:space="preserve">בו </w:t>
      </w:r>
      <w:r w:rsidRPr="00957582">
        <w:rPr>
          <w:rFonts w:ascii="David" w:hAnsi="David"/>
          <w:rtl/>
        </w:rPr>
        <w:t xml:space="preserve">נגזר עונש של 300 שעות של"צ, לצד עונשים נלווים, על נאשם שהורשע בהחזקה של 20 יחידות סם מסוג </w:t>
      </w:r>
      <w:r w:rsidRPr="00F4084E">
        <w:rPr>
          <w:rFonts w:ascii="Arial" w:hAnsi="Arial" w:cs="Arial"/>
          <w:sz w:val="22"/>
          <w:szCs w:val="22"/>
        </w:rPr>
        <w:t>MDMA</w:t>
      </w:r>
      <w:r w:rsidRPr="00F10435">
        <w:rPr>
          <w:rFonts w:ascii="David" w:hAnsi="David"/>
          <w:rtl/>
        </w:rPr>
        <w:t xml:space="preserve"> </w:t>
      </w:r>
      <w:r w:rsidRPr="00957582">
        <w:rPr>
          <w:rFonts w:ascii="David" w:hAnsi="David"/>
          <w:rtl/>
        </w:rPr>
        <w:t>בביתו</w:t>
      </w:r>
      <w:r>
        <w:rPr>
          <w:rFonts w:ascii="David" w:hAnsi="David" w:hint="cs"/>
          <w:rtl/>
        </w:rPr>
        <w:t xml:space="preserve">; </w:t>
      </w:r>
      <w:hyperlink r:id="rId29" w:history="1">
        <w:r w:rsidR="00D30E43" w:rsidRPr="00D30E43">
          <w:rPr>
            <w:rFonts w:ascii="David" w:hAnsi="David"/>
            <w:color w:val="0000FF"/>
            <w:u w:val="single"/>
            <w:rtl/>
          </w:rPr>
          <w:t>עפ"א (נצ') 369/08</w:t>
        </w:r>
      </w:hyperlink>
      <w:r w:rsidRPr="00957582">
        <w:rPr>
          <w:rFonts w:ascii="David" w:hAnsi="David"/>
          <w:color w:val="000000"/>
          <w:rtl/>
        </w:rPr>
        <w:t xml:space="preserve"> </w:t>
      </w:r>
      <w:r w:rsidRPr="00957582">
        <w:rPr>
          <w:rFonts w:ascii="David" w:hAnsi="David"/>
          <w:b/>
          <w:bCs/>
          <w:color w:val="000000"/>
          <w:rtl/>
        </w:rPr>
        <w:t>עותייה נ' מדינת ישראל</w:t>
      </w:r>
      <w:r w:rsidRPr="00957582">
        <w:rPr>
          <w:rFonts w:ascii="David" w:hAnsi="David"/>
          <w:rtl/>
        </w:rPr>
        <w:t xml:space="preserve"> (31.3.2009) </w:t>
      </w:r>
      <w:r>
        <w:rPr>
          <w:rFonts w:ascii="David" w:hAnsi="David" w:hint="cs"/>
          <w:rtl/>
        </w:rPr>
        <w:t xml:space="preserve">בו הוטלו על נאשם 10 חודשי מאסר בפועל בגין החזקת סם מסוג </w:t>
      </w:r>
      <w:r w:rsidRPr="00957582">
        <w:rPr>
          <w:rFonts w:ascii="David" w:hAnsi="David"/>
          <w:rtl/>
        </w:rPr>
        <w:t xml:space="preserve">חשיש במשקל 0.3984 גר' נטו וכן </w:t>
      </w:r>
      <w:r>
        <w:rPr>
          <w:rFonts w:ascii="David" w:hAnsi="David" w:hint="cs"/>
          <w:rtl/>
        </w:rPr>
        <w:t xml:space="preserve">12 טבליות </w:t>
      </w:r>
      <w:r w:rsidRPr="00957582">
        <w:rPr>
          <w:rFonts w:ascii="David" w:hAnsi="David"/>
          <w:rtl/>
        </w:rPr>
        <w:t xml:space="preserve">סם מסוג </w:t>
      </w:r>
      <w:r w:rsidRPr="00F4084E">
        <w:rPr>
          <w:rFonts w:ascii="Arial" w:hAnsi="Arial" w:cs="Arial"/>
          <w:sz w:val="22"/>
          <w:szCs w:val="22"/>
        </w:rPr>
        <w:t>MDMA</w:t>
      </w:r>
      <w:r w:rsidRPr="00957582">
        <w:rPr>
          <w:rFonts w:ascii="David" w:hAnsi="David"/>
          <w:rtl/>
        </w:rPr>
        <w:t xml:space="preserve">. </w:t>
      </w:r>
    </w:p>
    <w:p w14:paraId="031A4913" w14:textId="77777777" w:rsidR="00F4084E" w:rsidRPr="00957582" w:rsidRDefault="00F4084E" w:rsidP="00F4084E">
      <w:pPr>
        <w:spacing w:line="360" w:lineRule="auto"/>
        <w:contextualSpacing/>
        <w:jc w:val="both"/>
        <w:rPr>
          <w:rFonts w:ascii="David" w:hAnsi="David"/>
        </w:rPr>
      </w:pPr>
    </w:p>
    <w:p w14:paraId="227208FD" w14:textId="77777777" w:rsidR="00F4084E" w:rsidRPr="00F10435" w:rsidRDefault="00F4084E" w:rsidP="00F4084E">
      <w:pPr>
        <w:numPr>
          <w:ilvl w:val="0"/>
          <w:numId w:val="1"/>
        </w:numPr>
        <w:spacing w:line="360" w:lineRule="auto"/>
        <w:contextualSpacing/>
        <w:jc w:val="both"/>
        <w:rPr>
          <w:rFonts w:ascii="David" w:hAnsi="David"/>
        </w:rPr>
      </w:pPr>
      <w:r w:rsidRPr="00F10435">
        <w:rPr>
          <w:rFonts w:ascii="David" w:hAnsi="David"/>
          <w:rtl/>
        </w:rPr>
        <w:t>לאור כל זאת, אני בדעה כי מתחם הענישה ההולם את העביר</w:t>
      </w:r>
      <w:r>
        <w:rPr>
          <w:rFonts w:ascii="David" w:hAnsi="David" w:hint="cs"/>
          <w:rtl/>
        </w:rPr>
        <w:t>ה</w:t>
      </w:r>
      <w:r w:rsidRPr="00F10435">
        <w:rPr>
          <w:rFonts w:ascii="David" w:hAnsi="David"/>
          <w:rtl/>
        </w:rPr>
        <w:t xml:space="preserve"> בה הורשע הנאשם נע בין </w:t>
      </w:r>
      <w:r>
        <w:rPr>
          <w:rFonts w:ascii="David" w:hAnsi="David" w:hint="cs"/>
          <w:rtl/>
        </w:rPr>
        <w:t xml:space="preserve">עונש מאסר קצר </w:t>
      </w:r>
      <w:r w:rsidRPr="00F10435">
        <w:rPr>
          <w:rFonts w:ascii="David" w:hAnsi="David"/>
          <w:rtl/>
        </w:rPr>
        <w:t xml:space="preserve">שניתן </w:t>
      </w:r>
      <w:r>
        <w:rPr>
          <w:rFonts w:ascii="David" w:hAnsi="David" w:hint="cs"/>
          <w:rtl/>
        </w:rPr>
        <w:t xml:space="preserve">לשאת </w:t>
      </w:r>
      <w:r w:rsidRPr="00F10435">
        <w:rPr>
          <w:rFonts w:ascii="David" w:hAnsi="David"/>
          <w:rtl/>
        </w:rPr>
        <w:t xml:space="preserve">בדרך של עבודות שירות </w:t>
      </w:r>
      <w:r>
        <w:rPr>
          <w:rFonts w:ascii="David" w:hAnsi="David" w:hint="cs"/>
          <w:rtl/>
        </w:rPr>
        <w:t xml:space="preserve">ועד 15 </w:t>
      </w:r>
      <w:r w:rsidRPr="00F10435">
        <w:rPr>
          <w:rFonts w:ascii="David" w:hAnsi="David"/>
          <w:rtl/>
        </w:rPr>
        <w:t>חודשי מאסר.</w:t>
      </w:r>
    </w:p>
    <w:p w14:paraId="0BCF9667" w14:textId="77777777" w:rsidR="00F4084E" w:rsidRPr="00D25EEB" w:rsidRDefault="00F4084E" w:rsidP="00F4084E">
      <w:pPr>
        <w:spacing w:line="360" w:lineRule="auto"/>
        <w:contextualSpacing/>
        <w:jc w:val="both"/>
        <w:rPr>
          <w:rFonts w:ascii="David" w:hAnsi="David"/>
          <w:rtl/>
        </w:rPr>
      </w:pPr>
    </w:p>
    <w:p w14:paraId="35C99249" w14:textId="77777777" w:rsidR="00F4084E" w:rsidRPr="00F10435" w:rsidRDefault="00F4084E" w:rsidP="00F4084E">
      <w:pPr>
        <w:spacing w:line="360" w:lineRule="auto"/>
        <w:contextualSpacing/>
        <w:jc w:val="both"/>
        <w:rPr>
          <w:rFonts w:ascii="David" w:hAnsi="David"/>
          <w:b/>
          <w:bCs/>
          <w:u w:val="single"/>
          <w:rtl/>
        </w:rPr>
      </w:pPr>
      <w:r w:rsidRPr="00F10435">
        <w:rPr>
          <w:rFonts w:ascii="David" w:hAnsi="David"/>
          <w:b/>
          <w:bCs/>
          <w:u w:val="single"/>
          <w:rtl/>
        </w:rPr>
        <w:t>קביעת עונשו של הנאשם</w:t>
      </w:r>
    </w:p>
    <w:p w14:paraId="10FDBC16" w14:textId="77777777" w:rsidR="00F4084E" w:rsidRPr="00F10435" w:rsidRDefault="00F4084E" w:rsidP="00F4084E">
      <w:pPr>
        <w:spacing w:line="360" w:lineRule="auto"/>
        <w:contextualSpacing/>
        <w:jc w:val="both"/>
        <w:rPr>
          <w:rFonts w:ascii="David" w:hAnsi="David"/>
          <w:b/>
          <w:bCs/>
          <w:u w:val="single"/>
          <w:rtl/>
        </w:rPr>
      </w:pPr>
    </w:p>
    <w:p w14:paraId="712548FE" w14:textId="77777777" w:rsidR="00F4084E" w:rsidRPr="00E96CC6" w:rsidRDefault="00F4084E" w:rsidP="00F4084E">
      <w:pPr>
        <w:numPr>
          <w:ilvl w:val="0"/>
          <w:numId w:val="1"/>
        </w:numPr>
        <w:spacing w:line="360" w:lineRule="auto"/>
        <w:contextualSpacing/>
        <w:jc w:val="both"/>
        <w:rPr>
          <w:rFonts w:ascii="David" w:hAnsi="David"/>
        </w:rPr>
      </w:pPr>
      <w:r w:rsidRPr="00E96CC6">
        <w:rPr>
          <w:rFonts w:ascii="David" w:hAnsi="David" w:hint="cs"/>
          <w:rtl/>
        </w:rPr>
        <w:t xml:space="preserve">איש מהצדדים </w:t>
      </w:r>
      <w:r w:rsidRPr="00E96CC6">
        <w:rPr>
          <w:rFonts w:ascii="David" w:hAnsi="David"/>
          <w:rtl/>
        </w:rPr>
        <w:t>לא טען שיש לסטות ממתחם הענישה ואכן נתוני המקרה מצביעים על כך שיש לגזור את עונשו של הנאשם בגדרי מתחם הענישה ואין מקום לסטות ממנו לקולה או לחומרה</w:t>
      </w:r>
      <w:r w:rsidRPr="00E96CC6">
        <w:rPr>
          <w:rFonts w:ascii="David" w:hAnsi="David" w:hint="cs"/>
          <w:rtl/>
        </w:rPr>
        <w:t>. הנאשם לא ביקש לקבל תסקיר ולא הובאו ב</w:t>
      </w:r>
      <w:r>
        <w:rPr>
          <w:rFonts w:ascii="David" w:hAnsi="David" w:hint="cs"/>
          <w:rtl/>
        </w:rPr>
        <w:t>פ</w:t>
      </w:r>
      <w:r w:rsidRPr="00E96CC6">
        <w:rPr>
          <w:rFonts w:ascii="David" w:hAnsi="David" w:hint="cs"/>
          <w:rtl/>
        </w:rPr>
        <w:t xml:space="preserve">ני נתונים </w:t>
      </w:r>
      <w:r w:rsidRPr="00E96CC6">
        <w:rPr>
          <w:rFonts w:ascii="David" w:hAnsi="David"/>
          <w:rtl/>
        </w:rPr>
        <w:t xml:space="preserve"> </w:t>
      </w:r>
      <w:r>
        <w:rPr>
          <w:rFonts w:ascii="David" w:hAnsi="David" w:hint="cs"/>
          <w:rtl/>
        </w:rPr>
        <w:t xml:space="preserve">שיש בהם ללמד על סיכויי שיקום, לא כל שכן ממשיים. </w:t>
      </w:r>
    </w:p>
    <w:p w14:paraId="3E6E3089" w14:textId="77777777" w:rsidR="00F4084E" w:rsidRPr="00F10435" w:rsidRDefault="00F4084E" w:rsidP="00F4084E">
      <w:pPr>
        <w:spacing w:line="360" w:lineRule="auto"/>
        <w:contextualSpacing/>
        <w:jc w:val="both"/>
        <w:rPr>
          <w:rFonts w:ascii="David" w:hAnsi="David"/>
        </w:rPr>
      </w:pPr>
    </w:p>
    <w:p w14:paraId="2448BFC7" w14:textId="77777777" w:rsidR="00F4084E" w:rsidRDefault="00F4084E" w:rsidP="00F4084E">
      <w:pPr>
        <w:numPr>
          <w:ilvl w:val="0"/>
          <w:numId w:val="1"/>
        </w:numPr>
        <w:spacing w:line="360" w:lineRule="auto"/>
        <w:contextualSpacing/>
        <w:jc w:val="both"/>
        <w:rPr>
          <w:rFonts w:ascii="David" w:hAnsi="David"/>
        </w:rPr>
      </w:pPr>
      <w:r w:rsidRPr="003D480F">
        <w:rPr>
          <w:rFonts w:ascii="David" w:hAnsi="David" w:hint="cs"/>
          <w:rtl/>
        </w:rPr>
        <w:t>לצורך קביעת עונשו של הנאשם ב</w:t>
      </w:r>
      <w:r>
        <w:rPr>
          <w:rFonts w:ascii="David" w:hAnsi="David" w:hint="cs"/>
          <w:rtl/>
        </w:rPr>
        <w:t xml:space="preserve">גדרי המתחם הבאתי בחשבון את הודאתו אשר ביטאה חרטה והפנמת הפסול. הבאתי עוד בחשבון כי חלפו מאז ביצוע העבירה כשלוש שנים. הבאתי בעניין זה גם בחשבון כי כתב האישום הוגש כשנתיים לאחר ביצוע העבירה ללא הסבר בדבר שיהוי זה. הבאתי עוד בחשבון את גילו של הנאשם ומנגד את עברו הפלילי הכולל עבירה דומה בשנת 2017 בגינה הוטל עליו עונש מאסר בפועל. אציין כי עבירה זו בוצעה חודשים ספורים לאחר העבירה מושא גזר דין זה. עם זאת, הבאתי בחשבון כי למעט עבירות אלו, עברו הפלילי כולל עבירות סמים לשימוש עצמי בלבד עד שנת 1999 (ולפני כן מדובר בעבירות עת היה קטין). </w:t>
      </w:r>
    </w:p>
    <w:p w14:paraId="15F1FE20" w14:textId="77777777" w:rsidR="00F4084E" w:rsidRPr="00EF03E6" w:rsidRDefault="00F4084E" w:rsidP="00F4084E">
      <w:pPr>
        <w:pStyle w:val="a9"/>
        <w:rPr>
          <w:rFonts w:ascii="David" w:hAnsi="David"/>
          <w:rtl/>
        </w:rPr>
      </w:pPr>
    </w:p>
    <w:p w14:paraId="7FAEDA60" w14:textId="77777777" w:rsidR="00F4084E" w:rsidRPr="008E0D9F" w:rsidRDefault="00F4084E" w:rsidP="00F4084E">
      <w:pPr>
        <w:numPr>
          <w:ilvl w:val="0"/>
          <w:numId w:val="1"/>
        </w:numPr>
        <w:spacing w:line="360" w:lineRule="auto"/>
        <w:contextualSpacing/>
        <w:jc w:val="both"/>
        <w:rPr>
          <w:rFonts w:ascii="David" w:hAnsi="David"/>
        </w:rPr>
      </w:pPr>
      <w:r>
        <w:rPr>
          <w:rFonts w:ascii="David" w:hAnsi="David" w:hint="cs"/>
          <w:rtl/>
        </w:rPr>
        <w:t xml:space="preserve">המאשימה הסכימה שהנאשם יישא את עונשו בעבודות שירות. הנאשם ביקש להסתפק בענישה מותנית. בשים לב למתחם הענישה אותו קבעתי הדבר אינו אפשרי ללא חריגה מטעמי שיקום ואלו כאמור לא הוכחו. עם זאת, בשים לב לשיקולים שפורטו לעיל, ראוי לדעתי להטיל על הנאשם עונש בתחתית המתחם, בעיקר בשל חלוף הזמן והרצון שלא לפגוע יתר על המידה ביכולתו להתפרנס. </w:t>
      </w:r>
      <w:r w:rsidRPr="008E0D9F">
        <w:rPr>
          <w:rFonts w:ascii="David" w:hAnsi="David" w:hint="cs"/>
          <w:rtl/>
        </w:rPr>
        <w:t>ביחס לעתירה להטלת פסיל</w:t>
      </w:r>
      <w:r>
        <w:rPr>
          <w:rFonts w:ascii="David" w:hAnsi="David" w:hint="cs"/>
          <w:rtl/>
        </w:rPr>
        <w:t>ת רישיון</w:t>
      </w:r>
      <w:r w:rsidRPr="008E0D9F">
        <w:rPr>
          <w:rFonts w:ascii="David" w:hAnsi="David" w:hint="cs"/>
          <w:rtl/>
        </w:rPr>
        <w:t xml:space="preserve">, הרי שבשים לב לחלוף הזמן וליתר העונשים המוטלים על הנאשם, ראיתי להימנע מפסילה בפועל ולהסתפק בפסילה על תנאי. </w:t>
      </w:r>
    </w:p>
    <w:p w14:paraId="71FCA363" w14:textId="77777777" w:rsidR="00F4084E" w:rsidRDefault="00F4084E" w:rsidP="00F4084E">
      <w:pPr>
        <w:pStyle w:val="a9"/>
        <w:rPr>
          <w:rFonts w:ascii="David" w:hAnsi="David"/>
          <w:rtl/>
        </w:rPr>
      </w:pPr>
    </w:p>
    <w:p w14:paraId="0414F964" w14:textId="77777777" w:rsidR="00F4084E" w:rsidRDefault="00F4084E" w:rsidP="00F4084E">
      <w:pPr>
        <w:pStyle w:val="a9"/>
        <w:rPr>
          <w:rFonts w:ascii="David" w:hAnsi="David"/>
          <w:rtl/>
        </w:rPr>
      </w:pPr>
    </w:p>
    <w:p w14:paraId="33B01E83" w14:textId="77777777" w:rsidR="00F4084E" w:rsidRDefault="00F4084E" w:rsidP="00F4084E">
      <w:pPr>
        <w:pStyle w:val="a9"/>
        <w:rPr>
          <w:rFonts w:ascii="David" w:hAnsi="David"/>
          <w:rtl/>
        </w:rPr>
      </w:pPr>
    </w:p>
    <w:p w14:paraId="068F4F60" w14:textId="77777777" w:rsidR="00F4084E" w:rsidRDefault="00F4084E" w:rsidP="00F4084E">
      <w:pPr>
        <w:pStyle w:val="a9"/>
        <w:rPr>
          <w:rFonts w:ascii="David" w:hAnsi="David"/>
          <w:rtl/>
        </w:rPr>
      </w:pPr>
    </w:p>
    <w:p w14:paraId="42E4C9CD" w14:textId="77777777" w:rsidR="00F4084E" w:rsidRPr="008E0D9F" w:rsidRDefault="00F4084E" w:rsidP="00F4084E">
      <w:pPr>
        <w:pStyle w:val="a9"/>
        <w:rPr>
          <w:rFonts w:ascii="David" w:hAnsi="David"/>
          <w:rtl/>
        </w:rPr>
      </w:pPr>
    </w:p>
    <w:p w14:paraId="5E1E9297" w14:textId="77777777" w:rsidR="00F4084E" w:rsidRDefault="00F4084E" w:rsidP="00F4084E">
      <w:pPr>
        <w:numPr>
          <w:ilvl w:val="0"/>
          <w:numId w:val="1"/>
        </w:numPr>
        <w:spacing w:line="360" w:lineRule="auto"/>
        <w:contextualSpacing/>
        <w:jc w:val="both"/>
        <w:rPr>
          <w:rFonts w:ascii="David" w:hAnsi="David"/>
        </w:rPr>
      </w:pPr>
      <w:r>
        <w:rPr>
          <w:rFonts w:ascii="David" w:hAnsi="David" w:hint="cs"/>
          <w:rtl/>
        </w:rPr>
        <w:t xml:space="preserve">לאור כך אני מטיל על הנאשם את העונשים הבאים: </w:t>
      </w:r>
    </w:p>
    <w:p w14:paraId="55EA91E1" w14:textId="77777777" w:rsidR="00F4084E" w:rsidRPr="003D480F" w:rsidRDefault="00F4084E" w:rsidP="00F4084E">
      <w:pPr>
        <w:spacing w:line="360" w:lineRule="auto"/>
        <w:contextualSpacing/>
        <w:jc w:val="both"/>
        <w:rPr>
          <w:rFonts w:ascii="David" w:hAnsi="David"/>
        </w:rPr>
      </w:pPr>
    </w:p>
    <w:p w14:paraId="22EB5B94" w14:textId="77777777" w:rsidR="00F4084E" w:rsidRPr="008E0D9F" w:rsidRDefault="00F4084E" w:rsidP="00F4084E">
      <w:pPr>
        <w:pStyle w:val="a9"/>
        <w:numPr>
          <w:ilvl w:val="0"/>
          <w:numId w:val="2"/>
        </w:numPr>
        <w:spacing w:line="360" w:lineRule="auto"/>
        <w:jc w:val="both"/>
        <w:rPr>
          <w:rFonts w:ascii="David" w:hAnsi="David" w:cs="David"/>
          <w:sz w:val="24"/>
          <w:szCs w:val="24"/>
        </w:rPr>
      </w:pPr>
      <w:r w:rsidRPr="008E0D9F">
        <w:rPr>
          <w:rFonts w:ascii="David" w:hAnsi="David" w:cs="David"/>
          <w:sz w:val="24"/>
          <w:szCs w:val="24"/>
          <w:rtl/>
        </w:rPr>
        <w:t xml:space="preserve">מאסר בפועל לתקופה של חודשיים. הנאשם יישא בעונשו בדרך של עבודות שירות החל מיום 26.10.20. </w:t>
      </w:r>
    </w:p>
    <w:p w14:paraId="3A24F364" w14:textId="77777777" w:rsidR="00F4084E" w:rsidRPr="008E0D9F" w:rsidRDefault="00F4084E" w:rsidP="00F4084E">
      <w:pPr>
        <w:pStyle w:val="a9"/>
        <w:numPr>
          <w:ilvl w:val="0"/>
          <w:numId w:val="2"/>
        </w:numPr>
        <w:spacing w:line="360" w:lineRule="auto"/>
        <w:jc w:val="both"/>
        <w:rPr>
          <w:rFonts w:ascii="David" w:hAnsi="David" w:cs="David"/>
          <w:sz w:val="24"/>
          <w:szCs w:val="24"/>
        </w:rPr>
      </w:pPr>
      <w:r w:rsidRPr="008E0D9F">
        <w:rPr>
          <w:rFonts w:ascii="David" w:hAnsi="David" w:cs="David"/>
          <w:sz w:val="24"/>
          <w:szCs w:val="24"/>
          <w:rtl/>
        </w:rPr>
        <w:t xml:space="preserve">מאסר על תנאי למשך 5 חודשים והתנאי הוא שהנאשם לא יעבור בתוך שנתיים </w:t>
      </w:r>
      <w:r>
        <w:rPr>
          <w:rFonts w:ascii="David" w:hAnsi="David" w:cs="David" w:hint="cs"/>
          <w:sz w:val="24"/>
          <w:szCs w:val="24"/>
          <w:rtl/>
        </w:rPr>
        <w:t>כל עבירה על פקודת הסמים שהיא פשע</w:t>
      </w:r>
      <w:r w:rsidRPr="008E0D9F">
        <w:rPr>
          <w:rFonts w:ascii="David" w:hAnsi="David" w:cs="David"/>
          <w:sz w:val="24"/>
          <w:szCs w:val="24"/>
          <w:rtl/>
        </w:rPr>
        <w:t xml:space="preserve">. </w:t>
      </w:r>
    </w:p>
    <w:p w14:paraId="369A06C4" w14:textId="77777777" w:rsidR="00F4084E" w:rsidRPr="008E0D9F" w:rsidRDefault="00F4084E" w:rsidP="00F4084E">
      <w:pPr>
        <w:pStyle w:val="a9"/>
        <w:numPr>
          <w:ilvl w:val="0"/>
          <w:numId w:val="2"/>
        </w:numPr>
        <w:spacing w:line="360" w:lineRule="auto"/>
        <w:jc w:val="both"/>
        <w:rPr>
          <w:rFonts w:ascii="David" w:hAnsi="David" w:cs="David"/>
          <w:sz w:val="24"/>
          <w:szCs w:val="24"/>
        </w:rPr>
      </w:pPr>
      <w:r w:rsidRPr="008E0D9F">
        <w:rPr>
          <w:rFonts w:ascii="David" w:hAnsi="David" w:cs="David"/>
          <w:sz w:val="24"/>
          <w:szCs w:val="24"/>
          <w:rtl/>
        </w:rPr>
        <w:t xml:space="preserve">קנס בסך 6,000 ₪. הקנס ישולם ב-10 תשלומים שווים ורצופים, החל מיום 1.10.20 ובכל 1 לחודש שלאחריו. </w:t>
      </w:r>
      <w:r>
        <w:rPr>
          <w:rFonts w:ascii="David" w:hAnsi="David" w:cs="David" w:hint="cs"/>
          <w:sz w:val="24"/>
          <w:szCs w:val="24"/>
          <w:rtl/>
        </w:rPr>
        <w:t>לא ישולם אחד התשלומים במועדו תעמוד היתרה לפירעון מידי.</w:t>
      </w:r>
    </w:p>
    <w:p w14:paraId="4E0252F6" w14:textId="77777777" w:rsidR="00F4084E" w:rsidRPr="008E0D9F" w:rsidRDefault="00F4084E" w:rsidP="00F4084E">
      <w:pPr>
        <w:pStyle w:val="a9"/>
        <w:numPr>
          <w:ilvl w:val="0"/>
          <w:numId w:val="2"/>
        </w:numPr>
        <w:spacing w:line="360" w:lineRule="auto"/>
        <w:jc w:val="both"/>
        <w:rPr>
          <w:rFonts w:ascii="David" w:hAnsi="David" w:cs="David"/>
          <w:sz w:val="24"/>
          <w:szCs w:val="24"/>
        </w:rPr>
      </w:pPr>
      <w:r w:rsidRPr="008E0D9F">
        <w:rPr>
          <w:rFonts w:ascii="David" w:hAnsi="David" w:cs="David"/>
          <w:sz w:val="24"/>
          <w:szCs w:val="24"/>
          <w:rtl/>
        </w:rPr>
        <w:t>אני פוסל את הנאשם מלהחזיק או לקבל רישיון נהיגה לתק</w:t>
      </w:r>
      <w:r>
        <w:rPr>
          <w:rFonts w:ascii="David" w:hAnsi="David" w:cs="David" w:hint="cs"/>
          <w:sz w:val="24"/>
          <w:szCs w:val="24"/>
          <w:rtl/>
        </w:rPr>
        <w:t>ו</w:t>
      </w:r>
      <w:r w:rsidRPr="008E0D9F">
        <w:rPr>
          <w:rFonts w:ascii="David" w:hAnsi="David" w:cs="David"/>
          <w:sz w:val="24"/>
          <w:szCs w:val="24"/>
          <w:rtl/>
        </w:rPr>
        <w:t xml:space="preserve">פה בת 6 חודשים </w:t>
      </w:r>
      <w:r>
        <w:rPr>
          <w:rFonts w:ascii="David" w:hAnsi="David" w:cs="David" w:hint="cs"/>
          <w:sz w:val="24"/>
          <w:szCs w:val="24"/>
          <w:rtl/>
        </w:rPr>
        <w:t xml:space="preserve">וזאת על תנאי, כאשר </w:t>
      </w:r>
      <w:r w:rsidRPr="008E0D9F">
        <w:rPr>
          <w:rFonts w:ascii="David" w:hAnsi="David" w:cs="David"/>
          <w:sz w:val="24"/>
          <w:szCs w:val="24"/>
          <w:rtl/>
        </w:rPr>
        <w:t>התנאי הוא שלא יעבור במשך 3 שנים כל עבירה על פקודת הסמים.</w:t>
      </w:r>
    </w:p>
    <w:p w14:paraId="4A358554" w14:textId="77777777" w:rsidR="00F4084E" w:rsidRPr="000002F6" w:rsidRDefault="00F4084E" w:rsidP="00F4084E">
      <w:pPr>
        <w:spacing w:line="360" w:lineRule="auto"/>
        <w:ind w:firstLine="720"/>
        <w:jc w:val="both"/>
        <w:rPr>
          <w:rFonts w:ascii="David" w:hAnsi="David"/>
          <w:b/>
          <w:bCs/>
          <w:rtl/>
        </w:rPr>
      </w:pPr>
      <w:r w:rsidRPr="000002F6">
        <w:rPr>
          <w:rFonts w:ascii="David" w:hAnsi="David"/>
          <w:b/>
          <w:bCs/>
          <w:rtl/>
        </w:rPr>
        <w:t>המוצג – סמים, להשמיד</w:t>
      </w:r>
      <w:r>
        <w:rPr>
          <w:rFonts w:ascii="David" w:hAnsi="David" w:hint="cs"/>
          <w:b/>
          <w:bCs/>
          <w:rtl/>
        </w:rPr>
        <w:t xml:space="preserve"> בחלוף תקופת הערעור</w:t>
      </w:r>
      <w:r w:rsidRPr="000002F6">
        <w:rPr>
          <w:rFonts w:ascii="David" w:hAnsi="David"/>
          <w:b/>
          <w:bCs/>
          <w:rtl/>
        </w:rPr>
        <w:t xml:space="preserve">.  </w:t>
      </w:r>
    </w:p>
    <w:p w14:paraId="0248B8D1" w14:textId="77777777" w:rsidR="00F4084E" w:rsidRDefault="00F4084E" w:rsidP="00F4084E">
      <w:pPr>
        <w:ind w:firstLine="720"/>
        <w:rPr>
          <w:b/>
          <w:bCs/>
          <w:rtl/>
        </w:rPr>
      </w:pPr>
    </w:p>
    <w:p w14:paraId="3AE6E079" w14:textId="77777777" w:rsidR="00F4084E" w:rsidRPr="000002F6" w:rsidRDefault="00F4084E" w:rsidP="00F4084E">
      <w:pPr>
        <w:ind w:firstLine="720"/>
        <w:rPr>
          <w:b/>
          <w:bCs/>
          <w:u w:val="single"/>
          <w:rtl/>
        </w:rPr>
      </w:pPr>
      <w:r w:rsidRPr="000002F6">
        <w:rPr>
          <w:rFonts w:hint="cs"/>
          <w:b/>
          <w:bCs/>
          <w:u w:val="single"/>
          <w:rtl/>
        </w:rPr>
        <w:t>המזכירות: להמציא את גזר הדין לממונה על עבודות השירות</w:t>
      </w:r>
    </w:p>
    <w:p w14:paraId="463E64CA" w14:textId="77777777" w:rsidR="00F4084E" w:rsidRPr="000002F6" w:rsidRDefault="00F4084E" w:rsidP="00F4084E">
      <w:pPr>
        <w:rPr>
          <w:u w:val="single"/>
          <w:rtl/>
        </w:rPr>
      </w:pPr>
    </w:p>
    <w:p w14:paraId="62AD7A43" w14:textId="77777777" w:rsidR="00F4084E" w:rsidRPr="000002F6" w:rsidRDefault="00F4084E" w:rsidP="00F4084E">
      <w:pPr>
        <w:ind w:left="720"/>
        <w:rPr>
          <w:b/>
          <w:bCs/>
          <w:u w:val="single"/>
          <w:rtl/>
        </w:rPr>
      </w:pPr>
      <w:r w:rsidRPr="000002F6">
        <w:rPr>
          <w:rFonts w:hint="cs"/>
          <w:b/>
          <w:bCs/>
          <w:u w:val="single"/>
          <w:rtl/>
        </w:rPr>
        <w:t>הודעה זכות ערעור בתוך 45 ימים.</w:t>
      </w:r>
    </w:p>
    <w:p w14:paraId="34385739" w14:textId="77777777" w:rsidR="00F4084E" w:rsidRPr="000002F6" w:rsidRDefault="00F4084E" w:rsidP="00F4084E">
      <w:pPr>
        <w:rPr>
          <w:u w:val="single"/>
          <w:rtl/>
        </w:rPr>
      </w:pPr>
    </w:p>
    <w:p w14:paraId="7076FB59" w14:textId="77777777" w:rsidR="00F4084E" w:rsidRPr="00B05847" w:rsidRDefault="00F4084E" w:rsidP="00F4084E">
      <w:pPr>
        <w:rPr>
          <w:rtl/>
        </w:rPr>
      </w:pPr>
    </w:p>
    <w:p w14:paraId="1F9576C7" w14:textId="77777777" w:rsidR="00F4084E" w:rsidRPr="00D30E43" w:rsidRDefault="00D30E43" w:rsidP="00F4084E">
      <w:pPr>
        <w:rPr>
          <w:color w:val="FFFFFF"/>
          <w:sz w:val="2"/>
          <w:szCs w:val="2"/>
          <w:rtl/>
        </w:rPr>
      </w:pPr>
      <w:r w:rsidRPr="00D30E43">
        <w:rPr>
          <w:color w:val="FFFFFF"/>
          <w:sz w:val="2"/>
          <w:szCs w:val="2"/>
          <w:rtl/>
        </w:rPr>
        <w:t>5129371</w:t>
      </w:r>
    </w:p>
    <w:p w14:paraId="43FA6412" w14:textId="77777777" w:rsidR="00F4084E" w:rsidRDefault="00D30E43" w:rsidP="00F4084E">
      <w:pPr>
        <w:rPr>
          <w:rFonts w:cs="FrankRuehl"/>
          <w:sz w:val="28"/>
          <w:szCs w:val="28"/>
          <w:rtl/>
        </w:rPr>
      </w:pPr>
      <w:bookmarkStart w:id="7" w:name="Nitan"/>
      <w:r w:rsidRPr="00D30E43">
        <w:rPr>
          <w:rFonts w:ascii="Arial" w:hAnsi="Arial"/>
          <w:color w:val="FFFFFF"/>
          <w:sz w:val="2"/>
          <w:szCs w:val="2"/>
          <w:rtl/>
        </w:rPr>
        <w:t>54678313</w:t>
      </w:r>
      <w:r>
        <w:rPr>
          <w:rFonts w:ascii="Arial" w:hAnsi="Arial"/>
          <w:rtl/>
        </w:rPr>
        <w:t xml:space="preserve">ניתן היום,  ד' אלול תש"פ, 24 אוגוסט 2020, במעמד הצדדים. </w:t>
      </w:r>
      <w:bookmarkEnd w:id="7"/>
      <w:r w:rsidR="006F3F4E">
        <w:rPr>
          <w:rFonts w:cs="FrankRuehl" w:hint="cs"/>
          <w:sz w:val="28"/>
          <w:szCs w:val="28"/>
          <w:rtl/>
        </w:rPr>
        <w:t xml:space="preserve"> </w:t>
      </w:r>
    </w:p>
    <w:p w14:paraId="77DDCDB8" w14:textId="77777777" w:rsidR="00F4084E" w:rsidRDefault="00F4084E" w:rsidP="00D30E4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29FB1E" w14:textId="77777777" w:rsidR="00F4084E" w:rsidRDefault="00F4084E" w:rsidP="00F4084E">
      <w:pPr>
        <w:jc w:val="center"/>
        <w:rPr>
          <w:rFonts w:ascii="Arial" w:hAnsi="Arial" w:cs="FrankRuehl"/>
          <w:sz w:val="28"/>
          <w:szCs w:val="28"/>
          <w:rtl/>
        </w:rPr>
      </w:pPr>
    </w:p>
    <w:p w14:paraId="4C935755" w14:textId="77777777" w:rsidR="00F4084E" w:rsidRDefault="00F4084E" w:rsidP="00F4084E">
      <w:pPr>
        <w:rPr>
          <w:rFonts w:cs="FrankRuehl"/>
          <w:sz w:val="28"/>
          <w:szCs w:val="28"/>
          <w:rtl/>
        </w:rPr>
      </w:pPr>
    </w:p>
    <w:p w14:paraId="4B8A42E0" w14:textId="77777777" w:rsidR="00F4084E" w:rsidRDefault="00F4084E" w:rsidP="00F4084E">
      <w:pPr>
        <w:pStyle w:val="a3"/>
        <w:jc w:val="center"/>
        <w:rPr>
          <w:rtl/>
        </w:rPr>
      </w:pPr>
    </w:p>
    <w:p w14:paraId="123473E7" w14:textId="77777777" w:rsidR="00BB2CC4" w:rsidRPr="00D30E43" w:rsidRDefault="00BB2CC4" w:rsidP="00D30E43">
      <w:pPr>
        <w:keepNext/>
        <w:rPr>
          <w:rFonts w:ascii="David" w:hAnsi="David"/>
          <w:color w:val="000000"/>
          <w:sz w:val="22"/>
          <w:szCs w:val="22"/>
          <w:rtl/>
        </w:rPr>
      </w:pPr>
    </w:p>
    <w:p w14:paraId="014F274F" w14:textId="77777777" w:rsidR="00D30E43" w:rsidRPr="00D30E43" w:rsidRDefault="00D30E43" w:rsidP="00D30E43">
      <w:pPr>
        <w:keepNext/>
        <w:rPr>
          <w:rFonts w:ascii="David" w:hAnsi="David"/>
          <w:color w:val="000000"/>
          <w:sz w:val="22"/>
          <w:szCs w:val="22"/>
          <w:rtl/>
        </w:rPr>
      </w:pPr>
      <w:r w:rsidRPr="00D30E43">
        <w:rPr>
          <w:rFonts w:ascii="David" w:hAnsi="David"/>
          <w:color w:val="000000"/>
          <w:sz w:val="22"/>
          <w:szCs w:val="22"/>
          <w:rtl/>
        </w:rPr>
        <w:t>יוסי טורס 54678313</w:t>
      </w:r>
    </w:p>
    <w:p w14:paraId="54A3B2A0" w14:textId="77777777" w:rsidR="00D30E43" w:rsidRDefault="00D30E43" w:rsidP="00D30E43">
      <w:r w:rsidRPr="00D30E43">
        <w:rPr>
          <w:color w:val="000000"/>
          <w:rtl/>
        </w:rPr>
        <w:t>נוסח מסמך זה כפוף לשינויי ניסוח ועריכה</w:t>
      </w:r>
    </w:p>
    <w:p w14:paraId="2708956B" w14:textId="77777777" w:rsidR="00D30E43" w:rsidRDefault="00D30E43" w:rsidP="00D30E43">
      <w:pPr>
        <w:rPr>
          <w:rtl/>
        </w:rPr>
      </w:pPr>
    </w:p>
    <w:p w14:paraId="0F590164" w14:textId="77777777" w:rsidR="00D30E43" w:rsidRDefault="00D30E43" w:rsidP="00D30E4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49712CC" w14:textId="77777777" w:rsidR="00D30E43" w:rsidRPr="00D30E43" w:rsidRDefault="00D30E43" w:rsidP="00D30E43">
      <w:pPr>
        <w:jc w:val="center"/>
        <w:rPr>
          <w:color w:val="0000FF"/>
          <w:u w:val="single"/>
        </w:rPr>
      </w:pPr>
    </w:p>
    <w:sectPr w:rsidR="00D30E43" w:rsidRPr="00D30E43" w:rsidSect="00D30E43">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CB4B7" w14:textId="77777777" w:rsidR="00DC0249" w:rsidRDefault="00DC0249" w:rsidP="00045B94">
      <w:r>
        <w:separator/>
      </w:r>
    </w:p>
  </w:endnote>
  <w:endnote w:type="continuationSeparator" w:id="0">
    <w:p w14:paraId="267D71CF" w14:textId="77777777" w:rsidR="00DC0249" w:rsidRDefault="00DC0249" w:rsidP="0004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09C26" w14:textId="77777777" w:rsidR="00D30E43" w:rsidRDefault="00D30E43" w:rsidP="00D30E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4331BA" w14:textId="77777777" w:rsidR="00512560" w:rsidRPr="00D30E43" w:rsidRDefault="00D30E43" w:rsidP="00D30E4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06111" w14:textId="77777777" w:rsidR="00D30E43" w:rsidRDefault="00D30E43" w:rsidP="00D30E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306D">
      <w:rPr>
        <w:rFonts w:ascii="FrankRuehl" w:hAnsi="FrankRuehl" w:cs="FrankRuehl"/>
        <w:noProof/>
        <w:rtl/>
      </w:rPr>
      <w:t>1</w:t>
    </w:r>
    <w:r>
      <w:rPr>
        <w:rFonts w:ascii="FrankRuehl" w:hAnsi="FrankRuehl" w:cs="FrankRuehl"/>
        <w:rtl/>
      </w:rPr>
      <w:fldChar w:fldCharType="end"/>
    </w:r>
  </w:p>
  <w:p w14:paraId="536879F4" w14:textId="77777777" w:rsidR="00512560" w:rsidRPr="00D30E43" w:rsidRDefault="00D30E43" w:rsidP="00D30E4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83D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4C7DE" w14:textId="77777777" w:rsidR="00DC0249" w:rsidRDefault="00DC0249" w:rsidP="00045B94">
      <w:r>
        <w:separator/>
      </w:r>
    </w:p>
  </w:footnote>
  <w:footnote w:type="continuationSeparator" w:id="0">
    <w:p w14:paraId="68CFF265" w14:textId="77777777" w:rsidR="00DC0249" w:rsidRDefault="00DC0249" w:rsidP="00045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AE5D3" w14:textId="77777777" w:rsidR="00D30E43" w:rsidRPr="00D30E43" w:rsidRDefault="00D30E43" w:rsidP="00D30E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64995-06-19</w:t>
    </w:r>
    <w:r>
      <w:rPr>
        <w:rFonts w:ascii="David" w:hAnsi="David"/>
        <w:color w:val="000000"/>
        <w:sz w:val="22"/>
        <w:szCs w:val="22"/>
        <w:rtl/>
      </w:rPr>
      <w:tab/>
      <w:t xml:space="preserve"> מדינת ישראל נ' רביע דראגמה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1BF30" w14:textId="77777777" w:rsidR="00D30E43" w:rsidRPr="00D30E43" w:rsidRDefault="00D30E43" w:rsidP="00D30E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64995-06-19</w:t>
    </w:r>
    <w:r>
      <w:rPr>
        <w:rFonts w:ascii="David" w:hAnsi="David"/>
        <w:color w:val="000000"/>
        <w:sz w:val="22"/>
        <w:szCs w:val="22"/>
        <w:rtl/>
      </w:rPr>
      <w:tab/>
      <w:t xml:space="preserve"> מדינת ישראל נ' רביע דראגמה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64DD"/>
    <w:multiLevelType w:val="hybridMultilevel"/>
    <w:tmpl w:val="958CA81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2E0AC4"/>
    <w:multiLevelType w:val="hybridMultilevel"/>
    <w:tmpl w:val="517C73E8"/>
    <w:lvl w:ilvl="0" w:tplc="0142B382">
      <w:start w:val="1"/>
      <w:numFmt w:val="decimal"/>
      <w:lvlText w:val="%1."/>
      <w:lvlJc w:val="left"/>
      <w:pPr>
        <w:tabs>
          <w:tab w:val="num" w:pos="567"/>
        </w:tabs>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15322496">
    <w:abstractNumId w:val="1"/>
  </w:num>
  <w:num w:numId="2" w16cid:durableId="115110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084E"/>
    <w:rsid w:val="000456C4"/>
    <w:rsid w:val="00045B94"/>
    <w:rsid w:val="002E3934"/>
    <w:rsid w:val="00384E94"/>
    <w:rsid w:val="00512560"/>
    <w:rsid w:val="005142ED"/>
    <w:rsid w:val="00531D66"/>
    <w:rsid w:val="0056307D"/>
    <w:rsid w:val="00623484"/>
    <w:rsid w:val="0067306D"/>
    <w:rsid w:val="006F3F4E"/>
    <w:rsid w:val="00A363AF"/>
    <w:rsid w:val="00BB2CC4"/>
    <w:rsid w:val="00C501AB"/>
    <w:rsid w:val="00D30E43"/>
    <w:rsid w:val="00DC0249"/>
    <w:rsid w:val="00F40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C296FA"/>
  <w15:chartTrackingRefBased/>
  <w15:docId w15:val="{9A5EEB77-219C-4722-BEBD-5A64EBCD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08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084E"/>
    <w:pPr>
      <w:tabs>
        <w:tab w:val="center" w:pos="4153"/>
        <w:tab w:val="right" w:pos="8306"/>
      </w:tabs>
    </w:pPr>
    <w:rPr>
      <w:rFonts w:cs="Times New Roman"/>
      <w:lang w:val="x-none" w:eastAsia="x-none"/>
    </w:rPr>
  </w:style>
  <w:style w:type="character" w:customStyle="1" w:styleId="a4">
    <w:name w:val="כותרת עליונה תו"/>
    <w:link w:val="a3"/>
    <w:rsid w:val="00F4084E"/>
    <w:rPr>
      <w:rFonts w:ascii="Times New Roman" w:eastAsia="Times New Roman" w:hAnsi="Times New Roman" w:cs="David"/>
      <w:sz w:val="24"/>
      <w:szCs w:val="24"/>
    </w:rPr>
  </w:style>
  <w:style w:type="paragraph" w:styleId="a5">
    <w:name w:val="footer"/>
    <w:basedOn w:val="a"/>
    <w:link w:val="a6"/>
    <w:rsid w:val="00F4084E"/>
    <w:pPr>
      <w:tabs>
        <w:tab w:val="center" w:pos="4153"/>
        <w:tab w:val="right" w:pos="8306"/>
      </w:tabs>
    </w:pPr>
    <w:rPr>
      <w:rFonts w:cs="Times New Roman"/>
      <w:lang w:val="x-none" w:eastAsia="x-none"/>
    </w:rPr>
  </w:style>
  <w:style w:type="character" w:customStyle="1" w:styleId="a6">
    <w:name w:val="כותרת תחתונה תו"/>
    <w:link w:val="a5"/>
    <w:rsid w:val="00F4084E"/>
    <w:rPr>
      <w:rFonts w:ascii="Times New Roman" w:eastAsia="Times New Roman" w:hAnsi="Times New Roman" w:cs="David"/>
      <w:sz w:val="24"/>
      <w:szCs w:val="24"/>
    </w:rPr>
  </w:style>
  <w:style w:type="table" w:styleId="a7">
    <w:name w:val="Table Grid"/>
    <w:basedOn w:val="a1"/>
    <w:rsid w:val="00F408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084E"/>
  </w:style>
  <w:style w:type="paragraph" w:styleId="a9">
    <w:name w:val="List Paragraph"/>
    <w:basedOn w:val="a"/>
    <w:qFormat/>
    <w:rsid w:val="00F4084E"/>
    <w:pPr>
      <w:spacing w:after="160" w:line="259" w:lineRule="auto"/>
      <w:ind w:left="720"/>
      <w:contextualSpacing/>
    </w:pPr>
    <w:rPr>
      <w:rFonts w:ascii="Calibri" w:hAnsi="Calibri" w:cs="Arial"/>
      <w:sz w:val="22"/>
      <w:szCs w:val="22"/>
    </w:rPr>
  </w:style>
  <w:style w:type="character" w:styleId="Hyperlink">
    <w:name w:val="Hyperlink"/>
    <w:rsid w:val="00D30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834904" TargetMode="External"/><Relationship Id="rId26" Type="http://schemas.openxmlformats.org/officeDocument/2006/relationships/hyperlink" Target="http://www.nevo.co.il/case/22828581" TargetMode="External"/><Relationship Id="rId3" Type="http://schemas.openxmlformats.org/officeDocument/2006/relationships/settings" Target="settings.xml"/><Relationship Id="rId21" Type="http://schemas.openxmlformats.org/officeDocument/2006/relationships/hyperlink" Target="http://www.nevo.co.il/case/2282858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0412551" TargetMode="External"/><Relationship Id="rId25" Type="http://schemas.openxmlformats.org/officeDocument/2006/relationships/hyperlink" Target="http://www.nevo.co.il/case/616297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1015131" TargetMode="External"/><Relationship Id="rId29" Type="http://schemas.openxmlformats.org/officeDocument/2006/relationships/hyperlink" Target="http://www.nevo.co.il/case/6245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13519"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case/5997727" TargetMode="External"/><Relationship Id="rId28" Type="http://schemas.openxmlformats.org/officeDocument/2006/relationships/hyperlink" Target="http://www.nevo.co.il/case/25297221"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76316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17978777"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1712</Words>
  <Characters>8561</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10253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3539057</vt:i4>
      </vt:variant>
      <vt:variant>
        <vt:i4>66</vt:i4>
      </vt:variant>
      <vt:variant>
        <vt:i4>0</vt:i4>
      </vt:variant>
      <vt:variant>
        <vt:i4>5</vt:i4>
      </vt:variant>
      <vt:variant>
        <vt:lpwstr>http://www.nevo.co.il/case/6245125</vt:lpwstr>
      </vt:variant>
      <vt:variant>
        <vt:lpwstr/>
      </vt:variant>
      <vt:variant>
        <vt:i4>3473530</vt:i4>
      </vt:variant>
      <vt:variant>
        <vt:i4>63</vt:i4>
      </vt:variant>
      <vt:variant>
        <vt:i4>0</vt:i4>
      </vt:variant>
      <vt:variant>
        <vt:i4>5</vt:i4>
      </vt:variant>
      <vt:variant>
        <vt:lpwstr>http://www.nevo.co.il/case/25297221</vt:lpwstr>
      </vt:variant>
      <vt:variant>
        <vt:lpwstr/>
      </vt:variant>
      <vt:variant>
        <vt:i4>3604595</vt:i4>
      </vt:variant>
      <vt:variant>
        <vt:i4>60</vt:i4>
      </vt:variant>
      <vt:variant>
        <vt:i4>0</vt:i4>
      </vt:variant>
      <vt:variant>
        <vt:i4>5</vt:i4>
      </vt:variant>
      <vt:variant>
        <vt:lpwstr>http://www.nevo.co.il/case/17978777</vt:lpwstr>
      </vt:variant>
      <vt:variant>
        <vt:lpwstr/>
      </vt:variant>
      <vt:variant>
        <vt:i4>3801201</vt:i4>
      </vt:variant>
      <vt:variant>
        <vt:i4>57</vt:i4>
      </vt:variant>
      <vt:variant>
        <vt:i4>0</vt:i4>
      </vt:variant>
      <vt:variant>
        <vt:i4>5</vt:i4>
      </vt:variant>
      <vt:variant>
        <vt:lpwstr>http://www.nevo.co.il/case/22828581</vt:lpwstr>
      </vt:variant>
      <vt:variant>
        <vt:lpwstr/>
      </vt:variant>
      <vt:variant>
        <vt:i4>3735664</vt:i4>
      </vt:variant>
      <vt:variant>
        <vt:i4>54</vt:i4>
      </vt:variant>
      <vt:variant>
        <vt:i4>0</vt:i4>
      </vt:variant>
      <vt:variant>
        <vt:i4>5</vt:i4>
      </vt:variant>
      <vt:variant>
        <vt:lpwstr>http://www.nevo.co.il/case/6162970</vt:lpwstr>
      </vt:variant>
      <vt:variant>
        <vt:lpwstr/>
      </vt:variant>
      <vt:variant>
        <vt:i4>458816</vt:i4>
      </vt:variant>
      <vt:variant>
        <vt:i4>51</vt:i4>
      </vt:variant>
      <vt:variant>
        <vt:i4>0</vt:i4>
      </vt:variant>
      <vt:variant>
        <vt:i4>5</vt:i4>
      </vt:variant>
      <vt:variant>
        <vt:lpwstr>http://www.nevo.co.il/case/513519</vt:lpwstr>
      </vt:variant>
      <vt:variant>
        <vt:lpwstr/>
      </vt:variant>
      <vt:variant>
        <vt:i4>3932280</vt:i4>
      </vt:variant>
      <vt:variant>
        <vt:i4>48</vt:i4>
      </vt:variant>
      <vt:variant>
        <vt:i4>0</vt:i4>
      </vt:variant>
      <vt:variant>
        <vt:i4>5</vt:i4>
      </vt:variant>
      <vt:variant>
        <vt:lpwstr>http://www.nevo.co.il/case/5997727</vt:lpwstr>
      </vt:variant>
      <vt:variant>
        <vt:lpwstr/>
      </vt:variant>
      <vt:variant>
        <vt:i4>3932283</vt:i4>
      </vt:variant>
      <vt:variant>
        <vt:i4>45</vt:i4>
      </vt:variant>
      <vt:variant>
        <vt:i4>0</vt:i4>
      </vt:variant>
      <vt:variant>
        <vt:i4>5</vt:i4>
      </vt:variant>
      <vt:variant>
        <vt:lpwstr>http://www.nevo.co.il/case/5698919</vt:lpwstr>
      </vt:variant>
      <vt:variant>
        <vt:lpwstr/>
      </vt:variant>
      <vt:variant>
        <vt:i4>3801201</vt:i4>
      </vt:variant>
      <vt:variant>
        <vt:i4>42</vt:i4>
      </vt:variant>
      <vt:variant>
        <vt:i4>0</vt:i4>
      </vt:variant>
      <vt:variant>
        <vt:i4>5</vt:i4>
      </vt:variant>
      <vt:variant>
        <vt:lpwstr>http://www.nevo.co.il/case/22828581</vt:lpwstr>
      </vt:variant>
      <vt:variant>
        <vt:lpwstr/>
      </vt:variant>
      <vt:variant>
        <vt:i4>3407989</vt:i4>
      </vt:variant>
      <vt:variant>
        <vt:i4>39</vt:i4>
      </vt:variant>
      <vt:variant>
        <vt:i4>0</vt:i4>
      </vt:variant>
      <vt:variant>
        <vt:i4>5</vt:i4>
      </vt:variant>
      <vt:variant>
        <vt:lpwstr>http://www.nevo.co.il/case/21015131</vt:lpwstr>
      </vt:variant>
      <vt:variant>
        <vt:lpwstr/>
      </vt:variant>
      <vt:variant>
        <vt:i4>3407990</vt:i4>
      </vt:variant>
      <vt:variant>
        <vt:i4>36</vt:i4>
      </vt:variant>
      <vt:variant>
        <vt:i4>0</vt:i4>
      </vt:variant>
      <vt:variant>
        <vt:i4>5</vt:i4>
      </vt:variant>
      <vt:variant>
        <vt:lpwstr>http://www.nevo.co.il/case/5763166</vt:lpwstr>
      </vt:variant>
      <vt:variant>
        <vt:lpwstr/>
      </vt:variant>
      <vt:variant>
        <vt:i4>3670136</vt:i4>
      </vt:variant>
      <vt:variant>
        <vt:i4>33</vt:i4>
      </vt:variant>
      <vt:variant>
        <vt:i4>0</vt:i4>
      </vt:variant>
      <vt:variant>
        <vt:i4>5</vt:i4>
      </vt:variant>
      <vt:variant>
        <vt:lpwstr>http://www.nevo.co.il/case/6834904</vt:lpwstr>
      </vt:variant>
      <vt:variant>
        <vt:lpwstr/>
      </vt:variant>
      <vt:variant>
        <vt:i4>3211376</vt:i4>
      </vt:variant>
      <vt:variant>
        <vt:i4>30</vt:i4>
      </vt:variant>
      <vt:variant>
        <vt:i4>0</vt:i4>
      </vt:variant>
      <vt:variant>
        <vt:i4>5</vt:i4>
      </vt:variant>
      <vt:variant>
        <vt:lpwstr>http://www.nevo.co.il/case/20412551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64995</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רביע דראגמה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20200824</vt:lpwstr>
  </property>
  <property fmtid="{D5CDD505-2E9C-101B-9397-08002B2CF9AE}" pid="13" name="TYPE_N_DATE">
    <vt:lpwstr>38020200824</vt:lpwstr>
  </property>
  <property fmtid="{D5CDD505-2E9C-101B-9397-08002B2CF9AE}" pid="14" name="WORDNUMPAGES">
    <vt:lpwstr>5</vt:lpwstr>
  </property>
  <property fmtid="{D5CDD505-2E9C-101B-9397-08002B2CF9AE}" pid="15" name="TYPE_ABS_DATE">
    <vt:lpwstr>380020200824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20412551;6834904;5763166;21015131;22828581:2;5698919;5997727;513519;6162970;17978777;25297221;6245125</vt:lpwstr>
  </property>
  <property fmtid="{D5CDD505-2E9C-101B-9397-08002B2CF9AE}" pid="36" name="LAWLISTTMP1">
    <vt:lpwstr>4216/007.a;007.c</vt:lpwstr>
  </property>
  <property fmtid="{D5CDD505-2E9C-101B-9397-08002B2CF9AE}" pid="37" name="LAWLISTTMP2">
    <vt:lpwstr>70301/040i</vt:lpwstr>
  </property>
</Properties>
</file>