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32"/>
        <w:gridCol w:w="1213"/>
        <w:gridCol w:w="2453"/>
        <w:gridCol w:w="99"/>
      </w:tblGrid>
      <w:tr w:rsidR="006E4D24" w:rsidRPr="00C81603" w14:paraId="4CF4A4D1" w14:textId="77777777" w:rsidTr="00A9606B">
        <w:trPr>
          <w:gridAfter w:val="1"/>
          <w:wAfter w:w="99" w:type="dxa"/>
          <w:trHeight w:hRule="exact" w:val="418"/>
          <w:jc w:val="center"/>
        </w:trPr>
        <w:tc>
          <w:tcPr>
            <w:tcW w:w="8721" w:type="dxa"/>
            <w:gridSpan w:val="4"/>
          </w:tcPr>
          <w:p w14:paraId="003D5BBA" w14:textId="77777777" w:rsidR="006E4D24" w:rsidRPr="00C81603" w:rsidRDefault="006E4D24" w:rsidP="009D0BD9">
            <w:pPr>
              <w:pStyle w:val="a3"/>
              <w:jc w:val="center"/>
              <w:rPr>
                <w:rFonts w:ascii="David" w:hAnsi="David"/>
                <w:b/>
                <w:bCs/>
                <w:color w:val="000080"/>
                <w:sz w:val="28"/>
                <w:szCs w:val="28"/>
                <w:rtl/>
              </w:rPr>
            </w:pPr>
            <w:bookmarkStart w:id="0" w:name="LastJudge"/>
            <w:r w:rsidRPr="00C81603">
              <w:rPr>
                <w:rFonts w:ascii="David" w:hAnsi="David"/>
                <w:b/>
                <w:bCs/>
                <w:color w:val="000080"/>
                <w:sz w:val="28"/>
                <w:szCs w:val="28"/>
                <w:rtl/>
              </w:rPr>
              <w:t>בית משפט השלום בירושלים</w:t>
            </w:r>
          </w:p>
        </w:tc>
      </w:tr>
      <w:tr w:rsidR="006E4D24" w:rsidRPr="00C81603" w14:paraId="72CDFA3A" w14:textId="77777777" w:rsidTr="00A9606B">
        <w:trPr>
          <w:gridAfter w:val="1"/>
          <w:wAfter w:w="99" w:type="dxa"/>
          <w:trHeight w:val="337"/>
          <w:jc w:val="center"/>
        </w:trPr>
        <w:tc>
          <w:tcPr>
            <w:tcW w:w="5055" w:type="dxa"/>
            <w:gridSpan w:val="2"/>
          </w:tcPr>
          <w:p w14:paraId="6063D33F" w14:textId="77777777" w:rsidR="006E4D24" w:rsidRPr="00C81603" w:rsidRDefault="006E4D24" w:rsidP="009D0BD9">
            <w:pPr>
              <w:rPr>
                <w:rFonts w:ascii="David" w:hAnsi="David"/>
                <w:b/>
                <w:bCs/>
                <w:sz w:val="28"/>
                <w:szCs w:val="28"/>
                <w:rtl/>
              </w:rPr>
            </w:pPr>
            <w:r w:rsidRPr="00C81603">
              <w:rPr>
                <w:rFonts w:ascii="David" w:hAnsi="David"/>
                <w:b/>
                <w:bCs/>
                <w:sz w:val="28"/>
                <w:szCs w:val="28"/>
                <w:rtl/>
              </w:rPr>
              <w:t>ת"פ 28785-07-19 מדינת ישראל נ' צאלח</w:t>
            </w:r>
            <w:r w:rsidRPr="00C81603">
              <w:rPr>
                <w:rFonts w:ascii="David" w:hAnsi="David"/>
                <w:b/>
                <w:bCs/>
                <w:sz w:val="28"/>
                <w:szCs w:val="28"/>
                <w:rtl/>
              </w:rPr>
              <w:br/>
              <w:t>ת"פ 2063-03-19</w:t>
            </w:r>
          </w:p>
          <w:p w14:paraId="70AC00A2" w14:textId="77777777" w:rsidR="006E4D24" w:rsidRPr="00C81603" w:rsidRDefault="006E4D24" w:rsidP="009D0BD9">
            <w:pPr>
              <w:pStyle w:val="a3"/>
              <w:rPr>
                <w:rFonts w:ascii="David" w:hAnsi="David"/>
                <w:b/>
                <w:bCs/>
                <w:sz w:val="28"/>
                <w:szCs w:val="28"/>
                <w:rtl/>
              </w:rPr>
            </w:pPr>
          </w:p>
        </w:tc>
        <w:tc>
          <w:tcPr>
            <w:tcW w:w="3666" w:type="dxa"/>
            <w:gridSpan w:val="2"/>
          </w:tcPr>
          <w:p w14:paraId="11A14482" w14:textId="77777777" w:rsidR="006E4D24" w:rsidRPr="00C81603" w:rsidRDefault="006E4D24" w:rsidP="009D0BD9">
            <w:pPr>
              <w:pStyle w:val="a3"/>
              <w:jc w:val="right"/>
              <w:rPr>
                <w:rFonts w:cs="FrankRuehl"/>
                <w:sz w:val="28"/>
                <w:szCs w:val="28"/>
                <w:rtl/>
              </w:rPr>
            </w:pPr>
          </w:p>
        </w:tc>
      </w:tr>
      <w:tr w:rsidR="006E4D24" w:rsidRPr="00C81603" w14:paraId="70391644" w14:textId="77777777" w:rsidTr="00A960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3057C74" w14:textId="77777777" w:rsidR="006E4D24" w:rsidRPr="00C81603" w:rsidRDefault="006E4D24" w:rsidP="006E4D24">
            <w:pPr>
              <w:jc w:val="both"/>
              <w:rPr>
                <w:rFonts w:ascii="David" w:hAnsi="David"/>
                <w:sz w:val="26"/>
                <w:szCs w:val="26"/>
              </w:rPr>
            </w:pPr>
            <w:r w:rsidRPr="00C81603">
              <w:rPr>
                <w:rFonts w:hint="cs"/>
                <w:rtl/>
              </w:rPr>
              <w:t xml:space="preserve"> </w:t>
            </w:r>
            <w:r w:rsidRPr="00C81603">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648451DE" w14:textId="77777777" w:rsidR="006E4D24" w:rsidRPr="00C81603" w:rsidRDefault="006E4D24" w:rsidP="009D0BD9">
            <w:pPr>
              <w:rPr>
                <w:rFonts w:ascii="David" w:hAnsi="David"/>
                <w:b/>
                <w:bCs/>
                <w:sz w:val="26"/>
                <w:szCs w:val="26"/>
                <w:rtl/>
              </w:rPr>
            </w:pPr>
            <w:r w:rsidRPr="00C81603">
              <w:rPr>
                <w:rFonts w:ascii="David" w:hAnsi="David"/>
                <w:b/>
                <w:bCs/>
                <w:sz w:val="26"/>
                <w:szCs w:val="26"/>
                <w:rtl/>
              </w:rPr>
              <w:t>כבוד השופט  דוד שאול גבאי ריכטר</w:t>
            </w:r>
          </w:p>
          <w:p w14:paraId="4345A8C9" w14:textId="77777777" w:rsidR="006E4D24" w:rsidRPr="00C81603" w:rsidRDefault="006E4D24" w:rsidP="009D0BD9">
            <w:pPr>
              <w:rPr>
                <w:rFonts w:ascii="David" w:hAnsi="David"/>
                <w:sz w:val="26"/>
                <w:szCs w:val="26"/>
                <w:rtl/>
              </w:rPr>
            </w:pPr>
          </w:p>
          <w:p w14:paraId="6268F984" w14:textId="77777777" w:rsidR="006E4D24" w:rsidRPr="00C81603" w:rsidRDefault="006E4D24" w:rsidP="006E4D24">
            <w:pPr>
              <w:jc w:val="both"/>
              <w:rPr>
                <w:rFonts w:ascii="David" w:hAnsi="David"/>
                <w:sz w:val="26"/>
                <w:szCs w:val="26"/>
              </w:rPr>
            </w:pPr>
          </w:p>
        </w:tc>
      </w:tr>
      <w:tr w:rsidR="006E4D24" w:rsidRPr="00C81603" w14:paraId="3DDC1DBD" w14:textId="77777777" w:rsidTr="00A960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9181C52" w14:textId="77777777" w:rsidR="006E4D24" w:rsidRPr="00C81603" w:rsidRDefault="006E4D24" w:rsidP="006E4D24">
            <w:pPr>
              <w:jc w:val="both"/>
              <w:rPr>
                <w:rFonts w:ascii="David" w:hAnsi="David"/>
                <w:b/>
                <w:bCs/>
                <w:sz w:val="26"/>
                <w:szCs w:val="26"/>
              </w:rPr>
            </w:pPr>
            <w:bookmarkStart w:id="1" w:name="FirstAppellant"/>
            <w:r w:rsidRPr="00C81603">
              <w:rPr>
                <w:rFonts w:ascii="David" w:hAnsi="David"/>
                <w:b/>
                <w:bCs/>
                <w:sz w:val="26"/>
                <w:szCs w:val="26"/>
                <w:rtl/>
              </w:rPr>
              <w:t>בעניין:</w:t>
            </w:r>
          </w:p>
        </w:tc>
        <w:tc>
          <w:tcPr>
            <w:tcW w:w="5345" w:type="dxa"/>
            <w:gridSpan w:val="2"/>
            <w:tcBorders>
              <w:top w:val="nil"/>
              <w:left w:val="nil"/>
              <w:bottom w:val="nil"/>
              <w:right w:val="nil"/>
            </w:tcBorders>
            <w:shd w:val="clear" w:color="auto" w:fill="auto"/>
          </w:tcPr>
          <w:p w14:paraId="0D036C1B" w14:textId="77777777" w:rsidR="006E4D24" w:rsidRPr="00C81603" w:rsidRDefault="006E4D24" w:rsidP="009D0BD9">
            <w:pPr>
              <w:rPr>
                <w:rFonts w:ascii="David" w:hAnsi="David"/>
                <w:b/>
                <w:bCs/>
                <w:sz w:val="26"/>
                <w:szCs w:val="26"/>
              </w:rPr>
            </w:pPr>
            <w:r w:rsidRPr="00C81603">
              <w:rPr>
                <w:rFonts w:ascii="David" w:hAnsi="David"/>
                <w:b/>
                <w:bCs/>
                <w:sz w:val="26"/>
                <w:szCs w:val="26"/>
                <w:rtl/>
              </w:rPr>
              <w:t>מדינת ישראל</w:t>
            </w:r>
          </w:p>
        </w:tc>
        <w:tc>
          <w:tcPr>
            <w:tcW w:w="2552" w:type="dxa"/>
            <w:gridSpan w:val="2"/>
            <w:tcBorders>
              <w:top w:val="nil"/>
              <w:left w:val="nil"/>
              <w:bottom w:val="nil"/>
              <w:right w:val="nil"/>
            </w:tcBorders>
            <w:shd w:val="clear" w:color="auto" w:fill="auto"/>
          </w:tcPr>
          <w:p w14:paraId="5756F404" w14:textId="77777777" w:rsidR="006E4D24" w:rsidRPr="00C81603" w:rsidRDefault="006E4D24" w:rsidP="006E4D24">
            <w:pPr>
              <w:jc w:val="both"/>
              <w:rPr>
                <w:rFonts w:ascii="David" w:hAnsi="David"/>
                <w:b/>
                <w:bCs/>
                <w:sz w:val="26"/>
                <w:szCs w:val="26"/>
              </w:rPr>
            </w:pPr>
          </w:p>
        </w:tc>
      </w:tr>
      <w:tr w:rsidR="006E4D24" w:rsidRPr="00C81603" w14:paraId="7F4AD9A9" w14:textId="77777777" w:rsidTr="00A960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06D9ECC" w14:textId="77777777" w:rsidR="006E4D24" w:rsidRPr="00C81603" w:rsidRDefault="006E4D24" w:rsidP="006E4D24">
            <w:pPr>
              <w:jc w:val="both"/>
              <w:rPr>
                <w:rFonts w:ascii="David" w:hAnsi="David"/>
                <w:b/>
                <w:bCs/>
                <w:sz w:val="26"/>
                <w:szCs w:val="26"/>
                <w:rtl/>
              </w:rPr>
            </w:pPr>
            <w:bookmarkStart w:id="2" w:name="FirstLawyer"/>
            <w:bookmarkEnd w:id="1"/>
          </w:p>
        </w:tc>
        <w:tc>
          <w:tcPr>
            <w:tcW w:w="5345" w:type="dxa"/>
            <w:gridSpan w:val="2"/>
            <w:tcBorders>
              <w:top w:val="nil"/>
              <w:left w:val="nil"/>
              <w:bottom w:val="nil"/>
              <w:right w:val="nil"/>
            </w:tcBorders>
            <w:shd w:val="clear" w:color="auto" w:fill="auto"/>
          </w:tcPr>
          <w:p w14:paraId="4871C85B" w14:textId="77777777" w:rsidR="006E4D24" w:rsidRPr="00C81603" w:rsidRDefault="006E4D24" w:rsidP="006E4D24">
            <w:pPr>
              <w:jc w:val="both"/>
              <w:rPr>
                <w:rFonts w:ascii="David" w:hAnsi="David"/>
                <w:b/>
                <w:bCs/>
                <w:sz w:val="26"/>
                <w:szCs w:val="26"/>
                <w:rtl/>
              </w:rPr>
            </w:pPr>
            <w:r w:rsidRPr="00C81603">
              <w:rPr>
                <w:rFonts w:ascii="David" w:hAnsi="David" w:hint="cs"/>
                <w:b/>
                <w:bCs/>
                <w:sz w:val="26"/>
                <w:szCs w:val="26"/>
                <w:rtl/>
              </w:rPr>
              <w:t>ע"י ב"כ עו"ד מאיר לוברבאום תביעות ירושלים</w:t>
            </w:r>
          </w:p>
        </w:tc>
        <w:tc>
          <w:tcPr>
            <w:tcW w:w="2552" w:type="dxa"/>
            <w:gridSpan w:val="2"/>
            <w:tcBorders>
              <w:top w:val="nil"/>
              <w:left w:val="nil"/>
              <w:bottom w:val="nil"/>
              <w:right w:val="nil"/>
            </w:tcBorders>
            <w:shd w:val="clear" w:color="auto" w:fill="auto"/>
          </w:tcPr>
          <w:p w14:paraId="50203981" w14:textId="77777777" w:rsidR="006E4D24" w:rsidRPr="00C81603" w:rsidRDefault="006E4D24" w:rsidP="006E4D24">
            <w:pPr>
              <w:jc w:val="right"/>
              <w:rPr>
                <w:rFonts w:ascii="David" w:hAnsi="David"/>
                <w:b/>
                <w:bCs/>
                <w:sz w:val="26"/>
                <w:szCs w:val="26"/>
                <w:rtl/>
              </w:rPr>
            </w:pPr>
            <w:r w:rsidRPr="00C81603">
              <w:rPr>
                <w:rFonts w:ascii="David" w:hAnsi="David"/>
                <w:b/>
                <w:bCs/>
                <w:sz w:val="26"/>
                <w:szCs w:val="26"/>
                <w:rtl/>
              </w:rPr>
              <w:t>המאשימה</w:t>
            </w:r>
          </w:p>
        </w:tc>
      </w:tr>
      <w:bookmarkEnd w:id="2"/>
      <w:tr w:rsidR="006E4D24" w:rsidRPr="00C81603" w14:paraId="36005713" w14:textId="77777777" w:rsidTr="00A960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58D1364" w14:textId="77777777" w:rsidR="006E4D24" w:rsidRPr="00C81603" w:rsidRDefault="006E4D24" w:rsidP="006E4D24">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402DCBDA" w14:textId="77777777" w:rsidR="006E4D24" w:rsidRPr="00C81603" w:rsidRDefault="006E4D24" w:rsidP="006E4D24">
            <w:pPr>
              <w:jc w:val="center"/>
              <w:rPr>
                <w:rFonts w:ascii="David" w:hAnsi="David"/>
                <w:b/>
                <w:bCs/>
                <w:sz w:val="26"/>
                <w:szCs w:val="26"/>
                <w:rtl/>
              </w:rPr>
            </w:pPr>
          </w:p>
          <w:p w14:paraId="37F25305" w14:textId="77777777" w:rsidR="006E4D24" w:rsidRPr="00C81603" w:rsidRDefault="006E4D24" w:rsidP="006E4D24">
            <w:pPr>
              <w:jc w:val="center"/>
              <w:rPr>
                <w:rFonts w:ascii="David" w:hAnsi="David"/>
                <w:b/>
                <w:bCs/>
                <w:sz w:val="26"/>
                <w:szCs w:val="26"/>
                <w:rtl/>
              </w:rPr>
            </w:pPr>
            <w:r w:rsidRPr="00C81603">
              <w:rPr>
                <w:rFonts w:ascii="David" w:hAnsi="David"/>
                <w:b/>
                <w:bCs/>
                <w:sz w:val="26"/>
                <w:szCs w:val="26"/>
                <w:rtl/>
              </w:rPr>
              <w:t>נגד</w:t>
            </w:r>
          </w:p>
          <w:p w14:paraId="6667C513" w14:textId="77777777" w:rsidR="006E4D24" w:rsidRPr="00C81603" w:rsidRDefault="006E4D24" w:rsidP="006E4D24">
            <w:pPr>
              <w:jc w:val="both"/>
              <w:rPr>
                <w:rFonts w:ascii="David" w:hAnsi="David"/>
                <w:b/>
                <w:bCs/>
                <w:sz w:val="26"/>
                <w:szCs w:val="26"/>
              </w:rPr>
            </w:pPr>
          </w:p>
        </w:tc>
      </w:tr>
      <w:tr w:rsidR="006E4D24" w:rsidRPr="00C81603" w14:paraId="26A61C05" w14:textId="77777777" w:rsidTr="00A960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6194054" w14:textId="77777777" w:rsidR="006E4D24" w:rsidRPr="00C81603" w:rsidRDefault="006E4D24" w:rsidP="009D0BD9">
            <w:pPr>
              <w:rPr>
                <w:rFonts w:ascii="David" w:hAnsi="David"/>
                <w:b/>
                <w:bCs/>
                <w:sz w:val="26"/>
                <w:szCs w:val="26"/>
                <w:rtl/>
              </w:rPr>
            </w:pPr>
          </w:p>
        </w:tc>
        <w:tc>
          <w:tcPr>
            <w:tcW w:w="5345" w:type="dxa"/>
            <w:gridSpan w:val="2"/>
            <w:tcBorders>
              <w:top w:val="nil"/>
              <w:left w:val="nil"/>
              <w:bottom w:val="nil"/>
              <w:right w:val="nil"/>
            </w:tcBorders>
            <w:shd w:val="clear" w:color="auto" w:fill="auto"/>
          </w:tcPr>
          <w:p w14:paraId="51C5BAD8" w14:textId="77777777" w:rsidR="006E4D24" w:rsidRPr="00C81603" w:rsidRDefault="006E4D24" w:rsidP="009D0BD9">
            <w:pPr>
              <w:rPr>
                <w:rFonts w:ascii="David" w:hAnsi="David"/>
                <w:b/>
                <w:bCs/>
                <w:sz w:val="26"/>
                <w:szCs w:val="26"/>
                <w:rtl/>
              </w:rPr>
            </w:pPr>
            <w:r w:rsidRPr="00C81603">
              <w:rPr>
                <w:rFonts w:ascii="David" w:hAnsi="David"/>
                <w:b/>
                <w:bCs/>
                <w:sz w:val="26"/>
                <w:szCs w:val="26"/>
                <w:rtl/>
              </w:rPr>
              <w:t>מוחמד צאלח</w:t>
            </w:r>
          </w:p>
        </w:tc>
        <w:tc>
          <w:tcPr>
            <w:tcW w:w="2552" w:type="dxa"/>
            <w:gridSpan w:val="2"/>
            <w:tcBorders>
              <w:top w:val="nil"/>
              <w:left w:val="nil"/>
              <w:bottom w:val="nil"/>
              <w:right w:val="nil"/>
            </w:tcBorders>
            <w:shd w:val="clear" w:color="auto" w:fill="auto"/>
          </w:tcPr>
          <w:p w14:paraId="299DD2A0" w14:textId="77777777" w:rsidR="006E4D24" w:rsidRPr="00C81603" w:rsidRDefault="006E4D24" w:rsidP="006E4D24">
            <w:pPr>
              <w:jc w:val="right"/>
              <w:rPr>
                <w:rFonts w:ascii="David" w:hAnsi="David"/>
                <w:b/>
                <w:bCs/>
                <w:sz w:val="26"/>
                <w:szCs w:val="26"/>
              </w:rPr>
            </w:pPr>
          </w:p>
        </w:tc>
      </w:tr>
      <w:tr w:rsidR="006E4D24" w:rsidRPr="00C81603" w14:paraId="3A0B46C2" w14:textId="77777777" w:rsidTr="00A960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D8DA1C4" w14:textId="77777777" w:rsidR="006E4D24" w:rsidRPr="00C81603" w:rsidRDefault="006E4D24" w:rsidP="006E4D24">
            <w:pPr>
              <w:jc w:val="both"/>
              <w:rPr>
                <w:rFonts w:ascii="David" w:hAnsi="David"/>
                <w:b/>
                <w:bCs/>
                <w:sz w:val="26"/>
                <w:szCs w:val="26"/>
                <w:rtl/>
              </w:rPr>
            </w:pPr>
          </w:p>
        </w:tc>
        <w:tc>
          <w:tcPr>
            <w:tcW w:w="5345" w:type="dxa"/>
            <w:gridSpan w:val="2"/>
            <w:tcBorders>
              <w:top w:val="nil"/>
              <w:left w:val="nil"/>
              <w:bottom w:val="nil"/>
              <w:right w:val="nil"/>
            </w:tcBorders>
            <w:shd w:val="clear" w:color="auto" w:fill="auto"/>
          </w:tcPr>
          <w:p w14:paraId="4D83ADA6" w14:textId="77777777" w:rsidR="006E4D24" w:rsidRPr="00C81603" w:rsidRDefault="006E4D24" w:rsidP="006E4D24">
            <w:pPr>
              <w:jc w:val="both"/>
              <w:rPr>
                <w:rFonts w:ascii="David" w:hAnsi="David"/>
                <w:b/>
                <w:bCs/>
                <w:sz w:val="26"/>
                <w:szCs w:val="26"/>
                <w:rtl/>
              </w:rPr>
            </w:pPr>
            <w:r w:rsidRPr="00C81603">
              <w:rPr>
                <w:rFonts w:ascii="David" w:hAnsi="David" w:hint="cs"/>
                <w:b/>
                <w:bCs/>
                <w:sz w:val="26"/>
                <w:szCs w:val="26"/>
                <w:rtl/>
              </w:rPr>
              <w:t>ע"י ב"כ עו"ד ורד בירגר</w:t>
            </w:r>
          </w:p>
        </w:tc>
        <w:tc>
          <w:tcPr>
            <w:tcW w:w="2552" w:type="dxa"/>
            <w:gridSpan w:val="2"/>
            <w:tcBorders>
              <w:top w:val="nil"/>
              <w:left w:val="nil"/>
              <w:bottom w:val="nil"/>
              <w:right w:val="nil"/>
            </w:tcBorders>
            <w:shd w:val="clear" w:color="auto" w:fill="auto"/>
          </w:tcPr>
          <w:p w14:paraId="4FA9A427" w14:textId="77777777" w:rsidR="006E4D24" w:rsidRPr="00C81603" w:rsidRDefault="006E4D24" w:rsidP="006E4D24">
            <w:pPr>
              <w:jc w:val="right"/>
              <w:rPr>
                <w:rFonts w:ascii="David" w:hAnsi="David"/>
                <w:b/>
                <w:bCs/>
                <w:sz w:val="26"/>
                <w:szCs w:val="26"/>
              </w:rPr>
            </w:pPr>
            <w:r w:rsidRPr="00C81603">
              <w:rPr>
                <w:rFonts w:ascii="David" w:hAnsi="David"/>
                <w:b/>
                <w:bCs/>
                <w:sz w:val="26"/>
                <w:szCs w:val="26"/>
                <w:rtl/>
              </w:rPr>
              <w:t>הנאשם</w:t>
            </w:r>
          </w:p>
        </w:tc>
      </w:tr>
    </w:tbl>
    <w:p w14:paraId="5DA64B1B" w14:textId="77777777" w:rsidR="00A9606B" w:rsidRDefault="00A9606B" w:rsidP="00C81603">
      <w:pPr>
        <w:rPr>
          <w:sz w:val="26"/>
          <w:szCs w:val="26"/>
          <w:rtl/>
        </w:rPr>
      </w:pPr>
    </w:p>
    <w:p w14:paraId="4F9C215A" w14:textId="77777777" w:rsidR="00A9606B" w:rsidRPr="00A9606B" w:rsidRDefault="00A9606B" w:rsidP="00A9606B">
      <w:pPr>
        <w:spacing w:after="120" w:line="240" w:lineRule="exact"/>
        <w:ind w:left="283" w:hanging="283"/>
        <w:jc w:val="both"/>
        <w:rPr>
          <w:rFonts w:ascii="FrankRuehl" w:hAnsi="FrankRuehl" w:cs="FrankRuehl"/>
          <w:rtl/>
        </w:rPr>
      </w:pPr>
    </w:p>
    <w:p w14:paraId="33B84BAB" w14:textId="77777777" w:rsidR="004066E0" w:rsidRPr="004066E0" w:rsidRDefault="004066E0" w:rsidP="004066E0">
      <w:pPr>
        <w:spacing w:before="120" w:after="120" w:line="240" w:lineRule="exact"/>
        <w:ind w:left="283" w:hanging="283"/>
        <w:jc w:val="both"/>
        <w:rPr>
          <w:rFonts w:ascii="FrankRuehl" w:hAnsi="FrankRuehl" w:cs="FrankRuehl"/>
          <w:rtl/>
        </w:rPr>
      </w:pPr>
    </w:p>
    <w:p w14:paraId="403BAE05" w14:textId="77777777" w:rsidR="00135A4E" w:rsidRDefault="00135A4E" w:rsidP="00135A4E">
      <w:pPr>
        <w:rPr>
          <w:sz w:val="26"/>
          <w:szCs w:val="26"/>
          <w:rtl/>
        </w:rPr>
      </w:pPr>
      <w:bookmarkStart w:id="3" w:name="LawTable"/>
      <w:bookmarkEnd w:id="3"/>
    </w:p>
    <w:p w14:paraId="4C8FD9EC" w14:textId="77777777" w:rsidR="00135A4E" w:rsidRPr="00135A4E" w:rsidRDefault="00135A4E" w:rsidP="00135A4E">
      <w:pPr>
        <w:spacing w:before="120" w:after="120" w:line="240" w:lineRule="exact"/>
        <w:ind w:left="283" w:hanging="283"/>
        <w:jc w:val="both"/>
        <w:rPr>
          <w:rFonts w:ascii="FrankRuehl" w:hAnsi="FrankRuehl" w:cs="FrankRuehl"/>
          <w:rtl/>
        </w:rPr>
      </w:pPr>
    </w:p>
    <w:p w14:paraId="45A7FFFC" w14:textId="77777777" w:rsidR="00135A4E" w:rsidRPr="00135A4E" w:rsidRDefault="00135A4E" w:rsidP="00135A4E">
      <w:pPr>
        <w:spacing w:before="120" w:after="120" w:line="240" w:lineRule="exact"/>
        <w:ind w:left="283" w:hanging="283"/>
        <w:jc w:val="both"/>
        <w:rPr>
          <w:rFonts w:ascii="FrankRuehl" w:hAnsi="FrankRuehl" w:cs="FrankRuehl"/>
          <w:rtl/>
        </w:rPr>
      </w:pPr>
    </w:p>
    <w:p w14:paraId="59144ACD" w14:textId="77777777" w:rsidR="00135A4E" w:rsidRPr="00135A4E" w:rsidRDefault="00135A4E" w:rsidP="00135A4E">
      <w:pPr>
        <w:spacing w:before="120" w:after="120" w:line="240" w:lineRule="exact"/>
        <w:ind w:left="283" w:hanging="283"/>
        <w:jc w:val="both"/>
        <w:rPr>
          <w:rFonts w:ascii="FrankRuehl" w:hAnsi="FrankRuehl" w:cs="FrankRuehl"/>
          <w:rtl/>
        </w:rPr>
      </w:pPr>
      <w:r w:rsidRPr="00135A4E">
        <w:rPr>
          <w:rFonts w:ascii="FrankRuehl" w:hAnsi="FrankRuehl" w:cs="FrankRuehl"/>
          <w:rtl/>
        </w:rPr>
        <w:t xml:space="preserve">חקיקה שאוזכרה: </w:t>
      </w:r>
    </w:p>
    <w:p w14:paraId="7A8675A8" w14:textId="77777777" w:rsidR="00135A4E" w:rsidRPr="00135A4E" w:rsidRDefault="00135A4E" w:rsidP="00135A4E">
      <w:pPr>
        <w:spacing w:before="120" w:after="120" w:line="240" w:lineRule="exact"/>
        <w:ind w:left="283" w:hanging="283"/>
        <w:jc w:val="both"/>
        <w:rPr>
          <w:rFonts w:ascii="FrankRuehl" w:hAnsi="FrankRuehl" w:cs="FrankRuehl"/>
          <w:rtl/>
        </w:rPr>
      </w:pPr>
      <w:hyperlink r:id="rId7" w:history="1">
        <w:r w:rsidRPr="00135A4E">
          <w:rPr>
            <w:rFonts w:ascii="FrankRuehl" w:hAnsi="FrankRuehl" w:cs="FrankRuehl"/>
            <w:color w:val="0000FF"/>
            <w:rtl/>
          </w:rPr>
          <w:t>פקודת הסמים המסוכנים [נוסח חדש], תשל"ג-1973</w:t>
        </w:r>
      </w:hyperlink>
      <w:r w:rsidRPr="00135A4E">
        <w:rPr>
          <w:rFonts w:ascii="FrankRuehl" w:hAnsi="FrankRuehl" w:cs="FrankRuehl"/>
          <w:rtl/>
        </w:rPr>
        <w:t xml:space="preserve">: סע'  </w:t>
      </w:r>
      <w:hyperlink r:id="rId8" w:history="1">
        <w:r w:rsidRPr="00135A4E">
          <w:rPr>
            <w:rFonts w:ascii="FrankRuehl" w:hAnsi="FrankRuehl" w:cs="FrankRuehl"/>
            <w:color w:val="0000FF"/>
            <w:rtl/>
          </w:rPr>
          <w:t>7(א)(ג)</w:t>
        </w:r>
      </w:hyperlink>
    </w:p>
    <w:p w14:paraId="135CB069" w14:textId="77777777" w:rsidR="00135A4E" w:rsidRPr="00135A4E" w:rsidRDefault="00135A4E" w:rsidP="00135A4E">
      <w:pPr>
        <w:rPr>
          <w:sz w:val="26"/>
          <w:szCs w:val="26"/>
          <w:rtl/>
        </w:rPr>
      </w:pPr>
      <w:bookmarkStart w:id="4" w:name="LawTable_End"/>
      <w:bookmarkEnd w:id="4"/>
    </w:p>
    <w:p w14:paraId="65E861B7" w14:textId="77777777" w:rsidR="006E4D24" w:rsidRPr="004066E0" w:rsidRDefault="006E4D24" w:rsidP="004066E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E4D24" w14:paraId="7ED11761" w14:textId="77777777" w:rsidTr="006E4D24">
        <w:trPr>
          <w:trHeight w:val="355"/>
          <w:jc w:val="center"/>
        </w:trPr>
        <w:tc>
          <w:tcPr>
            <w:tcW w:w="8820" w:type="dxa"/>
            <w:tcBorders>
              <w:top w:val="nil"/>
              <w:left w:val="nil"/>
              <w:bottom w:val="nil"/>
              <w:right w:val="nil"/>
            </w:tcBorders>
            <w:shd w:val="clear" w:color="auto" w:fill="auto"/>
          </w:tcPr>
          <w:p w14:paraId="1EF9A4D1" w14:textId="77777777" w:rsidR="00C81603" w:rsidRPr="00C81603" w:rsidRDefault="00C81603" w:rsidP="00C81603">
            <w:pPr>
              <w:jc w:val="center"/>
              <w:rPr>
                <w:rFonts w:ascii="David" w:hAnsi="David"/>
                <w:b/>
                <w:bCs/>
                <w:sz w:val="32"/>
                <w:szCs w:val="32"/>
                <w:u w:val="single"/>
                <w:rtl/>
              </w:rPr>
            </w:pPr>
            <w:bookmarkStart w:id="5" w:name="PsakDin" w:colFirst="0" w:colLast="0"/>
            <w:bookmarkEnd w:id="0"/>
            <w:r w:rsidRPr="00C81603">
              <w:rPr>
                <w:rFonts w:ascii="David" w:hAnsi="David"/>
                <w:b/>
                <w:bCs/>
                <w:sz w:val="32"/>
                <w:szCs w:val="32"/>
                <w:u w:val="single"/>
                <w:rtl/>
              </w:rPr>
              <w:t>גזר דין</w:t>
            </w:r>
          </w:p>
          <w:p w14:paraId="6A3498A6" w14:textId="77777777" w:rsidR="006E4D24" w:rsidRPr="00C81603" w:rsidRDefault="006E4D24" w:rsidP="00C81603">
            <w:pPr>
              <w:jc w:val="center"/>
              <w:rPr>
                <w:rFonts w:ascii="David" w:hAnsi="David"/>
                <w:bCs/>
                <w:sz w:val="32"/>
                <w:szCs w:val="32"/>
                <w:u w:val="single"/>
                <w:rtl/>
              </w:rPr>
            </w:pPr>
          </w:p>
        </w:tc>
      </w:tr>
      <w:bookmarkEnd w:id="5"/>
    </w:tbl>
    <w:p w14:paraId="367AE6D7" w14:textId="77777777" w:rsidR="006E4D24" w:rsidRPr="002B7D23" w:rsidRDefault="006E4D24" w:rsidP="006E4D24">
      <w:pPr>
        <w:rPr>
          <w:rFonts w:ascii="David" w:hAnsi="David"/>
          <w:sz w:val="26"/>
          <w:szCs w:val="26"/>
          <w:rtl/>
        </w:rPr>
      </w:pPr>
    </w:p>
    <w:p w14:paraId="23F690A9" w14:textId="77777777" w:rsidR="006E4D24" w:rsidRPr="00E65FFF" w:rsidRDefault="006E4D24" w:rsidP="006E4D24">
      <w:pPr>
        <w:rPr>
          <w:rFonts w:ascii="FrankRuehl" w:hAnsi="FrankRuehl" w:cs="FrankRuehl"/>
          <w:sz w:val="26"/>
          <w:szCs w:val="26"/>
          <w:rtl/>
        </w:rPr>
      </w:pPr>
    </w:p>
    <w:p w14:paraId="451872F8" w14:textId="77777777" w:rsidR="006E4D24" w:rsidRPr="00E65FFF" w:rsidRDefault="006E4D24" w:rsidP="006E4D24">
      <w:pPr>
        <w:spacing w:line="360" w:lineRule="auto"/>
        <w:jc w:val="both"/>
        <w:rPr>
          <w:rFonts w:ascii="David" w:hAnsi="David"/>
          <w:b/>
          <w:bCs/>
          <w:sz w:val="26"/>
          <w:szCs w:val="26"/>
          <w:u w:val="single"/>
          <w:rtl/>
        </w:rPr>
      </w:pPr>
      <w:r w:rsidRPr="00E65FFF">
        <w:rPr>
          <w:rFonts w:ascii="David" w:hAnsi="David"/>
          <w:b/>
          <w:bCs/>
          <w:sz w:val="26"/>
          <w:szCs w:val="26"/>
          <w:u w:val="single"/>
          <w:rtl/>
        </w:rPr>
        <w:t>כתבי האישום בהם הודה הנאשם</w:t>
      </w:r>
    </w:p>
    <w:p w14:paraId="55FF6A2F" w14:textId="77777777" w:rsidR="006E4D24" w:rsidRDefault="006E4D24" w:rsidP="006E4D24">
      <w:pPr>
        <w:spacing w:line="360" w:lineRule="auto"/>
        <w:jc w:val="both"/>
        <w:rPr>
          <w:rFonts w:ascii="David" w:hAnsi="David"/>
          <w:sz w:val="26"/>
          <w:szCs w:val="26"/>
          <w:rtl/>
        </w:rPr>
      </w:pPr>
      <w:bookmarkStart w:id="6" w:name="ABSTRACT_START"/>
      <w:bookmarkEnd w:id="6"/>
      <w:r w:rsidRPr="00E65FFF">
        <w:rPr>
          <w:rFonts w:ascii="David" w:hAnsi="David"/>
          <w:b/>
          <w:bCs/>
          <w:sz w:val="26"/>
          <w:szCs w:val="26"/>
          <w:rtl/>
        </w:rPr>
        <w:t>ב</w:t>
      </w:r>
      <w:hyperlink r:id="rId9" w:history="1">
        <w:r w:rsidR="00C81603" w:rsidRPr="00C81603">
          <w:rPr>
            <w:rFonts w:ascii="David" w:hAnsi="David"/>
            <w:b/>
            <w:bCs/>
            <w:color w:val="0000FF"/>
            <w:sz w:val="26"/>
            <w:szCs w:val="26"/>
            <w:u w:val="single"/>
            <w:rtl/>
          </w:rPr>
          <w:t>ת"פ 28785-07-19</w:t>
        </w:r>
      </w:hyperlink>
      <w:r w:rsidRPr="00E65FFF">
        <w:rPr>
          <w:rFonts w:ascii="David" w:hAnsi="David"/>
          <w:sz w:val="26"/>
          <w:szCs w:val="26"/>
          <w:rtl/>
        </w:rPr>
        <w:t xml:space="preserve"> (כתב אישום מקורי) הורשע הנאשם על-פי הודאתו ב</w:t>
      </w:r>
      <w:r w:rsidRPr="00E65FFF">
        <w:rPr>
          <w:rFonts w:ascii="David" w:hAnsi="David"/>
          <w:b/>
          <w:bCs/>
          <w:sz w:val="26"/>
          <w:szCs w:val="26"/>
          <w:rtl/>
        </w:rPr>
        <w:t>החזקת סם שלא לצריכה עצמית</w:t>
      </w:r>
      <w:r w:rsidRPr="00E65FFF">
        <w:rPr>
          <w:rFonts w:ascii="David" w:hAnsi="David"/>
          <w:sz w:val="26"/>
          <w:szCs w:val="26"/>
          <w:rtl/>
        </w:rPr>
        <w:t xml:space="preserve">, לפי </w:t>
      </w:r>
      <w:hyperlink r:id="rId10" w:history="1">
        <w:r w:rsidR="00A9606B" w:rsidRPr="00A9606B">
          <w:rPr>
            <w:rStyle w:val="Hyperlink"/>
            <w:rFonts w:ascii="David" w:hAnsi="David"/>
            <w:sz w:val="26"/>
            <w:szCs w:val="26"/>
            <w:rtl/>
          </w:rPr>
          <w:t>סעיפים 7(א)(ג)</w:t>
        </w:r>
      </w:hyperlink>
      <w:r w:rsidRPr="00E65FFF">
        <w:rPr>
          <w:rFonts w:ascii="David" w:hAnsi="David"/>
          <w:sz w:val="26"/>
          <w:szCs w:val="26"/>
          <w:rtl/>
        </w:rPr>
        <w:t xml:space="preserve"> רישא ל</w:t>
      </w:r>
      <w:hyperlink r:id="rId11" w:history="1">
        <w:r w:rsidR="00C81603" w:rsidRPr="00C81603">
          <w:rPr>
            <w:rFonts w:ascii="David" w:hAnsi="David"/>
            <w:color w:val="0000FF"/>
            <w:sz w:val="26"/>
            <w:szCs w:val="26"/>
            <w:u w:val="single"/>
            <w:rtl/>
          </w:rPr>
          <w:t>פקודת הסמים המסוכנים</w:t>
        </w:r>
      </w:hyperlink>
      <w:r w:rsidRPr="00E65FFF">
        <w:rPr>
          <w:rFonts w:ascii="David" w:hAnsi="David"/>
          <w:sz w:val="26"/>
          <w:szCs w:val="26"/>
          <w:rtl/>
        </w:rPr>
        <w:t xml:space="preserve">, בכך שביום 2.12.2016 החזיק בביתו "נייס גאי" </w:t>
      </w:r>
      <w:r w:rsidRPr="00E65FFF">
        <w:rPr>
          <w:rFonts w:ascii="David" w:hAnsi="David"/>
          <w:sz w:val="26"/>
          <w:szCs w:val="26"/>
          <w:lang w:bidi="ar-JO"/>
        </w:rPr>
        <w:t>(AMB-FUB)</w:t>
      </w:r>
      <w:r w:rsidRPr="00E65FFF">
        <w:rPr>
          <w:rFonts w:ascii="David" w:hAnsi="David"/>
          <w:sz w:val="26"/>
          <w:szCs w:val="26"/>
          <w:rtl/>
        </w:rPr>
        <w:t xml:space="preserve"> במשקל 2.39 גרם וכן ב-69 שקיות שהיו מפוזרות בביתו</w:t>
      </w:r>
      <w:r>
        <w:rPr>
          <w:rFonts w:ascii="David" w:hAnsi="David" w:hint="cs"/>
          <w:sz w:val="26"/>
          <w:szCs w:val="26"/>
          <w:rtl/>
        </w:rPr>
        <w:t xml:space="preserve"> </w:t>
      </w:r>
      <w:r>
        <w:rPr>
          <w:rFonts w:ascii="David" w:hAnsi="David"/>
          <w:sz w:val="26"/>
          <w:szCs w:val="26"/>
          <w:rtl/>
        </w:rPr>
        <w:t>–</w:t>
      </w:r>
      <w:r>
        <w:rPr>
          <w:rFonts w:ascii="David" w:hAnsi="David" w:hint="cs"/>
          <w:sz w:val="26"/>
          <w:szCs w:val="26"/>
          <w:rtl/>
        </w:rPr>
        <w:t xml:space="preserve"> לא צוינה כמות הסם בהקשר זה</w:t>
      </w:r>
      <w:r w:rsidRPr="00E65FFF">
        <w:rPr>
          <w:rFonts w:ascii="David" w:hAnsi="David"/>
          <w:sz w:val="26"/>
          <w:szCs w:val="26"/>
          <w:rtl/>
        </w:rPr>
        <w:t>.</w:t>
      </w:r>
      <w:r>
        <w:rPr>
          <w:rFonts w:ascii="David" w:hAnsi="David" w:hint="cs"/>
          <w:sz w:val="26"/>
          <w:szCs w:val="26"/>
          <w:rtl/>
        </w:rPr>
        <w:t xml:space="preserve"> במסגרת תשובתו לאישום טען הנאשם כי הסמים הם לצריכתו עצמית ולא היה בכוונתו להעבירם לאיש. </w:t>
      </w:r>
    </w:p>
    <w:p w14:paraId="429981F6" w14:textId="77777777" w:rsidR="006E4D24" w:rsidRPr="00E65FFF" w:rsidRDefault="006E4D24" w:rsidP="006E4D24">
      <w:pPr>
        <w:spacing w:line="360" w:lineRule="auto"/>
        <w:jc w:val="both"/>
        <w:rPr>
          <w:rFonts w:ascii="David" w:hAnsi="David"/>
          <w:sz w:val="26"/>
          <w:szCs w:val="26"/>
          <w:rtl/>
        </w:rPr>
      </w:pPr>
    </w:p>
    <w:p w14:paraId="161BA1FF" w14:textId="77777777" w:rsidR="006E4D24" w:rsidRPr="00E65FFF" w:rsidRDefault="006E4D24" w:rsidP="006E4D24">
      <w:pPr>
        <w:spacing w:line="360" w:lineRule="auto"/>
        <w:jc w:val="both"/>
        <w:rPr>
          <w:rFonts w:ascii="David" w:hAnsi="David"/>
          <w:sz w:val="26"/>
          <w:szCs w:val="26"/>
          <w:rtl/>
        </w:rPr>
      </w:pPr>
      <w:bookmarkStart w:id="7" w:name="ABSTRACT_END"/>
      <w:bookmarkEnd w:id="7"/>
      <w:r w:rsidRPr="00E65FFF">
        <w:rPr>
          <w:rFonts w:ascii="David" w:hAnsi="David"/>
          <w:b/>
          <w:bCs/>
          <w:sz w:val="26"/>
          <w:szCs w:val="26"/>
          <w:rtl/>
        </w:rPr>
        <w:t>ב</w:t>
      </w:r>
      <w:hyperlink r:id="rId12" w:history="1">
        <w:r w:rsidR="00C81603" w:rsidRPr="00C81603">
          <w:rPr>
            <w:rFonts w:ascii="David" w:hAnsi="David"/>
            <w:b/>
            <w:bCs/>
            <w:color w:val="0000FF"/>
            <w:sz w:val="26"/>
            <w:szCs w:val="26"/>
            <w:u w:val="single"/>
            <w:rtl/>
          </w:rPr>
          <w:t>ת"פ 2063-03-19</w:t>
        </w:r>
      </w:hyperlink>
      <w:r w:rsidRPr="00E65FFF">
        <w:rPr>
          <w:rFonts w:ascii="David" w:hAnsi="David"/>
          <w:sz w:val="26"/>
          <w:szCs w:val="26"/>
          <w:rtl/>
        </w:rPr>
        <w:t xml:space="preserve"> (כתב אישום מתוקן) הודה הנאשם והורשע ב</w:t>
      </w:r>
      <w:r w:rsidRPr="00E65FFF">
        <w:rPr>
          <w:rFonts w:ascii="David" w:hAnsi="David"/>
          <w:b/>
          <w:bCs/>
          <w:sz w:val="26"/>
          <w:szCs w:val="26"/>
          <w:rtl/>
        </w:rPr>
        <w:t>החזקת סם לצריכה עצמית</w:t>
      </w:r>
      <w:r w:rsidRPr="00E65FFF">
        <w:rPr>
          <w:rFonts w:ascii="David" w:hAnsi="David"/>
          <w:sz w:val="26"/>
          <w:szCs w:val="26"/>
          <w:rtl/>
        </w:rPr>
        <w:t xml:space="preserve">, לפי </w:t>
      </w:r>
      <w:hyperlink r:id="rId13" w:history="1">
        <w:r w:rsidR="00A9606B" w:rsidRPr="00A9606B">
          <w:rPr>
            <w:rStyle w:val="Hyperlink"/>
            <w:rFonts w:ascii="David" w:hAnsi="David"/>
            <w:sz w:val="26"/>
            <w:szCs w:val="26"/>
            <w:rtl/>
          </w:rPr>
          <w:t>סעיפים 7(א)(ג)</w:t>
        </w:r>
      </w:hyperlink>
      <w:r w:rsidRPr="00E65FFF">
        <w:rPr>
          <w:rFonts w:ascii="David" w:hAnsi="David"/>
          <w:sz w:val="26"/>
          <w:szCs w:val="26"/>
          <w:rtl/>
        </w:rPr>
        <w:t xml:space="preserve"> סיפא לפקודת הסמים, בכך שביום 22.1.2018 החזיק הנאשם בכליו</w:t>
      </w:r>
      <w:r w:rsidRPr="00E65FFF">
        <w:rPr>
          <w:rFonts w:ascii="David" w:hAnsi="David"/>
          <w:sz w:val="26"/>
          <w:szCs w:val="26"/>
          <w:rtl/>
          <w:lang w:bidi="ar-JO"/>
        </w:rPr>
        <w:t xml:space="preserve"> </w:t>
      </w:r>
      <w:r w:rsidRPr="00E65FFF">
        <w:rPr>
          <w:rFonts w:ascii="David" w:hAnsi="David"/>
          <w:sz w:val="26"/>
          <w:szCs w:val="26"/>
          <w:rtl/>
        </w:rPr>
        <w:t>1.18 גרם קנביס וכן "נייס גאי" במשקל 5.07 גרם.</w:t>
      </w:r>
    </w:p>
    <w:p w14:paraId="3D226F21" w14:textId="77777777" w:rsidR="006E4D24" w:rsidRPr="00E65FFF" w:rsidRDefault="006E4D24" w:rsidP="006E4D24">
      <w:pPr>
        <w:spacing w:line="360" w:lineRule="auto"/>
        <w:jc w:val="both"/>
        <w:rPr>
          <w:rFonts w:ascii="David" w:hAnsi="David"/>
          <w:sz w:val="26"/>
          <w:szCs w:val="26"/>
          <w:rtl/>
        </w:rPr>
      </w:pPr>
    </w:p>
    <w:p w14:paraId="6D0E275E" w14:textId="77777777" w:rsidR="006E4D24" w:rsidRPr="00E65FFF" w:rsidRDefault="006E4D24" w:rsidP="006E4D24">
      <w:pPr>
        <w:spacing w:line="360" w:lineRule="auto"/>
        <w:jc w:val="both"/>
        <w:rPr>
          <w:rFonts w:ascii="David" w:hAnsi="David"/>
          <w:b/>
          <w:bCs/>
          <w:sz w:val="26"/>
          <w:szCs w:val="26"/>
          <w:u w:val="single"/>
          <w:rtl/>
        </w:rPr>
      </w:pPr>
      <w:r w:rsidRPr="00E65FFF">
        <w:rPr>
          <w:rFonts w:ascii="David" w:hAnsi="David"/>
          <w:b/>
          <w:bCs/>
          <w:sz w:val="26"/>
          <w:szCs w:val="26"/>
          <w:u w:val="single"/>
          <w:rtl/>
        </w:rPr>
        <w:t>מהלך הדיון</w:t>
      </w:r>
    </w:p>
    <w:p w14:paraId="53092DF2" w14:textId="77777777" w:rsidR="006E4D24" w:rsidRPr="00E65FFF" w:rsidRDefault="006E4D24" w:rsidP="006E4D24">
      <w:pPr>
        <w:spacing w:line="360" w:lineRule="auto"/>
        <w:jc w:val="both"/>
        <w:rPr>
          <w:rFonts w:ascii="David" w:hAnsi="David"/>
          <w:sz w:val="26"/>
          <w:szCs w:val="26"/>
          <w:rtl/>
        </w:rPr>
      </w:pPr>
      <w:r w:rsidRPr="00E65FFF">
        <w:rPr>
          <w:rFonts w:ascii="David" w:hAnsi="David"/>
          <w:sz w:val="26"/>
          <w:szCs w:val="26"/>
          <w:rtl/>
        </w:rPr>
        <w:t>הצדדים לא הגיעו להסדר בעניין העונש, והנאשם נשלח לשירות המבחן לצורך עריכת תסקיר.</w:t>
      </w:r>
    </w:p>
    <w:p w14:paraId="22346CDD" w14:textId="77777777" w:rsidR="006E4D24" w:rsidRPr="00E65FFF" w:rsidRDefault="006E4D24" w:rsidP="006E4D24">
      <w:pPr>
        <w:spacing w:line="360" w:lineRule="auto"/>
        <w:jc w:val="both"/>
        <w:rPr>
          <w:rFonts w:ascii="David" w:hAnsi="David"/>
          <w:sz w:val="26"/>
          <w:szCs w:val="26"/>
          <w:rtl/>
        </w:rPr>
      </w:pPr>
    </w:p>
    <w:p w14:paraId="50412CDB" w14:textId="77777777" w:rsidR="006E4D24" w:rsidRPr="00E65FFF" w:rsidRDefault="006E4D24" w:rsidP="006E4D24">
      <w:pPr>
        <w:spacing w:line="360" w:lineRule="auto"/>
        <w:jc w:val="both"/>
        <w:rPr>
          <w:rFonts w:ascii="David" w:hAnsi="David"/>
          <w:b/>
          <w:bCs/>
          <w:sz w:val="26"/>
          <w:szCs w:val="26"/>
          <w:u w:val="single"/>
          <w:rtl/>
        </w:rPr>
      </w:pPr>
      <w:r w:rsidRPr="00E65FFF">
        <w:rPr>
          <w:rFonts w:ascii="David" w:hAnsi="David"/>
          <w:b/>
          <w:bCs/>
          <w:sz w:val="26"/>
          <w:szCs w:val="26"/>
          <w:u w:val="single"/>
          <w:rtl/>
        </w:rPr>
        <w:t>תסקיר</w:t>
      </w:r>
      <w:r>
        <w:rPr>
          <w:rFonts w:ascii="David" w:hAnsi="David" w:hint="cs"/>
          <w:b/>
          <w:bCs/>
          <w:sz w:val="26"/>
          <w:szCs w:val="26"/>
          <w:u w:val="single"/>
          <w:rtl/>
        </w:rPr>
        <w:t>י</w:t>
      </w:r>
      <w:r w:rsidRPr="00E65FFF">
        <w:rPr>
          <w:rFonts w:ascii="David" w:hAnsi="David"/>
          <w:b/>
          <w:bCs/>
          <w:sz w:val="26"/>
          <w:szCs w:val="26"/>
          <w:u w:val="single"/>
          <w:rtl/>
        </w:rPr>
        <w:t xml:space="preserve"> שירות המבחן</w:t>
      </w:r>
    </w:p>
    <w:p w14:paraId="6F62ADD7" w14:textId="77777777" w:rsidR="006E4D24" w:rsidRPr="00E65FFF" w:rsidRDefault="006E4D24" w:rsidP="006E4D24">
      <w:pPr>
        <w:spacing w:line="360" w:lineRule="auto"/>
        <w:jc w:val="both"/>
        <w:rPr>
          <w:rFonts w:ascii="David" w:hAnsi="David"/>
          <w:sz w:val="26"/>
          <w:szCs w:val="26"/>
          <w:rtl/>
        </w:rPr>
      </w:pPr>
      <w:r>
        <w:rPr>
          <w:rFonts w:ascii="David" w:hAnsi="David" w:hint="cs"/>
          <w:sz w:val="26"/>
          <w:szCs w:val="26"/>
          <w:rtl/>
        </w:rPr>
        <w:t xml:space="preserve">בעניינו של הנאשם הוגשו שני תסקירים. מהתסקירים עולה, כי הנאשם בשנות השלושים המוקדמות לחייו, רווק ועובד מזה למעלה משנתיים בתחום התברואה בעיריית ירושלים. הוא סיים 12 שנות לימוד והוא מגיע מרקע נורמטיבי. לדבריו, החל להשתמש בסמים בשנות נערותו המאוחרות, על רקע חשיפה לחברת שוליים. הוא קיבל אחריות מלאה למעשים ולאחר הזדמנות חוזרת שניתנה לו על-ידי, שיתף פעולה עם שירות המבחן ומסר בדיקות שתן על בסיס שבועי, כולן נמצאו נקיות משרידי סמים. שירות המבחן עמד על כך שהנאשם כיום בוגר יותר, מביע חרטה על המעשים ומודע למחיר שעליו לשלם בגין ביצועם. השירות עמד על כך שהנאשם עובד בעבודה המשמעותית עבורו כגורם חיובי ומייצב ונוכח שיתוף הפעולה שלו עם השירות, והעובדה שמסר בדיקות שתן נקיות מסמים, המליץ שירות המבחן על הארכת המאסר המותנה ועל הטלת צו מבחן פיקוחי שבמסגרתו ימשיך הנאשם למסור בדיקות שתן. </w:t>
      </w:r>
    </w:p>
    <w:p w14:paraId="37B3FA9B" w14:textId="77777777" w:rsidR="006E4D24" w:rsidRPr="00E65FFF" w:rsidRDefault="006E4D24" w:rsidP="006E4D24">
      <w:pPr>
        <w:spacing w:line="360" w:lineRule="auto"/>
        <w:jc w:val="both"/>
        <w:rPr>
          <w:rFonts w:ascii="David" w:hAnsi="David"/>
          <w:sz w:val="26"/>
          <w:szCs w:val="26"/>
          <w:rtl/>
        </w:rPr>
      </w:pPr>
    </w:p>
    <w:p w14:paraId="0EA1DC8F" w14:textId="77777777" w:rsidR="006E4D24" w:rsidRPr="00E65FFF" w:rsidRDefault="006E4D24" w:rsidP="006E4D24">
      <w:pPr>
        <w:spacing w:line="360" w:lineRule="auto"/>
        <w:jc w:val="both"/>
        <w:rPr>
          <w:rFonts w:ascii="David" w:hAnsi="David"/>
          <w:b/>
          <w:bCs/>
          <w:sz w:val="26"/>
          <w:szCs w:val="26"/>
          <w:u w:val="single"/>
          <w:rtl/>
        </w:rPr>
      </w:pPr>
      <w:r w:rsidRPr="00E65FFF">
        <w:rPr>
          <w:rFonts w:ascii="David" w:hAnsi="David"/>
          <w:b/>
          <w:bCs/>
          <w:sz w:val="26"/>
          <w:szCs w:val="26"/>
          <w:u w:val="single"/>
          <w:rtl/>
        </w:rPr>
        <w:t>רישום פלילי</w:t>
      </w:r>
    </w:p>
    <w:p w14:paraId="72972207" w14:textId="77777777" w:rsidR="006E4D24" w:rsidRPr="00E65FFF" w:rsidRDefault="006E4D24" w:rsidP="006E4D24">
      <w:pPr>
        <w:spacing w:line="360" w:lineRule="auto"/>
        <w:jc w:val="both"/>
        <w:rPr>
          <w:rFonts w:ascii="David" w:hAnsi="David"/>
          <w:sz w:val="26"/>
          <w:szCs w:val="26"/>
          <w:rtl/>
        </w:rPr>
      </w:pPr>
      <w:r w:rsidRPr="00E65FFF">
        <w:rPr>
          <w:rFonts w:ascii="David" w:hAnsi="David"/>
          <w:sz w:val="26"/>
          <w:szCs w:val="26"/>
          <w:rtl/>
        </w:rPr>
        <w:t>לנאשם שתי הרשעות קודמות האחת בעבירות סמים והשניה בהפרעה לשוטר בגינן הוטלו עליו עונשים מותנים. לחובת הנאשם מאסר על-תנאי של חודש בר-הפעלה, שהוטל עליו ב</w:t>
      </w:r>
      <w:hyperlink r:id="rId14" w:history="1">
        <w:r w:rsidR="00C81603" w:rsidRPr="00C81603">
          <w:rPr>
            <w:rFonts w:ascii="David" w:hAnsi="David"/>
            <w:color w:val="0000FF"/>
            <w:sz w:val="26"/>
            <w:szCs w:val="26"/>
            <w:u w:val="single"/>
            <w:rtl/>
          </w:rPr>
          <w:t>ת"פ 34159-06-19</w:t>
        </w:r>
      </w:hyperlink>
      <w:r w:rsidRPr="00E65FFF">
        <w:rPr>
          <w:rFonts w:ascii="David" w:hAnsi="David"/>
          <w:sz w:val="26"/>
          <w:szCs w:val="26"/>
          <w:rtl/>
        </w:rPr>
        <w:t xml:space="preserve"> ביום 13.6.2017 (</w:t>
      </w:r>
      <w:r w:rsidRPr="00E65FFF">
        <w:rPr>
          <w:rFonts w:ascii="David" w:hAnsi="David"/>
          <w:b/>
          <w:bCs/>
          <w:sz w:val="26"/>
          <w:szCs w:val="26"/>
          <w:rtl/>
        </w:rPr>
        <w:t>תיק התנאי, המאסר המותנה</w:t>
      </w:r>
      <w:r w:rsidRPr="00E65FFF">
        <w:rPr>
          <w:rFonts w:ascii="David" w:hAnsi="David"/>
          <w:sz w:val="26"/>
          <w:szCs w:val="26"/>
          <w:rtl/>
        </w:rPr>
        <w:t>).</w:t>
      </w:r>
    </w:p>
    <w:p w14:paraId="2B015CB5" w14:textId="77777777" w:rsidR="006E4D24" w:rsidRPr="00E65FFF" w:rsidRDefault="006E4D24" w:rsidP="006E4D24">
      <w:pPr>
        <w:spacing w:line="360" w:lineRule="auto"/>
        <w:jc w:val="both"/>
        <w:rPr>
          <w:rFonts w:ascii="David" w:hAnsi="David"/>
          <w:sz w:val="26"/>
          <w:szCs w:val="26"/>
          <w:rtl/>
        </w:rPr>
      </w:pPr>
    </w:p>
    <w:p w14:paraId="6E4E5076" w14:textId="77777777" w:rsidR="006E4D24" w:rsidRPr="00E65FFF" w:rsidRDefault="006E4D24" w:rsidP="006E4D24">
      <w:pPr>
        <w:spacing w:line="360" w:lineRule="auto"/>
        <w:jc w:val="both"/>
        <w:rPr>
          <w:rFonts w:ascii="David" w:hAnsi="David"/>
          <w:b/>
          <w:bCs/>
          <w:sz w:val="26"/>
          <w:szCs w:val="26"/>
          <w:u w:val="single"/>
          <w:rtl/>
        </w:rPr>
      </w:pPr>
      <w:r w:rsidRPr="00E65FFF">
        <w:rPr>
          <w:rFonts w:ascii="David" w:hAnsi="David"/>
          <w:b/>
          <w:bCs/>
          <w:sz w:val="26"/>
          <w:szCs w:val="26"/>
          <w:u w:val="single"/>
          <w:rtl/>
        </w:rPr>
        <w:t>טיעונים לעונש</w:t>
      </w:r>
    </w:p>
    <w:p w14:paraId="4D71AE5C" w14:textId="77777777" w:rsidR="006E4D24" w:rsidRPr="008B68A8" w:rsidRDefault="006E4D24" w:rsidP="006E4D24">
      <w:pPr>
        <w:spacing w:line="360" w:lineRule="auto"/>
        <w:jc w:val="both"/>
        <w:rPr>
          <w:rFonts w:ascii="David" w:hAnsi="David"/>
          <w:sz w:val="26"/>
          <w:szCs w:val="26"/>
          <w:rtl/>
        </w:rPr>
      </w:pPr>
      <w:r w:rsidRPr="008B68A8">
        <w:rPr>
          <w:rFonts w:ascii="David" w:hAnsi="David" w:hint="cs"/>
          <w:sz w:val="26"/>
          <w:szCs w:val="26"/>
          <w:rtl/>
        </w:rPr>
        <w:t xml:space="preserve">ב"כ המאשימה עמד על נסיבות ביצוע העבירות ועתר למתחם שבין 4 ל-12 חודשי מאסר בעבירת ההחזקה שלא לצריכה עצמית, ובעבירה של החזקה לצריכה עצמית עתר למתחם שבין מאסר מותנה ועד חודשי מאסר ספורים שיכול ויבוצעו בעבודות שירות. התובע עתר להטיל </w:t>
      </w:r>
      <w:r>
        <w:rPr>
          <w:rFonts w:ascii="David" w:hAnsi="David" w:hint="cs"/>
          <w:sz w:val="26"/>
          <w:szCs w:val="26"/>
          <w:rtl/>
        </w:rPr>
        <w:t xml:space="preserve">על הנאשם </w:t>
      </w:r>
      <w:r w:rsidRPr="008B68A8">
        <w:rPr>
          <w:rFonts w:ascii="David" w:hAnsi="David" w:hint="cs"/>
          <w:sz w:val="26"/>
          <w:szCs w:val="26"/>
          <w:rtl/>
        </w:rPr>
        <w:t xml:space="preserve">מאסר במצטבר למאסר המותנה שיופעל וזאת בתחתית המתחמים, עונש שיוכל להיות מבוצע בעבודות שירות. </w:t>
      </w:r>
      <w:r>
        <w:rPr>
          <w:rFonts w:ascii="David" w:hAnsi="David" w:hint="cs"/>
          <w:sz w:val="26"/>
          <w:szCs w:val="26"/>
          <w:rtl/>
        </w:rPr>
        <w:t>הסניגורית ביקשה לאמץ את המלצת שירות המבחן שעומדת לדעתה גם במבחן האינטרס הציבורי.</w:t>
      </w:r>
    </w:p>
    <w:p w14:paraId="1D3AE40E" w14:textId="77777777" w:rsidR="006E4D24" w:rsidRPr="00E65FFF" w:rsidRDefault="006E4D24" w:rsidP="006E4D24">
      <w:pPr>
        <w:spacing w:line="360" w:lineRule="auto"/>
        <w:jc w:val="both"/>
        <w:rPr>
          <w:rFonts w:ascii="David" w:hAnsi="David"/>
          <w:sz w:val="26"/>
          <w:szCs w:val="26"/>
          <w:rtl/>
        </w:rPr>
      </w:pPr>
    </w:p>
    <w:p w14:paraId="774B9E63" w14:textId="77777777" w:rsidR="006E4D24" w:rsidRPr="00E65FFF" w:rsidRDefault="006E4D24" w:rsidP="006E4D24">
      <w:pPr>
        <w:spacing w:line="360" w:lineRule="auto"/>
        <w:jc w:val="both"/>
        <w:rPr>
          <w:rFonts w:ascii="David" w:hAnsi="David"/>
          <w:b/>
          <w:bCs/>
          <w:sz w:val="26"/>
          <w:szCs w:val="26"/>
          <w:u w:val="single"/>
          <w:rtl/>
        </w:rPr>
      </w:pPr>
      <w:r w:rsidRPr="00E65FFF">
        <w:rPr>
          <w:rFonts w:ascii="David" w:hAnsi="David"/>
          <w:b/>
          <w:bCs/>
          <w:sz w:val="26"/>
          <w:szCs w:val="26"/>
          <w:u w:val="single"/>
          <w:rtl/>
        </w:rPr>
        <w:t>קביעת מתחם הענישה ההולם</w:t>
      </w:r>
    </w:p>
    <w:p w14:paraId="2B0829BD" w14:textId="77777777" w:rsidR="006E4D24" w:rsidRPr="00E65FFF" w:rsidRDefault="006E4D24" w:rsidP="006E4D24">
      <w:pPr>
        <w:spacing w:line="360" w:lineRule="auto"/>
        <w:jc w:val="both"/>
        <w:rPr>
          <w:rFonts w:ascii="David" w:hAnsi="David"/>
          <w:sz w:val="26"/>
          <w:szCs w:val="26"/>
          <w:rtl/>
        </w:rPr>
      </w:pPr>
      <w:r w:rsidRPr="00E65FFF">
        <w:rPr>
          <w:rFonts w:ascii="David" w:hAnsi="David"/>
          <w:sz w:val="26"/>
          <w:szCs w:val="26"/>
          <w:rtl/>
        </w:rPr>
        <w:lastRenderedPageBreak/>
        <w:t>בבואו של בית המשפט לקבוע את מתחם הענישה ההולם עליו לתת בכורה לעקרון ההלימה, שהוא נגזרת של הערכים המוגנים, מידת הפגיעה בהם, נסיבות ביצוע העבירה ומידת אשמו של הנאשם ומדיניות הענישה הנוהגת.</w:t>
      </w:r>
    </w:p>
    <w:p w14:paraId="7335EF2E" w14:textId="77777777" w:rsidR="006E4D24" w:rsidRPr="00E65FFF" w:rsidRDefault="006E4D24" w:rsidP="006E4D24">
      <w:pPr>
        <w:spacing w:line="360" w:lineRule="auto"/>
        <w:jc w:val="both"/>
        <w:rPr>
          <w:rFonts w:ascii="David" w:hAnsi="David"/>
          <w:sz w:val="26"/>
          <w:szCs w:val="26"/>
          <w:rtl/>
        </w:rPr>
      </w:pPr>
    </w:p>
    <w:p w14:paraId="7725A866" w14:textId="77777777" w:rsidR="006E4D24" w:rsidRPr="00E65FFF" w:rsidRDefault="006E4D24" w:rsidP="006E4D24">
      <w:pPr>
        <w:spacing w:line="360" w:lineRule="auto"/>
        <w:jc w:val="both"/>
        <w:rPr>
          <w:rFonts w:ascii="David" w:hAnsi="David"/>
          <w:sz w:val="26"/>
          <w:szCs w:val="26"/>
          <w:rtl/>
        </w:rPr>
      </w:pPr>
      <w:r w:rsidRPr="00E65FFF">
        <w:rPr>
          <w:rFonts w:ascii="David" w:hAnsi="David"/>
          <w:b/>
          <w:bCs/>
          <w:sz w:val="26"/>
          <w:szCs w:val="26"/>
          <w:rtl/>
        </w:rPr>
        <w:t>הערכים המוגנים</w:t>
      </w:r>
      <w:r w:rsidRPr="00E65FFF">
        <w:rPr>
          <w:rFonts w:ascii="David" w:hAnsi="David"/>
          <w:sz w:val="26"/>
          <w:szCs w:val="26"/>
          <w:rtl/>
        </w:rPr>
        <w:t xml:space="preserve"> – מדובר בפגיעה בבריאות הציבור ובסופו של דבר גם בביטחונו. יחד עם זאת נוכח טיב הסם ונסיבות הימצאותו בקרבת הנאשם, מידת הפגיעה בערכים המוגנים נמוכה. </w:t>
      </w:r>
    </w:p>
    <w:p w14:paraId="7ABA5872" w14:textId="77777777" w:rsidR="006E4D24" w:rsidRPr="00E65FFF" w:rsidRDefault="006E4D24" w:rsidP="006E4D24">
      <w:pPr>
        <w:spacing w:line="360" w:lineRule="auto"/>
        <w:jc w:val="both"/>
        <w:rPr>
          <w:rFonts w:ascii="David" w:hAnsi="David"/>
          <w:sz w:val="26"/>
          <w:szCs w:val="26"/>
          <w:rtl/>
        </w:rPr>
      </w:pPr>
    </w:p>
    <w:p w14:paraId="59E0164F" w14:textId="77777777" w:rsidR="006E4D24" w:rsidRPr="00E65FFF" w:rsidRDefault="006E4D24" w:rsidP="006E4D24">
      <w:pPr>
        <w:spacing w:line="360" w:lineRule="auto"/>
        <w:jc w:val="both"/>
        <w:rPr>
          <w:rFonts w:ascii="David" w:hAnsi="David"/>
          <w:sz w:val="26"/>
          <w:szCs w:val="26"/>
          <w:rtl/>
        </w:rPr>
      </w:pPr>
      <w:r w:rsidRPr="00E65FFF">
        <w:rPr>
          <w:rFonts w:ascii="David" w:hAnsi="David"/>
          <w:b/>
          <w:bCs/>
          <w:sz w:val="26"/>
          <w:szCs w:val="26"/>
          <w:rtl/>
        </w:rPr>
        <w:t>אשר לנסיבות ביצוע העבירות</w:t>
      </w:r>
      <w:r w:rsidRPr="00E65FFF">
        <w:rPr>
          <w:rFonts w:ascii="David" w:hAnsi="David"/>
          <w:sz w:val="26"/>
          <w:szCs w:val="26"/>
          <w:rtl/>
        </w:rPr>
        <w:t xml:space="preserve"> – בתיק הראשון מדובר בסמים שנתפסו מפוזרים בביתו של הנאשם, כך שמדובר בעבירה מתוכננת, כשהחלוקה לשקיות רבות מעידה </w:t>
      </w:r>
      <w:r>
        <w:rPr>
          <w:rFonts w:ascii="David" w:hAnsi="David" w:hint="cs"/>
          <w:sz w:val="26"/>
          <w:szCs w:val="26"/>
          <w:rtl/>
        </w:rPr>
        <w:t xml:space="preserve">לכאורה </w:t>
      </w:r>
      <w:r w:rsidRPr="00E65FFF">
        <w:rPr>
          <w:rFonts w:ascii="David" w:hAnsi="David"/>
          <w:sz w:val="26"/>
          <w:szCs w:val="26"/>
          <w:rtl/>
        </w:rPr>
        <w:t>על קרב</w:t>
      </w:r>
      <w:r>
        <w:rPr>
          <w:rFonts w:ascii="David" w:hAnsi="David" w:hint="cs"/>
          <w:sz w:val="26"/>
          <w:szCs w:val="26"/>
          <w:rtl/>
        </w:rPr>
        <w:t>ה</w:t>
      </w:r>
      <w:r w:rsidRPr="00E65FFF">
        <w:rPr>
          <w:rFonts w:ascii="David" w:hAnsi="David"/>
          <w:sz w:val="26"/>
          <w:szCs w:val="26"/>
          <w:rtl/>
        </w:rPr>
        <w:t xml:space="preserve"> לנסיבות של סחר.</w:t>
      </w:r>
      <w:r>
        <w:rPr>
          <w:rFonts w:ascii="David" w:hAnsi="David" w:hint="cs"/>
          <w:sz w:val="26"/>
          <w:szCs w:val="26"/>
          <w:rtl/>
        </w:rPr>
        <w:t xml:space="preserve"> עם זאת, לא נטען כי הסמים הוסתרו בבית וגם כך אין מדובר בכמות "מסחרית", ולכן הכף נוטה לקבל את הסבריו של הנאשם לעניין תכלית השימוש בהם לצריכתו העצמית. מעבר לאמור, כתב האישום לוקה באי-בהירות בנוגע לכמות הסמים הכוללת, ולכן הדבר פועל לזכותו של הנאשם. </w:t>
      </w:r>
      <w:r w:rsidRPr="00E65FFF">
        <w:rPr>
          <w:rFonts w:ascii="David" w:hAnsi="David"/>
          <w:sz w:val="26"/>
          <w:szCs w:val="26"/>
          <w:rtl/>
        </w:rPr>
        <w:t>הנאשם אח</w:t>
      </w:r>
      <w:r>
        <w:rPr>
          <w:rFonts w:ascii="David" w:hAnsi="David"/>
          <w:sz w:val="26"/>
          <w:szCs w:val="26"/>
          <w:rtl/>
        </w:rPr>
        <w:t>ראי בלעדית למעשים ובפועל לא נג</w:t>
      </w:r>
      <w:r>
        <w:rPr>
          <w:rFonts w:ascii="David" w:hAnsi="David" w:hint="cs"/>
          <w:sz w:val="26"/>
          <w:szCs w:val="26"/>
          <w:rtl/>
        </w:rPr>
        <w:t>ר</w:t>
      </w:r>
      <w:r w:rsidRPr="00E65FFF">
        <w:rPr>
          <w:rFonts w:ascii="David" w:hAnsi="David"/>
          <w:sz w:val="26"/>
          <w:szCs w:val="26"/>
          <w:rtl/>
        </w:rPr>
        <w:t>ם נזק. בתיק השני, אין מדובר בסמים "קשים" אלא בקנביס ובקנביס סינתטי לצריכה עצמית, הנאשם אחראי למעשים ובפועל הנזק קטן וכך גם פוטנציאל הנזק.</w:t>
      </w:r>
    </w:p>
    <w:p w14:paraId="04C4A926" w14:textId="77777777" w:rsidR="006E4D24" w:rsidRPr="00E65FFF" w:rsidRDefault="006E4D24" w:rsidP="006E4D24">
      <w:pPr>
        <w:spacing w:line="360" w:lineRule="auto"/>
        <w:jc w:val="both"/>
        <w:rPr>
          <w:rFonts w:ascii="David" w:hAnsi="David"/>
          <w:sz w:val="26"/>
          <w:szCs w:val="26"/>
          <w:rtl/>
        </w:rPr>
      </w:pPr>
    </w:p>
    <w:p w14:paraId="0799BF1F" w14:textId="77777777" w:rsidR="006E4D24" w:rsidRPr="00E65FFF" w:rsidRDefault="006E4D24" w:rsidP="006E4D24">
      <w:pPr>
        <w:spacing w:line="360" w:lineRule="auto"/>
        <w:jc w:val="both"/>
        <w:rPr>
          <w:rFonts w:ascii="David" w:hAnsi="David"/>
          <w:sz w:val="26"/>
          <w:szCs w:val="26"/>
          <w:rtl/>
        </w:rPr>
      </w:pPr>
      <w:r w:rsidRPr="00E65FFF">
        <w:rPr>
          <w:rFonts w:ascii="David" w:hAnsi="David"/>
          <w:b/>
          <w:bCs/>
          <w:sz w:val="26"/>
          <w:szCs w:val="26"/>
          <w:rtl/>
        </w:rPr>
        <w:t>מדיניות הענישה הנוהגת</w:t>
      </w:r>
      <w:r w:rsidRPr="00E65FFF">
        <w:rPr>
          <w:rFonts w:ascii="David" w:hAnsi="David"/>
          <w:sz w:val="26"/>
          <w:szCs w:val="26"/>
          <w:rtl/>
        </w:rPr>
        <w:t xml:space="preserve"> – ב</w:t>
      </w:r>
      <w:hyperlink r:id="rId15" w:history="1">
        <w:r w:rsidR="00C81603" w:rsidRPr="00C81603">
          <w:rPr>
            <w:rFonts w:ascii="David" w:hAnsi="David"/>
            <w:color w:val="0000FF"/>
            <w:sz w:val="26"/>
            <w:szCs w:val="26"/>
            <w:u w:val="single"/>
            <w:rtl/>
          </w:rPr>
          <w:t>ע"פ 6161/16</w:t>
        </w:r>
      </w:hyperlink>
      <w:r w:rsidRPr="00E65FFF">
        <w:rPr>
          <w:rFonts w:ascii="David" w:hAnsi="David"/>
          <w:sz w:val="26"/>
          <w:szCs w:val="26"/>
          <w:rtl/>
        </w:rPr>
        <w:t xml:space="preserve"> </w:t>
      </w:r>
      <w:r w:rsidRPr="00E65FFF">
        <w:rPr>
          <w:rFonts w:ascii="David" w:hAnsi="David"/>
          <w:b/>
          <w:bCs/>
          <w:sz w:val="26"/>
          <w:szCs w:val="26"/>
          <w:u w:val="single"/>
          <w:rtl/>
        </w:rPr>
        <w:t>יזרעאלוב</w:t>
      </w:r>
      <w:r w:rsidRPr="00E65FFF">
        <w:rPr>
          <w:rFonts w:ascii="David" w:hAnsi="David"/>
          <w:sz w:val="26"/>
          <w:szCs w:val="26"/>
          <w:rtl/>
        </w:rPr>
        <w:t xml:space="preserve"> נ' </w:t>
      </w:r>
      <w:r w:rsidRPr="00E65FFF">
        <w:rPr>
          <w:rFonts w:ascii="David" w:hAnsi="David"/>
          <w:b/>
          <w:bCs/>
          <w:sz w:val="26"/>
          <w:szCs w:val="26"/>
          <w:u w:val="single"/>
          <w:rtl/>
        </w:rPr>
        <w:t>מ"י</w:t>
      </w:r>
      <w:r w:rsidRPr="00E65FFF">
        <w:rPr>
          <w:rFonts w:ascii="David" w:hAnsi="David"/>
          <w:sz w:val="26"/>
          <w:szCs w:val="26"/>
          <w:rtl/>
        </w:rPr>
        <w:t xml:space="preserve"> (מיום 20.2.2017) נדון נאשם ל-6 חודשי עבודות שירות בשל שיקולי שיקום, וכחריגה ממתחם שבין 8 ל-20 חודשים בנסיבות חמורות ממקרנו של מספר מקרי סחר בנייס גאי. בעפ"</w:t>
      </w:r>
      <w:r>
        <w:rPr>
          <w:rFonts w:ascii="David" w:hAnsi="David" w:hint="cs"/>
          <w:sz w:val="26"/>
          <w:szCs w:val="26"/>
          <w:rtl/>
        </w:rPr>
        <w:t xml:space="preserve">ג </w:t>
      </w:r>
      <w:r w:rsidRPr="00E65FFF">
        <w:rPr>
          <w:rFonts w:ascii="David" w:hAnsi="David"/>
          <w:sz w:val="26"/>
          <w:szCs w:val="26"/>
          <w:rtl/>
        </w:rPr>
        <w:t xml:space="preserve">(ב"ש) </w:t>
      </w:r>
      <w:hyperlink r:id="rId16" w:history="1">
        <w:r w:rsidR="004066E0" w:rsidRPr="004066E0">
          <w:rPr>
            <w:rFonts w:ascii="David" w:hAnsi="David"/>
            <w:color w:val="0000FF"/>
            <w:sz w:val="26"/>
            <w:szCs w:val="26"/>
            <w:u w:val="single"/>
            <w:rtl/>
          </w:rPr>
          <w:t xml:space="preserve">44536-12-17 </w:t>
        </w:r>
      </w:hyperlink>
      <w:r w:rsidRPr="00E65FFF">
        <w:rPr>
          <w:rFonts w:ascii="David" w:hAnsi="David"/>
          <w:sz w:val="26"/>
          <w:szCs w:val="26"/>
          <w:rtl/>
        </w:rPr>
        <w:t xml:space="preserve"> </w:t>
      </w:r>
      <w:r w:rsidRPr="00E65FFF">
        <w:rPr>
          <w:rFonts w:ascii="David" w:hAnsi="David" w:hint="cs"/>
          <w:b/>
          <w:bCs/>
          <w:sz w:val="26"/>
          <w:szCs w:val="26"/>
          <w:u w:val="single"/>
          <w:rtl/>
        </w:rPr>
        <w:t>טרטיאקוב</w:t>
      </w:r>
      <w:r>
        <w:rPr>
          <w:rFonts w:ascii="David" w:hAnsi="David" w:hint="cs"/>
          <w:sz w:val="26"/>
          <w:szCs w:val="26"/>
          <w:rtl/>
        </w:rPr>
        <w:t xml:space="preserve"> נ' </w:t>
      </w:r>
      <w:r w:rsidRPr="00E65FFF">
        <w:rPr>
          <w:rFonts w:ascii="David" w:hAnsi="David" w:hint="cs"/>
          <w:b/>
          <w:bCs/>
          <w:sz w:val="26"/>
          <w:szCs w:val="26"/>
          <w:u w:val="single"/>
          <w:rtl/>
        </w:rPr>
        <w:t>מ"י</w:t>
      </w:r>
      <w:r>
        <w:rPr>
          <w:rFonts w:ascii="David" w:hAnsi="David" w:hint="cs"/>
          <w:sz w:val="26"/>
          <w:szCs w:val="26"/>
          <w:rtl/>
        </w:rPr>
        <w:t xml:space="preserve"> (מיום 27.3.2018) </w:t>
      </w:r>
      <w:r w:rsidRPr="00E65FFF">
        <w:rPr>
          <w:rFonts w:ascii="David" w:hAnsi="David"/>
          <w:sz w:val="26"/>
          <w:szCs w:val="26"/>
          <w:rtl/>
        </w:rPr>
        <w:t xml:space="preserve">נדון המערער ל-20 חודשי מאסר על בסיס מתחם שבין עבודות שירות ל-18 חודשי מאסר בנסיבות של החזקת 20 יחידות נייס גאי שלא לצריכתו העצמית. שם לנאשם היו מאסרים מותנים ארוכים שהופעלו. </w:t>
      </w:r>
    </w:p>
    <w:p w14:paraId="3045B119" w14:textId="77777777" w:rsidR="006E4D24" w:rsidRPr="00E65FFF" w:rsidRDefault="006E4D24" w:rsidP="006E4D24">
      <w:pPr>
        <w:spacing w:line="360" w:lineRule="auto"/>
        <w:jc w:val="both"/>
        <w:rPr>
          <w:rFonts w:ascii="David" w:hAnsi="David"/>
          <w:sz w:val="26"/>
          <w:szCs w:val="26"/>
          <w:rtl/>
        </w:rPr>
      </w:pPr>
    </w:p>
    <w:p w14:paraId="7CA7E5B1" w14:textId="77777777" w:rsidR="006E4D24" w:rsidRPr="00E65FFF" w:rsidRDefault="006E4D24" w:rsidP="006E4D24">
      <w:pPr>
        <w:spacing w:line="360" w:lineRule="auto"/>
        <w:jc w:val="both"/>
        <w:rPr>
          <w:rFonts w:ascii="David" w:hAnsi="David"/>
          <w:sz w:val="26"/>
          <w:szCs w:val="26"/>
          <w:rtl/>
        </w:rPr>
      </w:pPr>
      <w:r w:rsidRPr="00E65FFF">
        <w:rPr>
          <w:rFonts w:ascii="David" w:hAnsi="David"/>
          <w:b/>
          <w:bCs/>
          <w:sz w:val="26"/>
          <w:szCs w:val="26"/>
          <w:rtl/>
        </w:rPr>
        <w:t>מתחם הענישה</w:t>
      </w:r>
      <w:r w:rsidRPr="00E65FFF">
        <w:rPr>
          <w:rFonts w:ascii="David" w:hAnsi="David"/>
          <w:sz w:val="26"/>
          <w:szCs w:val="26"/>
          <w:rtl/>
        </w:rPr>
        <w:t xml:space="preserve"> – נוכח כל האמור מתחם הענישה יחל בימי מאסר ספורים </w:t>
      </w:r>
      <w:r>
        <w:rPr>
          <w:rFonts w:ascii="David" w:hAnsi="David" w:hint="cs"/>
          <w:sz w:val="26"/>
          <w:szCs w:val="26"/>
          <w:rtl/>
        </w:rPr>
        <w:t>או של"ץ נרחב ו</w:t>
      </w:r>
      <w:r w:rsidRPr="00E65FFF">
        <w:rPr>
          <w:rFonts w:ascii="David" w:hAnsi="David"/>
          <w:sz w:val="26"/>
          <w:szCs w:val="26"/>
          <w:rtl/>
        </w:rPr>
        <w:t>עד 6 חודשי מאסר</w:t>
      </w:r>
      <w:r>
        <w:rPr>
          <w:rFonts w:ascii="David" w:hAnsi="David" w:hint="cs"/>
          <w:sz w:val="26"/>
          <w:szCs w:val="26"/>
          <w:rtl/>
        </w:rPr>
        <w:t xml:space="preserve"> בתיק הראשון ומאסר מותנה ועד חודשיים מאסר בתיק השני</w:t>
      </w:r>
      <w:r w:rsidRPr="00E65FFF">
        <w:rPr>
          <w:rFonts w:ascii="David" w:hAnsi="David"/>
          <w:sz w:val="26"/>
          <w:szCs w:val="26"/>
          <w:rtl/>
        </w:rPr>
        <w:t>.</w:t>
      </w:r>
    </w:p>
    <w:p w14:paraId="5023C0CB" w14:textId="77777777" w:rsidR="006E4D24" w:rsidRPr="00E65FFF" w:rsidRDefault="006E4D24" w:rsidP="006E4D24">
      <w:pPr>
        <w:spacing w:line="360" w:lineRule="auto"/>
        <w:jc w:val="both"/>
        <w:rPr>
          <w:rFonts w:ascii="David" w:hAnsi="David"/>
          <w:sz w:val="26"/>
          <w:szCs w:val="26"/>
          <w:rtl/>
        </w:rPr>
      </w:pPr>
    </w:p>
    <w:p w14:paraId="06A81194" w14:textId="77777777" w:rsidR="006E4D24" w:rsidRPr="00E65FFF" w:rsidRDefault="006E4D24" w:rsidP="006E4D24">
      <w:pPr>
        <w:spacing w:line="360" w:lineRule="auto"/>
        <w:jc w:val="both"/>
        <w:rPr>
          <w:rFonts w:ascii="David" w:hAnsi="David"/>
          <w:sz w:val="26"/>
          <w:szCs w:val="26"/>
          <w:rtl/>
        </w:rPr>
      </w:pPr>
      <w:r w:rsidRPr="00E65FFF">
        <w:rPr>
          <w:rFonts w:ascii="David" w:hAnsi="David"/>
          <w:b/>
          <w:bCs/>
          <w:sz w:val="26"/>
          <w:szCs w:val="26"/>
          <w:u w:val="single"/>
          <w:rtl/>
        </w:rPr>
        <w:t>נסיבות שאינן קשורות בביצוע העבירה</w:t>
      </w:r>
      <w:r w:rsidRPr="00E65FFF">
        <w:rPr>
          <w:rFonts w:ascii="David" w:hAnsi="David"/>
          <w:sz w:val="26"/>
          <w:szCs w:val="26"/>
          <w:rtl/>
        </w:rPr>
        <w:t xml:space="preserve"> – הנאשם הודה וחסך מזמנו של בית המשפט. </w:t>
      </w:r>
      <w:r>
        <w:rPr>
          <w:rFonts w:ascii="David" w:hAnsi="David" w:hint="cs"/>
          <w:sz w:val="26"/>
          <w:szCs w:val="26"/>
          <w:rtl/>
        </w:rPr>
        <w:t xml:space="preserve">הוא שיתף פעולה עם שירות המבחן והוכיח כי בפועל הוא נקי מסמים לאורך תקופה לא קצרה. הנאשם עובד לפרנסתו ומוצא במקום עבודתו סיפוק רב, וזה מהווה עבורו עוגן ליציבות חייו ולמשמעותם, ולכן שליחתו למאסר וגם בעבודות שירות, לא תהא החלופה העונשית ההולמת, ומכאן שהמלצת שירות המבחן, הכוללת המלצה על הארכת התנאי, הטלת של"ץ ומבחן, היא המלצה נכונה, הן מבחינת עקרון ההלימה, והן מבחינת הבטחת המשך שיתוף הפעולה של הנאשם עם גורמי האכיפה והפיקוח. </w:t>
      </w:r>
      <w:r w:rsidRPr="00E65FFF">
        <w:rPr>
          <w:rFonts w:ascii="David" w:hAnsi="David"/>
          <w:sz w:val="26"/>
          <w:szCs w:val="26"/>
          <w:rtl/>
        </w:rPr>
        <w:t>לחובת הנאשם עברו הפלילי והמאסר המותנה</w:t>
      </w:r>
      <w:r>
        <w:rPr>
          <w:rFonts w:ascii="David" w:hAnsi="David" w:hint="cs"/>
          <w:sz w:val="26"/>
          <w:szCs w:val="26"/>
          <w:rtl/>
        </w:rPr>
        <w:t>.</w:t>
      </w:r>
    </w:p>
    <w:p w14:paraId="78B70878" w14:textId="77777777" w:rsidR="006E4D24" w:rsidRPr="00E65FFF" w:rsidRDefault="006E4D24" w:rsidP="006E4D24">
      <w:pPr>
        <w:spacing w:line="360" w:lineRule="auto"/>
        <w:jc w:val="both"/>
        <w:rPr>
          <w:rFonts w:ascii="David" w:hAnsi="David"/>
          <w:sz w:val="26"/>
          <w:szCs w:val="26"/>
          <w:rtl/>
        </w:rPr>
      </w:pPr>
    </w:p>
    <w:p w14:paraId="20CCDC28" w14:textId="77777777" w:rsidR="006E4D24" w:rsidRPr="00E65FFF" w:rsidRDefault="006E4D24" w:rsidP="006E4D24">
      <w:pPr>
        <w:spacing w:line="360" w:lineRule="auto"/>
        <w:jc w:val="both"/>
        <w:rPr>
          <w:rFonts w:ascii="David" w:hAnsi="David"/>
          <w:sz w:val="26"/>
          <w:szCs w:val="26"/>
          <w:rtl/>
        </w:rPr>
      </w:pPr>
      <w:r w:rsidRPr="00E65FFF">
        <w:rPr>
          <w:rFonts w:ascii="David" w:hAnsi="David"/>
          <w:b/>
          <w:bCs/>
          <w:sz w:val="26"/>
          <w:szCs w:val="26"/>
          <w:u w:val="single"/>
          <w:rtl/>
        </w:rPr>
        <w:t xml:space="preserve">מיקום הנאשם במתחם </w:t>
      </w:r>
      <w:r w:rsidRPr="00E65FFF">
        <w:rPr>
          <w:rFonts w:ascii="David" w:hAnsi="David"/>
          <w:sz w:val="26"/>
          <w:szCs w:val="26"/>
          <w:rtl/>
        </w:rPr>
        <w:t xml:space="preserve">– </w:t>
      </w:r>
      <w:r>
        <w:rPr>
          <w:rFonts w:ascii="David" w:hAnsi="David" w:hint="cs"/>
          <w:sz w:val="26"/>
          <w:szCs w:val="26"/>
          <w:rtl/>
        </w:rPr>
        <w:t xml:space="preserve">בנסיבות אלו, סברתי שנכון יהיה לקבל את המלצת שירות המבחן, ובנסיבות העניין יהיה נכון וצודק להאריך את המאסר המותנה, לצד הטלה של רכיבי ענישה נוספים הנמצאים בתחתית המתחם שקבעתי.  סברתי ששליחת הנאשם למאסר ולו בעבודות שירות, עלולה להוביל לאובדן מקור פרנסתו, ואין מדובר בתוצאה רצויה. לצד זאת רכיבי העונש עליהם עמדתי לעיל יש בהם לעמוד בעקרון ההלימה בנסיבות העניין. </w:t>
      </w:r>
    </w:p>
    <w:p w14:paraId="6E26A80B" w14:textId="77777777" w:rsidR="006E4D24" w:rsidRPr="00E65FFF" w:rsidRDefault="006E4D24" w:rsidP="006E4D24">
      <w:pPr>
        <w:spacing w:line="360" w:lineRule="auto"/>
        <w:jc w:val="both"/>
        <w:rPr>
          <w:rFonts w:ascii="David" w:hAnsi="David"/>
          <w:sz w:val="26"/>
          <w:szCs w:val="26"/>
          <w:rtl/>
        </w:rPr>
      </w:pPr>
    </w:p>
    <w:p w14:paraId="5C09B311" w14:textId="77777777" w:rsidR="006E4D24" w:rsidRPr="00E65FFF" w:rsidRDefault="006E4D24" w:rsidP="006E4D24">
      <w:pPr>
        <w:spacing w:line="360" w:lineRule="auto"/>
        <w:jc w:val="both"/>
        <w:rPr>
          <w:rFonts w:ascii="David" w:hAnsi="David"/>
          <w:b/>
          <w:bCs/>
          <w:sz w:val="26"/>
          <w:szCs w:val="26"/>
          <w:u w:val="single"/>
          <w:rtl/>
        </w:rPr>
      </w:pPr>
      <w:r w:rsidRPr="00E65FFF">
        <w:rPr>
          <w:rFonts w:ascii="David" w:hAnsi="David"/>
          <w:b/>
          <w:bCs/>
          <w:sz w:val="26"/>
          <w:szCs w:val="26"/>
          <w:u w:val="single"/>
          <w:rtl/>
        </w:rPr>
        <w:t>גזירת הדין</w:t>
      </w:r>
    </w:p>
    <w:p w14:paraId="7B2783CA" w14:textId="77777777" w:rsidR="006E4D24" w:rsidRPr="00E65FFF" w:rsidRDefault="006E4D24" w:rsidP="006E4D24">
      <w:pPr>
        <w:spacing w:line="360" w:lineRule="auto"/>
        <w:jc w:val="both"/>
        <w:rPr>
          <w:rFonts w:ascii="David" w:hAnsi="David"/>
          <w:sz w:val="26"/>
          <w:szCs w:val="26"/>
          <w:rtl/>
        </w:rPr>
      </w:pPr>
      <w:r>
        <w:rPr>
          <w:rFonts w:ascii="David" w:hAnsi="David" w:hint="cs"/>
          <w:sz w:val="26"/>
          <w:szCs w:val="26"/>
          <w:rtl/>
        </w:rPr>
        <w:t>לפיכך, גוזר על הנאשם את העונשים הבאים:</w:t>
      </w:r>
    </w:p>
    <w:p w14:paraId="35F7DCD0" w14:textId="77777777" w:rsidR="006E4D24" w:rsidRDefault="006E4D24" w:rsidP="006E4D24">
      <w:pPr>
        <w:pStyle w:val="a9"/>
        <w:numPr>
          <w:ilvl w:val="0"/>
          <w:numId w:val="1"/>
        </w:numPr>
        <w:spacing w:line="360" w:lineRule="auto"/>
        <w:jc w:val="both"/>
        <w:rPr>
          <w:rFonts w:ascii="David" w:hAnsi="David"/>
          <w:sz w:val="26"/>
          <w:szCs w:val="26"/>
        </w:rPr>
      </w:pPr>
      <w:r>
        <w:rPr>
          <w:rFonts w:ascii="David" w:hAnsi="David" w:hint="cs"/>
          <w:sz w:val="26"/>
          <w:szCs w:val="26"/>
          <w:rtl/>
        </w:rPr>
        <w:t xml:space="preserve">מחדש את המאסר המותנה של חודש ימים שהוטל על הנאשם בתיק התנאי, כך שהנאשם לא יעבור בתוך 18 חודשים מהיום כל עבירת עוון לפי </w:t>
      </w:r>
      <w:hyperlink r:id="rId17" w:history="1">
        <w:r w:rsidR="00C81603" w:rsidRPr="00C81603">
          <w:rPr>
            <w:rFonts w:ascii="David" w:hAnsi="David"/>
            <w:color w:val="0000FF"/>
            <w:sz w:val="26"/>
            <w:szCs w:val="26"/>
            <w:u w:val="single"/>
            <w:rtl/>
          </w:rPr>
          <w:t>פקודת הסמים המסוכנים</w:t>
        </w:r>
      </w:hyperlink>
      <w:r>
        <w:rPr>
          <w:rFonts w:ascii="David" w:hAnsi="David" w:hint="cs"/>
          <w:sz w:val="26"/>
          <w:szCs w:val="26"/>
          <w:rtl/>
        </w:rPr>
        <w:t>;</w:t>
      </w:r>
    </w:p>
    <w:p w14:paraId="00DED7EE" w14:textId="77777777" w:rsidR="006E4D24" w:rsidRDefault="006E4D24" w:rsidP="006E4D24">
      <w:pPr>
        <w:pStyle w:val="a9"/>
        <w:numPr>
          <w:ilvl w:val="0"/>
          <w:numId w:val="1"/>
        </w:numPr>
        <w:spacing w:line="360" w:lineRule="auto"/>
        <w:jc w:val="both"/>
        <w:rPr>
          <w:rFonts w:ascii="David" w:hAnsi="David"/>
          <w:sz w:val="26"/>
          <w:szCs w:val="26"/>
        </w:rPr>
      </w:pPr>
      <w:r>
        <w:rPr>
          <w:rFonts w:ascii="David" w:hAnsi="David" w:hint="cs"/>
          <w:sz w:val="26"/>
          <w:szCs w:val="26"/>
          <w:rtl/>
        </w:rPr>
        <w:t xml:space="preserve">250 שעות של"ץ בפיקוח שירות המבחן. שירות המבחן יגיש בתוך 30 יום תוכנית של"ץ לאישורי </w:t>
      </w:r>
      <w:r>
        <w:rPr>
          <w:rFonts w:ascii="David" w:hAnsi="David"/>
          <w:sz w:val="26"/>
          <w:szCs w:val="26"/>
          <w:rtl/>
        </w:rPr>
        <w:t>–</w:t>
      </w:r>
      <w:r>
        <w:rPr>
          <w:rFonts w:ascii="David" w:hAnsi="David" w:hint="cs"/>
          <w:sz w:val="26"/>
          <w:szCs w:val="26"/>
          <w:rtl/>
        </w:rPr>
        <w:t xml:space="preserve"> השל"ץ לא יחל לפני 1.8.2022;</w:t>
      </w:r>
    </w:p>
    <w:p w14:paraId="000E7A11" w14:textId="77777777" w:rsidR="006E4D24" w:rsidRDefault="006E4D24" w:rsidP="006E4D24">
      <w:pPr>
        <w:pStyle w:val="a9"/>
        <w:numPr>
          <w:ilvl w:val="0"/>
          <w:numId w:val="1"/>
        </w:numPr>
        <w:spacing w:line="360" w:lineRule="auto"/>
        <w:jc w:val="both"/>
        <w:rPr>
          <w:rFonts w:ascii="David" w:hAnsi="David"/>
          <w:sz w:val="26"/>
          <w:szCs w:val="26"/>
        </w:rPr>
      </w:pPr>
      <w:r>
        <w:rPr>
          <w:rFonts w:ascii="David" w:hAnsi="David" w:hint="cs"/>
          <w:sz w:val="26"/>
          <w:szCs w:val="26"/>
          <w:rtl/>
        </w:rPr>
        <w:t>קנס בסך 1,000 ₪ או 4 ימי מאסר תמורתו אם לא ישולם. הקנס ישולם ב-4 תשלומים החל מיום 1.7.2022 ובכל 1 לחודש רציף ועוקב. לא ישולם תשלום במועד יועמד הקנס לפירעון מיידי;</w:t>
      </w:r>
    </w:p>
    <w:p w14:paraId="466D7EEC" w14:textId="77777777" w:rsidR="006E4D24" w:rsidRDefault="006E4D24" w:rsidP="006E4D24">
      <w:pPr>
        <w:pStyle w:val="a9"/>
        <w:numPr>
          <w:ilvl w:val="0"/>
          <w:numId w:val="1"/>
        </w:numPr>
        <w:spacing w:line="360" w:lineRule="auto"/>
        <w:jc w:val="both"/>
        <w:rPr>
          <w:rFonts w:ascii="David" w:hAnsi="David"/>
          <w:sz w:val="26"/>
          <w:szCs w:val="26"/>
        </w:rPr>
      </w:pPr>
      <w:r>
        <w:rPr>
          <w:rFonts w:ascii="David" w:hAnsi="David" w:hint="cs"/>
          <w:sz w:val="26"/>
          <w:szCs w:val="26"/>
          <w:rtl/>
        </w:rPr>
        <w:t xml:space="preserve">התחייבות בסך 5,000 ₪ שלא יעבור הנאשם בתוך 18 חודשים מהיום כל עבירה לפי </w:t>
      </w:r>
      <w:hyperlink r:id="rId18" w:history="1">
        <w:r w:rsidR="00C81603" w:rsidRPr="00C81603">
          <w:rPr>
            <w:rFonts w:ascii="David" w:hAnsi="David"/>
            <w:color w:val="0000FF"/>
            <w:sz w:val="26"/>
            <w:szCs w:val="26"/>
            <w:u w:val="single"/>
            <w:rtl/>
          </w:rPr>
          <w:t>פקודת הסמים המסוכנים</w:t>
        </w:r>
      </w:hyperlink>
      <w:r>
        <w:rPr>
          <w:rFonts w:ascii="David" w:hAnsi="David" w:hint="cs"/>
          <w:sz w:val="26"/>
          <w:szCs w:val="26"/>
          <w:rtl/>
        </w:rPr>
        <w:t>;</w:t>
      </w:r>
    </w:p>
    <w:p w14:paraId="71AAF12B" w14:textId="77777777" w:rsidR="006E4D24" w:rsidRPr="00452440" w:rsidRDefault="006E4D24" w:rsidP="006E4D24">
      <w:pPr>
        <w:pStyle w:val="a9"/>
        <w:numPr>
          <w:ilvl w:val="0"/>
          <w:numId w:val="1"/>
        </w:numPr>
        <w:spacing w:line="360" w:lineRule="auto"/>
        <w:jc w:val="both"/>
        <w:rPr>
          <w:rFonts w:ascii="David" w:hAnsi="David"/>
          <w:sz w:val="26"/>
          <w:szCs w:val="26"/>
          <w:rtl/>
        </w:rPr>
      </w:pPr>
      <w:r>
        <w:rPr>
          <w:rFonts w:ascii="David" w:hAnsi="David" w:hint="cs"/>
          <w:sz w:val="26"/>
          <w:szCs w:val="26"/>
          <w:rtl/>
        </w:rPr>
        <w:t>צו מבחן למשך 18 חודשים מהיום.</w:t>
      </w:r>
    </w:p>
    <w:p w14:paraId="45F2F29C" w14:textId="77777777" w:rsidR="006E4D24" w:rsidRDefault="006E4D24" w:rsidP="006E4D24">
      <w:pPr>
        <w:spacing w:line="360" w:lineRule="auto"/>
        <w:jc w:val="both"/>
        <w:rPr>
          <w:rFonts w:ascii="David" w:hAnsi="David"/>
          <w:sz w:val="26"/>
          <w:szCs w:val="26"/>
          <w:rtl/>
        </w:rPr>
      </w:pPr>
    </w:p>
    <w:p w14:paraId="14522B68" w14:textId="77777777" w:rsidR="006E4D24" w:rsidRDefault="006E4D24" w:rsidP="006E4D24">
      <w:pPr>
        <w:spacing w:line="360" w:lineRule="auto"/>
        <w:jc w:val="both"/>
        <w:rPr>
          <w:rFonts w:ascii="David" w:hAnsi="David"/>
          <w:sz w:val="26"/>
          <w:szCs w:val="26"/>
          <w:rtl/>
        </w:rPr>
      </w:pPr>
      <w:r>
        <w:rPr>
          <w:rFonts w:ascii="David" w:hAnsi="David" w:hint="cs"/>
          <w:sz w:val="26"/>
          <w:szCs w:val="26"/>
          <w:rtl/>
        </w:rPr>
        <w:t>הוסברו לנאשם משמעויות צו השל"ץ וצו המבחן וחובתו לשתף פעולה עם שירות המבחן. הנאשם הוזהר כי אם לא ישתף פעולה, ניתן יהיה להטיל עליו כל עונש חלופי אחר לרבות מאסר. כמו כן הוסבר לנאשם כי אם יעבור עבירה שתפעיל את המאסר המותנה, בית המשפט שידון יהא חייב להפעיל את המאסר המותנה.</w:t>
      </w:r>
    </w:p>
    <w:p w14:paraId="2F57FB5D" w14:textId="77777777" w:rsidR="006E4D24" w:rsidRDefault="006E4D24" w:rsidP="006E4D24">
      <w:pPr>
        <w:spacing w:line="360" w:lineRule="auto"/>
        <w:jc w:val="both"/>
        <w:rPr>
          <w:rFonts w:ascii="David" w:hAnsi="David"/>
          <w:sz w:val="26"/>
          <w:szCs w:val="26"/>
          <w:rtl/>
        </w:rPr>
      </w:pPr>
    </w:p>
    <w:p w14:paraId="5D52FCAB" w14:textId="77777777" w:rsidR="006E4D24" w:rsidRDefault="006E4D24" w:rsidP="006E4D24">
      <w:pPr>
        <w:spacing w:line="360" w:lineRule="auto"/>
        <w:jc w:val="both"/>
        <w:rPr>
          <w:rFonts w:ascii="David" w:hAnsi="David"/>
          <w:b/>
          <w:bCs/>
          <w:sz w:val="26"/>
          <w:szCs w:val="26"/>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53B41CD0" w14:textId="77777777" w:rsidR="006E4D24" w:rsidRDefault="006E4D24" w:rsidP="006E4D24">
      <w:pPr>
        <w:pStyle w:val="a9"/>
        <w:numPr>
          <w:ilvl w:val="0"/>
          <w:numId w:val="2"/>
        </w:numPr>
        <w:spacing w:line="360" w:lineRule="auto"/>
        <w:jc w:val="both"/>
        <w:rPr>
          <w:rFonts w:ascii="David" w:hAnsi="David"/>
          <w:b/>
          <w:bCs/>
          <w:sz w:val="26"/>
          <w:szCs w:val="26"/>
          <w:lang w:bidi="ar-JO"/>
        </w:rPr>
      </w:pPr>
      <w:r>
        <w:rPr>
          <w:rFonts w:ascii="David" w:hAnsi="David"/>
          <w:b/>
          <w:bCs/>
          <w:sz w:val="26"/>
          <w:szCs w:val="26"/>
          <w:rtl/>
        </w:rPr>
        <w:t xml:space="preserve">בכרטיס אשראי באתר </w:t>
      </w:r>
      <w:hyperlink r:id="rId19"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3FC23898" w14:textId="77777777" w:rsidR="006E4D24" w:rsidRDefault="006E4D24" w:rsidP="006E4D24">
      <w:pPr>
        <w:pStyle w:val="a9"/>
        <w:numPr>
          <w:ilvl w:val="0"/>
          <w:numId w:val="2"/>
        </w:numPr>
        <w:spacing w:line="360" w:lineRule="auto"/>
        <w:jc w:val="both"/>
        <w:rPr>
          <w:rFonts w:ascii="David" w:hAnsi="David"/>
          <w:b/>
          <w:bCs/>
          <w:sz w:val="26"/>
          <w:szCs w:val="26"/>
          <w:rtl/>
        </w:rPr>
      </w:pPr>
      <w:r>
        <w:rPr>
          <w:rFonts w:ascii="David" w:hAnsi="David"/>
          <w:b/>
          <w:bCs/>
          <w:sz w:val="26"/>
          <w:szCs w:val="26"/>
          <w:rtl/>
        </w:rPr>
        <w:t>בטלפון: 35592* או 073-2055000</w:t>
      </w:r>
    </w:p>
    <w:p w14:paraId="190201AD" w14:textId="77777777" w:rsidR="006E4D24" w:rsidRDefault="006E4D24" w:rsidP="006E4D24">
      <w:pPr>
        <w:pStyle w:val="a9"/>
        <w:numPr>
          <w:ilvl w:val="0"/>
          <w:numId w:val="2"/>
        </w:numPr>
        <w:spacing w:line="360" w:lineRule="auto"/>
        <w:jc w:val="both"/>
        <w:rPr>
          <w:rFonts w:ascii="David" w:hAnsi="David"/>
          <w:b/>
          <w:bCs/>
          <w:sz w:val="26"/>
          <w:szCs w:val="26"/>
        </w:rPr>
      </w:pPr>
      <w:r>
        <w:rPr>
          <w:rFonts w:ascii="David" w:hAnsi="David"/>
          <w:b/>
          <w:bCs/>
          <w:sz w:val="26"/>
          <w:szCs w:val="26"/>
          <w:rtl/>
        </w:rPr>
        <w:t>במזומן בכל סניף של בנק הדואר בהצגת תעודת זהות בלבד</w:t>
      </w:r>
    </w:p>
    <w:p w14:paraId="7D07173F" w14:textId="77777777" w:rsidR="006E4D24" w:rsidRDefault="006E4D24" w:rsidP="006E4D24">
      <w:pPr>
        <w:spacing w:line="360" w:lineRule="auto"/>
        <w:jc w:val="both"/>
        <w:rPr>
          <w:rFonts w:ascii="David" w:hAnsi="David"/>
          <w:b/>
          <w:bCs/>
          <w:sz w:val="26"/>
          <w:szCs w:val="26"/>
          <w:rtl/>
        </w:rPr>
      </w:pPr>
      <w:r>
        <w:rPr>
          <w:rFonts w:ascii="David" w:hAnsi="David"/>
          <w:b/>
          <w:bCs/>
          <w:sz w:val="26"/>
          <w:szCs w:val="26"/>
          <w:rtl/>
        </w:rPr>
        <w:t>לא יונפקו שוברי תשלום.</w:t>
      </w:r>
    </w:p>
    <w:p w14:paraId="1413BE15" w14:textId="77777777" w:rsidR="006E4D24" w:rsidRDefault="006E4D24" w:rsidP="006E4D24"/>
    <w:p w14:paraId="546FD836" w14:textId="77777777" w:rsidR="006E4D24" w:rsidRDefault="006E4D24" w:rsidP="006E4D24">
      <w:pPr>
        <w:spacing w:line="360" w:lineRule="auto"/>
        <w:jc w:val="both"/>
        <w:rPr>
          <w:rFonts w:ascii="David" w:hAnsi="David"/>
          <w:sz w:val="26"/>
          <w:szCs w:val="26"/>
          <w:rtl/>
        </w:rPr>
      </w:pPr>
      <w:r>
        <w:rPr>
          <w:rFonts w:ascii="David" w:hAnsi="David" w:hint="cs"/>
          <w:sz w:val="26"/>
          <w:szCs w:val="26"/>
          <w:rtl/>
        </w:rPr>
        <w:t>ניתן לבצע קיזוז מכל הפקעה על אף כל הודעת עיקול. ככל שאין עיקול ויש יתרת זכות ניתן להשיב לנאשם.</w:t>
      </w:r>
    </w:p>
    <w:p w14:paraId="61C66C60" w14:textId="77777777" w:rsidR="006E4D24" w:rsidRDefault="006E4D24" w:rsidP="006E4D24">
      <w:pPr>
        <w:spacing w:line="360" w:lineRule="auto"/>
        <w:jc w:val="both"/>
        <w:rPr>
          <w:rFonts w:ascii="David" w:hAnsi="David"/>
          <w:sz w:val="26"/>
          <w:szCs w:val="26"/>
          <w:rtl/>
        </w:rPr>
      </w:pPr>
    </w:p>
    <w:p w14:paraId="14389A23" w14:textId="77777777" w:rsidR="006E4D24" w:rsidRDefault="006E4D24" w:rsidP="006E4D24">
      <w:pPr>
        <w:spacing w:line="360" w:lineRule="auto"/>
        <w:jc w:val="both"/>
        <w:rPr>
          <w:rFonts w:ascii="David" w:hAnsi="David"/>
          <w:sz w:val="26"/>
          <w:szCs w:val="26"/>
          <w:rtl/>
        </w:rPr>
      </w:pPr>
      <w:r>
        <w:rPr>
          <w:rFonts w:ascii="David" w:hAnsi="David" w:hint="cs"/>
          <w:sz w:val="26"/>
          <w:szCs w:val="26"/>
          <w:rtl/>
        </w:rPr>
        <w:t>יש להשמיד את המוצגים.</w:t>
      </w:r>
    </w:p>
    <w:p w14:paraId="5A7DDC79" w14:textId="77777777" w:rsidR="006E4D24" w:rsidRDefault="00C81603" w:rsidP="006E4D24">
      <w:pPr>
        <w:spacing w:line="360" w:lineRule="auto"/>
        <w:jc w:val="both"/>
        <w:rPr>
          <w:rFonts w:ascii="David" w:hAnsi="David"/>
          <w:sz w:val="26"/>
          <w:szCs w:val="26"/>
          <w:rtl/>
        </w:rPr>
      </w:pPr>
      <w:r w:rsidRPr="00C81603">
        <w:rPr>
          <w:rFonts w:ascii="David" w:hAnsi="David"/>
          <w:color w:val="FFFFFF"/>
          <w:sz w:val="2"/>
          <w:szCs w:val="2"/>
          <w:rtl/>
        </w:rPr>
        <w:t>5129371</w:t>
      </w:r>
      <w:r w:rsidR="006E4D24">
        <w:rPr>
          <w:rFonts w:ascii="David" w:hAnsi="David" w:hint="cs"/>
          <w:sz w:val="26"/>
          <w:szCs w:val="26"/>
          <w:rtl/>
        </w:rPr>
        <w:t>יש לשלוח לשירות המבחן.</w:t>
      </w:r>
    </w:p>
    <w:p w14:paraId="297FEACB" w14:textId="77777777" w:rsidR="006E4D24" w:rsidRPr="00C81603" w:rsidRDefault="00C81603" w:rsidP="006E4D24">
      <w:pPr>
        <w:spacing w:line="360" w:lineRule="auto"/>
        <w:jc w:val="both"/>
        <w:rPr>
          <w:rFonts w:ascii="David" w:hAnsi="David"/>
          <w:color w:val="FFFFFF"/>
          <w:sz w:val="2"/>
          <w:szCs w:val="2"/>
          <w:rtl/>
        </w:rPr>
      </w:pPr>
      <w:r w:rsidRPr="00C81603">
        <w:rPr>
          <w:rFonts w:ascii="David" w:hAnsi="David"/>
          <w:color w:val="FFFFFF"/>
          <w:sz w:val="2"/>
          <w:szCs w:val="2"/>
          <w:rtl/>
        </w:rPr>
        <w:t>54678313</w:t>
      </w:r>
    </w:p>
    <w:p w14:paraId="2B5F499C" w14:textId="77777777" w:rsidR="006E4D24" w:rsidRPr="00E65FFF" w:rsidRDefault="006E4D24" w:rsidP="006E4D24">
      <w:pPr>
        <w:spacing w:line="360" w:lineRule="auto"/>
        <w:jc w:val="both"/>
        <w:rPr>
          <w:rFonts w:ascii="David" w:hAnsi="David"/>
          <w:sz w:val="26"/>
          <w:szCs w:val="26"/>
          <w:rtl/>
        </w:rPr>
      </w:pPr>
      <w:r>
        <w:rPr>
          <w:rFonts w:ascii="David" w:hAnsi="David" w:hint="cs"/>
          <w:sz w:val="26"/>
          <w:szCs w:val="26"/>
          <w:rtl/>
        </w:rPr>
        <w:t>זכות ערעור כחוק.</w:t>
      </w:r>
    </w:p>
    <w:p w14:paraId="0197B3AD" w14:textId="77777777" w:rsidR="006E4D24" w:rsidRPr="00E65FFF" w:rsidRDefault="00C81603" w:rsidP="006E4D24">
      <w:pPr>
        <w:spacing w:line="360" w:lineRule="auto"/>
        <w:jc w:val="both"/>
        <w:rPr>
          <w:rFonts w:ascii="David" w:hAnsi="David"/>
          <w:sz w:val="26"/>
          <w:szCs w:val="26"/>
          <w:rtl/>
        </w:rPr>
      </w:pPr>
      <w:bookmarkStart w:id="8" w:name="Nitan"/>
      <w:r>
        <w:rPr>
          <w:rFonts w:ascii="David" w:hAnsi="David"/>
          <w:sz w:val="26"/>
          <w:szCs w:val="26"/>
          <w:rtl/>
        </w:rPr>
        <w:t xml:space="preserve">ניתן היום,  ב' בסיוון התשפ"ב, 1 ביוני 2022 במעמד הצדדים. </w:t>
      </w:r>
      <w:bookmarkEnd w:id="8"/>
    </w:p>
    <w:p w14:paraId="33D4AAB2" w14:textId="77777777" w:rsidR="00C81603" w:rsidRDefault="00C81603" w:rsidP="00C81603">
      <w:pPr>
        <w:rPr>
          <w:rtl/>
        </w:rPr>
      </w:pPr>
    </w:p>
    <w:p w14:paraId="00A54703" w14:textId="77777777" w:rsidR="00C81603" w:rsidRDefault="00C81603" w:rsidP="00C81603">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5FA1DC9F" w14:textId="77777777" w:rsidR="00A9606B" w:rsidRPr="00A9606B" w:rsidRDefault="00A9606B" w:rsidP="00A9606B">
      <w:pPr>
        <w:keepNext/>
        <w:rPr>
          <w:rFonts w:ascii="David" w:hAnsi="David"/>
          <w:color w:val="000000"/>
          <w:sz w:val="22"/>
          <w:szCs w:val="22"/>
          <w:rtl/>
        </w:rPr>
      </w:pPr>
    </w:p>
    <w:p w14:paraId="5F99AD7E" w14:textId="77777777" w:rsidR="00A9606B" w:rsidRPr="00A9606B" w:rsidRDefault="00A9606B" w:rsidP="00A9606B">
      <w:pPr>
        <w:keepNext/>
        <w:rPr>
          <w:rFonts w:ascii="David" w:hAnsi="David"/>
          <w:color w:val="000000"/>
          <w:sz w:val="22"/>
          <w:szCs w:val="22"/>
          <w:rtl/>
        </w:rPr>
      </w:pPr>
      <w:r w:rsidRPr="00A9606B">
        <w:rPr>
          <w:rFonts w:ascii="David" w:hAnsi="David"/>
          <w:color w:val="000000"/>
          <w:sz w:val="22"/>
          <w:szCs w:val="22"/>
          <w:rtl/>
        </w:rPr>
        <w:t>דוד שאול גבאי ריכטר 54678313-/</w:t>
      </w:r>
    </w:p>
    <w:p w14:paraId="25A1B3C9" w14:textId="77777777" w:rsidR="00C81603" w:rsidRPr="00C81603" w:rsidRDefault="00A9606B" w:rsidP="00A9606B">
      <w:pPr>
        <w:rPr>
          <w:color w:val="0000FF"/>
          <w:u w:val="single"/>
        </w:rPr>
      </w:pPr>
      <w:r w:rsidRPr="00A9606B">
        <w:rPr>
          <w:color w:val="000000"/>
          <w:u w:val="single"/>
          <w:rtl/>
        </w:rPr>
        <w:t>נוסח מסמך זה כפוף לשינויי ניסוח ועריכה</w:t>
      </w:r>
    </w:p>
    <w:sectPr w:rsidR="00C81603" w:rsidRPr="00C81603" w:rsidSect="00A9606B">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A35BD4" w14:textId="77777777" w:rsidR="00FA5171" w:rsidRDefault="00FA5171" w:rsidP="004B08E6">
      <w:r>
        <w:separator/>
      </w:r>
    </w:p>
  </w:endnote>
  <w:endnote w:type="continuationSeparator" w:id="0">
    <w:p w14:paraId="32981F0F" w14:textId="77777777" w:rsidR="00FA5171" w:rsidRDefault="00FA5171" w:rsidP="004B0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985FF" w14:textId="77777777" w:rsidR="00A9606B" w:rsidRDefault="00A9606B" w:rsidP="00A9606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8B67988" w14:textId="77777777" w:rsidR="009D0BD9" w:rsidRPr="00A9606B" w:rsidRDefault="00A9606B" w:rsidP="00A9606B">
    <w:pPr>
      <w:pStyle w:val="a5"/>
      <w:pBdr>
        <w:top w:val="single" w:sz="4" w:space="1" w:color="auto"/>
        <w:between w:val="single" w:sz="4" w:space="0" w:color="auto"/>
      </w:pBdr>
      <w:spacing w:after="60"/>
      <w:jc w:val="center"/>
      <w:rPr>
        <w:rFonts w:ascii="FrankRuehl" w:hAnsi="FrankRuehl" w:cs="FrankRuehl"/>
        <w:color w:val="000000"/>
      </w:rPr>
    </w:pPr>
    <w:r w:rsidRPr="00A9606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EEE91" w14:textId="77777777" w:rsidR="00A9606B" w:rsidRDefault="00A9606B" w:rsidP="00A9606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25C4E">
      <w:rPr>
        <w:rFonts w:ascii="FrankRuehl" w:hAnsi="FrankRuehl" w:cs="FrankRuehl"/>
        <w:noProof/>
        <w:rtl/>
      </w:rPr>
      <w:t>1</w:t>
    </w:r>
    <w:r>
      <w:rPr>
        <w:rFonts w:ascii="FrankRuehl" w:hAnsi="FrankRuehl" w:cs="FrankRuehl"/>
        <w:rtl/>
      </w:rPr>
      <w:fldChar w:fldCharType="end"/>
    </w:r>
  </w:p>
  <w:p w14:paraId="30230412" w14:textId="77777777" w:rsidR="009D0BD9" w:rsidRPr="00A9606B" w:rsidRDefault="00A9606B" w:rsidP="00A9606B">
    <w:pPr>
      <w:pStyle w:val="a5"/>
      <w:pBdr>
        <w:top w:val="single" w:sz="4" w:space="1" w:color="auto"/>
        <w:between w:val="single" w:sz="4" w:space="0" w:color="auto"/>
      </w:pBdr>
      <w:spacing w:after="60"/>
      <w:jc w:val="center"/>
      <w:rPr>
        <w:rFonts w:ascii="FrankRuehl" w:hAnsi="FrankRuehl" w:cs="FrankRuehl"/>
        <w:color w:val="000000"/>
      </w:rPr>
    </w:pPr>
    <w:r w:rsidRPr="00A9606B">
      <w:rPr>
        <w:rFonts w:ascii="FrankRuehl" w:hAnsi="FrankRuehl" w:cs="FrankRuehl"/>
        <w:color w:val="000000"/>
      </w:rPr>
      <w:pict w14:anchorId="663C9E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F937A9" w14:textId="77777777" w:rsidR="00FA5171" w:rsidRDefault="00FA5171" w:rsidP="004B08E6">
      <w:r>
        <w:separator/>
      </w:r>
    </w:p>
  </w:footnote>
  <w:footnote w:type="continuationSeparator" w:id="0">
    <w:p w14:paraId="3B87C760" w14:textId="77777777" w:rsidR="00FA5171" w:rsidRDefault="00FA5171" w:rsidP="004B0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2E8C9" w14:textId="77777777" w:rsidR="00C81603" w:rsidRPr="00A9606B" w:rsidRDefault="00A9606B" w:rsidP="00A960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28785-07-19</w:t>
    </w:r>
    <w:r>
      <w:rPr>
        <w:rFonts w:ascii="David" w:hAnsi="David"/>
        <w:color w:val="000000"/>
        <w:sz w:val="22"/>
        <w:szCs w:val="22"/>
        <w:rtl/>
      </w:rPr>
      <w:tab/>
      <w:t xml:space="preserve"> מדינת ישראל נ' מוחמד צאלח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35B80" w14:textId="77777777" w:rsidR="00C81603" w:rsidRPr="00A9606B" w:rsidRDefault="00A9606B" w:rsidP="00A960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28785-07-19</w:t>
    </w:r>
    <w:r>
      <w:rPr>
        <w:rFonts w:ascii="David" w:hAnsi="David"/>
        <w:color w:val="000000"/>
        <w:sz w:val="22"/>
        <w:szCs w:val="22"/>
        <w:rtl/>
      </w:rPr>
      <w:tab/>
      <w:t xml:space="preserve"> מדינת ישראל נ' מוחמד צאלח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637312A"/>
    <w:multiLevelType w:val="hybridMultilevel"/>
    <w:tmpl w:val="7B3E839A"/>
    <w:lvl w:ilvl="0" w:tplc="A94650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4839732">
    <w:abstractNumId w:val="1"/>
  </w:num>
  <w:num w:numId="2" w16cid:durableId="1874919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E4D24"/>
    <w:rsid w:val="00135A4E"/>
    <w:rsid w:val="001B5A3B"/>
    <w:rsid w:val="002C633A"/>
    <w:rsid w:val="004066E0"/>
    <w:rsid w:val="004B08E6"/>
    <w:rsid w:val="00525C4E"/>
    <w:rsid w:val="006E4D24"/>
    <w:rsid w:val="0070712E"/>
    <w:rsid w:val="008935A8"/>
    <w:rsid w:val="008D2996"/>
    <w:rsid w:val="009D0BD9"/>
    <w:rsid w:val="00A9606B"/>
    <w:rsid w:val="00B458CD"/>
    <w:rsid w:val="00C81603"/>
    <w:rsid w:val="00FA5171"/>
    <w:rsid w:val="00FB3B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E32742"/>
  <w15:chartTrackingRefBased/>
  <w15:docId w15:val="{56FFD849-E554-40A4-93B3-0E7F38302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E4D2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E4D24"/>
    <w:pPr>
      <w:tabs>
        <w:tab w:val="center" w:pos="4153"/>
        <w:tab w:val="right" w:pos="8306"/>
      </w:tabs>
    </w:pPr>
  </w:style>
  <w:style w:type="character" w:customStyle="1" w:styleId="a4">
    <w:name w:val="כותרת עליונה תו"/>
    <w:link w:val="a3"/>
    <w:rsid w:val="006E4D24"/>
    <w:rPr>
      <w:rFonts w:ascii="Times New Roman" w:eastAsia="Times New Roman" w:hAnsi="Times New Roman" w:cs="David"/>
      <w:sz w:val="24"/>
      <w:szCs w:val="24"/>
    </w:rPr>
  </w:style>
  <w:style w:type="paragraph" w:styleId="a5">
    <w:name w:val="footer"/>
    <w:basedOn w:val="a"/>
    <w:link w:val="a6"/>
    <w:rsid w:val="006E4D24"/>
    <w:pPr>
      <w:tabs>
        <w:tab w:val="center" w:pos="4153"/>
        <w:tab w:val="right" w:pos="8306"/>
      </w:tabs>
    </w:pPr>
  </w:style>
  <w:style w:type="character" w:customStyle="1" w:styleId="a6">
    <w:name w:val="כותרת תחתונה תו"/>
    <w:link w:val="a5"/>
    <w:rsid w:val="006E4D24"/>
    <w:rPr>
      <w:rFonts w:ascii="Times New Roman" w:eastAsia="Times New Roman" w:hAnsi="Times New Roman" w:cs="David"/>
      <w:sz w:val="24"/>
      <w:szCs w:val="24"/>
    </w:rPr>
  </w:style>
  <w:style w:type="table" w:styleId="a7">
    <w:name w:val="Table Grid"/>
    <w:basedOn w:val="a1"/>
    <w:rsid w:val="006E4D2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E4D24"/>
  </w:style>
  <w:style w:type="paragraph" w:styleId="a9">
    <w:name w:val="List Paragraph"/>
    <w:basedOn w:val="a"/>
    <w:qFormat/>
    <w:rsid w:val="006E4D24"/>
    <w:pPr>
      <w:ind w:left="720"/>
      <w:contextualSpacing/>
    </w:pPr>
  </w:style>
  <w:style w:type="character" w:styleId="Hyperlink">
    <w:name w:val="Hyperlink"/>
    <w:rsid w:val="006E4D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c" TargetMode="External"/><Relationship Id="rId13" Type="http://schemas.openxmlformats.org/officeDocument/2006/relationships/hyperlink" Target="http://www.nevo.co.il/law/4216/7.a.c" TargetMode="External"/><Relationship Id="rId18" Type="http://schemas.openxmlformats.org/officeDocument/2006/relationships/hyperlink" Target="http://www.nevo.co.il/law/421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case/25501377" TargetMode="External"/><Relationship Id="rId17" Type="http://schemas.openxmlformats.org/officeDocument/2006/relationships/hyperlink" Target="http://www.nevo.co.il/law/421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3427655"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1477656" TargetMode="External"/><Relationship Id="rId23" Type="http://schemas.openxmlformats.org/officeDocument/2006/relationships/footer" Target="footer1.xml"/><Relationship Id="rId10" Type="http://schemas.openxmlformats.org/officeDocument/2006/relationships/hyperlink" Target="http://www.nevo.co.il/law/4216/7.a.c" TargetMode="External"/><Relationship Id="rId19"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case/25859866" TargetMode="External"/><Relationship Id="rId14" Type="http://schemas.openxmlformats.org/officeDocument/2006/relationships/hyperlink" Target="http://www.nevo.co.il/case/25784793"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1184</Words>
  <Characters>5920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7090</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7864368</vt:i4>
      </vt:variant>
      <vt:variant>
        <vt:i4>36</vt:i4>
      </vt:variant>
      <vt:variant>
        <vt:i4>0</vt:i4>
      </vt:variant>
      <vt:variant>
        <vt:i4>5</vt:i4>
      </vt:variant>
      <vt:variant>
        <vt:lpwstr>http://www.eca.gov.il/</vt:lpwstr>
      </vt:variant>
      <vt:variant>
        <vt:lpwstr/>
      </vt:variant>
      <vt:variant>
        <vt:i4>8257637</vt:i4>
      </vt:variant>
      <vt:variant>
        <vt:i4>33</vt:i4>
      </vt:variant>
      <vt:variant>
        <vt:i4>0</vt:i4>
      </vt:variant>
      <vt:variant>
        <vt:i4>5</vt:i4>
      </vt:variant>
      <vt:variant>
        <vt:lpwstr>http://www.nevo.co.il/law/4216</vt:lpwstr>
      </vt:variant>
      <vt:variant>
        <vt:lpwstr/>
      </vt:variant>
      <vt:variant>
        <vt:i4>8257637</vt:i4>
      </vt:variant>
      <vt:variant>
        <vt:i4>30</vt:i4>
      </vt:variant>
      <vt:variant>
        <vt:i4>0</vt:i4>
      </vt:variant>
      <vt:variant>
        <vt:i4>5</vt:i4>
      </vt:variant>
      <vt:variant>
        <vt:lpwstr>http://www.nevo.co.il/law/4216</vt:lpwstr>
      </vt:variant>
      <vt:variant>
        <vt:lpwstr/>
      </vt:variant>
      <vt:variant>
        <vt:i4>3407987</vt:i4>
      </vt:variant>
      <vt:variant>
        <vt:i4>27</vt:i4>
      </vt:variant>
      <vt:variant>
        <vt:i4>0</vt:i4>
      </vt:variant>
      <vt:variant>
        <vt:i4>5</vt:i4>
      </vt:variant>
      <vt:variant>
        <vt:lpwstr>http://www.nevo.co.il/case/23427655</vt:lpwstr>
      </vt:variant>
      <vt:variant>
        <vt:lpwstr/>
      </vt:variant>
      <vt:variant>
        <vt:i4>3407988</vt:i4>
      </vt:variant>
      <vt:variant>
        <vt:i4>24</vt:i4>
      </vt:variant>
      <vt:variant>
        <vt:i4>0</vt:i4>
      </vt:variant>
      <vt:variant>
        <vt:i4>5</vt:i4>
      </vt:variant>
      <vt:variant>
        <vt:lpwstr>http://www.nevo.co.il/case/21477656</vt:lpwstr>
      </vt:variant>
      <vt:variant>
        <vt:lpwstr/>
      </vt:variant>
      <vt:variant>
        <vt:i4>3670142</vt:i4>
      </vt:variant>
      <vt:variant>
        <vt:i4>21</vt:i4>
      </vt:variant>
      <vt:variant>
        <vt:i4>0</vt:i4>
      </vt:variant>
      <vt:variant>
        <vt:i4>5</vt:i4>
      </vt:variant>
      <vt:variant>
        <vt:lpwstr>http://www.nevo.co.il/case/25784793</vt:lpwstr>
      </vt:variant>
      <vt:variant>
        <vt:lpwstr/>
      </vt:variant>
      <vt:variant>
        <vt:i4>4915274</vt:i4>
      </vt:variant>
      <vt:variant>
        <vt:i4>18</vt:i4>
      </vt:variant>
      <vt:variant>
        <vt:i4>0</vt:i4>
      </vt:variant>
      <vt:variant>
        <vt:i4>5</vt:i4>
      </vt:variant>
      <vt:variant>
        <vt:lpwstr>http://www.nevo.co.il/law/4216/7.a.c</vt:lpwstr>
      </vt:variant>
      <vt:variant>
        <vt:lpwstr/>
      </vt:variant>
      <vt:variant>
        <vt:i4>3211378</vt:i4>
      </vt:variant>
      <vt:variant>
        <vt:i4>15</vt:i4>
      </vt:variant>
      <vt:variant>
        <vt:i4>0</vt:i4>
      </vt:variant>
      <vt:variant>
        <vt:i4>5</vt:i4>
      </vt:variant>
      <vt:variant>
        <vt:lpwstr>http://www.nevo.co.il/case/25501377</vt:lpwstr>
      </vt:variant>
      <vt:variant>
        <vt:lpwstr/>
      </vt:variant>
      <vt:variant>
        <vt:i4>8257637</vt:i4>
      </vt:variant>
      <vt:variant>
        <vt:i4>12</vt:i4>
      </vt:variant>
      <vt:variant>
        <vt:i4>0</vt:i4>
      </vt:variant>
      <vt:variant>
        <vt:i4>5</vt:i4>
      </vt:variant>
      <vt:variant>
        <vt:lpwstr>http://www.nevo.co.il/law/4216</vt:lpwstr>
      </vt:variant>
      <vt:variant>
        <vt:lpwstr/>
      </vt:variant>
      <vt:variant>
        <vt:i4>4915274</vt:i4>
      </vt:variant>
      <vt:variant>
        <vt:i4>9</vt:i4>
      </vt:variant>
      <vt:variant>
        <vt:i4>0</vt:i4>
      </vt:variant>
      <vt:variant>
        <vt:i4>5</vt:i4>
      </vt:variant>
      <vt:variant>
        <vt:lpwstr>http://www.nevo.co.il/law/4216/7.a.c</vt:lpwstr>
      </vt:variant>
      <vt:variant>
        <vt:lpwstr/>
      </vt:variant>
      <vt:variant>
        <vt:i4>3473532</vt:i4>
      </vt:variant>
      <vt:variant>
        <vt:i4>6</vt:i4>
      </vt:variant>
      <vt:variant>
        <vt:i4>0</vt:i4>
      </vt:variant>
      <vt:variant>
        <vt:i4>5</vt:i4>
      </vt:variant>
      <vt:variant>
        <vt:lpwstr>http://www.nevo.co.il/case/25859866</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2025-04-23T00:14:00Z</dcterms:created>
  <dcterms:modified xsi:type="dcterms:W3CDTF">2025-04-23T00:14:00Z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28785;2063</vt:lpwstr>
  </property>
  <property fmtid="{D5CDD505-2E9C-101B-9397-08002B2CF9AE}" pid="6" name="NEWPARTB">
    <vt:lpwstr>07;03</vt:lpwstr>
  </property>
  <property fmtid="{D5CDD505-2E9C-101B-9397-08002B2CF9AE}" pid="7" name="NEWPARTC">
    <vt:lpwstr>19;19</vt:lpwstr>
  </property>
  <property fmtid="{D5CDD505-2E9C-101B-9397-08002B2CF9AE}" pid="8" name="APPELLANT">
    <vt:lpwstr>מדינת ישראל</vt:lpwstr>
  </property>
  <property fmtid="{D5CDD505-2E9C-101B-9397-08002B2CF9AE}" pid="9" name="APPELLEE">
    <vt:lpwstr>מוחמד צאלח</vt:lpwstr>
  </property>
  <property fmtid="{D5CDD505-2E9C-101B-9397-08002B2CF9AE}" pid="10" name="LAWYER">
    <vt:lpwstr>מאיר לוברבאום;ורד בירגר</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20220601</vt:lpwstr>
  </property>
  <property fmtid="{D5CDD505-2E9C-101B-9397-08002B2CF9AE}" pid="14" name="TYPE_N_DATE">
    <vt:lpwstr>38020220601</vt:lpwstr>
  </property>
  <property fmtid="{D5CDD505-2E9C-101B-9397-08002B2CF9AE}" pid="15" name="WORDNUMPAGES">
    <vt:lpwstr>5</vt:lpwstr>
  </property>
  <property fmtid="{D5CDD505-2E9C-101B-9397-08002B2CF9AE}" pid="16" name="TYPE_ABS_DATE">
    <vt:lpwstr>380020220601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25859866;25501377;25784793;21477656;23427655</vt:lpwstr>
  </property>
  <property fmtid="{D5CDD505-2E9C-101B-9397-08002B2CF9AE}" pid="36" name="LAWLISTTMP1">
    <vt:lpwstr>4216/007.a.c:2</vt:lpwstr>
  </property>
</Properties>
</file>