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127AC6" w:rsidRPr="00E75EEC" w14:paraId="1E8E5770" w14:textId="77777777" w:rsidTr="006724DF">
        <w:trPr>
          <w:gridAfter w:val="1"/>
          <w:wAfter w:w="99" w:type="dxa"/>
          <w:trHeight w:hRule="exact" w:val="418"/>
          <w:jc w:val="center"/>
        </w:trPr>
        <w:tc>
          <w:tcPr>
            <w:tcW w:w="8721" w:type="dxa"/>
            <w:gridSpan w:val="4"/>
          </w:tcPr>
          <w:p w14:paraId="08401C67" w14:textId="77777777" w:rsidR="00127AC6" w:rsidRPr="00E75EEC" w:rsidRDefault="00127AC6" w:rsidP="0003622E">
            <w:pPr>
              <w:pStyle w:val="a3"/>
              <w:jc w:val="center"/>
              <w:rPr>
                <w:rFonts w:ascii="Tahoma" w:hAnsi="Tahoma" w:cs="Tahoma"/>
                <w:color w:val="000080"/>
                <w:rtl/>
              </w:rPr>
            </w:pPr>
            <w:bookmarkStart w:id="0" w:name="FirstLawyer"/>
            <w:bookmarkStart w:id="1" w:name="LastJudge"/>
            <w:r w:rsidRPr="00E75EEC">
              <w:rPr>
                <w:rFonts w:ascii="Tahoma" w:hAnsi="Tahoma" w:cs="Tahoma"/>
                <w:b/>
                <w:bCs/>
                <w:color w:val="000080"/>
                <w:rtl/>
              </w:rPr>
              <w:t>בית משפט השלום בירושלים</w:t>
            </w:r>
          </w:p>
        </w:tc>
      </w:tr>
      <w:tr w:rsidR="00127AC6" w:rsidRPr="00E75EEC" w14:paraId="0F00C2B9" w14:textId="77777777" w:rsidTr="006724DF">
        <w:trPr>
          <w:gridAfter w:val="1"/>
          <w:wAfter w:w="99" w:type="dxa"/>
          <w:trHeight w:val="337"/>
          <w:jc w:val="center"/>
        </w:trPr>
        <w:tc>
          <w:tcPr>
            <w:tcW w:w="5054" w:type="dxa"/>
            <w:gridSpan w:val="3"/>
          </w:tcPr>
          <w:p w14:paraId="55BD2A1E" w14:textId="77777777" w:rsidR="00127AC6" w:rsidRPr="00E75EEC" w:rsidRDefault="00127AC6" w:rsidP="0003622E">
            <w:pPr>
              <w:rPr>
                <w:rFonts w:cs="FrankRuehl"/>
                <w:sz w:val="28"/>
                <w:szCs w:val="28"/>
                <w:rtl/>
              </w:rPr>
            </w:pPr>
            <w:r w:rsidRPr="00E75EEC">
              <w:rPr>
                <w:rFonts w:cs="FrankRuehl"/>
                <w:sz w:val="28"/>
                <w:szCs w:val="28"/>
                <w:rtl/>
              </w:rPr>
              <w:t>ת"פ</w:t>
            </w:r>
            <w:r w:rsidRPr="00E75EEC">
              <w:rPr>
                <w:rFonts w:cs="FrankRuehl" w:hint="cs"/>
                <w:sz w:val="28"/>
                <w:szCs w:val="28"/>
                <w:rtl/>
              </w:rPr>
              <w:t xml:space="preserve"> </w:t>
            </w:r>
            <w:r w:rsidRPr="00E75EEC">
              <w:rPr>
                <w:rFonts w:cs="FrankRuehl"/>
                <w:sz w:val="28"/>
                <w:szCs w:val="28"/>
                <w:rtl/>
              </w:rPr>
              <w:t>31234-07-19</w:t>
            </w:r>
            <w:r w:rsidRPr="00E75EEC">
              <w:rPr>
                <w:rFonts w:cs="FrankRuehl" w:hint="cs"/>
                <w:sz w:val="28"/>
                <w:szCs w:val="28"/>
                <w:rtl/>
              </w:rPr>
              <w:t xml:space="preserve"> </w:t>
            </w:r>
            <w:r w:rsidRPr="00E75EEC">
              <w:rPr>
                <w:rFonts w:cs="FrankRuehl"/>
                <w:sz w:val="28"/>
                <w:szCs w:val="28"/>
                <w:rtl/>
              </w:rPr>
              <w:t>מדינת ישראל נ' לנדה</w:t>
            </w:r>
          </w:p>
          <w:p w14:paraId="5505B736" w14:textId="77777777" w:rsidR="00127AC6" w:rsidRPr="00E75EEC" w:rsidRDefault="00127AC6" w:rsidP="0003622E">
            <w:pPr>
              <w:pStyle w:val="a3"/>
              <w:rPr>
                <w:rFonts w:cs="FrankRuehl"/>
                <w:sz w:val="28"/>
                <w:szCs w:val="28"/>
                <w:rtl/>
              </w:rPr>
            </w:pPr>
          </w:p>
        </w:tc>
        <w:tc>
          <w:tcPr>
            <w:tcW w:w="3667" w:type="dxa"/>
          </w:tcPr>
          <w:p w14:paraId="57526530" w14:textId="77777777" w:rsidR="00127AC6" w:rsidRPr="00E75EEC" w:rsidRDefault="00127AC6" w:rsidP="0003622E">
            <w:pPr>
              <w:pStyle w:val="a3"/>
              <w:jc w:val="right"/>
              <w:rPr>
                <w:rFonts w:cs="FrankRuehl"/>
                <w:sz w:val="28"/>
                <w:szCs w:val="28"/>
                <w:rtl/>
              </w:rPr>
            </w:pPr>
          </w:p>
        </w:tc>
      </w:tr>
      <w:tr w:rsidR="00127AC6" w:rsidRPr="00E75EEC" w14:paraId="1CEAE0B1" w14:textId="77777777" w:rsidTr="006724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B3AF658" w14:textId="77777777" w:rsidR="00127AC6" w:rsidRPr="00E75EEC" w:rsidRDefault="00127AC6" w:rsidP="00127AC6">
            <w:pPr>
              <w:jc w:val="both"/>
              <w:rPr>
                <w:rFonts w:ascii="David" w:hAnsi="David"/>
                <w:sz w:val="26"/>
                <w:szCs w:val="26"/>
              </w:rPr>
            </w:pPr>
            <w:r w:rsidRPr="00E75EEC">
              <w:rPr>
                <w:rFonts w:hint="cs"/>
                <w:rtl/>
              </w:rPr>
              <w:t xml:space="preserve"> </w:t>
            </w:r>
            <w:r w:rsidRPr="00E75EEC">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0095E38" w14:textId="77777777" w:rsidR="00127AC6" w:rsidRPr="00E75EEC" w:rsidRDefault="00127AC6" w:rsidP="0003622E">
            <w:pPr>
              <w:rPr>
                <w:rFonts w:ascii="David" w:hAnsi="David"/>
                <w:b/>
                <w:bCs/>
                <w:sz w:val="26"/>
                <w:szCs w:val="26"/>
                <w:rtl/>
              </w:rPr>
            </w:pPr>
            <w:r w:rsidRPr="00E75EEC">
              <w:rPr>
                <w:rFonts w:ascii="David" w:hAnsi="David"/>
                <w:b/>
                <w:bCs/>
                <w:sz w:val="26"/>
                <w:szCs w:val="26"/>
                <w:rtl/>
              </w:rPr>
              <w:t>כבוד השופט  דוד שאול גבאי ריכטר</w:t>
            </w:r>
          </w:p>
          <w:p w14:paraId="5270526D" w14:textId="77777777" w:rsidR="00127AC6" w:rsidRPr="00E75EEC" w:rsidRDefault="00127AC6" w:rsidP="0003622E">
            <w:pPr>
              <w:rPr>
                <w:rFonts w:ascii="David" w:hAnsi="David"/>
                <w:sz w:val="26"/>
                <w:szCs w:val="26"/>
                <w:rtl/>
              </w:rPr>
            </w:pPr>
          </w:p>
          <w:p w14:paraId="3A16EF66" w14:textId="77777777" w:rsidR="00127AC6" w:rsidRPr="00E75EEC" w:rsidRDefault="00127AC6" w:rsidP="00127AC6">
            <w:pPr>
              <w:jc w:val="both"/>
              <w:rPr>
                <w:rFonts w:ascii="David" w:hAnsi="David"/>
                <w:sz w:val="26"/>
                <w:szCs w:val="26"/>
              </w:rPr>
            </w:pPr>
          </w:p>
        </w:tc>
      </w:tr>
      <w:tr w:rsidR="00127AC6" w:rsidRPr="00E75EEC" w14:paraId="1930504E" w14:textId="77777777" w:rsidTr="006724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9BAA876" w14:textId="77777777" w:rsidR="00127AC6" w:rsidRPr="00E75EEC" w:rsidRDefault="00127AC6" w:rsidP="00127AC6">
            <w:pPr>
              <w:jc w:val="both"/>
              <w:rPr>
                <w:rFonts w:ascii="David" w:hAnsi="David"/>
                <w:sz w:val="26"/>
                <w:szCs w:val="26"/>
              </w:rPr>
            </w:pPr>
            <w:bookmarkStart w:id="2" w:name="FirstAppellant"/>
            <w:r w:rsidRPr="00E75EEC">
              <w:rPr>
                <w:rFonts w:ascii="David" w:hAnsi="David"/>
                <w:sz w:val="26"/>
                <w:szCs w:val="26"/>
                <w:rtl/>
              </w:rPr>
              <w:t>בעניין:</w:t>
            </w:r>
          </w:p>
        </w:tc>
        <w:tc>
          <w:tcPr>
            <w:tcW w:w="3219" w:type="dxa"/>
            <w:tcBorders>
              <w:top w:val="nil"/>
              <w:left w:val="nil"/>
              <w:bottom w:val="nil"/>
              <w:right w:val="nil"/>
            </w:tcBorders>
            <w:shd w:val="clear" w:color="auto" w:fill="auto"/>
          </w:tcPr>
          <w:p w14:paraId="08DD9F9F" w14:textId="77777777" w:rsidR="00127AC6" w:rsidRPr="00E75EEC" w:rsidRDefault="00127AC6" w:rsidP="00127AC6">
            <w:pPr>
              <w:suppressLineNumbers/>
            </w:pPr>
            <w:r w:rsidRPr="00E75EEC">
              <w:rPr>
                <w:rFonts w:ascii="Arial" w:hAnsi="Arial" w:hint="cs"/>
                <w:b/>
                <w:bCs/>
                <w:sz w:val="26"/>
                <w:szCs w:val="26"/>
                <w:rtl/>
              </w:rPr>
              <w:t>ה</w:t>
            </w:r>
            <w:r w:rsidRPr="00E75EEC">
              <w:rPr>
                <w:rFonts w:ascii="Arial" w:hAnsi="Arial"/>
                <w:b/>
                <w:bCs/>
                <w:sz w:val="26"/>
                <w:szCs w:val="26"/>
                <w:rtl/>
              </w:rPr>
              <w:t>מאשימה</w:t>
            </w:r>
          </w:p>
          <w:p w14:paraId="394147D7" w14:textId="77777777" w:rsidR="00127AC6" w:rsidRPr="00E75EEC" w:rsidRDefault="00127AC6" w:rsidP="0003622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86DDBF9" w14:textId="77777777" w:rsidR="00127AC6" w:rsidRPr="00E75EEC" w:rsidRDefault="00127AC6" w:rsidP="00127AC6">
            <w:pPr>
              <w:suppressLineNumbers/>
            </w:pPr>
            <w:r w:rsidRPr="00E75EEC">
              <w:rPr>
                <w:rFonts w:ascii="Arial" w:hAnsi="Arial"/>
                <w:b/>
                <w:bCs/>
                <w:sz w:val="26"/>
                <w:szCs w:val="26"/>
                <w:rtl/>
              </w:rPr>
              <w:t>מדינת ישראל</w:t>
            </w:r>
            <w:r w:rsidRPr="00E75EEC">
              <w:rPr>
                <w:rFonts w:ascii="Arial" w:hAnsi="Arial"/>
                <w:b/>
                <w:bCs/>
                <w:sz w:val="26"/>
                <w:szCs w:val="26"/>
                <w:rtl/>
              </w:rPr>
              <w:br/>
            </w:r>
            <w:r w:rsidRPr="00E75EEC">
              <w:rPr>
                <w:rFonts w:ascii="Arial" w:hAnsi="Arial" w:hint="cs"/>
                <w:b/>
                <w:bCs/>
                <w:sz w:val="26"/>
                <w:szCs w:val="26"/>
                <w:rtl/>
              </w:rPr>
              <w:t>ע"י תביעות ירושלים</w:t>
            </w:r>
          </w:p>
          <w:p w14:paraId="499CA344" w14:textId="77777777" w:rsidR="00127AC6" w:rsidRPr="00E75EEC" w:rsidRDefault="00127AC6" w:rsidP="0003622E">
            <w:pPr>
              <w:rPr>
                <w:rFonts w:ascii="David" w:hAnsi="David"/>
                <w:sz w:val="26"/>
                <w:szCs w:val="26"/>
              </w:rPr>
            </w:pPr>
          </w:p>
        </w:tc>
      </w:tr>
      <w:bookmarkEnd w:id="2"/>
      <w:tr w:rsidR="00127AC6" w:rsidRPr="00E75EEC" w14:paraId="09E3070B" w14:textId="77777777" w:rsidTr="006724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D8589B0" w14:textId="77777777" w:rsidR="00127AC6" w:rsidRPr="00E75EEC" w:rsidRDefault="00127AC6" w:rsidP="00127AC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7001E79" w14:textId="77777777" w:rsidR="00127AC6" w:rsidRPr="00E75EEC" w:rsidRDefault="00127AC6" w:rsidP="00127AC6">
            <w:pPr>
              <w:jc w:val="center"/>
              <w:rPr>
                <w:rFonts w:ascii="David" w:hAnsi="David"/>
                <w:b/>
                <w:bCs/>
                <w:sz w:val="26"/>
                <w:szCs w:val="26"/>
                <w:rtl/>
              </w:rPr>
            </w:pPr>
          </w:p>
          <w:p w14:paraId="1A9DD36A" w14:textId="77777777" w:rsidR="00127AC6" w:rsidRPr="00E75EEC" w:rsidRDefault="00127AC6" w:rsidP="00127AC6">
            <w:pPr>
              <w:jc w:val="center"/>
              <w:rPr>
                <w:rFonts w:ascii="David" w:hAnsi="David"/>
                <w:b/>
                <w:bCs/>
                <w:sz w:val="26"/>
                <w:szCs w:val="26"/>
                <w:rtl/>
              </w:rPr>
            </w:pPr>
            <w:r w:rsidRPr="00E75EEC">
              <w:rPr>
                <w:rFonts w:ascii="David" w:hAnsi="David"/>
                <w:b/>
                <w:bCs/>
                <w:sz w:val="26"/>
                <w:szCs w:val="26"/>
                <w:rtl/>
              </w:rPr>
              <w:t>נגד</w:t>
            </w:r>
          </w:p>
          <w:p w14:paraId="33C4399D" w14:textId="77777777" w:rsidR="00127AC6" w:rsidRPr="00E75EEC" w:rsidRDefault="00127AC6" w:rsidP="00127AC6">
            <w:pPr>
              <w:jc w:val="both"/>
              <w:rPr>
                <w:rFonts w:ascii="David" w:hAnsi="David"/>
                <w:sz w:val="26"/>
                <w:szCs w:val="26"/>
              </w:rPr>
            </w:pPr>
          </w:p>
        </w:tc>
      </w:tr>
      <w:tr w:rsidR="00127AC6" w:rsidRPr="00E75EEC" w14:paraId="07CFF5FC" w14:textId="77777777" w:rsidTr="006724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591DDA7" w14:textId="77777777" w:rsidR="00127AC6" w:rsidRPr="00E75EEC" w:rsidRDefault="00127AC6" w:rsidP="0003622E">
            <w:pPr>
              <w:rPr>
                <w:rFonts w:ascii="David" w:hAnsi="David"/>
                <w:sz w:val="26"/>
                <w:szCs w:val="26"/>
                <w:rtl/>
              </w:rPr>
            </w:pPr>
          </w:p>
        </w:tc>
        <w:tc>
          <w:tcPr>
            <w:tcW w:w="3219" w:type="dxa"/>
            <w:tcBorders>
              <w:top w:val="nil"/>
              <w:left w:val="nil"/>
              <w:bottom w:val="nil"/>
              <w:right w:val="nil"/>
            </w:tcBorders>
            <w:shd w:val="clear" w:color="auto" w:fill="auto"/>
          </w:tcPr>
          <w:p w14:paraId="27F13366" w14:textId="77777777" w:rsidR="00127AC6" w:rsidRPr="00E75EEC" w:rsidRDefault="00127AC6" w:rsidP="0003622E">
            <w:pPr>
              <w:rPr>
                <w:rFonts w:ascii="Arial" w:hAnsi="Arial"/>
                <w:b/>
                <w:bCs/>
                <w:sz w:val="26"/>
                <w:szCs w:val="26"/>
                <w:rtl/>
              </w:rPr>
            </w:pPr>
            <w:r w:rsidRPr="00E75EEC">
              <w:rPr>
                <w:rFonts w:ascii="Arial" w:hAnsi="Arial"/>
                <w:b/>
                <w:bCs/>
                <w:sz w:val="26"/>
                <w:szCs w:val="26"/>
                <w:rtl/>
              </w:rPr>
              <w:t>הנאשמ</w:t>
            </w:r>
            <w:r w:rsidRPr="00E75EEC">
              <w:rPr>
                <w:rFonts w:ascii="Arial" w:hAnsi="Arial" w:hint="cs"/>
                <w:b/>
                <w:bCs/>
                <w:sz w:val="26"/>
                <w:szCs w:val="26"/>
                <w:rtl/>
              </w:rPr>
              <w:t>ת</w:t>
            </w:r>
          </w:p>
        </w:tc>
        <w:tc>
          <w:tcPr>
            <w:tcW w:w="4678" w:type="dxa"/>
            <w:gridSpan w:val="3"/>
            <w:tcBorders>
              <w:top w:val="nil"/>
              <w:left w:val="nil"/>
              <w:bottom w:val="nil"/>
              <w:right w:val="nil"/>
            </w:tcBorders>
            <w:shd w:val="clear" w:color="auto" w:fill="auto"/>
            <w:vAlign w:val="center"/>
          </w:tcPr>
          <w:p w14:paraId="6B4DA0D3" w14:textId="77777777" w:rsidR="00127AC6" w:rsidRPr="00E75EEC" w:rsidRDefault="00127AC6" w:rsidP="00127AC6">
            <w:pPr>
              <w:suppressLineNumbers/>
            </w:pPr>
            <w:r w:rsidRPr="00E75EEC">
              <w:rPr>
                <w:rFonts w:ascii="Arial" w:hAnsi="Arial"/>
                <w:b/>
                <w:bCs/>
                <w:sz w:val="26"/>
                <w:szCs w:val="26"/>
                <w:rtl/>
              </w:rPr>
              <w:t>ליזה לנדה</w:t>
            </w:r>
            <w:r w:rsidRPr="00E75EEC">
              <w:rPr>
                <w:rFonts w:ascii="Arial" w:hAnsi="Arial"/>
                <w:b/>
                <w:bCs/>
                <w:sz w:val="26"/>
                <w:szCs w:val="26"/>
                <w:rtl/>
              </w:rPr>
              <w:br/>
            </w:r>
            <w:r w:rsidRPr="00E75EEC">
              <w:rPr>
                <w:rFonts w:ascii="Arial" w:hAnsi="Arial" w:hint="cs"/>
                <w:b/>
                <w:bCs/>
                <w:sz w:val="26"/>
                <w:szCs w:val="26"/>
                <w:rtl/>
              </w:rPr>
              <w:t>ע"י ב"כ עוה"ד פורר</w:t>
            </w:r>
          </w:p>
          <w:p w14:paraId="1C1FB784" w14:textId="77777777" w:rsidR="00127AC6" w:rsidRPr="00E75EEC" w:rsidRDefault="00127AC6" w:rsidP="0003622E">
            <w:pPr>
              <w:rPr>
                <w:rFonts w:ascii="David" w:hAnsi="David"/>
                <w:sz w:val="26"/>
                <w:szCs w:val="26"/>
              </w:rPr>
            </w:pPr>
          </w:p>
        </w:tc>
      </w:tr>
    </w:tbl>
    <w:p w14:paraId="501C6C68" w14:textId="77777777" w:rsidR="006724DF" w:rsidRDefault="006724DF" w:rsidP="00E75EEC">
      <w:pPr>
        <w:rPr>
          <w:sz w:val="26"/>
          <w:szCs w:val="26"/>
          <w:rtl/>
        </w:rPr>
      </w:pPr>
    </w:p>
    <w:p w14:paraId="6D77C3E5" w14:textId="77777777" w:rsidR="006724DF" w:rsidRPr="006724DF" w:rsidRDefault="006724DF" w:rsidP="006724DF">
      <w:pPr>
        <w:spacing w:after="120" w:line="240" w:lineRule="exact"/>
        <w:ind w:left="283" w:hanging="283"/>
        <w:jc w:val="both"/>
        <w:rPr>
          <w:rFonts w:ascii="FrankRuehl" w:hAnsi="FrankRuehl" w:cs="FrankRuehl"/>
          <w:rtl/>
        </w:rPr>
      </w:pPr>
    </w:p>
    <w:p w14:paraId="26A31A89" w14:textId="77777777" w:rsidR="004014D0" w:rsidRPr="004014D0" w:rsidRDefault="004014D0" w:rsidP="004014D0">
      <w:pPr>
        <w:spacing w:before="120" w:after="120" w:line="240" w:lineRule="exact"/>
        <w:ind w:left="283" w:hanging="283"/>
        <w:jc w:val="both"/>
        <w:rPr>
          <w:rFonts w:ascii="FrankRuehl" w:hAnsi="FrankRuehl" w:cs="FrankRuehl"/>
          <w:rtl/>
        </w:rPr>
      </w:pPr>
    </w:p>
    <w:p w14:paraId="5A3DB470" w14:textId="77777777" w:rsidR="00A45F13" w:rsidRDefault="00A45F13" w:rsidP="00A45F13">
      <w:pPr>
        <w:rPr>
          <w:sz w:val="26"/>
          <w:szCs w:val="26"/>
          <w:rtl/>
        </w:rPr>
      </w:pPr>
      <w:bookmarkStart w:id="3" w:name="LawTable"/>
      <w:bookmarkEnd w:id="3"/>
    </w:p>
    <w:p w14:paraId="0C400F26" w14:textId="77777777" w:rsidR="00A45F13" w:rsidRPr="00A45F13" w:rsidRDefault="00A45F13" w:rsidP="00A45F13">
      <w:pPr>
        <w:spacing w:before="120" w:after="120" w:line="240" w:lineRule="exact"/>
        <w:ind w:left="283" w:hanging="283"/>
        <w:jc w:val="both"/>
        <w:rPr>
          <w:rFonts w:ascii="FrankRuehl" w:hAnsi="FrankRuehl" w:cs="FrankRuehl"/>
          <w:rtl/>
        </w:rPr>
      </w:pPr>
    </w:p>
    <w:p w14:paraId="1091CBD8" w14:textId="77777777" w:rsidR="00A45F13" w:rsidRPr="00A45F13" w:rsidRDefault="00A45F13" w:rsidP="00A45F13">
      <w:pPr>
        <w:spacing w:before="120" w:after="120" w:line="240" w:lineRule="exact"/>
        <w:ind w:left="283" w:hanging="283"/>
        <w:jc w:val="both"/>
        <w:rPr>
          <w:rFonts w:ascii="FrankRuehl" w:hAnsi="FrankRuehl" w:cs="FrankRuehl"/>
          <w:rtl/>
        </w:rPr>
      </w:pPr>
    </w:p>
    <w:p w14:paraId="4445E94C" w14:textId="77777777" w:rsidR="00A45F13" w:rsidRPr="00A45F13" w:rsidRDefault="00A45F13" w:rsidP="00A45F13">
      <w:pPr>
        <w:spacing w:before="120" w:after="120" w:line="240" w:lineRule="exact"/>
        <w:ind w:left="283" w:hanging="283"/>
        <w:jc w:val="both"/>
        <w:rPr>
          <w:rFonts w:ascii="FrankRuehl" w:hAnsi="FrankRuehl" w:cs="FrankRuehl"/>
          <w:rtl/>
        </w:rPr>
      </w:pPr>
      <w:r w:rsidRPr="00A45F13">
        <w:rPr>
          <w:rFonts w:ascii="FrankRuehl" w:hAnsi="FrankRuehl" w:cs="FrankRuehl"/>
          <w:rtl/>
        </w:rPr>
        <w:t xml:space="preserve">חקיקה שאוזכרה: </w:t>
      </w:r>
    </w:p>
    <w:p w14:paraId="4913DB8E" w14:textId="77777777" w:rsidR="00A45F13" w:rsidRPr="00A45F13" w:rsidRDefault="00A45F13" w:rsidP="00A45F13">
      <w:pPr>
        <w:spacing w:before="120" w:after="120" w:line="240" w:lineRule="exact"/>
        <w:ind w:left="283" w:hanging="283"/>
        <w:jc w:val="both"/>
        <w:rPr>
          <w:rFonts w:ascii="FrankRuehl" w:hAnsi="FrankRuehl" w:cs="FrankRuehl"/>
          <w:rtl/>
        </w:rPr>
      </w:pPr>
      <w:hyperlink r:id="rId7" w:history="1">
        <w:r w:rsidRPr="00A45F13">
          <w:rPr>
            <w:rFonts w:ascii="FrankRuehl" w:hAnsi="FrankRuehl" w:cs="FrankRuehl"/>
            <w:color w:val="0000FF"/>
            <w:rtl/>
          </w:rPr>
          <w:t>פקודת הסמים המסוכנים [נוסח חדש], תשל"ג-1973</w:t>
        </w:r>
      </w:hyperlink>
      <w:r w:rsidRPr="00A45F13">
        <w:rPr>
          <w:rFonts w:ascii="FrankRuehl" w:hAnsi="FrankRuehl" w:cs="FrankRuehl"/>
          <w:rtl/>
        </w:rPr>
        <w:t xml:space="preserve">: סע'  </w:t>
      </w:r>
      <w:hyperlink r:id="rId8" w:history="1">
        <w:r w:rsidRPr="00A45F13">
          <w:rPr>
            <w:rFonts w:ascii="FrankRuehl" w:hAnsi="FrankRuehl" w:cs="FrankRuehl"/>
            <w:color w:val="0000FF"/>
            <w:rtl/>
          </w:rPr>
          <w:t>13</w:t>
        </w:r>
      </w:hyperlink>
      <w:r w:rsidRPr="00A45F13">
        <w:rPr>
          <w:rFonts w:ascii="FrankRuehl" w:hAnsi="FrankRuehl" w:cs="FrankRuehl"/>
          <w:rtl/>
        </w:rPr>
        <w:t xml:space="preserve">, </w:t>
      </w:r>
      <w:hyperlink r:id="rId9" w:history="1">
        <w:r w:rsidRPr="00A45F13">
          <w:rPr>
            <w:rFonts w:ascii="FrankRuehl" w:hAnsi="FrankRuehl" w:cs="FrankRuehl"/>
            <w:color w:val="0000FF"/>
            <w:rtl/>
          </w:rPr>
          <w:t>19א</w:t>
        </w:r>
      </w:hyperlink>
    </w:p>
    <w:p w14:paraId="19DAB35A" w14:textId="77777777" w:rsidR="00A45F13" w:rsidRPr="00A45F13" w:rsidRDefault="00A45F13" w:rsidP="00A45F13">
      <w:pPr>
        <w:spacing w:before="120" w:after="120" w:line="240" w:lineRule="exact"/>
        <w:ind w:left="283" w:hanging="283"/>
        <w:jc w:val="both"/>
        <w:rPr>
          <w:rFonts w:ascii="FrankRuehl" w:hAnsi="FrankRuehl" w:cs="FrankRuehl"/>
          <w:rtl/>
        </w:rPr>
      </w:pPr>
      <w:hyperlink r:id="rId10" w:history="1">
        <w:r w:rsidRPr="00A45F13">
          <w:rPr>
            <w:rFonts w:ascii="FrankRuehl" w:hAnsi="FrankRuehl" w:cs="FrankRuehl"/>
            <w:color w:val="0000FF"/>
            <w:rtl/>
          </w:rPr>
          <w:t>חוק העונשין, תשל"ז-1977</w:t>
        </w:r>
      </w:hyperlink>
      <w:r w:rsidRPr="00A45F13">
        <w:rPr>
          <w:rFonts w:ascii="FrankRuehl" w:hAnsi="FrankRuehl" w:cs="FrankRuehl"/>
          <w:rtl/>
        </w:rPr>
        <w:t xml:space="preserve">: סע'  </w:t>
      </w:r>
      <w:hyperlink r:id="rId11" w:history="1">
        <w:r w:rsidRPr="00A45F13">
          <w:rPr>
            <w:rFonts w:ascii="FrankRuehl" w:hAnsi="FrankRuehl" w:cs="FrankRuehl"/>
            <w:color w:val="0000FF"/>
            <w:rtl/>
          </w:rPr>
          <w:t>40ט'</w:t>
        </w:r>
      </w:hyperlink>
      <w:r w:rsidRPr="00A45F13">
        <w:rPr>
          <w:rFonts w:ascii="FrankRuehl" w:hAnsi="FrankRuehl" w:cs="FrankRuehl"/>
          <w:rtl/>
        </w:rPr>
        <w:t xml:space="preserve">, </w:t>
      </w:r>
      <w:hyperlink r:id="rId12" w:history="1">
        <w:r w:rsidRPr="00A45F13">
          <w:rPr>
            <w:rFonts w:ascii="FrankRuehl" w:hAnsi="FrankRuehl" w:cs="FrankRuehl"/>
            <w:color w:val="0000FF"/>
            <w:rtl/>
          </w:rPr>
          <w:t>40יא</w:t>
        </w:r>
      </w:hyperlink>
    </w:p>
    <w:p w14:paraId="761F3239" w14:textId="77777777" w:rsidR="00A45F13" w:rsidRPr="00A45F13" w:rsidRDefault="00A45F13" w:rsidP="00A45F13">
      <w:pPr>
        <w:rPr>
          <w:sz w:val="26"/>
          <w:szCs w:val="26"/>
          <w:rtl/>
        </w:rPr>
      </w:pPr>
      <w:bookmarkStart w:id="4" w:name="LawTable_End"/>
      <w:bookmarkEnd w:id="4"/>
    </w:p>
    <w:p w14:paraId="25D6AD32" w14:textId="77777777" w:rsidR="00127AC6" w:rsidRPr="004014D0" w:rsidRDefault="00127AC6" w:rsidP="004014D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27AC6" w14:paraId="050B8745" w14:textId="77777777" w:rsidTr="00127AC6">
        <w:trPr>
          <w:trHeight w:val="355"/>
          <w:jc w:val="center"/>
        </w:trPr>
        <w:tc>
          <w:tcPr>
            <w:tcW w:w="8820" w:type="dxa"/>
            <w:tcBorders>
              <w:top w:val="nil"/>
              <w:left w:val="nil"/>
              <w:bottom w:val="nil"/>
              <w:right w:val="nil"/>
            </w:tcBorders>
            <w:shd w:val="clear" w:color="auto" w:fill="auto"/>
          </w:tcPr>
          <w:p w14:paraId="37BF0DA3" w14:textId="77777777" w:rsidR="00E75EEC" w:rsidRPr="00E75EEC" w:rsidRDefault="00E75EEC" w:rsidP="00E75EEC">
            <w:pPr>
              <w:jc w:val="center"/>
              <w:rPr>
                <w:rFonts w:ascii="David" w:hAnsi="David"/>
                <w:b/>
                <w:bCs/>
                <w:sz w:val="32"/>
                <w:szCs w:val="32"/>
                <w:u w:val="single"/>
                <w:rtl/>
              </w:rPr>
            </w:pPr>
            <w:bookmarkStart w:id="5" w:name="PsakDin" w:colFirst="0" w:colLast="0"/>
            <w:bookmarkEnd w:id="0"/>
            <w:bookmarkEnd w:id="1"/>
            <w:r w:rsidRPr="00E75EEC">
              <w:rPr>
                <w:rFonts w:ascii="David" w:hAnsi="David"/>
                <w:b/>
                <w:bCs/>
                <w:sz w:val="32"/>
                <w:szCs w:val="32"/>
                <w:u w:val="single"/>
                <w:rtl/>
              </w:rPr>
              <w:t>גזר דין  תוך ביטול הרשעה</w:t>
            </w:r>
          </w:p>
          <w:p w14:paraId="377B0214" w14:textId="77777777" w:rsidR="00127AC6" w:rsidRPr="00E75EEC" w:rsidRDefault="00127AC6" w:rsidP="00E75EEC">
            <w:pPr>
              <w:jc w:val="center"/>
              <w:rPr>
                <w:rFonts w:ascii="David" w:hAnsi="David"/>
                <w:b/>
                <w:bCs/>
                <w:sz w:val="32"/>
                <w:szCs w:val="32"/>
                <w:u w:val="single"/>
              </w:rPr>
            </w:pPr>
          </w:p>
        </w:tc>
      </w:tr>
      <w:bookmarkEnd w:id="5"/>
    </w:tbl>
    <w:p w14:paraId="265118EA" w14:textId="77777777" w:rsidR="00127AC6" w:rsidRDefault="00127AC6" w:rsidP="00127AC6">
      <w:pPr>
        <w:jc w:val="both"/>
        <w:rPr>
          <w:rFonts w:ascii="Arial" w:hAnsi="Arial"/>
        </w:rPr>
      </w:pPr>
    </w:p>
    <w:p w14:paraId="1035A15A" w14:textId="77777777" w:rsidR="00127AC6" w:rsidRDefault="00127AC6" w:rsidP="00127AC6">
      <w:pPr>
        <w:jc w:val="both"/>
        <w:rPr>
          <w:rtl/>
        </w:rPr>
      </w:pPr>
    </w:p>
    <w:p w14:paraId="747BB316" w14:textId="77777777" w:rsidR="00127AC6" w:rsidRDefault="00127AC6" w:rsidP="00127AC6">
      <w:pPr>
        <w:jc w:val="both"/>
        <w:rPr>
          <w:rFonts w:ascii="David" w:hAnsi="David"/>
          <w:sz w:val="26"/>
          <w:szCs w:val="26"/>
          <w:rtl/>
        </w:rPr>
      </w:pPr>
    </w:p>
    <w:p w14:paraId="48925870" w14:textId="77777777" w:rsidR="00127AC6" w:rsidRDefault="00127AC6" w:rsidP="00127AC6">
      <w:pPr>
        <w:spacing w:line="360" w:lineRule="auto"/>
        <w:jc w:val="both"/>
        <w:rPr>
          <w:rFonts w:ascii="David" w:hAnsi="David"/>
          <w:b/>
          <w:bCs/>
          <w:sz w:val="26"/>
          <w:szCs w:val="26"/>
          <w:u w:val="single"/>
          <w:rtl/>
        </w:rPr>
      </w:pPr>
      <w:r>
        <w:rPr>
          <w:rFonts w:ascii="David" w:hAnsi="David"/>
          <w:b/>
          <w:bCs/>
          <w:sz w:val="26"/>
          <w:szCs w:val="26"/>
          <w:u w:val="single"/>
          <w:rtl/>
        </w:rPr>
        <w:t>כתב האישום</w:t>
      </w:r>
    </w:p>
    <w:p w14:paraId="3157ADDC" w14:textId="77777777" w:rsidR="00127AC6" w:rsidRDefault="00127AC6" w:rsidP="00127AC6">
      <w:pPr>
        <w:spacing w:line="360" w:lineRule="auto"/>
        <w:jc w:val="both"/>
        <w:rPr>
          <w:rFonts w:ascii="David" w:hAnsi="David"/>
          <w:sz w:val="26"/>
          <w:szCs w:val="26"/>
          <w:rtl/>
        </w:rPr>
      </w:pPr>
      <w:bookmarkStart w:id="6" w:name="ABSTRACT_START"/>
      <w:bookmarkEnd w:id="6"/>
      <w:r>
        <w:rPr>
          <w:rFonts w:ascii="David" w:hAnsi="David"/>
          <w:sz w:val="26"/>
          <w:szCs w:val="26"/>
          <w:rtl/>
        </w:rPr>
        <w:t xml:space="preserve">הנאשמת הורשעה על-פי הודאתה במסגרת הסדר טיעון, בביצוע עבירה של </w:t>
      </w:r>
      <w:r>
        <w:rPr>
          <w:rFonts w:ascii="David" w:hAnsi="David"/>
          <w:b/>
          <w:bCs/>
          <w:sz w:val="26"/>
          <w:szCs w:val="26"/>
          <w:rtl/>
        </w:rPr>
        <w:t>סחר בסמים</w:t>
      </w:r>
      <w:r>
        <w:rPr>
          <w:rFonts w:ascii="David" w:hAnsi="David"/>
          <w:sz w:val="26"/>
          <w:szCs w:val="26"/>
          <w:rtl/>
        </w:rPr>
        <w:t xml:space="preserve">, לפי </w:t>
      </w:r>
      <w:hyperlink r:id="rId13" w:history="1">
        <w:r w:rsidR="006724DF" w:rsidRPr="006724DF">
          <w:rPr>
            <w:rStyle w:val="Hyperlink"/>
            <w:rFonts w:ascii="David" w:hAnsi="David"/>
            <w:sz w:val="26"/>
            <w:szCs w:val="26"/>
            <w:rtl/>
          </w:rPr>
          <w:t>סעיפים 13</w:t>
        </w:r>
      </w:hyperlink>
      <w:r>
        <w:rPr>
          <w:rFonts w:ascii="David" w:hAnsi="David"/>
          <w:sz w:val="26"/>
          <w:szCs w:val="26"/>
          <w:rtl/>
        </w:rPr>
        <w:t xml:space="preserve"> ו-</w:t>
      </w:r>
      <w:hyperlink r:id="rId14" w:history="1">
        <w:r w:rsidR="006724DF" w:rsidRPr="006724DF">
          <w:rPr>
            <w:rStyle w:val="Hyperlink"/>
            <w:rFonts w:ascii="David" w:hAnsi="David"/>
            <w:sz w:val="26"/>
            <w:szCs w:val="26"/>
            <w:rtl/>
          </w:rPr>
          <w:t>19א</w:t>
        </w:r>
      </w:hyperlink>
      <w:r>
        <w:rPr>
          <w:rFonts w:ascii="David" w:hAnsi="David"/>
          <w:sz w:val="26"/>
          <w:szCs w:val="26"/>
          <w:rtl/>
        </w:rPr>
        <w:t xml:space="preserve"> ל</w:t>
      </w:r>
      <w:hyperlink r:id="rId15" w:history="1">
        <w:r w:rsidR="00E75EEC" w:rsidRPr="00E75EEC">
          <w:rPr>
            <w:rFonts w:ascii="David" w:hAnsi="David"/>
            <w:color w:val="0000FF"/>
            <w:sz w:val="26"/>
            <w:szCs w:val="26"/>
            <w:u w:val="single"/>
            <w:rtl/>
          </w:rPr>
          <w:t>פקודת הסמים המסוכנים</w:t>
        </w:r>
      </w:hyperlink>
      <w:r>
        <w:rPr>
          <w:rFonts w:ascii="David" w:hAnsi="David"/>
          <w:sz w:val="26"/>
          <w:szCs w:val="26"/>
          <w:rtl/>
        </w:rPr>
        <w:t>. מעובדות כתב האישום המתוקן עולה, כי ביום 5.6.2018, לאחר תיאום באמצעות יישומון ה"טלגראס", מכרה הנאשמת 6 גרם קנאביס לסוכן משטרתי, תמורת 700 ₪.</w:t>
      </w:r>
    </w:p>
    <w:p w14:paraId="0BB59D5A" w14:textId="77777777" w:rsidR="00127AC6" w:rsidRDefault="00127AC6" w:rsidP="00127AC6">
      <w:pPr>
        <w:spacing w:line="360" w:lineRule="auto"/>
        <w:jc w:val="both"/>
        <w:rPr>
          <w:rFonts w:ascii="David" w:hAnsi="David"/>
          <w:b/>
          <w:bCs/>
          <w:sz w:val="26"/>
          <w:szCs w:val="26"/>
          <w:u w:val="single"/>
        </w:rPr>
      </w:pPr>
    </w:p>
    <w:p w14:paraId="516243A9" w14:textId="77777777" w:rsidR="00127AC6" w:rsidRDefault="00127AC6" w:rsidP="00127AC6">
      <w:pPr>
        <w:spacing w:line="360" w:lineRule="auto"/>
        <w:jc w:val="both"/>
        <w:rPr>
          <w:rFonts w:ascii="David" w:hAnsi="David"/>
          <w:b/>
          <w:bCs/>
          <w:sz w:val="26"/>
          <w:szCs w:val="26"/>
          <w:u w:val="single"/>
        </w:rPr>
      </w:pPr>
      <w:bookmarkStart w:id="7" w:name="ABSTRACT_END"/>
      <w:bookmarkEnd w:id="7"/>
      <w:r>
        <w:rPr>
          <w:rFonts w:ascii="David" w:hAnsi="David"/>
          <w:b/>
          <w:bCs/>
          <w:sz w:val="26"/>
          <w:szCs w:val="26"/>
          <w:u w:val="single"/>
          <w:rtl/>
        </w:rPr>
        <w:t>מהלך הדיון</w:t>
      </w:r>
    </w:p>
    <w:p w14:paraId="41CA8C8D" w14:textId="77777777" w:rsidR="00127AC6" w:rsidRDefault="00127AC6" w:rsidP="00127AC6">
      <w:pPr>
        <w:spacing w:line="360" w:lineRule="auto"/>
        <w:jc w:val="both"/>
        <w:rPr>
          <w:rFonts w:ascii="David" w:hAnsi="David"/>
          <w:sz w:val="26"/>
          <w:szCs w:val="26"/>
          <w:rtl/>
        </w:rPr>
      </w:pPr>
      <w:r>
        <w:rPr>
          <w:rFonts w:ascii="David" w:hAnsi="David"/>
          <w:sz w:val="26"/>
          <w:szCs w:val="26"/>
          <w:rtl/>
        </w:rPr>
        <w:t>הנאשמת הודתה והורשעה בכתב האישום המתוקן, ללא הסכמה עונשית, ונשלחה לשירות מבחן שנתבקש, בין היתר, לבחון גם את שאלת ההרשעה.</w:t>
      </w:r>
    </w:p>
    <w:p w14:paraId="127ED51E" w14:textId="77777777" w:rsidR="00127AC6" w:rsidRDefault="00127AC6" w:rsidP="00127AC6">
      <w:pPr>
        <w:spacing w:line="360" w:lineRule="auto"/>
        <w:jc w:val="both"/>
        <w:rPr>
          <w:rFonts w:ascii="David" w:hAnsi="David"/>
          <w:sz w:val="26"/>
          <w:szCs w:val="26"/>
        </w:rPr>
      </w:pPr>
    </w:p>
    <w:p w14:paraId="26C295D9" w14:textId="77777777" w:rsidR="00127AC6" w:rsidRDefault="00127AC6" w:rsidP="00127AC6">
      <w:pPr>
        <w:spacing w:line="360" w:lineRule="auto"/>
        <w:jc w:val="both"/>
        <w:rPr>
          <w:rFonts w:ascii="David" w:hAnsi="David"/>
          <w:sz w:val="26"/>
          <w:szCs w:val="26"/>
          <w:rtl/>
        </w:rPr>
      </w:pPr>
    </w:p>
    <w:p w14:paraId="11FB7748" w14:textId="77777777" w:rsidR="00127AC6" w:rsidRDefault="00127AC6" w:rsidP="00127AC6">
      <w:pPr>
        <w:spacing w:line="360" w:lineRule="auto"/>
        <w:jc w:val="both"/>
        <w:rPr>
          <w:rFonts w:ascii="David" w:hAnsi="David"/>
          <w:b/>
          <w:bCs/>
          <w:sz w:val="26"/>
          <w:szCs w:val="26"/>
          <w:u w:val="single"/>
          <w:rtl/>
        </w:rPr>
      </w:pPr>
      <w:r>
        <w:rPr>
          <w:rFonts w:ascii="David" w:hAnsi="David"/>
          <w:b/>
          <w:bCs/>
          <w:sz w:val="26"/>
          <w:szCs w:val="26"/>
          <w:u w:val="single"/>
          <w:rtl/>
        </w:rPr>
        <w:t>תסקירי שירות המבחן</w:t>
      </w:r>
    </w:p>
    <w:p w14:paraId="771BC9A3" w14:textId="77777777" w:rsidR="00127AC6" w:rsidRDefault="00127AC6" w:rsidP="00127AC6">
      <w:pPr>
        <w:spacing w:line="360" w:lineRule="auto"/>
        <w:jc w:val="both"/>
        <w:rPr>
          <w:rFonts w:ascii="David" w:hAnsi="David"/>
          <w:sz w:val="26"/>
          <w:szCs w:val="26"/>
        </w:rPr>
      </w:pPr>
      <w:r>
        <w:rPr>
          <w:rFonts w:ascii="David" w:hAnsi="David"/>
          <w:sz w:val="26"/>
          <w:szCs w:val="26"/>
          <w:rtl/>
        </w:rPr>
        <w:t xml:space="preserve">בעניינה של הנאשמת הוגשו שני תסקירים. מדובר בצעירה כבת 23, רווקה ואם לילדה בת שנה וחצי המאובחנת על הרצף האוטיסטי. כיום מתגוררת עם בתה לסירוגין אצל אמה וסבתה בעיר אשקלון. מזה כשישה חודשים עובדת הנאשמת כמטפלת בקשישים. שירות המבחן תיאר בהרחבה את קורות חייה של הנאשמת, מהם עולה, כי מדובר בצעירה אשר גדלה במערכת משפחתית מורכבת, כאשר כבר בגיל צעיר חברה לחברה שולית והחלה לצרוך סמים לצורך הרגעה עצמית וכמענה לקשיים עמם התמודדה. הנאשמת שיתפה כי בגיל 17 הכירה את בן זוגה דאז, המבוגר ממנה ב – 15 שנים, ממנו נולדה בתה. הנאשמת תיארה מערכת יחסים מורכבת והרסנית במהלכה חוותה התעללות, פיזית, נפשית וכלכלית. בעקבות כך, בשנים האחרונות אובחנה כמי שמתמודדת עם תסמונת דחק פוסט טראומתית וכי היא מטופלת באמצעות טיפול תרופתי ואף לאחרונה קיבלה רישיון לקנאביס רפואי ממשרד הבריאות. שירות המבחן מסר כי הנאשמת השתלבה בטיפול ממוקד בטראומה במרכז ת.ל.מ באשקלון. ממרכז ת.ל.מ נמסר כי הנאשמת מתייצבת למפגשים באופן קבוע ורציף וכי עורכת מאמצים להיעזר במרחב הטיפולי. הנאשמת שיתפה את שירות המבחן כי במהלך חודש אפריל התמודדה עם דיכאון ומתח נפשי ואף אושפזה למספר ימים במצב פסיכוטי ולאחר טיפול תרופתי, מצבה התייצב ושוחררה לביתה. לאחרונה אובחנה עם חשד להפרעה סכיזו-אפקטיבית והיא נוטלת טיפול תרופתי. כן מסרה הנאשמת כי ההליך המשפטי והטיפול בבתה יוצרים אצלה תחושה של חרדה. נוכח האמור, שירות המבחן המליץ לבטל את הרשעתה של הנאשמת ולהטיל עליה צו מבחן למשך שנה לצד ענישה מותנית. </w:t>
      </w:r>
    </w:p>
    <w:p w14:paraId="0013732C" w14:textId="77777777" w:rsidR="00127AC6" w:rsidRDefault="00127AC6" w:rsidP="00127AC6">
      <w:pPr>
        <w:spacing w:line="360" w:lineRule="auto"/>
        <w:jc w:val="both"/>
        <w:rPr>
          <w:rFonts w:ascii="David" w:hAnsi="David"/>
          <w:b/>
          <w:bCs/>
          <w:sz w:val="26"/>
          <w:szCs w:val="26"/>
          <w:u w:val="single"/>
          <w:rtl/>
        </w:rPr>
      </w:pPr>
    </w:p>
    <w:p w14:paraId="05360354" w14:textId="77777777" w:rsidR="00127AC6" w:rsidRDefault="00127AC6" w:rsidP="00127AC6">
      <w:pPr>
        <w:spacing w:line="360" w:lineRule="auto"/>
        <w:jc w:val="both"/>
        <w:rPr>
          <w:rFonts w:ascii="David" w:hAnsi="David"/>
          <w:sz w:val="26"/>
          <w:szCs w:val="26"/>
          <w:rtl/>
        </w:rPr>
      </w:pPr>
    </w:p>
    <w:p w14:paraId="042A64AB" w14:textId="77777777" w:rsidR="00127AC6" w:rsidRDefault="00127AC6" w:rsidP="00127AC6">
      <w:pPr>
        <w:spacing w:line="360" w:lineRule="auto"/>
        <w:jc w:val="both"/>
        <w:rPr>
          <w:rFonts w:ascii="David" w:hAnsi="David"/>
          <w:b/>
          <w:bCs/>
          <w:sz w:val="26"/>
          <w:szCs w:val="26"/>
          <w:u w:val="single"/>
          <w:rtl/>
        </w:rPr>
      </w:pPr>
      <w:r>
        <w:rPr>
          <w:rFonts w:ascii="David" w:hAnsi="David"/>
          <w:b/>
          <w:bCs/>
          <w:sz w:val="26"/>
          <w:szCs w:val="26"/>
          <w:u w:val="single"/>
          <w:rtl/>
        </w:rPr>
        <w:t>טיעונים לעונש</w:t>
      </w:r>
    </w:p>
    <w:p w14:paraId="6964A943" w14:textId="77777777" w:rsidR="00127AC6" w:rsidRDefault="00127AC6" w:rsidP="00127AC6">
      <w:pPr>
        <w:spacing w:line="360" w:lineRule="auto"/>
        <w:jc w:val="both"/>
        <w:rPr>
          <w:rFonts w:ascii="David" w:hAnsi="David"/>
          <w:sz w:val="26"/>
          <w:szCs w:val="26"/>
          <w:rtl/>
        </w:rPr>
      </w:pPr>
      <w:r>
        <w:rPr>
          <w:rFonts w:ascii="David" w:hAnsi="David"/>
          <w:sz w:val="26"/>
          <w:szCs w:val="26"/>
          <w:rtl/>
        </w:rPr>
        <w:t xml:space="preserve">הצדדים לא הגיעו להסכמה עונשית. </w:t>
      </w:r>
    </w:p>
    <w:p w14:paraId="55BE5F60" w14:textId="77777777" w:rsidR="00127AC6" w:rsidRDefault="00127AC6" w:rsidP="00127AC6">
      <w:pPr>
        <w:spacing w:line="360" w:lineRule="auto"/>
        <w:jc w:val="both"/>
        <w:rPr>
          <w:rFonts w:ascii="David" w:hAnsi="David"/>
          <w:sz w:val="26"/>
          <w:szCs w:val="26"/>
          <w:rtl/>
        </w:rPr>
      </w:pPr>
      <w:r>
        <w:rPr>
          <w:rFonts w:ascii="David" w:hAnsi="David"/>
          <w:sz w:val="26"/>
          <w:szCs w:val="26"/>
          <w:rtl/>
        </w:rPr>
        <w:t xml:space="preserve">מחד, ב"כ המאשימה טענה להטלת מאסר בעבודות שירות בתחתית מתחם שבין 4 ל-12 חודשים. לדעת ב"כ המאשימה אין מדובר בנסיבות המצדיקות חריגה מן המתחם, ובוודאי שאינן מצדיקות ביטול הרשעה. </w:t>
      </w:r>
    </w:p>
    <w:p w14:paraId="035DCD0E" w14:textId="77777777" w:rsidR="00127AC6" w:rsidRDefault="00127AC6" w:rsidP="00127AC6">
      <w:pPr>
        <w:spacing w:line="360" w:lineRule="auto"/>
        <w:jc w:val="both"/>
        <w:rPr>
          <w:rFonts w:ascii="David" w:hAnsi="David"/>
          <w:sz w:val="26"/>
          <w:szCs w:val="26"/>
          <w:rtl/>
        </w:rPr>
      </w:pPr>
      <w:r>
        <w:rPr>
          <w:rFonts w:ascii="David" w:hAnsi="David"/>
          <w:sz w:val="26"/>
          <w:szCs w:val="26"/>
          <w:rtl/>
        </w:rPr>
        <w:t xml:space="preserve">מאידך, הסניגור טען כי ניתן להסתפק בעונש המומלץ ע"י שירות המבחן תוך שתיאר את נסיבותיה האישיות של הנאשמת והיפנה לפסיקה. </w:t>
      </w:r>
    </w:p>
    <w:p w14:paraId="40904A22" w14:textId="77777777" w:rsidR="00127AC6" w:rsidRDefault="00127AC6" w:rsidP="00127AC6">
      <w:pPr>
        <w:spacing w:line="360" w:lineRule="auto"/>
        <w:jc w:val="both"/>
        <w:rPr>
          <w:rFonts w:ascii="David" w:hAnsi="David"/>
          <w:sz w:val="26"/>
          <w:szCs w:val="26"/>
          <w:rtl/>
        </w:rPr>
      </w:pPr>
    </w:p>
    <w:p w14:paraId="7A78CF18" w14:textId="77777777" w:rsidR="00127AC6" w:rsidRDefault="00127AC6" w:rsidP="00127AC6">
      <w:pPr>
        <w:spacing w:line="360" w:lineRule="auto"/>
        <w:jc w:val="both"/>
        <w:rPr>
          <w:rFonts w:ascii="David" w:hAnsi="David"/>
          <w:b/>
          <w:bCs/>
          <w:sz w:val="26"/>
          <w:szCs w:val="26"/>
          <w:u w:val="single"/>
        </w:rPr>
      </w:pPr>
      <w:r>
        <w:rPr>
          <w:rFonts w:ascii="David" w:hAnsi="David"/>
          <w:b/>
          <w:bCs/>
          <w:sz w:val="26"/>
          <w:szCs w:val="26"/>
          <w:u w:val="single"/>
          <w:rtl/>
        </w:rPr>
        <w:t xml:space="preserve">קביעת מתחם הענישה </w:t>
      </w:r>
      <w:r>
        <w:rPr>
          <w:rFonts w:ascii="David" w:hAnsi="David"/>
          <w:sz w:val="26"/>
          <w:szCs w:val="26"/>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07ADB645" w14:textId="77777777" w:rsidR="00127AC6" w:rsidRDefault="00127AC6" w:rsidP="00127AC6">
      <w:pPr>
        <w:spacing w:line="360" w:lineRule="auto"/>
        <w:jc w:val="both"/>
        <w:rPr>
          <w:rFonts w:ascii="David" w:hAnsi="David"/>
          <w:b/>
          <w:bCs/>
          <w:sz w:val="26"/>
          <w:szCs w:val="26"/>
          <w:u w:val="single"/>
          <w:rtl/>
        </w:rPr>
      </w:pPr>
    </w:p>
    <w:p w14:paraId="2E3633EF" w14:textId="77777777" w:rsidR="00127AC6" w:rsidRDefault="00127AC6" w:rsidP="00127AC6">
      <w:pPr>
        <w:spacing w:line="360" w:lineRule="auto"/>
        <w:jc w:val="both"/>
        <w:rPr>
          <w:rFonts w:ascii="David" w:hAnsi="David"/>
          <w:sz w:val="26"/>
          <w:szCs w:val="26"/>
          <w:rtl/>
        </w:rPr>
      </w:pPr>
      <w:r>
        <w:rPr>
          <w:rFonts w:ascii="David" w:hAnsi="David"/>
          <w:b/>
          <w:bCs/>
          <w:sz w:val="26"/>
          <w:szCs w:val="26"/>
          <w:u w:val="single"/>
          <w:rtl/>
        </w:rPr>
        <w:t xml:space="preserve">אשר לערך המוגן </w:t>
      </w:r>
      <w:r>
        <w:rPr>
          <w:rFonts w:ascii="David" w:hAnsi="David"/>
          <w:sz w:val="26"/>
          <w:szCs w:val="26"/>
          <w:rtl/>
        </w:rPr>
        <w:t>– העבירות אותן עברה הנאשמת פוגעות בערך המוגן של בריאות הציבור וביטחונו. נגע הסמים הוא משמעותי ופוגע בכל שכבות החברה. סחר בסמים מעצים את הפגיעה בהפצת נגע הסמים לציבור נרחב. בעניינו, מידת הפגיעה בערכים המוגנים נמוכה.</w:t>
      </w:r>
    </w:p>
    <w:p w14:paraId="70731A82" w14:textId="77777777" w:rsidR="00127AC6" w:rsidRDefault="00127AC6" w:rsidP="00127AC6">
      <w:pPr>
        <w:spacing w:line="360" w:lineRule="auto"/>
        <w:jc w:val="both"/>
        <w:rPr>
          <w:rFonts w:ascii="David" w:hAnsi="David"/>
          <w:b/>
          <w:bCs/>
          <w:sz w:val="26"/>
          <w:szCs w:val="26"/>
          <w:u w:val="single"/>
          <w:rtl/>
        </w:rPr>
      </w:pPr>
    </w:p>
    <w:p w14:paraId="0ACCE065" w14:textId="77777777" w:rsidR="00127AC6" w:rsidRDefault="00127AC6" w:rsidP="00127AC6">
      <w:pPr>
        <w:spacing w:line="360" w:lineRule="auto"/>
        <w:jc w:val="both"/>
        <w:rPr>
          <w:rFonts w:ascii="David" w:hAnsi="David"/>
          <w:sz w:val="26"/>
          <w:szCs w:val="26"/>
          <w:rtl/>
        </w:rPr>
      </w:pPr>
      <w:r>
        <w:rPr>
          <w:rFonts w:ascii="David" w:hAnsi="David"/>
          <w:b/>
          <w:bCs/>
          <w:sz w:val="26"/>
          <w:szCs w:val="26"/>
          <w:u w:val="single"/>
          <w:rtl/>
        </w:rPr>
        <w:t xml:space="preserve">נסיבות הקשורות בביצוע העבירה, לפי </w:t>
      </w:r>
      <w:hyperlink r:id="rId16" w:history="1">
        <w:r w:rsidR="006724DF" w:rsidRPr="006724DF">
          <w:rPr>
            <w:rStyle w:val="Hyperlink"/>
            <w:rFonts w:ascii="David" w:hAnsi="David"/>
            <w:b/>
            <w:bCs/>
            <w:sz w:val="26"/>
            <w:szCs w:val="26"/>
            <w:rtl/>
          </w:rPr>
          <w:t>סעיף 40ט'</w:t>
        </w:r>
      </w:hyperlink>
      <w:r>
        <w:rPr>
          <w:rFonts w:ascii="David" w:hAnsi="David"/>
          <w:b/>
          <w:bCs/>
          <w:sz w:val="26"/>
          <w:szCs w:val="26"/>
          <w:u w:val="single"/>
          <w:rtl/>
        </w:rPr>
        <w:t xml:space="preserve"> ל</w:t>
      </w:r>
      <w:hyperlink r:id="rId17" w:history="1">
        <w:r w:rsidR="00E75EEC" w:rsidRPr="00E75EEC">
          <w:rPr>
            <w:rFonts w:ascii="David" w:hAnsi="David"/>
            <w:b/>
            <w:bCs/>
            <w:color w:val="0000FF"/>
            <w:sz w:val="26"/>
            <w:szCs w:val="26"/>
            <w:u w:val="single"/>
            <w:rtl/>
          </w:rPr>
          <w:t>חוק העונשין</w:t>
        </w:r>
      </w:hyperlink>
      <w:r>
        <w:rPr>
          <w:rFonts w:ascii="David" w:hAnsi="David"/>
          <w:b/>
          <w:bCs/>
          <w:sz w:val="26"/>
          <w:szCs w:val="26"/>
          <w:rtl/>
        </w:rPr>
        <w:t xml:space="preserve"> – </w:t>
      </w:r>
      <w:r>
        <w:rPr>
          <w:rFonts w:ascii="David" w:hAnsi="David"/>
          <w:sz w:val="26"/>
          <w:szCs w:val="26"/>
          <w:rtl/>
        </w:rPr>
        <w:t xml:space="preserve">בין הנסיבות הקשורות בביצוע העבירה יש לשקול את אלה, לעניין קביעת המתחם: מדובר בעבירה מתוכננת, תוך תיאום מוקדם. מנגד, אין מדובר בכמות גדולה של סם שאינו נחשב לסם קשה. הנזק הפוטנציאלי מעבירות סמים ידוע ורב. במקרה זה לא נגרם נזק היות שדובר בסוכן. הנאשמת צריכה היתה להימנע מהמעשים שבוצעו למען בצע כסף. אשר לאחריותה למעשים, היא אחראית למעשיה, אך יש לקחת בחשבון את גילה הצעיר בעת ביצוע העבירה (כבת 19) ואת נסיבותיה האישיות שיש בהן להשליך על נסיבות ביצוע העבירה. </w:t>
      </w:r>
    </w:p>
    <w:p w14:paraId="70C93D35" w14:textId="77777777" w:rsidR="00127AC6" w:rsidRDefault="00127AC6" w:rsidP="00127AC6">
      <w:pPr>
        <w:spacing w:line="360" w:lineRule="auto"/>
        <w:jc w:val="both"/>
        <w:rPr>
          <w:rFonts w:ascii="David" w:hAnsi="David"/>
          <w:b/>
          <w:bCs/>
          <w:sz w:val="26"/>
          <w:szCs w:val="26"/>
          <w:u w:val="single"/>
          <w:rtl/>
        </w:rPr>
      </w:pPr>
    </w:p>
    <w:p w14:paraId="733E1522" w14:textId="77777777" w:rsidR="00127AC6" w:rsidRDefault="00127AC6" w:rsidP="00127AC6">
      <w:pPr>
        <w:spacing w:line="360" w:lineRule="auto"/>
        <w:jc w:val="both"/>
        <w:rPr>
          <w:rFonts w:ascii="David" w:hAnsi="David"/>
          <w:sz w:val="26"/>
          <w:szCs w:val="26"/>
          <w:rtl/>
        </w:rPr>
      </w:pPr>
      <w:r>
        <w:rPr>
          <w:rFonts w:ascii="David" w:hAnsi="David"/>
          <w:b/>
          <w:bCs/>
          <w:sz w:val="26"/>
          <w:szCs w:val="26"/>
          <w:u w:val="single"/>
          <w:rtl/>
        </w:rPr>
        <w:t>מדיניות הענישה הנוהגת</w:t>
      </w:r>
      <w:r>
        <w:rPr>
          <w:rFonts w:ascii="David" w:hAnsi="David"/>
          <w:b/>
          <w:bCs/>
          <w:sz w:val="26"/>
          <w:szCs w:val="26"/>
          <w:rtl/>
        </w:rPr>
        <w:t xml:space="preserve"> – </w:t>
      </w:r>
      <w:r>
        <w:rPr>
          <w:rFonts w:ascii="David" w:hAnsi="David"/>
          <w:sz w:val="26"/>
          <w:szCs w:val="26"/>
          <w:rtl/>
        </w:rPr>
        <w:t>בית המשפט העליון הורה להחמיר בעונשים ביחס לעבירות סחר. עם זאת, כל מקרה לנסיבותיו, ואכן הפסיקה מלמדת על טווח ענישה רווח, החל ממאסר על-תנאי ושל"ץ ועד מאסר בפועל. בהקשר זה מפנה ל</w:t>
      </w:r>
      <w:hyperlink r:id="rId18" w:history="1">
        <w:r w:rsidR="00E75EEC" w:rsidRPr="00E75EEC">
          <w:rPr>
            <w:rFonts w:ascii="David" w:hAnsi="David"/>
            <w:color w:val="0000FF"/>
            <w:sz w:val="26"/>
            <w:szCs w:val="26"/>
            <w:u w:val="single"/>
            <w:rtl/>
          </w:rPr>
          <w:t>ת"פ (ק"ש) 14998-08-16</w:t>
        </w:r>
      </w:hyperlink>
      <w:r>
        <w:rPr>
          <w:rFonts w:ascii="David" w:hAnsi="David"/>
          <w:sz w:val="26"/>
          <w:szCs w:val="26"/>
          <w:rtl/>
        </w:rPr>
        <w:t xml:space="preserve"> </w:t>
      </w:r>
      <w:r>
        <w:rPr>
          <w:rFonts w:ascii="David" w:hAnsi="David"/>
          <w:b/>
          <w:bCs/>
          <w:sz w:val="26"/>
          <w:szCs w:val="26"/>
          <w:u w:val="single"/>
          <w:rtl/>
        </w:rPr>
        <w:t>מ"י</w:t>
      </w:r>
      <w:r>
        <w:rPr>
          <w:rFonts w:ascii="David" w:hAnsi="David"/>
          <w:sz w:val="26"/>
          <w:szCs w:val="26"/>
          <w:rtl/>
        </w:rPr>
        <w:t xml:space="preserve"> נ' </w:t>
      </w:r>
      <w:r>
        <w:rPr>
          <w:rFonts w:ascii="David" w:hAnsi="David"/>
          <w:b/>
          <w:bCs/>
          <w:sz w:val="26"/>
          <w:szCs w:val="26"/>
          <w:u w:val="single"/>
          <w:rtl/>
        </w:rPr>
        <w:t>כהן</w:t>
      </w:r>
      <w:r>
        <w:rPr>
          <w:rFonts w:ascii="David" w:hAnsi="David"/>
          <w:sz w:val="26"/>
          <w:szCs w:val="26"/>
          <w:rtl/>
        </w:rPr>
        <w:t xml:space="preserve"> (מיום 16.3.2017) (ראו פסקה 12) שם ניתח בית המשפט את הענישה הנוהגת בנסיבות חמורות ממקרנו.</w:t>
      </w:r>
    </w:p>
    <w:p w14:paraId="2FBDB55C" w14:textId="77777777" w:rsidR="00127AC6" w:rsidRDefault="00127AC6" w:rsidP="00127AC6">
      <w:pPr>
        <w:spacing w:line="360" w:lineRule="auto"/>
        <w:jc w:val="both"/>
        <w:rPr>
          <w:rFonts w:ascii="David" w:hAnsi="David"/>
          <w:sz w:val="26"/>
          <w:szCs w:val="26"/>
          <w:u w:val="single"/>
          <w:rtl/>
        </w:rPr>
      </w:pPr>
    </w:p>
    <w:p w14:paraId="1BE35594" w14:textId="77777777" w:rsidR="00127AC6" w:rsidRDefault="00127AC6" w:rsidP="00127AC6">
      <w:pPr>
        <w:spacing w:line="360" w:lineRule="auto"/>
        <w:jc w:val="both"/>
        <w:rPr>
          <w:rFonts w:ascii="David" w:hAnsi="David"/>
          <w:sz w:val="26"/>
          <w:szCs w:val="26"/>
          <w:rtl/>
        </w:rPr>
      </w:pPr>
      <w:r>
        <w:rPr>
          <w:rFonts w:ascii="David" w:hAnsi="David"/>
          <w:b/>
          <w:bCs/>
          <w:sz w:val="26"/>
          <w:szCs w:val="26"/>
          <w:u w:val="single"/>
          <w:rtl/>
        </w:rPr>
        <w:t>מתחם הענישה</w:t>
      </w:r>
      <w:r>
        <w:rPr>
          <w:rFonts w:ascii="David" w:hAnsi="David"/>
          <w:sz w:val="26"/>
          <w:szCs w:val="26"/>
          <w:rtl/>
        </w:rPr>
        <w:t xml:space="preserve"> – לפיכך, מתחם הענישה צריך לעמוד על מאסר על-תנאי ועד 6 חודשי מאסר וענישה נלווית.</w:t>
      </w:r>
    </w:p>
    <w:p w14:paraId="7B56C95B" w14:textId="77777777" w:rsidR="00127AC6" w:rsidRDefault="00127AC6" w:rsidP="00127AC6">
      <w:pPr>
        <w:spacing w:line="360" w:lineRule="auto"/>
        <w:jc w:val="both"/>
        <w:rPr>
          <w:rFonts w:ascii="David" w:hAnsi="David"/>
          <w:b/>
          <w:bCs/>
          <w:sz w:val="26"/>
          <w:szCs w:val="26"/>
          <w:rtl/>
        </w:rPr>
      </w:pPr>
    </w:p>
    <w:p w14:paraId="4B77A9E9" w14:textId="77777777" w:rsidR="00127AC6" w:rsidRDefault="00127AC6" w:rsidP="00127AC6">
      <w:pPr>
        <w:spacing w:line="360" w:lineRule="auto"/>
        <w:jc w:val="both"/>
        <w:rPr>
          <w:rFonts w:ascii="David" w:hAnsi="David"/>
          <w:sz w:val="26"/>
          <w:szCs w:val="26"/>
          <w:rtl/>
        </w:rPr>
      </w:pPr>
      <w:r>
        <w:rPr>
          <w:rFonts w:ascii="David" w:hAnsi="David"/>
          <w:b/>
          <w:bCs/>
          <w:sz w:val="26"/>
          <w:szCs w:val="26"/>
          <w:u w:val="single"/>
          <w:rtl/>
        </w:rPr>
        <w:t xml:space="preserve">נסיבות שאינן קשורות בביצוע העבירה לפי </w:t>
      </w:r>
      <w:hyperlink r:id="rId19" w:history="1">
        <w:r w:rsidR="006724DF" w:rsidRPr="006724DF">
          <w:rPr>
            <w:rStyle w:val="Hyperlink"/>
            <w:rFonts w:ascii="David" w:hAnsi="David"/>
            <w:b/>
            <w:bCs/>
            <w:sz w:val="26"/>
            <w:szCs w:val="26"/>
            <w:rtl/>
          </w:rPr>
          <w:t>סעיף 40י"א</w:t>
        </w:r>
      </w:hyperlink>
      <w:r>
        <w:rPr>
          <w:rFonts w:ascii="David" w:hAnsi="David"/>
          <w:b/>
          <w:bCs/>
          <w:sz w:val="26"/>
          <w:szCs w:val="26"/>
          <w:u w:val="single"/>
          <w:rtl/>
        </w:rPr>
        <w:t xml:space="preserve"> ל</w:t>
      </w:r>
      <w:hyperlink r:id="rId20" w:history="1">
        <w:r w:rsidR="00E75EEC" w:rsidRPr="00E75EEC">
          <w:rPr>
            <w:rFonts w:ascii="David" w:hAnsi="David"/>
            <w:b/>
            <w:bCs/>
            <w:color w:val="0000FF"/>
            <w:sz w:val="26"/>
            <w:szCs w:val="26"/>
            <w:u w:val="single"/>
            <w:rtl/>
          </w:rPr>
          <w:t>חוק העונשין</w:t>
        </w:r>
      </w:hyperlink>
      <w:r>
        <w:rPr>
          <w:rFonts w:ascii="David" w:hAnsi="David"/>
          <w:b/>
          <w:bCs/>
          <w:sz w:val="26"/>
          <w:szCs w:val="26"/>
          <w:rtl/>
        </w:rPr>
        <w:t xml:space="preserve"> – </w:t>
      </w:r>
      <w:r>
        <w:rPr>
          <w:rFonts w:ascii="David" w:hAnsi="David"/>
          <w:sz w:val="26"/>
          <w:szCs w:val="26"/>
          <w:rtl/>
        </w:rPr>
        <w:t xml:space="preserve">ניתן  לתת משקל לנסיבות הבאות שאינן קשורות בביצוע העבירה, במסגרת גזירת העונש בתוך המתחם: מדובר בנאשמת צעירה שחוותה בחייה חוויות שליליות שהותירו בה את חותמן ובמקרה זה בדמות של פוסט- טראומה ופגיעה נפשית; היא החלה להשתמש בסמים בעקבות חוויות אלו וכיום בעלת רישיון רפואי לשימוש בקנאביס; הנאשמת קיבלה אחריות למעשים ופועלת באופן אקטיבי להשתקם על מנת לפרנס בכבוד את עצמה ואת בתה התינוקת; מדובר בבחורה צעירה ללא עבר פלילי שחוותה אין ספור חווית קשות ומורכבות; קיים גם רכיב של חלוף זמן. העבירות בוצעו לפני ארבע שנים בעת היות הנאשמת כבת 19, ומאז לא נפתחו לנאשמת תיקים נוספים. בהתחשב בנסיבותיה של הנאשמת, סברתי ששליחתה של הנאשמת למאסר ולו בעבודות שירות, לא יעמוד בקנה אחד עם נסיבות המקרה, ואף לא עם עקרון ההלימה ועם תחושת הצדק בנסיבות העניין שלפניי. </w:t>
      </w:r>
    </w:p>
    <w:p w14:paraId="48BE213E" w14:textId="77777777" w:rsidR="00127AC6" w:rsidRDefault="00127AC6" w:rsidP="00127AC6">
      <w:pPr>
        <w:spacing w:line="360" w:lineRule="auto"/>
        <w:jc w:val="both"/>
        <w:rPr>
          <w:rFonts w:ascii="David" w:hAnsi="David"/>
          <w:sz w:val="26"/>
          <w:szCs w:val="26"/>
          <w:rtl/>
        </w:rPr>
      </w:pPr>
    </w:p>
    <w:p w14:paraId="410E19F2" w14:textId="77777777" w:rsidR="00127AC6" w:rsidRDefault="00127AC6" w:rsidP="00127AC6">
      <w:pPr>
        <w:spacing w:line="360" w:lineRule="auto"/>
        <w:jc w:val="both"/>
        <w:rPr>
          <w:rFonts w:ascii="David" w:hAnsi="David"/>
          <w:sz w:val="26"/>
          <w:szCs w:val="26"/>
          <w:rtl/>
        </w:rPr>
      </w:pPr>
      <w:r>
        <w:rPr>
          <w:rFonts w:ascii="David" w:hAnsi="David"/>
          <w:b/>
          <w:bCs/>
          <w:sz w:val="26"/>
          <w:szCs w:val="26"/>
          <w:u w:val="single"/>
          <w:rtl/>
        </w:rPr>
        <w:t>אשר לבקשה לביטול ההרשעה</w:t>
      </w:r>
      <w:r>
        <w:rPr>
          <w:rFonts w:ascii="David" w:hAnsi="David"/>
          <w:sz w:val="26"/>
          <w:szCs w:val="26"/>
          <w:rtl/>
        </w:rPr>
        <w:t xml:space="preserve"> – על המבקש זאת לעמוד בנטל כפול – להוכיח כי נסיבות העבירה מאפשרות ויתור על הרשעה וכי ייגרם למבקש נזק קונקרטי. בענייננו, מדובר בעבירת סחר בודדת בקנביס, בהיות הנאשמת בת 19 בלבד. מדובר בנסיבות קלות יחסית לסוג זה של עבירה, וכשלעצמן הן מאפשרות ביטול הרשעה. לטעמי, בשל הנסיבות המיוחדות של הנאשמת והיותה כה צעירה, תוך שהיא נדרשת להתמודד עם חזיתות כה רבות בחייה, הותרת הרשעתה בדין תגרום נזק ודאי לעתידה, נזק שניתן למנוע עם ביטול ההרשעה כפי שאני מורה. מפנה בהקשר זה ל</w:t>
      </w:r>
      <w:hyperlink r:id="rId21" w:history="1">
        <w:r w:rsidR="00E75EEC" w:rsidRPr="00E75EEC">
          <w:rPr>
            <w:rFonts w:ascii="David" w:hAnsi="David"/>
            <w:color w:val="0000FF"/>
            <w:sz w:val="26"/>
            <w:szCs w:val="26"/>
            <w:u w:val="single"/>
            <w:rtl/>
          </w:rPr>
          <w:t>ע"פ (י-ם) 33947-10-17</w:t>
        </w:r>
      </w:hyperlink>
      <w:r>
        <w:rPr>
          <w:rFonts w:ascii="David" w:hAnsi="David"/>
          <w:sz w:val="26"/>
          <w:szCs w:val="26"/>
          <w:rtl/>
        </w:rPr>
        <w:t xml:space="preserve"> </w:t>
      </w:r>
      <w:r>
        <w:rPr>
          <w:rFonts w:ascii="David" w:hAnsi="David"/>
          <w:b/>
          <w:bCs/>
          <w:sz w:val="26"/>
          <w:szCs w:val="26"/>
          <w:u w:val="single"/>
          <w:rtl/>
        </w:rPr>
        <w:t>מ"י</w:t>
      </w:r>
      <w:r>
        <w:rPr>
          <w:rFonts w:ascii="David" w:hAnsi="David"/>
          <w:sz w:val="26"/>
          <w:szCs w:val="26"/>
          <w:rtl/>
        </w:rPr>
        <w:t xml:space="preserve"> נ' </w:t>
      </w:r>
      <w:r>
        <w:rPr>
          <w:rFonts w:ascii="David" w:hAnsi="David"/>
          <w:b/>
          <w:bCs/>
          <w:sz w:val="26"/>
          <w:szCs w:val="26"/>
          <w:u w:val="single"/>
          <w:rtl/>
        </w:rPr>
        <w:t>קרוקוצקי</w:t>
      </w:r>
      <w:r>
        <w:rPr>
          <w:rFonts w:ascii="David" w:hAnsi="David"/>
          <w:sz w:val="26"/>
          <w:szCs w:val="26"/>
          <w:rtl/>
        </w:rPr>
        <w:t xml:space="preserve"> (מיום 20.3.2018) וכן ל</w:t>
      </w:r>
      <w:hyperlink r:id="rId22" w:history="1">
        <w:r w:rsidR="00E75EEC" w:rsidRPr="00E75EEC">
          <w:rPr>
            <w:rFonts w:ascii="David" w:hAnsi="David"/>
            <w:color w:val="0000FF"/>
            <w:sz w:val="26"/>
            <w:szCs w:val="26"/>
            <w:u w:val="single"/>
            <w:rtl/>
          </w:rPr>
          <w:t>רע"פ 2777/11</w:t>
        </w:r>
      </w:hyperlink>
      <w:r>
        <w:rPr>
          <w:rFonts w:ascii="David" w:hAnsi="David"/>
          <w:sz w:val="26"/>
          <w:szCs w:val="26"/>
          <w:rtl/>
        </w:rPr>
        <w:t xml:space="preserve"> </w:t>
      </w:r>
      <w:r>
        <w:rPr>
          <w:rFonts w:ascii="David" w:hAnsi="David"/>
          <w:b/>
          <w:bCs/>
          <w:sz w:val="26"/>
          <w:szCs w:val="26"/>
          <w:u w:val="single"/>
          <w:rtl/>
        </w:rPr>
        <w:t>פלונית</w:t>
      </w:r>
      <w:r>
        <w:rPr>
          <w:rFonts w:ascii="David" w:hAnsi="David"/>
          <w:sz w:val="26"/>
          <w:szCs w:val="26"/>
          <w:rtl/>
        </w:rPr>
        <w:t xml:space="preserve"> נ' </w:t>
      </w:r>
      <w:r>
        <w:rPr>
          <w:rFonts w:ascii="David" w:hAnsi="David"/>
          <w:b/>
          <w:bCs/>
          <w:sz w:val="26"/>
          <w:szCs w:val="26"/>
          <w:u w:val="single"/>
          <w:rtl/>
        </w:rPr>
        <w:t>מ"י</w:t>
      </w:r>
      <w:r>
        <w:rPr>
          <w:rFonts w:ascii="David" w:hAnsi="David"/>
          <w:sz w:val="26"/>
          <w:szCs w:val="26"/>
          <w:rtl/>
        </w:rPr>
        <w:t xml:space="preserve"> (מיום 16.10.2012).</w:t>
      </w:r>
    </w:p>
    <w:p w14:paraId="55062B42" w14:textId="77777777" w:rsidR="00127AC6" w:rsidRDefault="00127AC6" w:rsidP="00127AC6">
      <w:pPr>
        <w:spacing w:line="360" w:lineRule="auto"/>
        <w:jc w:val="both"/>
        <w:rPr>
          <w:rFonts w:ascii="David" w:hAnsi="David"/>
          <w:sz w:val="26"/>
          <w:szCs w:val="26"/>
          <w:rtl/>
        </w:rPr>
      </w:pPr>
    </w:p>
    <w:p w14:paraId="68B674B7" w14:textId="77777777" w:rsidR="00127AC6" w:rsidRDefault="00127AC6" w:rsidP="00127AC6">
      <w:pPr>
        <w:jc w:val="both"/>
        <w:rPr>
          <w:rFonts w:ascii="David" w:hAnsi="David"/>
          <w:sz w:val="26"/>
          <w:szCs w:val="26"/>
          <w:rtl/>
        </w:rPr>
      </w:pPr>
    </w:p>
    <w:p w14:paraId="3AA88658" w14:textId="77777777" w:rsidR="00127AC6" w:rsidRDefault="00127AC6" w:rsidP="00127AC6">
      <w:pPr>
        <w:spacing w:line="360" w:lineRule="auto"/>
        <w:jc w:val="both"/>
        <w:rPr>
          <w:rFonts w:ascii="David" w:hAnsi="David"/>
          <w:sz w:val="26"/>
          <w:szCs w:val="26"/>
          <w:rtl/>
        </w:rPr>
      </w:pPr>
      <w:r>
        <w:rPr>
          <w:rFonts w:ascii="David" w:hAnsi="David"/>
          <w:b/>
          <w:bCs/>
          <w:sz w:val="26"/>
          <w:szCs w:val="26"/>
          <w:u w:val="single"/>
          <w:rtl/>
        </w:rPr>
        <w:t>המיקום במתחם</w:t>
      </w:r>
      <w:r>
        <w:rPr>
          <w:rFonts w:ascii="David" w:hAnsi="David"/>
          <w:sz w:val="26"/>
          <w:szCs w:val="26"/>
          <w:rtl/>
        </w:rPr>
        <w:t xml:space="preserve"> – נוכח האמור, יש למקם את הנאשמת בתחתית המתחם. </w:t>
      </w:r>
    </w:p>
    <w:p w14:paraId="6E36AD17" w14:textId="77777777" w:rsidR="00127AC6" w:rsidRDefault="00127AC6" w:rsidP="00127AC6">
      <w:pPr>
        <w:spacing w:line="360" w:lineRule="auto"/>
        <w:jc w:val="both"/>
        <w:rPr>
          <w:rFonts w:ascii="David" w:hAnsi="David"/>
          <w:b/>
          <w:bCs/>
          <w:sz w:val="26"/>
          <w:szCs w:val="26"/>
          <w:u w:val="single"/>
          <w:rtl/>
        </w:rPr>
      </w:pPr>
    </w:p>
    <w:p w14:paraId="429B445D" w14:textId="77777777" w:rsidR="00127AC6" w:rsidRDefault="00127AC6" w:rsidP="00127AC6">
      <w:pPr>
        <w:spacing w:line="360" w:lineRule="auto"/>
        <w:jc w:val="both"/>
        <w:rPr>
          <w:rFonts w:ascii="David" w:hAnsi="David"/>
          <w:b/>
          <w:bCs/>
          <w:sz w:val="26"/>
          <w:szCs w:val="26"/>
          <w:u w:val="single"/>
          <w:rtl/>
        </w:rPr>
      </w:pPr>
      <w:r>
        <w:rPr>
          <w:rFonts w:ascii="David" w:hAnsi="David"/>
          <w:b/>
          <w:bCs/>
          <w:sz w:val="26"/>
          <w:szCs w:val="26"/>
          <w:u w:val="single"/>
          <w:rtl/>
        </w:rPr>
        <w:t>גזירת הדין</w:t>
      </w:r>
    </w:p>
    <w:p w14:paraId="599A8B1C" w14:textId="77777777" w:rsidR="00127AC6" w:rsidRDefault="00127AC6" w:rsidP="00127AC6">
      <w:pPr>
        <w:spacing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18D79D85" w14:textId="77777777" w:rsidR="00127AC6" w:rsidRDefault="00127AC6" w:rsidP="00127AC6">
      <w:pPr>
        <w:numPr>
          <w:ilvl w:val="0"/>
          <w:numId w:val="1"/>
        </w:numPr>
        <w:spacing w:after="160" w:line="360" w:lineRule="auto"/>
        <w:contextualSpacing/>
        <w:jc w:val="both"/>
        <w:rPr>
          <w:rFonts w:ascii="David" w:hAnsi="David"/>
          <w:sz w:val="26"/>
          <w:szCs w:val="26"/>
          <w:rtl/>
        </w:rPr>
      </w:pPr>
      <w:r>
        <w:rPr>
          <w:rFonts w:ascii="David" w:hAnsi="David"/>
          <w:sz w:val="26"/>
          <w:szCs w:val="26"/>
          <w:rtl/>
        </w:rPr>
        <w:t>60 שעות של"ץ. שירות המבחן יגיש תוכנית בתוך 60 יום. לטעמי יש בעונש של של"ץ היבט חינוכי, שעשוי להיות מועיל לנאשמת ולדימויה העצמי. אם לא יבוצע השל"ץ כראוי ניתן יהיה לגזור על הנאשמת כל עונש ולהרשיעה בדין;</w:t>
      </w:r>
    </w:p>
    <w:p w14:paraId="22C2C3D2" w14:textId="77777777" w:rsidR="00127AC6" w:rsidRDefault="00127AC6" w:rsidP="00127AC6">
      <w:pPr>
        <w:numPr>
          <w:ilvl w:val="0"/>
          <w:numId w:val="1"/>
        </w:numPr>
        <w:spacing w:after="160" w:line="360" w:lineRule="auto"/>
        <w:contextualSpacing/>
        <w:jc w:val="both"/>
        <w:rPr>
          <w:rFonts w:ascii="David" w:hAnsi="David"/>
          <w:sz w:val="26"/>
          <w:szCs w:val="26"/>
        </w:rPr>
      </w:pPr>
      <w:r>
        <w:rPr>
          <w:rFonts w:ascii="David" w:hAnsi="David"/>
          <w:sz w:val="26"/>
          <w:szCs w:val="26"/>
          <w:rtl/>
        </w:rPr>
        <w:t>מבחן למשך 12 חודשים מהיום. האזהרה לגבי השל"ץ רלבנטית גם לגבי צו המבחן שאם לא יבוצע כראוי, ניתן יהיה להפקעה;</w:t>
      </w:r>
    </w:p>
    <w:p w14:paraId="24DF143A" w14:textId="77777777" w:rsidR="00127AC6" w:rsidRDefault="00127AC6" w:rsidP="00127AC6">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 5,000 ₪ שלא לבצע בתוך שנה מהיום כל עבירת פשע לפי פקודת הסמים.</w:t>
      </w:r>
    </w:p>
    <w:p w14:paraId="1D17ACBF" w14:textId="77777777" w:rsidR="00127AC6" w:rsidRDefault="00127AC6" w:rsidP="00127AC6">
      <w:pPr>
        <w:spacing w:after="160" w:line="360" w:lineRule="auto"/>
        <w:contextualSpacing/>
        <w:jc w:val="both"/>
        <w:rPr>
          <w:rFonts w:ascii="David" w:hAnsi="David"/>
          <w:sz w:val="26"/>
          <w:szCs w:val="26"/>
        </w:rPr>
      </w:pPr>
      <w:r>
        <w:rPr>
          <w:rFonts w:ascii="David" w:hAnsi="David"/>
          <w:sz w:val="26"/>
          <w:szCs w:val="26"/>
          <w:rtl/>
        </w:rPr>
        <w:t>מורה על השמדת הסמים.</w:t>
      </w:r>
    </w:p>
    <w:p w14:paraId="304ACD4A" w14:textId="77777777" w:rsidR="00127AC6" w:rsidRDefault="00127AC6" w:rsidP="00127AC6">
      <w:pPr>
        <w:spacing w:after="160" w:line="360" w:lineRule="auto"/>
        <w:contextualSpacing/>
        <w:jc w:val="both"/>
        <w:rPr>
          <w:rFonts w:ascii="David" w:hAnsi="David"/>
          <w:sz w:val="26"/>
          <w:szCs w:val="26"/>
          <w:rtl/>
        </w:rPr>
      </w:pPr>
      <w:r>
        <w:rPr>
          <w:rFonts w:ascii="David" w:hAnsi="David"/>
          <w:sz w:val="26"/>
          <w:szCs w:val="26"/>
          <w:rtl/>
        </w:rPr>
        <w:t>יש לשלוח לשירות המבחן.</w:t>
      </w:r>
    </w:p>
    <w:p w14:paraId="40B268AC" w14:textId="77777777" w:rsidR="00127AC6" w:rsidRDefault="00127AC6" w:rsidP="00127AC6">
      <w:pPr>
        <w:spacing w:after="160" w:line="360" w:lineRule="auto"/>
        <w:contextualSpacing/>
        <w:jc w:val="both"/>
        <w:rPr>
          <w:rFonts w:ascii="David" w:hAnsi="David"/>
          <w:sz w:val="26"/>
          <w:szCs w:val="26"/>
          <w:rtl/>
        </w:rPr>
      </w:pPr>
      <w:r>
        <w:rPr>
          <w:rFonts w:ascii="David" w:hAnsi="David"/>
          <w:sz w:val="26"/>
          <w:szCs w:val="26"/>
          <w:rtl/>
        </w:rPr>
        <w:t>זכות ערעור כחוק.</w:t>
      </w:r>
    </w:p>
    <w:p w14:paraId="176671B1" w14:textId="77777777" w:rsidR="00127AC6" w:rsidRDefault="00127AC6" w:rsidP="00127AC6">
      <w:pPr>
        <w:jc w:val="both"/>
        <w:rPr>
          <w:rFonts w:ascii="David" w:hAnsi="David"/>
          <w:sz w:val="26"/>
          <w:szCs w:val="26"/>
          <w:rtl/>
        </w:rPr>
      </w:pPr>
    </w:p>
    <w:p w14:paraId="502459A8" w14:textId="77777777" w:rsidR="00127AC6" w:rsidRDefault="00127AC6" w:rsidP="00127AC6">
      <w:pPr>
        <w:jc w:val="both"/>
        <w:rPr>
          <w:rFonts w:ascii="David" w:hAnsi="David"/>
          <w:sz w:val="26"/>
          <w:szCs w:val="26"/>
          <w:rtl/>
        </w:rPr>
      </w:pPr>
      <w:r>
        <w:rPr>
          <w:rFonts w:ascii="David" w:hAnsi="David"/>
          <w:sz w:val="26"/>
          <w:szCs w:val="26"/>
          <w:rtl/>
        </w:rPr>
        <w:t>זכות ערעור כחוק לבית המשפט המחוזי בירושלים בתוך 45 יום מהיום.</w:t>
      </w:r>
    </w:p>
    <w:p w14:paraId="1D907161" w14:textId="77777777" w:rsidR="00127AC6" w:rsidRPr="00E75EEC" w:rsidRDefault="00E75EEC" w:rsidP="00127AC6">
      <w:pPr>
        <w:rPr>
          <w:rFonts w:ascii="Arial" w:hAnsi="Arial"/>
          <w:b/>
          <w:bCs/>
          <w:color w:val="FFFFFF"/>
          <w:sz w:val="2"/>
          <w:szCs w:val="2"/>
          <w:rtl/>
        </w:rPr>
      </w:pPr>
      <w:r w:rsidRPr="00E75EEC">
        <w:rPr>
          <w:rFonts w:ascii="Arial" w:hAnsi="Arial"/>
          <w:b/>
          <w:bCs/>
          <w:color w:val="FFFFFF"/>
          <w:sz w:val="2"/>
          <w:szCs w:val="2"/>
          <w:rtl/>
        </w:rPr>
        <w:t>5129371</w:t>
      </w:r>
    </w:p>
    <w:p w14:paraId="495A4691" w14:textId="77777777" w:rsidR="00127AC6" w:rsidRPr="00E75EEC" w:rsidRDefault="00E75EEC" w:rsidP="00127AC6">
      <w:pPr>
        <w:rPr>
          <w:rFonts w:ascii="Arial" w:hAnsi="Arial"/>
          <w:b/>
          <w:bCs/>
          <w:color w:val="FFFFFF"/>
          <w:sz w:val="2"/>
          <w:szCs w:val="2"/>
          <w:rtl/>
        </w:rPr>
      </w:pPr>
      <w:r w:rsidRPr="00E75EEC">
        <w:rPr>
          <w:rFonts w:ascii="Arial" w:hAnsi="Arial"/>
          <w:b/>
          <w:bCs/>
          <w:color w:val="FFFFFF"/>
          <w:sz w:val="2"/>
          <w:szCs w:val="2"/>
          <w:rtl/>
        </w:rPr>
        <w:t>54678313</w:t>
      </w:r>
    </w:p>
    <w:p w14:paraId="27520896" w14:textId="77777777" w:rsidR="00127AC6" w:rsidRPr="000F2247" w:rsidRDefault="00127AC6" w:rsidP="00127AC6">
      <w:pPr>
        <w:rPr>
          <w:rFonts w:ascii="Arial" w:hAnsi="Arial"/>
          <w:b/>
          <w:bCs/>
          <w:sz w:val="26"/>
          <w:szCs w:val="26"/>
          <w:rtl/>
        </w:rPr>
      </w:pPr>
    </w:p>
    <w:p w14:paraId="11202927" w14:textId="77777777" w:rsidR="00127AC6" w:rsidRPr="000F2247" w:rsidRDefault="00E75EEC" w:rsidP="00127AC6">
      <w:pPr>
        <w:rPr>
          <w:rFonts w:ascii="Arial" w:hAnsi="Arial"/>
          <w:b/>
          <w:bCs/>
          <w:sz w:val="26"/>
          <w:szCs w:val="26"/>
          <w:rtl/>
        </w:rPr>
      </w:pPr>
      <w:bookmarkStart w:id="8" w:name="Nitan"/>
      <w:r>
        <w:rPr>
          <w:rFonts w:ascii="Arial" w:hAnsi="Arial"/>
          <w:b/>
          <w:bCs/>
          <w:sz w:val="26"/>
          <w:szCs w:val="26"/>
          <w:rtl/>
        </w:rPr>
        <w:t xml:space="preserve">ניתן היום,  כ"ג סיוון תשפ"ב, 22 יוני 2022, במעמד הצדדים. </w:t>
      </w:r>
      <w:bookmarkEnd w:id="8"/>
    </w:p>
    <w:p w14:paraId="19D77BA9" w14:textId="77777777" w:rsidR="00127AC6" w:rsidRPr="000F2247" w:rsidRDefault="00127AC6" w:rsidP="00E75EE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AAFC899" w14:textId="77777777" w:rsidR="00127AC6" w:rsidRPr="006724DF" w:rsidRDefault="006724DF" w:rsidP="00127AC6">
      <w:pPr>
        <w:jc w:val="center"/>
        <w:rPr>
          <w:rFonts w:ascii="Arial" w:hAnsi="Arial"/>
          <w:b/>
          <w:bCs/>
          <w:color w:val="FFFFFF"/>
          <w:sz w:val="2"/>
          <w:szCs w:val="2"/>
          <w:rtl/>
        </w:rPr>
      </w:pPr>
      <w:r w:rsidRPr="006724DF">
        <w:rPr>
          <w:rFonts w:ascii="Arial" w:hAnsi="Arial"/>
          <w:b/>
          <w:bCs/>
          <w:color w:val="FFFFFF"/>
          <w:sz w:val="2"/>
          <w:szCs w:val="2"/>
          <w:rtl/>
        </w:rPr>
        <w:t>5129371</w:t>
      </w:r>
    </w:p>
    <w:p w14:paraId="44AF9D5A" w14:textId="77777777" w:rsidR="00B71A20" w:rsidRPr="006724DF" w:rsidRDefault="006724DF" w:rsidP="00E75EEC">
      <w:pPr>
        <w:keepNext/>
        <w:rPr>
          <w:rFonts w:ascii="David" w:hAnsi="David"/>
          <w:color w:val="FFFFFF"/>
          <w:sz w:val="2"/>
          <w:szCs w:val="2"/>
          <w:rtl/>
        </w:rPr>
      </w:pPr>
      <w:r w:rsidRPr="006724DF">
        <w:rPr>
          <w:rFonts w:ascii="David" w:hAnsi="David"/>
          <w:color w:val="FFFFFF"/>
          <w:sz w:val="2"/>
          <w:szCs w:val="2"/>
          <w:rtl/>
        </w:rPr>
        <w:t>54678313</w:t>
      </w:r>
    </w:p>
    <w:p w14:paraId="203464A2" w14:textId="77777777" w:rsidR="00E75EEC" w:rsidRDefault="00E75EEC" w:rsidP="00E75EEC">
      <w:pPr>
        <w:rPr>
          <w:rtl/>
        </w:rPr>
      </w:pPr>
    </w:p>
    <w:p w14:paraId="150553A6" w14:textId="77777777" w:rsidR="00E75EEC" w:rsidRDefault="00E75EEC" w:rsidP="00E75EEC">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0866D502" w14:textId="77777777" w:rsidR="006724DF" w:rsidRPr="006724DF" w:rsidRDefault="006724DF" w:rsidP="006724DF">
      <w:pPr>
        <w:keepNext/>
        <w:rPr>
          <w:rFonts w:ascii="David" w:hAnsi="David"/>
          <w:color w:val="000000"/>
          <w:sz w:val="22"/>
          <w:szCs w:val="22"/>
          <w:rtl/>
        </w:rPr>
      </w:pPr>
    </w:p>
    <w:p w14:paraId="6C066F10" w14:textId="77777777" w:rsidR="006724DF" w:rsidRPr="006724DF" w:rsidRDefault="006724DF" w:rsidP="006724DF">
      <w:pPr>
        <w:keepNext/>
        <w:rPr>
          <w:rFonts w:ascii="David" w:hAnsi="David"/>
          <w:color w:val="000000"/>
          <w:sz w:val="22"/>
          <w:szCs w:val="22"/>
          <w:rtl/>
        </w:rPr>
      </w:pPr>
      <w:r w:rsidRPr="006724DF">
        <w:rPr>
          <w:rFonts w:ascii="David" w:hAnsi="David"/>
          <w:color w:val="000000"/>
          <w:sz w:val="22"/>
          <w:szCs w:val="22"/>
          <w:rtl/>
        </w:rPr>
        <w:t>דוד שאול גבאי ריכטר 54678313-/</w:t>
      </w:r>
    </w:p>
    <w:p w14:paraId="4DDFA1A3" w14:textId="77777777" w:rsidR="00E75EEC" w:rsidRPr="00E75EEC" w:rsidRDefault="006724DF" w:rsidP="006724DF">
      <w:pPr>
        <w:rPr>
          <w:color w:val="0000FF"/>
          <w:u w:val="single"/>
        </w:rPr>
      </w:pPr>
      <w:r w:rsidRPr="006724DF">
        <w:rPr>
          <w:color w:val="000000"/>
          <w:u w:val="single"/>
          <w:rtl/>
        </w:rPr>
        <w:t>נוסח מסמך זה כפוף לשינויי ניסוח ועריכה</w:t>
      </w:r>
    </w:p>
    <w:sectPr w:rsidR="00E75EEC" w:rsidRPr="00E75EEC" w:rsidSect="006724DF">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F6C5B" w14:textId="77777777" w:rsidR="000B4744" w:rsidRDefault="000B4744" w:rsidP="000C0CF2">
      <w:r>
        <w:separator/>
      </w:r>
    </w:p>
  </w:endnote>
  <w:endnote w:type="continuationSeparator" w:id="0">
    <w:p w14:paraId="14151BF2" w14:textId="77777777" w:rsidR="000B4744" w:rsidRDefault="000B4744" w:rsidP="000C0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DA730" w14:textId="77777777" w:rsidR="006724DF" w:rsidRDefault="006724DF" w:rsidP="006724D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E9394DB" w14:textId="77777777" w:rsidR="0003622E" w:rsidRPr="006724DF" w:rsidRDefault="006724DF" w:rsidP="006724DF">
    <w:pPr>
      <w:pStyle w:val="a5"/>
      <w:pBdr>
        <w:top w:val="single" w:sz="4" w:space="1" w:color="auto"/>
        <w:between w:val="single" w:sz="4" w:space="0" w:color="auto"/>
      </w:pBdr>
      <w:spacing w:after="60"/>
      <w:jc w:val="center"/>
      <w:rPr>
        <w:rFonts w:ascii="FrankRuehl" w:hAnsi="FrankRuehl" w:cs="FrankRuehl"/>
        <w:color w:val="000000"/>
      </w:rPr>
    </w:pPr>
    <w:r w:rsidRPr="006724D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D9A62" w14:textId="77777777" w:rsidR="006724DF" w:rsidRDefault="006724DF" w:rsidP="006724D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871B7">
      <w:rPr>
        <w:rFonts w:ascii="FrankRuehl" w:hAnsi="FrankRuehl" w:cs="FrankRuehl"/>
        <w:noProof/>
        <w:rtl/>
      </w:rPr>
      <w:t>1</w:t>
    </w:r>
    <w:r>
      <w:rPr>
        <w:rFonts w:ascii="FrankRuehl" w:hAnsi="FrankRuehl" w:cs="FrankRuehl"/>
        <w:rtl/>
      </w:rPr>
      <w:fldChar w:fldCharType="end"/>
    </w:r>
  </w:p>
  <w:p w14:paraId="6708888D" w14:textId="77777777" w:rsidR="0003622E" w:rsidRPr="006724DF" w:rsidRDefault="006724DF" w:rsidP="006724DF">
    <w:pPr>
      <w:pStyle w:val="a5"/>
      <w:pBdr>
        <w:top w:val="single" w:sz="4" w:space="1" w:color="auto"/>
        <w:between w:val="single" w:sz="4" w:space="0" w:color="auto"/>
      </w:pBdr>
      <w:spacing w:after="60"/>
      <w:jc w:val="center"/>
      <w:rPr>
        <w:rFonts w:ascii="FrankRuehl" w:hAnsi="FrankRuehl" w:cs="FrankRuehl"/>
        <w:color w:val="000000"/>
      </w:rPr>
    </w:pPr>
    <w:r w:rsidRPr="006724DF">
      <w:rPr>
        <w:rFonts w:ascii="FrankRuehl" w:hAnsi="FrankRuehl" w:cs="FrankRuehl"/>
        <w:color w:val="000000"/>
      </w:rPr>
      <w:pict w14:anchorId="4515C0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296FF" w14:textId="77777777" w:rsidR="000B4744" w:rsidRDefault="000B4744" w:rsidP="000C0CF2">
      <w:r>
        <w:separator/>
      </w:r>
    </w:p>
  </w:footnote>
  <w:footnote w:type="continuationSeparator" w:id="0">
    <w:p w14:paraId="2930CC0B" w14:textId="77777777" w:rsidR="000B4744" w:rsidRDefault="000B4744" w:rsidP="000C0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C4C09" w14:textId="77777777" w:rsidR="00E75EEC" w:rsidRPr="006724DF" w:rsidRDefault="006724DF" w:rsidP="006724D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31234-07-19</w:t>
    </w:r>
    <w:r>
      <w:rPr>
        <w:rFonts w:ascii="David" w:hAnsi="David"/>
        <w:color w:val="000000"/>
        <w:sz w:val="22"/>
        <w:szCs w:val="22"/>
        <w:rtl/>
      </w:rPr>
      <w:tab/>
      <w:t xml:space="preserve"> מדינת ישראל נ' ליזה לנדה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56269" w14:textId="77777777" w:rsidR="00E75EEC" w:rsidRPr="006724DF" w:rsidRDefault="006724DF" w:rsidP="006724D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31234-07-19</w:t>
    </w:r>
    <w:r>
      <w:rPr>
        <w:rFonts w:ascii="David" w:hAnsi="David"/>
        <w:color w:val="000000"/>
        <w:sz w:val="22"/>
        <w:szCs w:val="22"/>
        <w:rtl/>
      </w:rPr>
      <w:tab/>
      <w:t xml:space="preserve"> מדינת ישראל נ' ליזה לנדה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340897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27AC6"/>
    <w:rsid w:val="0003622E"/>
    <w:rsid w:val="000B4744"/>
    <w:rsid w:val="000C0CF2"/>
    <w:rsid w:val="00127AC6"/>
    <w:rsid w:val="001B5A3B"/>
    <w:rsid w:val="003871B7"/>
    <w:rsid w:val="004014D0"/>
    <w:rsid w:val="0048083F"/>
    <w:rsid w:val="004D1879"/>
    <w:rsid w:val="006724DF"/>
    <w:rsid w:val="00A45F13"/>
    <w:rsid w:val="00AB0200"/>
    <w:rsid w:val="00B707FD"/>
    <w:rsid w:val="00B71A20"/>
    <w:rsid w:val="00E75EEC"/>
    <w:rsid w:val="00EF5B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92F540"/>
  <w15:chartTrackingRefBased/>
  <w15:docId w15:val="{875B7321-1BF9-4461-AB36-F2F6E4522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7AC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27AC6"/>
    <w:pPr>
      <w:tabs>
        <w:tab w:val="center" w:pos="4153"/>
        <w:tab w:val="right" w:pos="8306"/>
      </w:tabs>
    </w:pPr>
  </w:style>
  <w:style w:type="character" w:customStyle="1" w:styleId="a4">
    <w:name w:val="כותרת עליונה תו"/>
    <w:link w:val="a3"/>
    <w:rsid w:val="00127AC6"/>
    <w:rPr>
      <w:rFonts w:ascii="Times New Roman" w:eastAsia="Times New Roman" w:hAnsi="Times New Roman" w:cs="David"/>
      <w:sz w:val="24"/>
      <w:szCs w:val="24"/>
    </w:rPr>
  </w:style>
  <w:style w:type="paragraph" w:styleId="a5">
    <w:name w:val="footer"/>
    <w:basedOn w:val="a"/>
    <w:link w:val="a6"/>
    <w:rsid w:val="00127AC6"/>
    <w:pPr>
      <w:tabs>
        <w:tab w:val="center" w:pos="4153"/>
        <w:tab w:val="right" w:pos="8306"/>
      </w:tabs>
    </w:pPr>
  </w:style>
  <w:style w:type="character" w:customStyle="1" w:styleId="a6">
    <w:name w:val="כותרת תחתונה תו"/>
    <w:link w:val="a5"/>
    <w:rsid w:val="00127AC6"/>
    <w:rPr>
      <w:rFonts w:ascii="Times New Roman" w:eastAsia="Times New Roman" w:hAnsi="Times New Roman" w:cs="David"/>
      <w:sz w:val="24"/>
      <w:szCs w:val="24"/>
    </w:rPr>
  </w:style>
  <w:style w:type="table" w:styleId="a7">
    <w:name w:val="Table Grid"/>
    <w:basedOn w:val="a1"/>
    <w:rsid w:val="00127AC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27AC6"/>
  </w:style>
  <w:style w:type="character" w:styleId="Hyperlink">
    <w:name w:val="Hyperlink"/>
    <w:rsid w:val="00E75E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13" TargetMode="External"/><Relationship Id="rId18" Type="http://schemas.openxmlformats.org/officeDocument/2006/relationships/hyperlink" Target="http://www.nevo.co.il/case/21914524"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23158178"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law/7030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6244482"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1152</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6899</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3407994</vt:i4>
      </vt:variant>
      <vt:variant>
        <vt:i4>45</vt:i4>
      </vt:variant>
      <vt:variant>
        <vt:i4>0</vt:i4>
      </vt:variant>
      <vt:variant>
        <vt:i4>5</vt:i4>
      </vt:variant>
      <vt:variant>
        <vt:lpwstr>http://www.nevo.co.il/case/6244482</vt:lpwstr>
      </vt:variant>
      <vt:variant>
        <vt:lpwstr/>
      </vt:variant>
      <vt:variant>
        <vt:i4>3932275</vt:i4>
      </vt:variant>
      <vt:variant>
        <vt:i4>42</vt:i4>
      </vt:variant>
      <vt:variant>
        <vt:i4>0</vt:i4>
      </vt:variant>
      <vt:variant>
        <vt:i4>5</vt:i4>
      </vt:variant>
      <vt:variant>
        <vt:lpwstr>http://www.nevo.co.il/case/23158178</vt:lpwstr>
      </vt:variant>
      <vt:variant>
        <vt:lpwstr/>
      </vt:variant>
      <vt:variant>
        <vt:i4>7995492</vt:i4>
      </vt:variant>
      <vt:variant>
        <vt:i4>39</vt:i4>
      </vt:variant>
      <vt:variant>
        <vt:i4>0</vt:i4>
      </vt:variant>
      <vt:variant>
        <vt:i4>5</vt:i4>
      </vt:variant>
      <vt:variant>
        <vt:lpwstr>http://www.nevo.co.il/law/70301</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3997809</vt:i4>
      </vt:variant>
      <vt:variant>
        <vt:i4>33</vt:i4>
      </vt:variant>
      <vt:variant>
        <vt:i4>0</vt:i4>
      </vt:variant>
      <vt:variant>
        <vt:i4>5</vt:i4>
      </vt:variant>
      <vt:variant>
        <vt:lpwstr>http://www.nevo.co.il/case/21914524</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2025-04-23T00:14:00Z</dcterms:created>
  <dcterms:modified xsi:type="dcterms:W3CDTF">2025-04-23T00:14:00Z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31234</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ליזה לנדה</vt:lpwstr>
  </property>
  <property fmtid="{D5CDD505-2E9C-101B-9397-08002B2CF9AE}" pid="10" name="LAWYER">
    <vt:lpwstr>פורר</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20220622</vt:lpwstr>
  </property>
  <property fmtid="{D5CDD505-2E9C-101B-9397-08002B2CF9AE}" pid="14" name="TYPE_N_DATE">
    <vt:lpwstr>38020220622</vt:lpwstr>
  </property>
  <property fmtid="{D5CDD505-2E9C-101B-9397-08002B2CF9AE}" pid="15" name="WORDNUMPAGES">
    <vt:lpwstr>4</vt:lpwstr>
  </property>
  <property fmtid="{D5CDD505-2E9C-101B-9397-08002B2CF9AE}" pid="16" name="TYPE_ABS_DATE">
    <vt:lpwstr>380020220622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21914524;23158178;6244482</vt:lpwstr>
  </property>
  <property fmtid="{D5CDD505-2E9C-101B-9397-08002B2CF9AE}" pid="36" name="LAWLISTTMP1">
    <vt:lpwstr>4216/013;019a</vt:lpwstr>
  </property>
  <property fmtid="{D5CDD505-2E9C-101B-9397-08002B2CF9AE}" pid="37" name="LAWLISTTMP2">
    <vt:lpwstr>70301/040i;40ja</vt:lpwstr>
  </property>
</Properties>
</file>