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143AC" w:rsidRPr="00503DE9" w14:paraId="57282AC1" w14:textId="77777777" w:rsidTr="00B45F31">
        <w:trPr>
          <w:trHeight w:hRule="exact" w:val="418"/>
          <w:jc w:val="center"/>
        </w:trPr>
        <w:tc>
          <w:tcPr>
            <w:tcW w:w="8721" w:type="dxa"/>
            <w:gridSpan w:val="2"/>
          </w:tcPr>
          <w:p w14:paraId="085F9D74" w14:textId="77777777" w:rsidR="00D143AC" w:rsidRPr="00503DE9" w:rsidRDefault="00D143AC" w:rsidP="001A5520">
            <w:pPr>
              <w:pStyle w:val="a3"/>
              <w:jc w:val="center"/>
              <w:rPr>
                <w:rFonts w:ascii="Tahoma" w:hAnsi="Tahoma" w:cs="Tahoma"/>
                <w:color w:val="000080"/>
                <w:rtl/>
              </w:rPr>
            </w:pPr>
            <w:r w:rsidRPr="00503DE9">
              <w:rPr>
                <w:rFonts w:ascii="Tahoma" w:hAnsi="Tahoma" w:cs="Tahoma"/>
                <w:b/>
                <w:bCs/>
                <w:color w:val="000080"/>
                <w:rtl/>
              </w:rPr>
              <w:t>בית משפט השלום בקריות</w:t>
            </w:r>
          </w:p>
        </w:tc>
      </w:tr>
      <w:tr w:rsidR="00D143AC" w:rsidRPr="00522BFA" w14:paraId="10EF2978" w14:textId="77777777" w:rsidTr="00B45F31">
        <w:trPr>
          <w:trHeight w:val="337"/>
          <w:jc w:val="center"/>
        </w:trPr>
        <w:tc>
          <w:tcPr>
            <w:tcW w:w="5054" w:type="dxa"/>
          </w:tcPr>
          <w:p w14:paraId="3AFD101F" w14:textId="77777777" w:rsidR="00D143AC" w:rsidRPr="00522BFA" w:rsidRDefault="00D143AC" w:rsidP="001A5520">
            <w:pPr>
              <w:rPr>
                <w:rFonts w:ascii="David" w:hAnsi="David"/>
                <w:b/>
                <w:bCs/>
                <w:sz w:val="26"/>
                <w:szCs w:val="26"/>
                <w:rtl/>
              </w:rPr>
            </w:pPr>
            <w:r w:rsidRPr="00522BFA">
              <w:rPr>
                <w:rFonts w:ascii="David" w:hAnsi="David"/>
                <w:b/>
                <w:bCs/>
                <w:sz w:val="26"/>
                <w:szCs w:val="26"/>
                <w:rtl/>
              </w:rPr>
              <w:t>ת"פ 47396-07-19 מדינת ישראל נ' חג'ג'</w:t>
            </w:r>
          </w:p>
          <w:p w14:paraId="19603F38" w14:textId="77777777" w:rsidR="00D143AC" w:rsidRPr="00522BFA" w:rsidRDefault="00D143AC" w:rsidP="001A5520">
            <w:pPr>
              <w:pStyle w:val="a3"/>
              <w:rPr>
                <w:rFonts w:ascii="David" w:hAnsi="David"/>
                <w:b/>
                <w:bCs/>
                <w:sz w:val="26"/>
                <w:szCs w:val="26"/>
                <w:rtl/>
              </w:rPr>
            </w:pPr>
          </w:p>
        </w:tc>
        <w:tc>
          <w:tcPr>
            <w:tcW w:w="3667" w:type="dxa"/>
          </w:tcPr>
          <w:p w14:paraId="1C660589" w14:textId="77777777" w:rsidR="00D143AC" w:rsidRPr="00522BFA" w:rsidRDefault="00D143AC" w:rsidP="001A5520">
            <w:pPr>
              <w:pStyle w:val="a3"/>
              <w:jc w:val="right"/>
              <w:rPr>
                <w:rFonts w:ascii="David" w:hAnsi="David"/>
                <w:b/>
                <w:bCs/>
                <w:sz w:val="26"/>
                <w:szCs w:val="26"/>
                <w:rtl/>
              </w:rPr>
            </w:pPr>
          </w:p>
        </w:tc>
      </w:tr>
    </w:tbl>
    <w:p w14:paraId="4216AC1F" w14:textId="77777777" w:rsidR="00D143AC" w:rsidRPr="00522BFA" w:rsidRDefault="00D143AC" w:rsidP="00D143AC">
      <w:pPr>
        <w:pStyle w:val="a3"/>
        <w:rPr>
          <w:rFonts w:ascii="David" w:hAnsi="David"/>
          <w:b/>
          <w:bCs/>
          <w:sz w:val="26"/>
          <w:szCs w:val="26"/>
          <w:rtl/>
        </w:rPr>
      </w:pPr>
      <w:r w:rsidRPr="00522BFA">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43AC" w:rsidRPr="00522BFA" w14:paraId="49D2C130" w14:textId="77777777" w:rsidTr="00D143AC">
        <w:trPr>
          <w:trHeight w:val="295"/>
          <w:jc w:val="center"/>
        </w:trPr>
        <w:tc>
          <w:tcPr>
            <w:tcW w:w="923" w:type="dxa"/>
            <w:tcBorders>
              <w:top w:val="nil"/>
              <w:left w:val="nil"/>
              <w:bottom w:val="nil"/>
              <w:right w:val="nil"/>
            </w:tcBorders>
            <w:shd w:val="clear" w:color="auto" w:fill="auto"/>
          </w:tcPr>
          <w:p w14:paraId="7AD5FEB2" w14:textId="77777777" w:rsidR="00D143AC" w:rsidRPr="00522BFA" w:rsidRDefault="00D143AC" w:rsidP="001044E1">
            <w:pPr>
              <w:spacing w:before="120" w:after="120" w:line="240" w:lineRule="exact"/>
              <w:jc w:val="both"/>
              <w:rPr>
                <w:rFonts w:ascii="David" w:hAnsi="David"/>
                <w:b/>
                <w:bCs/>
                <w:sz w:val="26"/>
                <w:szCs w:val="26"/>
              </w:rPr>
            </w:pPr>
            <w:r w:rsidRPr="00522BF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E98DFE8" w14:textId="77777777" w:rsidR="00D143AC" w:rsidRPr="00522BFA" w:rsidRDefault="00D143AC" w:rsidP="001044E1">
            <w:pPr>
              <w:spacing w:before="120" w:after="120" w:line="240" w:lineRule="exact"/>
              <w:rPr>
                <w:rFonts w:ascii="David" w:hAnsi="David"/>
                <w:b/>
                <w:bCs/>
                <w:sz w:val="26"/>
                <w:szCs w:val="26"/>
              </w:rPr>
            </w:pPr>
            <w:r w:rsidRPr="00522BFA">
              <w:rPr>
                <w:rFonts w:ascii="David" w:hAnsi="David"/>
                <w:b/>
                <w:bCs/>
                <w:sz w:val="26"/>
                <w:szCs w:val="26"/>
                <w:rtl/>
              </w:rPr>
              <w:t>כב' השופט יוסי טורס , סגן הנשיאה</w:t>
            </w:r>
          </w:p>
        </w:tc>
      </w:tr>
      <w:tr w:rsidR="00D143AC" w:rsidRPr="00522BFA" w14:paraId="57B1B437" w14:textId="77777777" w:rsidTr="00D143AC">
        <w:trPr>
          <w:trHeight w:val="355"/>
          <w:jc w:val="center"/>
        </w:trPr>
        <w:tc>
          <w:tcPr>
            <w:tcW w:w="923" w:type="dxa"/>
            <w:tcBorders>
              <w:top w:val="nil"/>
              <w:left w:val="nil"/>
              <w:bottom w:val="nil"/>
              <w:right w:val="nil"/>
            </w:tcBorders>
            <w:shd w:val="clear" w:color="auto" w:fill="auto"/>
          </w:tcPr>
          <w:p w14:paraId="354A3CA8" w14:textId="77777777" w:rsidR="00D143AC" w:rsidRPr="00522BFA" w:rsidRDefault="00D143AC" w:rsidP="001044E1">
            <w:pPr>
              <w:spacing w:before="120" w:after="120" w:line="240" w:lineRule="exact"/>
              <w:jc w:val="both"/>
              <w:rPr>
                <w:rFonts w:ascii="David" w:hAnsi="David"/>
                <w:b/>
                <w:bCs/>
                <w:sz w:val="26"/>
                <w:szCs w:val="26"/>
              </w:rPr>
            </w:pPr>
            <w:bookmarkStart w:id="0" w:name="LastJudge"/>
            <w:bookmarkEnd w:id="0"/>
          </w:p>
        </w:tc>
        <w:tc>
          <w:tcPr>
            <w:tcW w:w="4126" w:type="dxa"/>
            <w:tcBorders>
              <w:top w:val="nil"/>
              <w:left w:val="nil"/>
              <w:bottom w:val="nil"/>
              <w:right w:val="nil"/>
            </w:tcBorders>
            <w:shd w:val="clear" w:color="auto" w:fill="auto"/>
          </w:tcPr>
          <w:p w14:paraId="7C05DA49" w14:textId="77777777" w:rsidR="00D143AC" w:rsidRPr="00522BFA" w:rsidRDefault="00D143AC" w:rsidP="001044E1">
            <w:pPr>
              <w:spacing w:before="120" w:after="120" w:line="240" w:lineRule="exact"/>
              <w:rPr>
                <w:rFonts w:ascii="David" w:hAnsi="David"/>
                <w:b/>
                <w:bCs/>
                <w:sz w:val="26"/>
                <w:szCs w:val="26"/>
              </w:rPr>
            </w:pPr>
          </w:p>
        </w:tc>
        <w:tc>
          <w:tcPr>
            <w:tcW w:w="3771" w:type="dxa"/>
            <w:tcBorders>
              <w:top w:val="nil"/>
              <w:left w:val="nil"/>
              <w:bottom w:val="nil"/>
              <w:right w:val="nil"/>
            </w:tcBorders>
            <w:shd w:val="clear" w:color="auto" w:fill="auto"/>
          </w:tcPr>
          <w:p w14:paraId="079419E2" w14:textId="77777777" w:rsidR="00D143AC" w:rsidRPr="00522BFA" w:rsidRDefault="00D143AC" w:rsidP="001044E1">
            <w:pPr>
              <w:spacing w:before="120" w:after="120" w:line="240" w:lineRule="exact"/>
              <w:jc w:val="both"/>
              <w:rPr>
                <w:rFonts w:ascii="David" w:hAnsi="David"/>
                <w:b/>
                <w:bCs/>
                <w:sz w:val="26"/>
                <w:szCs w:val="26"/>
              </w:rPr>
            </w:pPr>
          </w:p>
        </w:tc>
      </w:tr>
      <w:tr w:rsidR="00D143AC" w:rsidRPr="00522BFA" w14:paraId="653BF6D5" w14:textId="77777777" w:rsidTr="00D143AC">
        <w:trPr>
          <w:trHeight w:val="355"/>
          <w:jc w:val="center"/>
        </w:trPr>
        <w:tc>
          <w:tcPr>
            <w:tcW w:w="923" w:type="dxa"/>
            <w:tcBorders>
              <w:top w:val="nil"/>
              <w:left w:val="nil"/>
              <w:bottom w:val="nil"/>
              <w:right w:val="nil"/>
            </w:tcBorders>
            <w:shd w:val="clear" w:color="auto" w:fill="auto"/>
          </w:tcPr>
          <w:p w14:paraId="575B75E6" w14:textId="77777777" w:rsidR="00D143AC" w:rsidRPr="00522BFA" w:rsidRDefault="00D143AC" w:rsidP="001044E1">
            <w:pPr>
              <w:spacing w:before="120" w:after="120" w:line="240" w:lineRule="exact"/>
              <w:jc w:val="both"/>
              <w:rPr>
                <w:rFonts w:ascii="David" w:hAnsi="David"/>
                <w:b/>
                <w:bCs/>
                <w:sz w:val="26"/>
                <w:szCs w:val="26"/>
              </w:rPr>
            </w:pPr>
            <w:bookmarkStart w:id="1" w:name="FirstAppellant"/>
            <w:r w:rsidRPr="00522BFA">
              <w:rPr>
                <w:rFonts w:ascii="David" w:hAnsi="David"/>
                <w:b/>
                <w:bCs/>
                <w:sz w:val="26"/>
                <w:szCs w:val="26"/>
                <w:rtl/>
              </w:rPr>
              <w:t>בעניין:</w:t>
            </w:r>
          </w:p>
        </w:tc>
        <w:tc>
          <w:tcPr>
            <w:tcW w:w="4126" w:type="dxa"/>
            <w:tcBorders>
              <w:top w:val="nil"/>
              <w:left w:val="nil"/>
              <w:bottom w:val="nil"/>
              <w:right w:val="nil"/>
            </w:tcBorders>
            <w:shd w:val="clear" w:color="auto" w:fill="auto"/>
          </w:tcPr>
          <w:p w14:paraId="6AC6E32D" w14:textId="77777777" w:rsidR="00D143AC" w:rsidRPr="00522BFA" w:rsidRDefault="00D143AC" w:rsidP="001044E1">
            <w:pPr>
              <w:spacing w:before="120" w:after="120" w:line="240" w:lineRule="exact"/>
              <w:rPr>
                <w:rFonts w:ascii="David" w:hAnsi="David"/>
                <w:b/>
                <w:bCs/>
                <w:sz w:val="26"/>
                <w:szCs w:val="26"/>
              </w:rPr>
            </w:pPr>
            <w:r w:rsidRPr="00522BFA">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B062164" w14:textId="77777777" w:rsidR="00D143AC" w:rsidRPr="00522BFA" w:rsidRDefault="00D143AC" w:rsidP="001044E1">
            <w:pPr>
              <w:spacing w:before="120" w:after="120" w:line="240" w:lineRule="exact"/>
              <w:jc w:val="right"/>
              <w:rPr>
                <w:rFonts w:ascii="David" w:hAnsi="David"/>
                <w:b/>
                <w:bCs/>
                <w:sz w:val="26"/>
                <w:szCs w:val="26"/>
                <w:rtl/>
              </w:rPr>
            </w:pPr>
            <w:r w:rsidRPr="00522BFA">
              <w:rPr>
                <w:rFonts w:ascii="David" w:hAnsi="David"/>
                <w:b/>
                <w:bCs/>
                <w:sz w:val="26"/>
                <w:szCs w:val="26"/>
                <w:rtl/>
              </w:rPr>
              <w:t>המאשימה</w:t>
            </w:r>
          </w:p>
        </w:tc>
      </w:tr>
      <w:bookmarkEnd w:id="1"/>
      <w:tr w:rsidR="00522BFA" w:rsidRPr="00522BFA" w14:paraId="6BB8DC76" w14:textId="77777777" w:rsidTr="00234412">
        <w:trPr>
          <w:trHeight w:val="355"/>
          <w:jc w:val="center"/>
        </w:trPr>
        <w:tc>
          <w:tcPr>
            <w:tcW w:w="8820" w:type="dxa"/>
            <w:gridSpan w:val="3"/>
            <w:tcBorders>
              <w:top w:val="nil"/>
              <w:left w:val="nil"/>
              <w:bottom w:val="nil"/>
              <w:right w:val="nil"/>
            </w:tcBorders>
            <w:shd w:val="clear" w:color="auto" w:fill="auto"/>
          </w:tcPr>
          <w:p w14:paraId="48792CCF" w14:textId="77777777" w:rsidR="00522BFA" w:rsidRPr="00522BFA" w:rsidRDefault="00522BFA" w:rsidP="001044E1">
            <w:pPr>
              <w:spacing w:before="240" w:after="240" w:line="240" w:lineRule="exact"/>
              <w:jc w:val="center"/>
              <w:rPr>
                <w:rFonts w:ascii="David" w:hAnsi="David" w:hint="cs"/>
                <w:b/>
                <w:bCs/>
                <w:sz w:val="26"/>
                <w:szCs w:val="26"/>
              </w:rPr>
            </w:pPr>
            <w:r w:rsidRPr="00522BFA">
              <w:rPr>
                <w:rFonts w:ascii="David" w:hAnsi="David"/>
                <w:b/>
                <w:bCs/>
                <w:sz w:val="26"/>
                <w:szCs w:val="26"/>
                <w:rtl/>
              </w:rPr>
              <w:t>נגד</w:t>
            </w:r>
          </w:p>
        </w:tc>
      </w:tr>
      <w:tr w:rsidR="00D143AC" w:rsidRPr="00522BFA" w14:paraId="34D68DC4" w14:textId="77777777" w:rsidTr="00D143AC">
        <w:trPr>
          <w:trHeight w:val="355"/>
          <w:jc w:val="center"/>
        </w:trPr>
        <w:tc>
          <w:tcPr>
            <w:tcW w:w="923" w:type="dxa"/>
            <w:tcBorders>
              <w:top w:val="nil"/>
              <w:left w:val="nil"/>
              <w:bottom w:val="nil"/>
              <w:right w:val="nil"/>
            </w:tcBorders>
            <w:shd w:val="clear" w:color="auto" w:fill="auto"/>
          </w:tcPr>
          <w:p w14:paraId="2DEE7DD9" w14:textId="77777777" w:rsidR="00D143AC" w:rsidRPr="00522BFA" w:rsidRDefault="00D143AC" w:rsidP="001044E1">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315EC5B9" w14:textId="77777777" w:rsidR="00D143AC" w:rsidRPr="00522BFA" w:rsidRDefault="00D143AC" w:rsidP="001044E1">
            <w:pPr>
              <w:spacing w:before="120" w:after="120" w:line="240" w:lineRule="exact"/>
              <w:rPr>
                <w:rFonts w:ascii="David" w:hAnsi="David"/>
                <w:b/>
                <w:bCs/>
                <w:sz w:val="26"/>
                <w:szCs w:val="26"/>
                <w:rtl/>
              </w:rPr>
            </w:pPr>
          </w:p>
        </w:tc>
        <w:tc>
          <w:tcPr>
            <w:tcW w:w="3771" w:type="dxa"/>
            <w:tcBorders>
              <w:top w:val="nil"/>
              <w:left w:val="nil"/>
              <w:bottom w:val="nil"/>
              <w:right w:val="nil"/>
            </w:tcBorders>
            <w:shd w:val="clear" w:color="auto" w:fill="auto"/>
          </w:tcPr>
          <w:p w14:paraId="1BD42685" w14:textId="77777777" w:rsidR="00D143AC" w:rsidRPr="00522BFA" w:rsidRDefault="00D143AC" w:rsidP="001044E1">
            <w:pPr>
              <w:spacing w:before="120" w:after="120" w:line="240" w:lineRule="exact"/>
              <w:jc w:val="right"/>
              <w:rPr>
                <w:rFonts w:ascii="David" w:hAnsi="David"/>
                <w:b/>
                <w:bCs/>
                <w:sz w:val="26"/>
                <w:szCs w:val="26"/>
              </w:rPr>
            </w:pPr>
          </w:p>
        </w:tc>
      </w:tr>
      <w:tr w:rsidR="00D143AC" w:rsidRPr="00522BFA" w14:paraId="4C90C407" w14:textId="77777777" w:rsidTr="00D143AC">
        <w:trPr>
          <w:trHeight w:val="355"/>
          <w:jc w:val="center"/>
        </w:trPr>
        <w:tc>
          <w:tcPr>
            <w:tcW w:w="923" w:type="dxa"/>
            <w:tcBorders>
              <w:top w:val="nil"/>
              <w:left w:val="nil"/>
              <w:bottom w:val="nil"/>
              <w:right w:val="nil"/>
            </w:tcBorders>
            <w:shd w:val="clear" w:color="auto" w:fill="auto"/>
          </w:tcPr>
          <w:p w14:paraId="26095CB1" w14:textId="77777777" w:rsidR="00D143AC" w:rsidRPr="00522BFA" w:rsidRDefault="00D143AC" w:rsidP="001044E1">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5035A686" w14:textId="77777777" w:rsidR="00D143AC" w:rsidRPr="00522BFA" w:rsidRDefault="00D143AC" w:rsidP="001044E1">
            <w:pPr>
              <w:spacing w:before="120" w:after="120" w:line="240" w:lineRule="exact"/>
              <w:jc w:val="both"/>
              <w:rPr>
                <w:rFonts w:ascii="David" w:hAnsi="David"/>
                <w:b/>
                <w:bCs/>
                <w:sz w:val="26"/>
                <w:szCs w:val="26"/>
                <w:rtl/>
              </w:rPr>
            </w:pPr>
            <w:r w:rsidRPr="00522BFA">
              <w:rPr>
                <w:rFonts w:ascii="David" w:hAnsi="David"/>
                <w:b/>
                <w:bCs/>
                <w:sz w:val="26"/>
                <w:szCs w:val="26"/>
                <w:rtl/>
              </w:rPr>
              <w:t>רוני יעקב חג'ג'</w:t>
            </w:r>
          </w:p>
        </w:tc>
        <w:tc>
          <w:tcPr>
            <w:tcW w:w="3771" w:type="dxa"/>
            <w:tcBorders>
              <w:top w:val="nil"/>
              <w:left w:val="nil"/>
              <w:bottom w:val="nil"/>
              <w:right w:val="nil"/>
            </w:tcBorders>
            <w:shd w:val="clear" w:color="auto" w:fill="auto"/>
          </w:tcPr>
          <w:p w14:paraId="354253AC" w14:textId="77777777" w:rsidR="00D143AC" w:rsidRPr="00522BFA" w:rsidRDefault="00D143AC" w:rsidP="001044E1">
            <w:pPr>
              <w:spacing w:before="120" w:after="120" w:line="240" w:lineRule="exact"/>
              <w:jc w:val="right"/>
              <w:rPr>
                <w:rFonts w:ascii="David" w:hAnsi="David"/>
                <w:b/>
                <w:bCs/>
                <w:sz w:val="26"/>
                <w:szCs w:val="26"/>
              </w:rPr>
            </w:pPr>
            <w:r w:rsidRPr="00522BFA">
              <w:rPr>
                <w:rFonts w:ascii="David" w:hAnsi="David"/>
                <w:b/>
                <w:bCs/>
                <w:sz w:val="26"/>
                <w:szCs w:val="26"/>
                <w:rtl/>
              </w:rPr>
              <w:t>הנאשם</w:t>
            </w:r>
          </w:p>
        </w:tc>
      </w:tr>
    </w:tbl>
    <w:p w14:paraId="68BD1283" w14:textId="77777777" w:rsidR="00D143AC" w:rsidRPr="00503DE9" w:rsidRDefault="00D143AC" w:rsidP="00D143AC">
      <w:pPr>
        <w:rPr>
          <w:b/>
          <w:bCs/>
        </w:rPr>
      </w:pPr>
    </w:p>
    <w:p w14:paraId="387C20DA" w14:textId="77777777" w:rsidR="001044E1" w:rsidRPr="001044E1" w:rsidRDefault="001044E1" w:rsidP="001044E1">
      <w:pPr>
        <w:spacing w:before="120" w:after="120" w:line="240" w:lineRule="exact"/>
        <w:ind w:left="283" w:hanging="283"/>
        <w:jc w:val="both"/>
        <w:rPr>
          <w:rFonts w:ascii="FrankRuehl" w:hAnsi="FrankRuehl" w:cs="FrankRuehl"/>
          <w:rtl/>
        </w:rPr>
      </w:pPr>
      <w:bookmarkStart w:id="2" w:name="LawTable"/>
      <w:bookmarkEnd w:id="2"/>
      <w:r w:rsidRPr="001044E1">
        <w:rPr>
          <w:rFonts w:ascii="FrankRuehl" w:hAnsi="FrankRuehl" w:cs="FrankRuehl"/>
          <w:rtl/>
        </w:rPr>
        <w:t xml:space="preserve">חקיקה שאוזכרה: </w:t>
      </w:r>
    </w:p>
    <w:p w14:paraId="0D052F4E" w14:textId="77777777" w:rsidR="001044E1" w:rsidRPr="001044E1" w:rsidRDefault="001044E1" w:rsidP="001044E1">
      <w:pPr>
        <w:spacing w:before="120" w:after="120" w:line="240" w:lineRule="exact"/>
        <w:ind w:left="283" w:hanging="283"/>
        <w:jc w:val="both"/>
        <w:rPr>
          <w:rFonts w:ascii="FrankRuehl" w:hAnsi="FrankRuehl" w:cs="FrankRuehl"/>
          <w:color w:val="0000FF"/>
          <w:rtl/>
        </w:rPr>
      </w:pPr>
      <w:hyperlink r:id="rId7" w:history="1">
        <w:r w:rsidRPr="001044E1">
          <w:rPr>
            <w:rStyle w:val="Hyperlink"/>
            <w:rFonts w:ascii="FrankRuehl" w:hAnsi="FrankRuehl" w:cs="FrankRuehl"/>
            <w:u w:val="none"/>
            <w:rtl/>
          </w:rPr>
          <w:t>פקודת הסמים המסוכנים [נוסח חדש], תשל"ג-1973</w:t>
        </w:r>
      </w:hyperlink>
      <w:r w:rsidRPr="001044E1">
        <w:rPr>
          <w:rFonts w:ascii="FrankRuehl" w:hAnsi="FrankRuehl" w:cs="FrankRuehl"/>
          <w:color w:val="0000FF"/>
          <w:rtl/>
        </w:rPr>
        <w:t xml:space="preserve">: סע'  </w:t>
      </w:r>
      <w:hyperlink r:id="rId8" w:history="1">
        <w:r w:rsidRPr="001044E1">
          <w:rPr>
            <w:rStyle w:val="Hyperlink"/>
            <w:rFonts w:ascii="FrankRuehl" w:hAnsi="FrankRuehl" w:cs="FrankRuehl"/>
            <w:u w:val="none"/>
          </w:rPr>
          <w:t>6</w:t>
        </w:r>
      </w:hyperlink>
      <w:r w:rsidRPr="001044E1">
        <w:rPr>
          <w:rFonts w:ascii="FrankRuehl" w:hAnsi="FrankRuehl" w:cs="FrankRuehl"/>
          <w:color w:val="0000FF"/>
          <w:rtl/>
        </w:rPr>
        <w:t xml:space="preserve">, </w:t>
      </w:r>
      <w:hyperlink r:id="rId9" w:history="1">
        <w:r w:rsidRPr="001044E1">
          <w:rPr>
            <w:rStyle w:val="Hyperlink"/>
            <w:rFonts w:ascii="FrankRuehl" w:hAnsi="FrankRuehl" w:cs="FrankRuehl"/>
            <w:u w:val="none"/>
          </w:rPr>
          <w:t>7</w:t>
        </w:r>
      </w:hyperlink>
      <w:r w:rsidRPr="001044E1">
        <w:rPr>
          <w:rFonts w:ascii="FrankRuehl" w:hAnsi="FrankRuehl" w:cs="FrankRuehl"/>
          <w:color w:val="0000FF"/>
          <w:rtl/>
        </w:rPr>
        <w:t xml:space="preserve">(ג), </w:t>
      </w:r>
      <w:hyperlink r:id="rId10" w:history="1">
        <w:r w:rsidRPr="001044E1">
          <w:rPr>
            <w:rStyle w:val="Hyperlink"/>
            <w:rFonts w:ascii="FrankRuehl" w:hAnsi="FrankRuehl" w:cs="FrankRuehl"/>
            <w:u w:val="none"/>
          </w:rPr>
          <w:t>31</w:t>
        </w:r>
      </w:hyperlink>
      <w:r w:rsidRPr="001044E1">
        <w:rPr>
          <w:rFonts w:ascii="FrankRuehl" w:hAnsi="FrankRuehl" w:cs="FrankRuehl"/>
          <w:color w:val="0000FF"/>
          <w:rtl/>
        </w:rPr>
        <w:t>(3)</w:t>
      </w:r>
    </w:p>
    <w:p w14:paraId="1AF46A3A" w14:textId="77777777" w:rsidR="001044E1" w:rsidRPr="001044E1" w:rsidRDefault="001044E1" w:rsidP="001044E1">
      <w:pPr>
        <w:spacing w:before="120" w:after="120" w:line="240" w:lineRule="exact"/>
        <w:ind w:left="283" w:hanging="283"/>
        <w:jc w:val="both"/>
        <w:rPr>
          <w:rFonts w:ascii="FrankRuehl" w:hAnsi="FrankRuehl" w:cs="FrankRuehl"/>
          <w:color w:val="0000FF"/>
          <w:rtl/>
        </w:rPr>
      </w:pPr>
      <w:hyperlink r:id="rId11" w:history="1">
        <w:r w:rsidRPr="001044E1">
          <w:rPr>
            <w:rStyle w:val="Hyperlink"/>
            <w:rFonts w:ascii="FrankRuehl" w:hAnsi="FrankRuehl" w:cs="FrankRuehl"/>
            <w:u w:val="none"/>
            <w:rtl/>
          </w:rPr>
          <w:t>חוק העונשין, תשל"ז-1977</w:t>
        </w:r>
      </w:hyperlink>
      <w:r w:rsidRPr="001044E1">
        <w:rPr>
          <w:rFonts w:ascii="FrankRuehl" w:hAnsi="FrankRuehl" w:cs="FrankRuehl"/>
          <w:color w:val="0000FF"/>
          <w:rtl/>
        </w:rPr>
        <w:t xml:space="preserve">: סע'  </w:t>
      </w:r>
      <w:hyperlink r:id="rId12" w:history="1">
        <w:r w:rsidRPr="001044E1">
          <w:rPr>
            <w:rStyle w:val="Hyperlink"/>
            <w:rFonts w:ascii="FrankRuehl" w:hAnsi="FrankRuehl" w:cs="FrankRuehl"/>
            <w:u w:val="none"/>
          </w:rPr>
          <w:t>40</w:t>
        </w:r>
        <w:r w:rsidRPr="001044E1">
          <w:rPr>
            <w:rStyle w:val="Hyperlink"/>
            <w:rFonts w:ascii="FrankRuehl" w:hAnsi="FrankRuehl" w:cs="FrankRuehl"/>
            <w:u w:val="none"/>
            <w:rtl/>
          </w:rPr>
          <w:t>ד</w:t>
        </w:r>
        <w:r w:rsidRPr="001044E1">
          <w:rPr>
            <w:rStyle w:val="Hyperlink"/>
            <w:rFonts w:ascii="FrankRuehl" w:hAnsi="FrankRuehl" w:cs="FrankRuehl"/>
            <w:u w:val="none"/>
          </w:rPr>
          <w:t>'</w:t>
        </w:r>
      </w:hyperlink>
      <w:r w:rsidRPr="001044E1">
        <w:rPr>
          <w:rFonts w:ascii="FrankRuehl" w:hAnsi="FrankRuehl" w:cs="FrankRuehl"/>
          <w:color w:val="0000FF"/>
          <w:rtl/>
        </w:rPr>
        <w:t xml:space="preserve">, </w:t>
      </w:r>
      <w:hyperlink r:id="rId13" w:history="1">
        <w:r w:rsidRPr="001044E1">
          <w:rPr>
            <w:rStyle w:val="Hyperlink"/>
            <w:rFonts w:ascii="FrankRuehl" w:hAnsi="FrankRuehl" w:cs="FrankRuehl"/>
            <w:u w:val="none"/>
          </w:rPr>
          <w:t>40</w:t>
        </w:r>
        <w:r w:rsidRPr="001044E1">
          <w:rPr>
            <w:rStyle w:val="Hyperlink"/>
            <w:rFonts w:ascii="FrankRuehl" w:hAnsi="FrankRuehl" w:cs="FrankRuehl"/>
            <w:u w:val="none"/>
            <w:rtl/>
          </w:rPr>
          <w:t>ט.3</w:t>
        </w:r>
        <w:r w:rsidRPr="001044E1">
          <w:rPr>
            <w:rStyle w:val="Hyperlink"/>
            <w:rFonts w:ascii="FrankRuehl" w:hAnsi="FrankRuehl" w:cs="FrankRuehl"/>
            <w:u w:val="none"/>
          </w:rPr>
          <w:t>.</w:t>
        </w:r>
      </w:hyperlink>
      <w:r w:rsidRPr="001044E1">
        <w:rPr>
          <w:rFonts w:ascii="FrankRuehl" w:hAnsi="FrankRuehl" w:cs="FrankRuehl"/>
          <w:color w:val="0000FF"/>
          <w:rtl/>
        </w:rPr>
        <w:t xml:space="preserve">, </w:t>
      </w:r>
      <w:hyperlink r:id="rId14" w:history="1">
        <w:r w:rsidRPr="001044E1">
          <w:rPr>
            <w:rStyle w:val="Hyperlink"/>
            <w:rFonts w:ascii="FrankRuehl" w:hAnsi="FrankRuehl" w:cs="FrankRuehl"/>
            <w:u w:val="none"/>
          </w:rPr>
          <w:t>40</w:t>
        </w:r>
        <w:r w:rsidRPr="001044E1">
          <w:rPr>
            <w:rStyle w:val="Hyperlink"/>
            <w:rFonts w:ascii="FrankRuehl" w:hAnsi="FrankRuehl" w:cs="FrankRuehl"/>
            <w:u w:val="none"/>
            <w:rtl/>
          </w:rPr>
          <w:t>ט.4</w:t>
        </w:r>
      </w:hyperlink>
      <w:r w:rsidRPr="001044E1">
        <w:rPr>
          <w:rFonts w:ascii="FrankRuehl" w:hAnsi="FrankRuehl" w:cs="FrankRuehl"/>
          <w:color w:val="0000FF"/>
          <w:rtl/>
        </w:rPr>
        <w:t xml:space="preserve">, </w:t>
      </w:r>
      <w:hyperlink r:id="rId15" w:history="1">
        <w:r w:rsidRPr="001044E1">
          <w:rPr>
            <w:rStyle w:val="Hyperlink"/>
            <w:rFonts w:ascii="FrankRuehl" w:hAnsi="FrankRuehl" w:cs="FrankRuehl"/>
            <w:u w:val="none"/>
          </w:rPr>
          <w:t>40</w:t>
        </w:r>
        <w:r w:rsidRPr="001044E1">
          <w:rPr>
            <w:rStyle w:val="Hyperlink"/>
            <w:rFonts w:ascii="FrankRuehl" w:hAnsi="FrankRuehl" w:cs="FrankRuehl"/>
            <w:u w:val="none"/>
            <w:rtl/>
          </w:rPr>
          <w:t>ט</w:t>
        </w:r>
        <w:r w:rsidRPr="001044E1">
          <w:rPr>
            <w:rStyle w:val="Hyperlink"/>
            <w:rFonts w:ascii="FrankRuehl" w:hAnsi="FrankRuehl" w:cs="FrankRuehl"/>
            <w:u w:val="none"/>
          </w:rPr>
          <w:t>'</w:t>
        </w:r>
      </w:hyperlink>
      <w:r w:rsidRPr="001044E1">
        <w:rPr>
          <w:rFonts w:ascii="FrankRuehl" w:hAnsi="FrankRuehl" w:cs="FrankRuehl"/>
          <w:color w:val="0000FF"/>
          <w:rtl/>
        </w:rPr>
        <w:t xml:space="preserve">(5), </w:t>
      </w:r>
      <w:hyperlink r:id="rId16" w:history="1">
        <w:r w:rsidRPr="001044E1">
          <w:rPr>
            <w:rStyle w:val="Hyperlink"/>
            <w:rFonts w:ascii="FrankRuehl" w:hAnsi="FrankRuehl" w:cs="FrankRuehl"/>
            <w:u w:val="none"/>
          </w:rPr>
          <w:t>40</w:t>
        </w:r>
        <w:r w:rsidRPr="001044E1">
          <w:rPr>
            <w:rStyle w:val="Hyperlink"/>
            <w:rFonts w:ascii="FrankRuehl" w:hAnsi="FrankRuehl" w:cs="FrankRuehl"/>
            <w:u w:val="none"/>
            <w:rtl/>
          </w:rPr>
          <w:t>י</w:t>
        </w:r>
        <w:r w:rsidRPr="001044E1">
          <w:rPr>
            <w:rStyle w:val="Hyperlink"/>
            <w:rFonts w:ascii="FrankRuehl" w:hAnsi="FrankRuehl" w:cs="FrankRuehl"/>
            <w:u w:val="none"/>
          </w:rPr>
          <w:t>'</w:t>
        </w:r>
      </w:hyperlink>
      <w:r w:rsidRPr="001044E1">
        <w:rPr>
          <w:rFonts w:ascii="FrankRuehl" w:hAnsi="FrankRuehl" w:cs="FrankRuehl"/>
          <w:color w:val="0000FF"/>
          <w:rtl/>
        </w:rPr>
        <w:t xml:space="preserve">(ג), </w:t>
      </w:r>
      <w:hyperlink r:id="rId17" w:history="1">
        <w:r w:rsidRPr="001044E1">
          <w:rPr>
            <w:rStyle w:val="Hyperlink"/>
            <w:rFonts w:ascii="FrankRuehl" w:hAnsi="FrankRuehl" w:cs="FrankRuehl"/>
            <w:u w:val="none"/>
          </w:rPr>
          <w:t>40</w:t>
        </w:r>
        <w:r w:rsidRPr="001044E1">
          <w:rPr>
            <w:rStyle w:val="Hyperlink"/>
            <w:rFonts w:ascii="FrankRuehl" w:hAnsi="FrankRuehl" w:cs="FrankRuehl"/>
            <w:u w:val="none"/>
            <w:rtl/>
          </w:rPr>
          <w:t>י</w:t>
        </w:r>
      </w:hyperlink>
      <w:r w:rsidRPr="001044E1">
        <w:rPr>
          <w:rFonts w:ascii="FrankRuehl" w:hAnsi="FrankRuehl" w:cs="FrankRuehl"/>
          <w:color w:val="0000FF"/>
          <w:rtl/>
        </w:rPr>
        <w:t>(ד)</w:t>
      </w:r>
    </w:p>
    <w:p w14:paraId="2D9BF0F6" w14:textId="77777777" w:rsidR="00D143AC" w:rsidRDefault="00D143AC" w:rsidP="001044E1">
      <w:pPr>
        <w:rPr>
          <w:rFonts w:ascii="David" w:hAnsi="David" w:hint="cs"/>
          <w:rtl/>
        </w:rPr>
      </w:pPr>
      <w:bookmarkStart w:id="3" w:name="LawTable_End"/>
      <w:bookmarkEnd w:id="3"/>
    </w:p>
    <w:p w14:paraId="5277E88E" w14:textId="77777777" w:rsidR="00C76415" w:rsidRDefault="00C76415" w:rsidP="001044E1">
      <w:pPr>
        <w:rPr>
          <w:rFonts w:ascii="David" w:hAnsi="David" w:hint="cs"/>
          <w:rtl/>
        </w:rPr>
      </w:pPr>
    </w:p>
    <w:p w14:paraId="5D216B99"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7522CD">
        <w:rPr>
          <w:rFonts w:cs="FrankRuehl" w:hint="cs"/>
          <w:szCs w:val="26"/>
          <w:rtl/>
        </w:rPr>
        <w:t>מיני-רציו:</w:t>
      </w:r>
    </w:p>
    <w:p w14:paraId="6629A884"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hint="cs"/>
          <w:szCs w:val="26"/>
          <w:rtl/>
        </w:rPr>
        <w:t xml:space="preserve">* גזר דין בעניינו של נאשם שהורשע בעבירת </w:t>
      </w:r>
      <w:r w:rsidRPr="007522CD">
        <w:rPr>
          <w:rFonts w:cs="FrankRuehl"/>
          <w:szCs w:val="26"/>
          <w:rtl/>
        </w:rPr>
        <w:t xml:space="preserve">גידול, ייצור, הכנת סמים מסוכנים, לפי </w:t>
      </w:r>
      <w:hyperlink r:id="rId18" w:history="1">
        <w:r w:rsidRPr="007522CD">
          <w:rPr>
            <w:rStyle w:val="Hyperlink"/>
            <w:rFonts w:cs="FrankRuehl"/>
            <w:color w:val="auto"/>
            <w:szCs w:val="26"/>
            <w:u w:val="none"/>
            <w:rtl/>
          </w:rPr>
          <w:t>סעיף 6</w:t>
        </w:r>
      </w:hyperlink>
      <w:r w:rsidRPr="007522CD">
        <w:rPr>
          <w:rFonts w:cs="FrankRuehl"/>
          <w:szCs w:val="26"/>
          <w:rtl/>
        </w:rPr>
        <w:t xml:space="preserve"> ל</w:t>
      </w:r>
      <w:hyperlink r:id="rId19" w:history="1">
        <w:r w:rsidRPr="007522CD">
          <w:rPr>
            <w:rFonts w:cs="FrankRuehl"/>
            <w:szCs w:val="26"/>
            <w:rtl/>
          </w:rPr>
          <w:t>פקודת הסמים המסוכנים</w:t>
        </w:r>
      </w:hyperlink>
      <w:r w:rsidRPr="007522CD">
        <w:rPr>
          <w:rFonts w:cs="FrankRuehl"/>
          <w:szCs w:val="26"/>
          <w:rtl/>
        </w:rPr>
        <w:t xml:space="preserve">. </w:t>
      </w:r>
      <w:r w:rsidRPr="007522CD">
        <w:rPr>
          <w:rFonts w:cs="FrankRuehl" w:hint="cs"/>
          <w:szCs w:val="26"/>
          <w:rtl/>
        </w:rPr>
        <w:t>נקבע</w:t>
      </w:r>
      <w:r w:rsidRPr="007522CD">
        <w:rPr>
          <w:rFonts w:cs="FrankRuehl"/>
          <w:szCs w:val="26"/>
          <w:rtl/>
        </w:rPr>
        <w:t xml:space="preserve"> כי </w:t>
      </w:r>
      <w:r w:rsidRPr="007522CD">
        <w:rPr>
          <w:rFonts w:cs="FrankRuehl" w:hint="cs"/>
          <w:szCs w:val="26"/>
          <w:rtl/>
        </w:rPr>
        <w:t xml:space="preserve">במקרה דנן, ראוי </w:t>
      </w:r>
      <w:r w:rsidRPr="007522CD">
        <w:rPr>
          <w:rFonts w:cs="FrankRuehl"/>
          <w:szCs w:val="26"/>
          <w:rtl/>
        </w:rPr>
        <w:t>להעדיף את הפן השיקומי ולסטות בשל כך ממתחם הענישה.</w:t>
      </w:r>
    </w:p>
    <w:p w14:paraId="6732CB48"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hint="cs"/>
          <w:szCs w:val="26"/>
          <w:rtl/>
        </w:rPr>
        <w:t xml:space="preserve">* </w:t>
      </w:r>
      <w:r w:rsidRPr="007522CD">
        <w:rPr>
          <w:rFonts w:cs="FrankRuehl"/>
          <w:szCs w:val="26"/>
          <w:rtl/>
        </w:rPr>
        <w:t>עונשין – ענישה – מדיניות ענישה: עבירות סמים</w:t>
      </w:r>
    </w:p>
    <w:p w14:paraId="22AD889D"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hint="cs"/>
          <w:szCs w:val="26"/>
          <w:rtl/>
        </w:rPr>
        <w:t xml:space="preserve">* </w:t>
      </w:r>
      <w:r w:rsidRPr="007522CD">
        <w:rPr>
          <w:rFonts w:cs="FrankRuehl"/>
          <w:szCs w:val="26"/>
          <w:rtl/>
        </w:rPr>
        <w:t>עונשין – ענישה – שיקום</w:t>
      </w:r>
    </w:p>
    <w:p w14:paraId="765EA162"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hint="cs"/>
          <w:szCs w:val="26"/>
          <w:rtl/>
        </w:rPr>
        <w:t xml:space="preserve">* </w:t>
      </w:r>
      <w:r w:rsidRPr="007522CD">
        <w:rPr>
          <w:rFonts w:cs="FrankRuehl"/>
          <w:szCs w:val="26"/>
          <w:rtl/>
        </w:rPr>
        <w:t>עונשין – ענישה – מדיניות ענישה: שיקום</w:t>
      </w:r>
    </w:p>
    <w:p w14:paraId="27622F34"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CB9A871"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hint="cs"/>
          <w:szCs w:val="26"/>
          <w:rtl/>
        </w:rPr>
        <w:t xml:space="preserve">הנאשם הורשע על פי הודאתו בכתב אישום מתוקן בעבירת </w:t>
      </w:r>
      <w:r w:rsidRPr="007522CD">
        <w:rPr>
          <w:rFonts w:cs="FrankRuehl"/>
          <w:szCs w:val="26"/>
          <w:rtl/>
        </w:rPr>
        <w:t xml:space="preserve">גידול, ייצור, הכנת סמים מסוכנים, לפי </w:t>
      </w:r>
      <w:hyperlink r:id="rId20" w:history="1">
        <w:r w:rsidRPr="007522CD">
          <w:rPr>
            <w:rStyle w:val="Hyperlink"/>
            <w:rFonts w:cs="FrankRuehl"/>
            <w:color w:val="auto"/>
            <w:szCs w:val="26"/>
            <w:u w:val="none"/>
            <w:rtl/>
          </w:rPr>
          <w:t>סעיף 6</w:t>
        </w:r>
      </w:hyperlink>
      <w:r w:rsidRPr="007522CD">
        <w:rPr>
          <w:rFonts w:cs="FrankRuehl"/>
          <w:szCs w:val="26"/>
          <w:rtl/>
        </w:rPr>
        <w:t xml:space="preserve"> ל</w:t>
      </w:r>
      <w:hyperlink r:id="rId21" w:history="1">
        <w:r w:rsidRPr="007522CD">
          <w:rPr>
            <w:rFonts w:cs="FrankRuehl"/>
            <w:szCs w:val="26"/>
            <w:rtl/>
          </w:rPr>
          <w:t>פקודת הסמים המסוכנים</w:t>
        </w:r>
      </w:hyperlink>
      <w:r w:rsidRPr="007522CD">
        <w:rPr>
          <w:rFonts w:cs="FrankRuehl"/>
          <w:szCs w:val="26"/>
          <w:rtl/>
        </w:rPr>
        <w:t xml:space="preserve">. </w:t>
      </w:r>
    </w:p>
    <w:p w14:paraId="797FECFC"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BB37C27"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hint="cs"/>
          <w:szCs w:val="26"/>
          <w:rtl/>
        </w:rPr>
        <w:t>בית המשפט גזר את דינו של הנאשם, ופסק כלהלן:</w:t>
      </w:r>
    </w:p>
    <w:p w14:paraId="6FAEC0B4"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hint="cs"/>
          <w:szCs w:val="26"/>
          <w:rtl/>
        </w:rPr>
        <w:t xml:space="preserve">הסנגור טען שמדובר עבור הנאשם בתרופה המסייעת לו להתמודד עם כאביו וכי המדינה מכירה בכך, שהרי הוא זכה בהמשך לרישיון לצריכת קנאביס רפואי. המאשימה לא התייחסה לנושא. יש להביא נושא זה בחשבון לצורך קביעת גבולות המתחם, במידה מסוימת. </w:t>
      </w:r>
      <w:r w:rsidRPr="007522CD">
        <w:rPr>
          <w:rFonts w:cs="FrankRuehl"/>
          <w:szCs w:val="26"/>
          <w:rtl/>
        </w:rPr>
        <w:t xml:space="preserve">עבירת גידול סמים לפי </w:t>
      </w:r>
      <w:hyperlink r:id="rId22" w:history="1">
        <w:r w:rsidRPr="007522CD">
          <w:rPr>
            <w:rStyle w:val="Hyperlink"/>
            <w:rFonts w:cs="FrankRuehl"/>
            <w:color w:val="auto"/>
            <w:szCs w:val="26"/>
            <w:u w:val="none"/>
            <w:rtl/>
          </w:rPr>
          <w:t>סעיף 6</w:t>
        </w:r>
      </w:hyperlink>
      <w:r w:rsidRPr="007522CD">
        <w:rPr>
          <w:rFonts w:cs="FrankRuehl"/>
          <w:szCs w:val="26"/>
          <w:rtl/>
        </w:rPr>
        <w:t xml:space="preserve"> לפקודת סמים, אינה כוללת חלופה עונשית קלה יותר במקרה בו מוכח שמטרת הגידול הייתה לשימוש עצמי, כפי </w:t>
      </w:r>
      <w:r w:rsidRPr="007522CD">
        <w:rPr>
          <w:rFonts w:cs="FrankRuehl"/>
          <w:szCs w:val="26"/>
          <w:rtl/>
        </w:rPr>
        <w:lastRenderedPageBreak/>
        <w:t>שקיים במקרה בו מדובר בהחזקה של סם (</w:t>
      </w:r>
      <w:hyperlink r:id="rId23" w:history="1">
        <w:r w:rsidRPr="007522CD">
          <w:rPr>
            <w:rStyle w:val="Hyperlink"/>
            <w:rFonts w:cs="FrankRuehl"/>
            <w:color w:val="auto"/>
            <w:szCs w:val="26"/>
            <w:u w:val="none"/>
            <w:rtl/>
          </w:rPr>
          <w:t>סעיף 7(ג)</w:t>
        </w:r>
      </w:hyperlink>
      <w:r w:rsidRPr="007522CD">
        <w:rPr>
          <w:rFonts w:cs="FrankRuehl"/>
          <w:szCs w:val="26"/>
          <w:rtl/>
        </w:rPr>
        <w:t xml:space="preserve"> </w:t>
      </w:r>
      <w:r w:rsidRPr="007522CD">
        <w:rPr>
          <w:rFonts w:cs="FrankRuehl" w:hint="cs"/>
          <w:szCs w:val="26"/>
          <w:rtl/>
        </w:rPr>
        <w:t xml:space="preserve">סיפא </w:t>
      </w:r>
      <w:r w:rsidRPr="007522CD">
        <w:rPr>
          <w:rFonts w:cs="FrankRuehl"/>
          <w:szCs w:val="26"/>
          <w:rtl/>
        </w:rPr>
        <w:t xml:space="preserve">לפקודת הסמים). </w:t>
      </w:r>
      <w:r w:rsidRPr="007522CD">
        <w:rPr>
          <w:rFonts w:cs="FrankRuehl" w:hint="cs"/>
          <w:szCs w:val="26"/>
          <w:rtl/>
        </w:rPr>
        <w:t>עם</w:t>
      </w:r>
      <w:r w:rsidRPr="007522CD">
        <w:rPr>
          <w:rFonts w:cs="FrankRuehl"/>
          <w:szCs w:val="26"/>
          <w:rtl/>
        </w:rPr>
        <w:t xml:space="preserve"> זאת, ברי שמדובר בנסיבה משמעותית לעונש. </w:t>
      </w:r>
    </w:p>
    <w:p w14:paraId="1E239FBF" w14:textId="77777777" w:rsidR="00C76415" w:rsidRPr="007522CD" w:rsidRDefault="00C76415" w:rsidP="00C76415">
      <w:pPr>
        <w:pBdr>
          <w:top w:val="single" w:sz="4" w:space="1" w:color="auto"/>
          <w:bottom w:val="single" w:sz="4" w:space="1" w:color="auto"/>
        </w:pBdr>
        <w:spacing w:after="120" w:line="320" w:lineRule="exact"/>
        <w:jc w:val="both"/>
        <w:rPr>
          <w:rFonts w:cs="FrankRuehl"/>
          <w:szCs w:val="26"/>
        </w:rPr>
      </w:pPr>
      <w:r w:rsidRPr="007522CD">
        <w:rPr>
          <w:rFonts w:cs="FrankRuehl"/>
          <w:szCs w:val="26"/>
          <w:rtl/>
        </w:rPr>
        <w:t xml:space="preserve">בענייננו, כתב האישום המתוקן שותק ביחס לנסיבה זו. חרף שתיקת כתב האישום והיעדר ראיות בנושא על ידי הנאשם, לצורך קביעת מתחם הענישה </w:t>
      </w:r>
      <w:r w:rsidRPr="007522CD">
        <w:rPr>
          <w:rFonts w:cs="FrankRuehl" w:hint="cs"/>
          <w:szCs w:val="26"/>
          <w:rtl/>
        </w:rPr>
        <w:t>ניתן</w:t>
      </w:r>
      <w:r w:rsidRPr="007522CD">
        <w:rPr>
          <w:rFonts w:cs="FrankRuehl"/>
          <w:szCs w:val="26"/>
          <w:rtl/>
        </w:rPr>
        <w:t xml:space="preserve"> להביא בחשבון </w:t>
      </w:r>
      <w:r w:rsidRPr="007522CD">
        <w:rPr>
          <w:rFonts w:cs="FrankRuehl" w:hint="cs"/>
          <w:szCs w:val="26"/>
          <w:rtl/>
        </w:rPr>
        <w:t>ש</w:t>
      </w:r>
      <w:r w:rsidRPr="007522CD">
        <w:rPr>
          <w:rFonts w:cs="FrankRuehl"/>
          <w:szCs w:val="26"/>
          <w:rtl/>
        </w:rPr>
        <w:t>למצער</w:t>
      </w:r>
      <w:r w:rsidRPr="007522CD">
        <w:rPr>
          <w:rFonts w:cs="FrankRuehl" w:hint="cs"/>
          <w:szCs w:val="26"/>
          <w:rtl/>
        </w:rPr>
        <w:t xml:space="preserve"> חלק מהגידול נועד ל</w:t>
      </w:r>
      <w:r w:rsidRPr="007522CD">
        <w:rPr>
          <w:rFonts w:cs="FrankRuehl"/>
          <w:szCs w:val="26"/>
          <w:rtl/>
        </w:rPr>
        <w:t xml:space="preserve">שימושו האישי של הנאשם. מסקנה זו מתיישבת היטב עם מספרם המועט </w:t>
      </w:r>
      <w:r w:rsidRPr="007522CD">
        <w:rPr>
          <w:rFonts w:cs="FrankRuehl" w:hint="cs"/>
          <w:szCs w:val="26"/>
          <w:rtl/>
        </w:rPr>
        <w:t xml:space="preserve">יחסית </w:t>
      </w:r>
      <w:r w:rsidRPr="007522CD">
        <w:rPr>
          <w:rFonts w:cs="FrankRuehl"/>
          <w:szCs w:val="26"/>
          <w:rtl/>
        </w:rPr>
        <w:t>של השתילים; העובדה שהנאשם</w:t>
      </w:r>
      <w:r w:rsidRPr="007522CD">
        <w:rPr>
          <w:rFonts w:cs="FrankRuehl" w:hint="cs"/>
          <w:szCs w:val="26"/>
          <w:rtl/>
        </w:rPr>
        <w:t xml:space="preserve"> קיבל לאחר מכן אישור לצריכת קנביס רפואי; ה</w:t>
      </w:r>
      <w:r w:rsidRPr="007522CD">
        <w:rPr>
          <w:rFonts w:cs="FrankRuehl"/>
          <w:szCs w:val="26"/>
          <w:rtl/>
        </w:rPr>
        <w:t>עובדה שלא הושקעו השקעות כספיות משמעותיות בגידול (ומדובר היה בדירה בה התגורר</w:t>
      </w:r>
      <w:r w:rsidRPr="007522CD">
        <w:rPr>
          <w:rFonts w:cs="FrankRuehl" w:hint="cs"/>
          <w:szCs w:val="26"/>
          <w:rtl/>
        </w:rPr>
        <w:t xml:space="preserve"> </w:t>
      </w:r>
      <w:r w:rsidRPr="007522CD">
        <w:rPr>
          <w:rFonts w:cs="FrankRuehl"/>
          <w:szCs w:val="26"/>
          <w:rtl/>
        </w:rPr>
        <w:t>ה</w:t>
      </w:r>
      <w:r w:rsidRPr="007522CD">
        <w:rPr>
          <w:rFonts w:cs="FrankRuehl" w:hint="cs"/>
          <w:szCs w:val="26"/>
          <w:rtl/>
        </w:rPr>
        <w:t>נאשם</w:t>
      </w:r>
      <w:r w:rsidRPr="007522CD">
        <w:rPr>
          <w:rFonts w:cs="FrankRuehl"/>
          <w:szCs w:val="26"/>
          <w:rtl/>
        </w:rPr>
        <w:t>); וכי</w:t>
      </w:r>
      <w:r w:rsidRPr="007522CD">
        <w:rPr>
          <w:rFonts w:cs="FrankRuehl" w:hint="cs"/>
          <w:szCs w:val="26"/>
          <w:rtl/>
        </w:rPr>
        <w:t xml:space="preserve"> הסם הנוסף שהוחזק בדירה היה תוצר של הגידול. </w:t>
      </w:r>
    </w:p>
    <w:p w14:paraId="57B41AA8" w14:textId="77777777" w:rsidR="00C76415" w:rsidRPr="007522CD" w:rsidRDefault="00C76415" w:rsidP="00C76415">
      <w:pPr>
        <w:pBdr>
          <w:top w:val="single" w:sz="4" w:space="1" w:color="auto"/>
          <w:bottom w:val="single" w:sz="4" w:space="1" w:color="auto"/>
        </w:pBdr>
        <w:spacing w:after="120" w:line="320" w:lineRule="exact"/>
        <w:jc w:val="both"/>
        <w:rPr>
          <w:rFonts w:eastAsia="Calibri" w:cs="FrankRuehl" w:hint="cs"/>
          <w:szCs w:val="26"/>
          <w:rtl/>
        </w:rPr>
      </w:pPr>
      <w:r w:rsidRPr="007522CD">
        <w:rPr>
          <w:rFonts w:eastAsia="Calibri" w:cs="FrankRuehl"/>
          <w:szCs w:val="26"/>
          <w:rtl/>
        </w:rPr>
        <w:t xml:space="preserve">מתחם הענישה ההולם את העבירה מושא ענייננו נע בין </w:t>
      </w:r>
      <w:r w:rsidRPr="007522CD">
        <w:rPr>
          <w:rFonts w:eastAsia="Calibri" w:cs="FrankRuehl" w:hint="cs"/>
          <w:szCs w:val="26"/>
          <w:rtl/>
        </w:rPr>
        <w:t>6</w:t>
      </w:r>
      <w:r w:rsidRPr="007522CD">
        <w:rPr>
          <w:rFonts w:eastAsia="Calibri" w:cs="FrankRuehl"/>
          <w:szCs w:val="26"/>
          <w:rtl/>
        </w:rPr>
        <w:t xml:space="preserve"> חודשי מאסר בפועל</w:t>
      </w:r>
      <w:r w:rsidRPr="007522CD">
        <w:rPr>
          <w:rFonts w:eastAsia="Calibri" w:cs="FrankRuehl" w:hint="cs"/>
          <w:szCs w:val="26"/>
          <w:rtl/>
        </w:rPr>
        <w:t>, שניתן לשאת בעבודות שירות,</w:t>
      </w:r>
      <w:r w:rsidRPr="007522CD">
        <w:rPr>
          <w:rFonts w:eastAsia="Calibri" w:cs="FrankRuehl"/>
          <w:szCs w:val="26"/>
          <w:rtl/>
        </w:rPr>
        <w:t xml:space="preserve"> ועד </w:t>
      </w:r>
      <w:r w:rsidRPr="007522CD">
        <w:rPr>
          <w:rFonts w:eastAsia="Calibri" w:cs="FrankRuehl" w:hint="cs"/>
          <w:szCs w:val="26"/>
          <w:rtl/>
        </w:rPr>
        <w:t>18</w:t>
      </w:r>
      <w:r w:rsidRPr="007522CD">
        <w:rPr>
          <w:rFonts w:eastAsia="Calibri" w:cs="FrankRuehl"/>
          <w:szCs w:val="26"/>
          <w:rtl/>
        </w:rPr>
        <w:t xml:space="preserve"> חודשי מאסר בפועל. </w:t>
      </w:r>
    </w:p>
    <w:p w14:paraId="336F88AE" w14:textId="77777777" w:rsidR="00C76415" w:rsidRPr="007522CD" w:rsidRDefault="00C76415" w:rsidP="00C76415">
      <w:pPr>
        <w:pBdr>
          <w:top w:val="single" w:sz="4" w:space="1" w:color="auto"/>
          <w:bottom w:val="single" w:sz="4" w:space="1" w:color="auto"/>
        </w:pBdr>
        <w:spacing w:after="120" w:line="320" w:lineRule="exact"/>
        <w:jc w:val="both"/>
        <w:rPr>
          <w:rFonts w:cs="FrankRuehl"/>
          <w:szCs w:val="26"/>
        </w:rPr>
      </w:pPr>
      <w:r w:rsidRPr="007522CD">
        <w:rPr>
          <w:rFonts w:cs="FrankRuehl"/>
          <w:szCs w:val="26"/>
          <w:rtl/>
        </w:rPr>
        <w:t xml:space="preserve">לאחר עיון בתסקירי שירות המבחן ובחינת נסיבות המקרה בכללותו, </w:t>
      </w:r>
      <w:r w:rsidRPr="007522CD">
        <w:rPr>
          <w:rFonts w:cs="FrankRuehl" w:hint="cs"/>
          <w:szCs w:val="26"/>
          <w:rtl/>
        </w:rPr>
        <w:t>ה</w:t>
      </w:r>
      <w:r w:rsidRPr="007522CD">
        <w:rPr>
          <w:rFonts w:cs="FrankRuehl"/>
          <w:szCs w:val="26"/>
          <w:rtl/>
        </w:rPr>
        <w:t>מסקנה</w:t>
      </w:r>
      <w:r w:rsidRPr="007522CD">
        <w:rPr>
          <w:rFonts w:cs="FrankRuehl" w:hint="cs"/>
          <w:szCs w:val="26"/>
          <w:rtl/>
        </w:rPr>
        <w:t xml:space="preserve"> היא</w:t>
      </w:r>
      <w:r w:rsidRPr="007522CD">
        <w:rPr>
          <w:rFonts w:cs="FrankRuehl"/>
          <w:szCs w:val="26"/>
          <w:rtl/>
        </w:rPr>
        <w:t xml:space="preserve"> כי </w:t>
      </w:r>
      <w:r w:rsidRPr="007522CD">
        <w:rPr>
          <w:rFonts w:cs="FrankRuehl" w:hint="cs"/>
          <w:szCs w:val="26"/>
          <w:rtl/>
        </w:rPr>
        <w:t xml:space="preserve">ראוי </w:t>
      </w:r>
      <w:r w:rsidRPr="007522CD">
        <w:rPr>
          <w:rFonts w:cs="FrankRuehl"/>
          <w:szCs w:val="26"/>
          <w:rtl/>
        </w:rPr>
        <w:t>להעדיף את הפן השיקומי ולסטות בשל כך ממתחם הענישה.</w:t>
      </w:r>
      <w:r w:rsidRPr="007522CD">
        <w:rPr>
          <w:rFonts w:cs="FrankRuehl" w:hint="cs"/>
          <w:szCs w:val="26"/>
          <w:rtl/>
        </w:rPr>
        <w:t xml:space="preserve"> הנאשם הוא צעיר כבן 29 ונסיבות חייו אינן פשוטות. עברו הפלילי נקי ולאחר תאונת עבודה שעבר נקטע רצף חייו ולאחרונה הוא שולב בהליך שיקום תעסוקתי במסגרת המוסד לביטוח לאומי. ממכתבה של מנהלת מרכז השיקום עולה כי הוא שולב באופן משביע רצון, משקיע זמן רב בשיקום ומביע מוטיבציה גדולה לשינוי והתקדמות על אף מגבלותיו הבריאותיות. </w:t>
      </w:r>
      <w:r w:rsidRPr="007522CD">
        <w:rPr>
          <w:rFonts w:cs="FrankRuehl"/>
          <w:szCs w:val="26"/>
          <w:rtl/>
        </w:rPr>
        <w:t xml:space="preserve">שירות המבחן התרשם </w:t>
      </w:r>
      <w:r w:rsidRPr="007522CD">
        <w:rPr>
          <w:rFonts w:cs="FrankRuehl" w:hint="cs"/>
          <w:szCs w:val="26"/>
          <w:rtl/>
        </w:rPr>
        <w:t>אף הוא ש</w:t>
      </w:r>
      <w:r w:rsidRPr="007522CD">
        <w:rPr>
          <w:rFonts w:cs="FrankRuehl"/>
          <w:szCs w:val="26"/>
          <w:rtl/>
        </w:rPr>
        <w:t xml:space="preserve">לנאשם רצון אמיתי בשינוי חייו וכי הוא יכול להיתרם מהליך </w:t>
      </w:r>
      <w:r w:rsidRPr="007522CD">
        <w:rPr>
          <w:rFonts w:cs="FrankRuehl" w:hint="cs"/>
          <w:szCs w:val="26"/>
          <w:rtl/>
        </w:rPr>
        <w:t>השיקום ובכך אף יפחת הסיכון להתנהגות עבריינית בעתיד</w:t>
      </w:r>
      <w:r w:rsidRPr="007522CD">
        <w:rPr>
          <w:rFonts w:cs="FrankRuehl"/>
          <w:szCs w:val="26"/>
          <w:rtl/>
        </w:rPr>
        <w:t>. לאור כך הומלץ על העמדתו ב</w:t>
      </w:r>
      <w:r w:rsidRPr="007522CD">
        <w:rPr>
          <w:rFonts w:cs="FrankRuehl" w:hint="cs"/>
          <w:szCs w:val="26"/>
          <w:rtl/>
        </w:rPr>
        <w:t xml:space="preserve">צו </w:t>
      </w:r>
      <w:r w:rsidRPr="007522CD">
        <w:rPr>
          <w:rFonts w:cs="FrankRuehl"/>
          <w:szCs w:val="26"/>
          <w:rtl/>
        </w:rPr>
        <w:t xml:space="preserve">מבחן בצירוף צו של"צ. </w:t>
      </w:r>
    </w:p>
    <w:p w14:paraId="58DB5965"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szCs w:val="26"/>
          <w:rtl/>
        </w:rPr>
        <w:t>עמדה זו רא</w:t>
      </w:r>
      <w:r w:rsidRPr="007522CD">
        <w:rPr>
          <w:rFonts w:cs="FrankRuehl" w:hint="cs"/>
          <w:szCs w:val="26"/>
          <w:rtl/>
        </w:rPr>
        <w:t>ו</w:t>
      </w:r>
      <w:r w:rsidRPr="007522CD">
        <w:rPr>
          <w:rFonts w:cs="FrankRuehl"/>
          <w:szCs w:val="26"/>
          <w:rtl/>
        </w:rPr>
        <w:t>יה בהחלט. שירות המבחן הו</w:t>
      </w:r>
      <w:r w:rsidRPr="007522CD">
        <w:rPr>
          <w:rFonts w:cs="FrankRuehl" w:hint="cs"/>
          <w:szCs w:val="26"/>
          <w:rtl/>
        </w:rPr>
        <w:t>א</w:t>
      </w:r>
      <w:r w:rsidRPr="007522CD">
        <w:rPr>
          <w:rFonts w:cs="FrankRuehl"/>
          <w:szCs w:val="26"/>
          <w:rtl/>
        </w:rPr>
        <w:t xml:space="preserve"> הגוף המקצועי האמון על שיקום נאשמים ועל הערכת הסיכויים לכך. קצין המבחן משמש כזרועו הארוכה של בית המשפט לעניין זה, ועל אף שאין הכרח לאמץ את המלצתו, ברי כי להמלצת שירות המבחן משקל ממשי בבואו של בית המשפט לגזור את דינו של נאשם. על חומרת העביר</w:t>
      </w:r>
      <w:r w:rsidRPr="007522CD">
        <w:rPr>
          <w:rFonts w:cs="FrankRuehl" w:hint="cs"/>
          <w:szCs w:val="26"/>
          <w:rtl/>
        </w:rPr>
        <w:t>ה</w:t>
      </w:r>
      <w:r w:rsidRPr="007522CD">
        <w:rPr>
          <w:rFonts w:cs="FrankRuehl"/>
          <w:szCs w:val="26"/>
          <w:rtl/>
        </w:rPr>
        <w:t xml:space="preserve"> במקרה זה אין חולק. עם זאת, במקרה זה אין זה נכון להטיל על הנאשם עונש מאסר</w:t>
      </w:r>
      <w:r w:rsidRPr="007522CD">
        <w:rPr>
          <w:rFonts w:cs="FrankRuehl" w:hint="cs"/>
          <w:szCs w:val="26"/>
          <w:rtl/>
        </w:rPr>
        <w:t xml:space="preserve"> כעתירת המאשימה,</w:t>
      </w:r>
      <w:r w:rsidRPr="007522CD">
        <w:rPr>
          <w:rFonts w:cs="FrankRuehl"/>
          <w:szCs w:val="26"/>
          <w:rtl/>
        </w:rPr>
        <w:t xml:space="preserve"> ולו בעבודות שירות. הנאשם אינו בעל דפוסי התנהגות עברייניים. הוא צעיר ועברו נקי</w:t>
      </w:r>
      <w:r w:rsidRPr="007522CD">
        <w:rPr>
          <w:rFonts w:cs="FrankRuehl" w:hint="cs"/>
          <w:szCs w:val="26"/>
          <w:rtl/>
        </w:rPr>
        <w:t xml:space="preserve">. בשנים האחרונות הוא מתמודד עם פציעה לאחר תאונת עבודה, בגינה נקבעה לו נכות צמיתה. כיום הנאשם מחזיק ברישיון צריכת קנאביס מטעמים רפואיים. </w:t>
      </w:r>
      <w:r w:rsidRPr="007522CD">
        <w:rPr>
          <w:rFonts w:cs="FrankRuehl"/>
          <w:szCs w:val="26"/>
          <w:rtl/>
        </w:rPr>
        <w:t>נסיבות אלו, על רקע מהות העביר</w:t>
      </w:r>
      <w:r w:rsidRPr="007522CD">
        <w:rPr>
          <w:rFonts w:cs="FrankRuehl" w:hint="cs"/>
          <w:szCs w:val="26"/>
          <w:rtl/>
        </w:rPr>
        <w:t>ה</w:t>
      </w:r>
      <w:r w:rsidRPr="007522CD">
        <w:rPr>
          <w:rFonts w:cs="FrankRuehl"/>
          <w:szCs w:val="26"/>
          <w:rtl/>
        </w:rPr>
        <w:t xml:space="preserve"> </w:t>
      </w:r>
      <w:r w:rsidRPr="007522CD">
        <w:rPr>
          <w:rFonts w:cs="FrankRuehl" w:hint="cs"/>
          <w:szCs w:val="26"/>
          <w:rtl/>
        </w:rPr>
        <w:t xml:space="preserve">ונסיבותיה, כמו גם </w:t>
      </w:r>
      <w:r w:rsidRPr="007522CD">
        <w:rPr>
          <w:rFonts w:cs="FrankRuehl"/>
          <w:szCs w:val="26"/>
          <w:rtl/>
        </w:rPr>
        <w:t>המלצת שירות המבחן, מביא</w:t>
      </w:r>
      <w:r w:rsidRPr="007522CD">
        <w:rPr>
          <w:rFonts w:cs="FrankRuehl" w:hint="cs"/>
          <w:szCs w:val="26"/>
          <w:rtl/>
        </w:rPr>
        <w:t>ות</w:t>
      </w:r>
      <w:r w:rsidRPr="007522CD">
        <w:rPr>
          <w:rFonts w:cs="FrankRuehl"/>
          <w:szCs w:val="26"/>
          <w:rtl/>
        </w:rPr>
        <w:t xml:space="preserve"> למסקנה לפיה עונש מאסר אינו הולם את נסיבות המקרה ונסיבות העושה</w:t>
      </w:r>
      <w:r w:rsidRPr="007522CD">
        <w:rPr>
          <w:rFonts w:cs="FrankRuehl" w:hint="cs"/>
          <w:szCs w:val="26"/>
          <w:rtl/>
        </w:rPr>
        <w:t>. בצד דברים אלו, יש לקבוע תקופת מבחן ממושכת מזו עליה המליצה קצינת המבחן וזאת על מנת להבטיח רצף טיפולי ארוך יותר.</w:t>
      </w:r>
    </w:p>
    <w:p w14:paraId="72015DE4" w14:textId="77777777" w:rsidR="00C76415" w:rsidRPr="007522CD" w:rsidRDefault="00C76415" w:rsidP="00C76415">
      <w:pPr>
        <w:pBdr>
          <w:top w:val="single" w:sz="4" w:space="1" w:color="auto"/>
          <w:bottom w:val="single" w:sz="4" w:space="1" w:color="auto"/>
        </w:pBdr>
        <w:spacing w:after="120" w:line="320" w:lineRule="exact"/>
        <w:jc w:val="both"/>
        <w:rPr>
          <w:rFonts w:cs="FrankRuehl" w:hint="cs"/>
          <w:szCs w:val="26"/>
          <w:rtl/>
        </w:rPr>
      </w:pPr>
      <w:r w:rsidRPr="007522CD">
        <w:rPr>
          <w:rFonts w:cs="FrankRuehl"/>
          <w:szCs w:val="26"/>
          <w:rtl/>
        </w:rPr>
        <w:t xml:space="preserve">סיכומו של דבר, לאחר </w:t>
      </w:r>
      <w:r w:rsidRPr="007522CD">
        <w:rPr>
          <w:rFonts w:cs="FrankRuehl" w:hint="cs"/>
          <w:szCs w:val="26"/>
          <w:rtl/>
        </w:rPr>
        <w:t>בחינת</w:t>
      </w:r>
      <w:r w:rsidRPr="007522CD">
        <w:rPr>
          <w:rFonts w:cs="FrankRuehl"/>
          <w:szCs w:val="26"/>
          <w:rtl/>
        </w:rPr>
        <w:t xml:space="preserve"> מכלול השיקולים, הן לקולה והן לחומרה, </w:t>
      </w:r>
      <w:r w:rsidRPr="007522CD">
        <w:rPr>
          <w:rFonts w:cs="FrankRuehl" w:hint="cs"/>
          <w:szCs w:val="26"/>
          <w:rtl/>
        </w:rPr>
        <w:t xml:space="preserve">יש מקום לחרוג ממתחם הענישה ולהטיל </w:t>
      </w:r>
      <w:r w:rsidRPr="007522CD">
        <w:rPr>
          <w:rFonts w:cs="FrankRuehl"/>
          <w:szCs w:val="26"/>
          <w:rtl/>
        </w:rPr>
        <w:t xml:space="preserve">על הנאשם </w:t>
      </w:r>
      <w:r w:rsidRPr="007522CD">
        <w:rPr>
          <w:rFonts w:cs="FrankRuehl" w:hint="cs"/>
          <w:szCs w:val="26"/>
          <w:rtl/>
        </w:rPr>
        <w:t>250</w:t>
      </w:r>
      <w:r w:rsidRPr="007522CD">
        <w:rPr>
          <w:rFonts w:cs="FrankRuehl"/>
          <w:szCs w:val="26"/>
          <w:rtl/>
        </w:rPr>
        <w:t xml:space="preserve"> שעות של"צ</w:t>
      </w:r>
      <w:r w:rsidRPr="007522CD">
        <w:rPr>
          <w:rFonts w:cs="FrankRuehl" w:hint="cs"/>
          <w:szCs w:val="26"/>
          <w:rtl/>
        </w:rPr>
        <w:t>, צו</w:t>
      </w:r>
      <w:r w:rsidRPr="007522CD">
        <w:rPr>
          <w:rFonts w:cs="FrankRuehl"/>
          <w:szCs w:val="26"/>
          <w:rtl/>
        </w:rPr>
        <w:t xml:space="preserve"> מבחן למשך 12 חודשים</w:t>
      </w:r>
      <w:r w:rsidRPr="007522CD">
        <w:rPr>
          <w:rFonts w:cs="FrankRuehl" w:hint="cs"/>
          <w:szCs w:val="26"/>
          <w:rtl/>
        </w:rPr>
        <w:t xml:space="preserve">, </w:t>
      </w:r>
      <w:r w:rsidRPr="007522CD">
        <w:rPr>
          <w:rFonts w:cs="FrankRuehl"/>
          <w:szCs w:val="26"/>
          <w:rtl/>
        </w:rPr>
        <w:t>מאסר על תנאי</w:t>
      </w:r>
      <w:r w:rsidRPr="007522CD">
        <w:rPr>
          <w:rFonts w:cs="FrankRuehl" w:hint="cs"/>
          <w:szCs w:val="26"/>
          <w:rtl/>
        </w:rPr>
        <w:t xml:space="preserve"> וקנס בסך 4,000 ₪.</w:t>
      </w:r>
    </w:p>
    <w:p w14:paraId="397BEABD" w14:textId="77777777" w:rsidR="00C76415" w:rsidRDefault="00C76415" w:rsidP="001044E1">
      <w:pPr>
        <w:rPr>
          <w:rFonts w:ascii="David" w:hAnsi="David"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43AC" w:rsidRPr="000B1AD9" w14:paraId="2426D082" w14:textId="77777777" w:rsidTr="00D143AC">
        <w:trPr>
          <w:trHeight w:val="355"/>
          <w:jc w:val="center"/>
        </w:trPr>
        <w:tc>
          <w:tcPr>
            <w:tcW w:w="8820" w:type="dxa"/>
            <w:tcBorders>
              <w:top w:val="nil"/>
              <w:left w:val="nil"/>
              <w:bottom w:val="nil"/>
              <w:right w:val="nil"/>
            </w:tcBorders>
            <w:shd w:val="clear" w:color="auto" w:fill="auto"/>
          </w:tcPr>
          <w:p w14:paraId="61E938B0" w14:textId="77777777" w:rsidR="00503DE9" w:rsidRPr="00503DE9" w:rsidRDefault="00503DE9" w:rsidP="00503DE9">
            <w:pPr>
              <w:jc w:val="center"/>
              <w:rPr>
                <w:rFonts w:ascii="David" w:hAnsi="David"/>
                <w:b/>
                <w:bCs/>
                <w:sz w:val="28"/>
                <w:szCs w:val="28"/>
                <w:u w:val="single"/>
                <w:rtl/>
              </w:rPr>
            </w:pPr>
            <w:bookmarkStart w:id="6" w:name="PsakDin" w:colFirst="0" w:colLast="0"/>
            <w:r w:rsidRPr="00503DE9">
              <w:rPr>
                <w:rFonts w:ascii="David" w:hAnsi="David"/>
                <w:b/>
                <w:bCs/>
                <w:sz w:val="28"/>
                <w:szCs w:val="28"/>
                <w:u w:val="single"/>
                <w:rtl/>
              </w:rPr>
              <w:t>גזר דין</w:t>
            </w:r>
          </w:p>
          <w:p w14:paraId="4B30A495" w14:textId="77777777" w:rsidR="00D143AC" w:rsidRPr="00503DE9" w:rsidRDefault="00D143AC" w:rsidP="00503DE9">
            <w:pPr>
              <w:jc w:val="center"/>
              <w:rPr>
                <w:rFonts w:ascii="David" w:hAnsi="David"/>
                <w:b/>
                <w:bCs/>
                <w:u w:val="single"/>
                <w:rtl/>
              </w:rPr>
            </w:pPr>
          </w:p>
        </w:tc>
      </w:tr>
      <w:bookmarkEnd w:id="6"/>
    </w:tbl>
    <w:p w14:paraId="0019BFAE" w14:textId="77777777" w:rsidR="00D143AC" w:rsidRPr="000B1AD9" w:rsidRDefault="00D143AC" w:rsidP="00D143AC">
      <w:pPr>
        <w:rPr>
          <w:rFonts w:ascii="David" w:hAnsi="David"/>
          <w:rtl/>
        </w:rPr>
      </w:pPr>
    </w:p>
    <w:p w14:paraId="76DB2F61" w14:textId="77777777" w:rsidR="00D143AC" w:rsidRDefault="00D143AC" w:rsidP="00D143AC">
      <w:pPr>
        <w:spacing w:line="360" w:lineRule="auto"/>
        <w:jc w:val="both"/>
        <w:rPr>
          <w:rFonts w:ascii="David" w:hAnsi="David"/>
          <w:rtl/>
        </w:rPr>
      </w:pPr>
      <w:r>
        <w:rPr>
          <w:rFonts w:ascii="David" w:hAnsi="David" w:hint="cs"/>
          <w:b/>
          <w:bCs/>
          <w:u w:val="single"/>
          <w:rtl/>
        </w:rPr>
        <w:t>כתב האישום וההליכים</w:t>
      </w:r>
    </w:p>
    <w:p w14:paraId="51B58CC8" w14:textId="77777777" w:rsidR="00D143AC" w:rsidRDefault="00D143AC" w:rsidP="00D143AC">
      <w:pPr>
        <w:spacing w:line="360" w:lineRule="auto"/>
        <w:jc w:val="both"/>
        <w:rPr>
          <w:rFonts w:ascii="David" w:hAnsi="David"/>
          <w:rtl/>
        </w:rPr>
      </w:pPr>
    </w:p>
    <w:p w14:paraId="3CE6B58A" w14:textId="77777777" w:rsidR="00D143AC" w:rsidRDefault="00D143AC" w:rsidP="00D143AC">
      <w:pPr>
        <w:pStyle w:val="ListParagraph"/>
        <w:numPr>
          <w:ilvl w:val="0"/>
          <w:numId w:val="1"/>
        </w:numPr>
        <w:spacing w:line="360" w:lineRule="auto"/>
        <w:jc w:val="both"/>
        <w:rPr>
          <w:rFonts w:ascii="David" w:hAnsi="David"/>
        </w:rPr>
      </w:pPr>
      <w:r>
        <w:rPr>
          <w:rFonts w:ascii="David" w:hAnsi="David" w:hint="cs"/>
          <w:rtl/>
        </w:rPr>
        <w:lastRenderedPageBreak/>
        <w:t xml:space="preserve">הנאשם הורשע על פי הודאתו בכתב אישום מתוקן בעבירת </w:t>
      </w:r>
      <w:r w:rsidRPr="007D23ED">
        <w:rPr>
          <w:rFonts w:ascii="David" w:hAnsi="David"/>
          <w:rtl/>
        </w:rPr>
        <w:t xml:space="preserve">גידול, ייצור, הכנת סמים מסוכנים, לפי </w:t>
      </w:r>
      <w:hyperlink r:id="rId24" w:history="1">
        <w:r w:rsidR="00B45F31" w:rsidRPr="00B45F31">
          <w:rPr>
            <w:rStyle w:val="Hyperlink"/>
            <w:rFonts w:ascii="David" w:hAnsi="David"/>
            <w:rtl/>
          </w:rPr>
          <w:t>סעיף 6</w:t>
        </w:r>
      </w:hyperlink>
      <w:r w:rsidRPr="007D23ED">
        <w:rPr>
          <w:rFonts w:ascii="David" w:hAnsi="David"/>
          <w:rtl/>
        </w:rPr>
        <w:t xml:space="preserve"> ל</w:t>
      </w:r>
      <w:hyperlink r:id="rId25" w:history="1">
        <w:r w:rsidR="00503DE9" w:rsidRPr="00503DE9">
          <w:rPr>
            <w:rFonts w:ascii="David" w:hAnsi="David"/>
            <w:color w:val="0000FF"/>
            <w:u w:val="single"/>
            <w:rtl/>
          </w:rPr>
          <w:t>פקודת הסמים המסוכנים</w:t>
        </w:r>
      </w:hyperlink>
      <w:r w:rsidRPr="007D23ED">
        <w:rPr>
          <w:rFonts w:ascii="David" w:hAnsi="David"/>
          <w:rtl/>
        </w:rPr>
        <w:t xml:space="preserve"> (נוסח חדש) תשל"ג-1973 (להלן - </w:t>
      </w:r>
      <w:r w:rsidRPr="00A55314">
        <w:rPr>
          <w:rFonts w:ascii="David" w:hAnsi="David" w:cs="Miriam"/>
          <w:rtl/>
        </w:rPr>
        <w:t>פקודת הסמים</w:t>
      </w:r>
      <w:r w:rsidRPr="007D23ED">
        <w:rPr>
          <w:rFonts w:ascii="David" w:hAnsi="David"/>
          <w:rtl/>
        </w:rPr>
        <w:t xml:space="preserve">). בהתאם לעובדות האישום, </w:t>
      </w:r>
      <w:r>
        <w:rPr>
          <w:rFonts w:ascii="David" w:hAnsi="David" w:hint="cs"/>
          <w:rtl/>
        </w:rPr>
        <w:t>שכר הנאשם דירה ו</w:t>
      </w:r>
      <w:r w:rsidRPr="007D23ED">
        <w:rPr>
          <w:rFonts w:ascii="David" w:hAnsi="David"/>
          <w:rtl/>
        </w:rPr>
        <w:t>ביום</w:t>
      </w:r>
      <w:r>
        <w:rPr>
          <w:rFonts w:ascii="David" w:hAnsi="David" w:hint="cs"/>
          <w:rtl/>
        </w:rPr>
        <w:t xml:space="preserve"> 19.3.19 גידל בה 12 שתילי קנבוס במשקל כולל של 1387.17 גרם נטו. כן צוין בכתב האישום כי "</w:t>
      </w:r>
      <w:r w:rsidRPr="00400CB0">
        <w:rPr>
          <w:rFonts w:ascii="Miriam" w:hAnsi="Miriam" w:cs="Miriam"/>
          <w:rtl/>
        </w:rPr>
        <w:t>באותו מעמד</w:t>
      </w:r>
      <w:r>
        <w:rPr>
          <w:rFonts w:ascii="David" w:hAnsi="David" w:hint="cs"/>
          <w:rtl/>
        </w:rPr>
        <w:t>" החזיק הנאשם בדירה 249 גרם נטו של סם מסוג קנבוס, שהוא "</w:t>
      </w:r>
      <w:r w:rsidRPr="00400CB0">
        <w:rPr>
          <w:rFonts w:ascii="Miriam" w:hAnsi="Miriam" w:cs="Miriam"/>
          <w:rtl/>
        </w:rPr>
        <w:t>תוצר של הגידול</w:t>
      </w:r>
      <w:r>
        <w:rPr>
          <w:rFonts w:ascii="David" w:hAnsi="David" w:hint="cs"/>
          <w:rtl/>
        </w:rPr>
        <w:t xml:space="preserve">", וכן </w:t>
      </w:r>
      <w:r>
        <w:rPr>
          <w:rFonts w:hint="cs"/>
          <w:rtl/>
        </w:rPr>
        <w:t xml:space="preserve">בכלים </w:t>
      </w:r>
      <w:r>
        <w:rPr>
          <w:rtl/>
        </w:rPr>
        <w:t xml:space="preserve">המשמשים לייצור הסמים </w:t>
      </w:r>
      <w:r>
        <w:rPr>
          <w:rFonts w:ascii="David" w:hAnsi="David" w:hint="cs"/>
          <w:rtl/>
        </w:rPr>
        <w:t xml:space="preserve">ומשקל. </w:t>
      </w:r>
    </w:p>
    <w:p w14:paraId="79CF43A6" w14:textId="77777777" w:rsidR="00D143AC" w:rsidRDefault="00D143AC" w:rsidP="00D143AC">
      <w:pPr>
        <w:pStyle w:val="ListParagraph"/>
        <w:ind w:left="0"/>
        <w:jc w:val="both"/>
        <w:rPr>
          <w:rFonts w:ascii="David" w:hAnsi="David"/>
        </w:rPr>
      </w:pPr>
    </w:p>
    <w:p w14:paraId="1F633350" w14:textId="77777777" w:rsidR="00D143AC" w:rsidRDefault="00D143AC" w:rsidP="00D143AC">
      <w:pPr>
        <w:pStyle w:val="ListParagraph"/>
        <w:numPr>
          <w:ilvl w:val="0"/>
          <w:numId w:val="1"/>
        </w:numPr>
        <w:spacing w:line="360" w:lineRule="auto"/>
        <w:jc w:val="both"/>
        <w:rPr>
          <w:rFonts w:ascii="David" w:hAnsi="David"/>
        </w:rPr>
      </w:pPr>
      <w:r>
        <w:rPr>
          <w:rFonts w:ascii="David" w:hAnsi="David" w:hint="cs"/>
          <w:rtl/>
        </w:rPr>
        <w:t>הודאת הנאשם באה במסגרת הסדר טיעון לפיו תוקן כתב האישום והנאשם הופנה לשירות המבחן לצורך עריכת תסקיר בעניינו, זאת ללא הסכמה עונשית.</w:t>
      </w:r>
    </w:p>
    <w:p w14:paraId="3BB44F37" w14:textId="77777777" w:rsidR="00D143AC" w:rsidRDefault="00D143AC" w:rsidP="00D143AC">
      <w:pPr>
        <w:pStyle w:val="ListParagraph"/>
        <w:ind w:left="0"/>
        <w:jc w:val="both"/>
        <w:rPr>
          <w:rFonts w:ascii="David" w:hAnsi="David"/>
          <w:rtl/>
        </w:rPr>
      </w:pPr>
    </w:p>
    <w:p w14:paraId="0F4FD1F1" w14:textId="77777777" w:rsidR="00D143AC" w:rsidRDefault="00D143AC" w:rsidP="00D143AC">
      <w:pPr>
        <w:pStyle w:val="ListParagraph"/>
        <w:spacing w:line="360" w:lineRule="auto"/>
        <w:ind w:left="0"/>
        <w:jc w:val="both"/>
        <w:rPr>
          <w:rFonts w:ascii="David" w:hAnsi="David"/>
          <w:b/>
          <w:bCs/>
          <w:u w:val="single"/>
          <w:rtl/>
        </w:rPr>
      </w:pPr>
      <w:r>
        <w:rPr>
          <w:rFonts w:ascii="David" w:hAnsi="David" w:hint="cs"/>
          <w:b/>
          <w:bCs/>
          <w:u w:val="single"/>
          <w:rtl/>
        </w:rPr>
        <w:t>תסקירי שירות המבחן</w:t>
      </w:r>
    </w:p>
    <w:p w14:paraId="0435BFAE" w14:textId="77777777" w:rsidR="00D143AC" w:rsidRPr="007834D0" w:rsidRDefault="00D143AC" w:rsidP="00D143AC">
      <w:pPr>
        <w:pStyle w:val="ListParagraph"/>
        <w:ind w:left="0"/>
        <w:jc w:val="both"/>
        <w:rPr>
          <w:rFonts w:ascii="David" w:hAnsi="David"/>
          <w:b/>
          <w:bCs/>
          <w:u w:val="single"/>
        </w:rPr>
      </w:pPr>
    </w:p>
    <w:p w14:paraId="1D07215F" w14:textId="77777777" w:rsidR="00D143AC" w:rsidRDefault="00D143AC" w:rsidP="00D143AC">
      <w:pPr>
        <w:pStyle w:val="ListParagraph"/>
        <w:numPr>
          <w:ilvl w:val="0"/>
          <w:numId w:val="1"/>
        </w:numPr>
        <w:spacing w:line="360" w:lineRule="auto"/>
        <w:jc w:val="both"/>
        <w:rPr>
          <w:rFonts w:ascii="David" w:hAnsi="David"/>
        </w:rPr>
      </w:pPr>
      <w:r w:rsidRPr="00C07DB9">
        <w:rPr>
          <w:rFonts w:ascii="David" w:hAnsi="David" w:hint="cs"/>
          <w:rtl/>
        </w:rPr>
        <w:t>שירות המבחן הגיש שני תסקירים בעניינו של הנאשם, ומטעמים של צנעת הפרט לא אפרט יתר על המידה את הדברים</w:t>
      </w:r>
      <w:r>
        <w:rPr>
          <w:rFonts w:ascii="David" w:hAnsi="David" w:hint="cs"/>
          <w:rtl/>
        </w:rPr>
        <w:t xml:space="preserve"> (בהקשר זה ראו: </w:t>
      </w:r>
      <w:hyperlink r:id="rId26" w:history="1">
        <w:r w:rsidR="00503DE9" w:rsidRPr="00503DE9">
          <w:rPr>
            <w:rFonts w:ascii="David" w:hAnsi="David"/>
            <w:color w:val="0000FF"/>
            <w:u w:val="single"/>
            <w:rtl/>
          </w:rPr>
          <w:t>ע"א 6356/20</w:t>
        </w:r>
      </w:hyperlink>
      <w:r w:rsidRPr="00507EE4">
        <w:rPr>
          <w:rFonts w:ascii="David" w:hAnsi="David"/>
          <w:rtl/>
        </w:rPr>
        <w:t xml:space="preserve"> </w:t>
      </w:r>
      <w:r w:rsidRPr="00507EE4">
        <w:rPr>
          <w:rFonts w:ascii="David" w:hAnsi="David"/>
          <w:b/>
          <w:bCs/>
          <w:rtl/>
        </w:rPr>
        <w:t>פלוני נ' מדינת ישראל</w:t>
      </w:r>
      <w:r>
        <w:rPr>
          <w:rFonts w:ascii="David" w:hAnsi="David" w:hint="cs"/>
          <w:rtl/>
        </w:rPr>
        <w:t xml:space="preserve"> </w:t>
      </w:r>
      <w:r w:rsidR="001044E1" w:rsidRPr="001044E1">
        <w:rPr>
          <w:sz w:val="22"/>
          <w:rtl/>
        </w:rPr>
        <w:t xml:space="preserve">[פורסם בנבו] </w:t>
      </w:r>
      <w:r>
        <w:rPr>
          <w:rFonts w:ascii="David" w:hAnsi="David" w:hint="cs"/>
          <w:rtl/>
        </w:rPr>
        <w:t>(21.10.2021))</w:t>
      </w:r>
      <w:r w:rsidRPr="00C07DB9">
        <w:rPr>
          <w:rFonts w:ascii="David" w:hAnsi="David" w:hint="cs"/>
          <w:rtl/>
        </w:rPr>
        <w:t xml:space="preserve">. בתמצית ייאמר כי הנאשם </w:t>
      </w:r>
      <w:r>
        <w:rPr>
          <w:rFonts w:ascii="David" w:hAnsi="David" w:hint="cs"/>
          <w:rtl/>
        </w:rPr>
        <w:t xml:space="preserve">נעדר עבר פלילי, </w:t>
      </w:r>
      <w:r w:rsidRPr="00C07DB9">
        <w:rPr>
          <w:rFonts w:ascii="David" w:hAnsi="David" w:hint="cs"/>
          <w:rtl/>
        </w:rPr>
        <w:t xml:space="preserve">רווק כבן 29 המתגורר בבית הוריו, אינו עובד </w:t>
      </w:r>
      <w:r>
        <w:rPr>
          <w:rFonts w:ascii="David" w:hAnsi="David" w:hint="cs"/>
          <w:rtl/>
        </w:rPr>
        <w:t xml:space="preserve">כיום בין היתר בשל תאונת עבודה בעטיה </w:t>
      </w:r>
      <w:r w:rsidRPr="00C07DB9">
        <w:rPr>
          <w:rFonts w:ascii="David" w:hAnsi="David" w:hint="cs"/>
          <w:rtl/>
        </w:rPr>
        <w:t>נקבעה לו נכות צמיתה</w:t>
      </w:r>
      <w:r>
        <w:rPr>
          <w:rFonts w:ascii="David" w:hAnsi="David" w:hint="cs"/>
          <w:rtl/>
        </w:rPr>
        <w:t>.</w:t>
      </w:r>
      <w:r w:rsidRPr="00C07DB9">
        <w:rPr>
          <w:rFonts w:ascii="David" w:hAnsi="David" w:hint="cs"/>
          <w:rtl/>
        </w:rPr>
        <w:t xml:space="preserve"> הנאשם תאר כי מגיל 20 החל לצרוך קנביס</w:t>
      </w:r>
      <w:r w:rsidRPr="00E3600B">
        <w:rPr>
          <w:rFonts w:ascii="David" w:hAnsi="David" w:hint="cs"/>
          <w:rtl/>
        </w:rPr>
        <w:t xml:space="preserve"> </w:t>
      </w:r>
      <w:r w:rsidRPr="00C07DB9">
        <w:rPr>
          <w:rFonts w:ascii="David" w:hAnsi="David" w:hint="cs"/>
          <w:rtl/>
        </w:rPr>
        <w:t>ו</w:t>
      </w:r>
      <w:r>
        <w:rPr>
          <w:rFonts w:ascii="David" w:hAnsi="David" w:hint="cs"/>
          <w:rtl/>
        </w:rPr>
        <w:t xml:space="preserve">כי לפני כשנתיים קיבל </w:t>
      </w:r>
      <w:r w:rsidRPr="00C07DB9">
        <w:rPr>
          <w:rFonts w:ascii="David" w:hAnsi="David" w:hint="cs"/>
          <w:rtl/>
        </w:rPr>
        <w:t>אישור לצריכת קנביס רפואי</w:t>
      </w:r>
      <w:r>
        <w:rPr>
          <w:rFonts w:ascii="David" w:hAnsi="David" w:hint="cs"/>
          <w:rtl/>
        </w:rPr>
        <w:t xml:space="preserve"> בעקבות מצבו הרפואי. </w:t>
      </w:r>
      <w:r w:rsidRPr="00C07DB9">
        <w:rPr>
          <w:rFonts w:ascii="David" w:hAnsi="David" w:hint="cs"/>
          <w:rtl/>
        </w:rPr>
        <w:t>ביחס לביצוע העבירה</w:t>
      </w:r>
      <w:r>
        <w:rPr>
          <w:rFonts w:ascii="David" w:hAnsi="David" w:hint="cs"/>
          <w:rtl/>
        </w:rPr>
        <w:t>,</w:t>
      </w:r>
      <w:r w:rsidRPr="00C07DB9">
        <w:rPr>
          <w:rFonts w:ascii="David" w:hAnsi="David" w:hint="cs"/>
          <w:rtl/>
        </w:rPr>
        <w:t xml:space="preserve"> בתחילה </w:t>
      </w:r>
      <w:r w:rsidRPr="00C07DB9">
        <w:rPr>
          <w:rFonts w:ascii="Arial" w:hAnsi="Arial"/>
          <w:rtl/>
        </w:rPr>
        <w:t xml:space="preserve">הפגין </w:t>
      </w:r>
      <w:r w:rsidRPr="00C07DB9">
        <w:rPr>
          <w:rFonts w:ascii="Arial" w:hAnsi="Arial" w:hint="cs"/>
          <w:rtl/>
        </w:rPr>
        <w:t xml:space="preserve">הנאשם </w:t>
      </w:r>
      <w:r>
        <w:rPr>
          <w:rFonts w:ascii="Arial" w:hAnsi="Arial"/>
          <w:rtl/>
        </w:rPr>
        <w:t>עמדות המצדדות בצריכת קנב</w:t>
      </w:r>
      <w:r>
        <w:rPr>
          <w:rFonts w:ascii="Arial" w:hAnsi="Arial" w:hint="cs"/>
          <w:rtl/>
        </w:rPr>
        <w:t>י</w:t>
      </w:r>
      <w:r w:rsidRPr="00C07DB9">
        <w:rPr>
          <w:rFonts w:ascii="Arial" w:hAnsi="Arial"/>
          <w:rtl/>
        </w:rPr>
        <w:t>ס</w:t>
      </w:r>
      <w:r>
        <w:rPr>
          <w:rFonts w:ascii="David" w:hAnsi="David" w:hint="cs"/>
          <w:rtl/>
        </w:rPr>
        <w:t xml:space="preserve">, </w:t>
      </w:r>
      <w:r w:rsidRPr="00C07DB9">
        <w:rPr>
          <w:rFonts w:ascii="David" w:hAnsi="David" w:hint="cs"/>
          <w:rtl/>
        </w:rPr>
        <w:t>התקשה לזהות קשיים שעמדו ברקע להתנהלותו ולא ראה צורך בעריכת שינוי</w:t>
      </w:r>
      <w:r>
        <w:rPr>
          <w:rFonts w:ascii="David" w:hAnsi="David" w:hint="cs"/>
          <w:rtl/>
        </w:rPr>
        <w:t xml:space="preserve"> כלשהו</w:t>
      </w:r>
      <w:r w:rsidRPr="00C07DB9">
        <w:rPr>
          <w:rFonts w:ascii="David" w:hAnsi="David" w:hint="cs"/>
          <w:rtl/>
        </w:rPr>
        <w:t xml:space="preserve">. </w:t>
      </w:r>
      <w:r>
        <w:rPr>
          <w:rFonts w:ascii="David" w:hAnsi="David" w:hint="cs"/>
          <w:rtl/>
        </w:rPr>
        <w:t>עם זאת, מה</w:t>
      </w:r>
      <w:r w:rsidRPr="00C07DB9">
        <w:rPr>
          <w:rFonts w:ascii="David" w:hAnsi="David" w:hint="cs"/>
          <w:rtl/>
        </w:rPr>
        <w:t xml:space="preserve">תסקיר </w:t>
      </w:r>
      <w:r>
        <w:rPr>
          <w:rFonts w:ascii="David" w:hAnsi="David" w:hint="cs"/>
          <w:rtl/>
        </w:rPr>
        <w:t>ה</w:t>
      </w:r>
      <w:r w:rsidRPr="00C07DB9">
        <w:rPr>
          <w:rFonts w:ascii="David" w:hAnsi="David" w:hint="cs"/>
          <w:rtl/>
        </w:rPr>
        <w:t xml:space="preserve">משלים שהוגש </w:t>
      </w:r>
      <w:r>
        <w:rPr>
          <w:rFonts w:ascii="David" w:hAnsi="David" w:hint="cs"/>
          <w:rtl/>
        </w:rPr>
        <w:t>עלה ש</w:t>
      </w:r>
      <w:r w:rsidRPr="00C07DB9">
        <w:rPr>
          <w:rFonts w:ascii="David" w:hAnsi="David" w:hint="cs"/>
          <w:rtl/>
        </w:rPr>
        <w:t>הנאשם ש</w:t>
      </w:r>
      <w:r>
        <w:rPr>
          <w:rFonts w:ascii="David" w:hAnsi="David" w:hint="cs"/>
          <w:rtl/>
        </w:rPr>
        <w:t>י</w:t>
      </w:r>
      <w:r w:rsidRPr="00C07DB9">
        <w:rPr>
          <w:rFonts w:ascii="David" w:hAnsi="David" w:hint="cs"/>
          <w:rtl/>
        </w:rPr>
        <w:t>תף פעולה באופן חיובי</w:t>
      </w:r>
      <w:r>
        <w:rPr>
          <w:rFonts w:ascii="David" w:hAnsi="David" w:hint="cs"/>
          <w:rtl/>
        </w:rPr>
        <w:t xml:space="preserve"> וחשף את קשייו. צוין כי הנאשם השתלב ב</w:t>
      </w:r>
      <w:r w:rsidRPr="00C07DB9">
        <w:rPr>
          <w:rFonts w:ascii="David" w:hAnsi="David" w:hint="cs"/>
          <w:rtl/>
        </w:rPr>
        <w:t xml:space="preserve">הליך שיקום תעסוקתי מטעם המוסד לביטוח לאומי והפרוגנוזה שהתקבלה ממנהלת תכנית השיקום הייתה חיובית. קצינת המבחן </w:t>
      </w:r>
      <w:r>
        <w:rPr>
          <w:rFonts w:ascii="David" w:hAnsi="David" w:hint="cs"/>
          <w:rtl/>
        </w:rPr>
        <w:t>התרש</w:t>
      </w:r>
      <w:r w:rsidRPr="00C07DB9">
        <w:rPr>
          <w:rFonts w:ascii="David" w:hAnsi="David" w:hint="cs"/>
          <w:rtl/>
        </w:rPr>
        <w:t xml:space="preserve">מה </w:t>
      </w:r>
      <w:r>
        <w:rPr>
          <w:rFonts w:ascii="David" w:hAnsi="David" w:hint="cs"/>
          <w:rtl/>
        </w:rPr>
        <w:t>ש</w:t>
      </w:r>
      <w:r w:rsidRPr="00C07DB9">
        <w:rPr>
          <w:rFonts w:ascii="David" w:hAnsi="David" w:hint="cs"/>
          <w:rtl/>
        </w:rPr>
        <w:t>הנאשם עובר תהליך שינוי משמעותי, ה</w:t>
      </w:r>
      <w:r>
        <w:rPr>
          <w:rFonts w:ascii="David" w:hAnsi="David" w:hint="cs"/>
          <w:rtl/>
        </w:rPr>
        <w:t>שתלב בצורה מיטבית בהליך השיקום ה</w:t>
      </w:r>
      <w:r w:rsidRPr="00C07DB9">
        <w:rPr>
          <w:rFonts w:ascii="David" w:hAnsi="David" w:hint="cs"/>
          <w:rtl/>
        </w:rPr>
        <w:t>תעסוקתי ו</w:t>
      </w:r>
      <w:r>
        <w:rPr>
          <w:rFonts w:ascii="David" w:hAnsi="David" w:hint="cs"/>
          <w:rtl/>
        </w:rPr>
        <w:t xml:space="preserve">הוא </w:t>
      </w:r>
      <w:r w:rsidRPr="00C07DB9">
        <w:rPr>
          <w:rFonts w:ascii="David" w:hAnsi="David" w:hint="cs"/>
          <w:rtl/>
        </w:rPr>
        <w:t xml:space="preserve">מביע נכונות להמשיך בתהליך. </w:t>
      </w:r>
      <w:r w:rsidRPr="00C07DB9">
        <w:rPr>
          <w:rFonts w:ascii="David" w:hAnsi="David"/>
          <w:rtl/>
        </w:rPr>
        <w:t>לאור כך, סבר</w:t>
      </w:r>
      <w:r>
        <w:rPr>
          <w:rFonts w:ascii="David" w:hAnsi="David" w:hint="cs"/>
          <w:rtl/>
        </w:rPr>
        <w:t>ה קצינת</w:t>
      </w:r>
      <w:r w:rsidRPr="00C07DB9">
        <w:rPr>
          <w:rFonts w:ascii="David" w:hAnsi="David"/>
          <w:rtl/>
        </w:rPr>
        <w:t xml:space="preserve"> המבחן </w:t>
      </w:r>
      <w:r>
        <w:rPr>
          <w:rFonts w:ascii="David" w:hAnsi="David" w:hint="cs"/>
          <w:rtl/>
        </w:rPr>
        <w:t>ש</w:t>
      </w:r>
      <w:r w:rsidRPr="00C07DB9">
        <w:rPr>
          <w:rFonts w:ascii="David" w:hAnsi="David"/>
          <w:rtl/>
        </w:rPr>
        <w:t>המשך ההליך יב</w:t>
      </w:r>
      <w:r>
        <w:rPr>
          <w:rFonts w:ascii="David" w:hAnsi="David"/>
          <w:rtl/>
        </w:rPr>
        <w:t>יא להפחת</w:t>
      </w:r>
      <w:r>
        <w:rPr>
          <w:rFonts w:ascii="David" w:hAnsi="David" w:hint="cs"/>
          <w:rtl/>
        </w:rPr>
        <w:t>ת</w:t>
      </w:r>
      <w:r>
        <w:rPr>
          <w:rFonts w:ascii="David" w:hAnsi="David"/>
          <w:rtl/>
        </w:rPr>
        <w:t xml:space="preserve"> </w:t>
      </w:r>
      <w:r>
        <w:rPr>
          <w:rFonts w:ascii="David" w:hAnsi="David" w:hint="cs"/>
          <w:rtl/>
        </w:rPr>
        <w:t>ה</w:t>
      </w:r>
      <w:r>
        <w:rPr>
          <w:rFonts w:ascii="David" w:hAnsi="David"/>
          <w:rtl/>
        </w:rPr>
        <w:t>סיכון והמלי</w:t>
      </w:r>
      <w:r>
        <w:rPr>
          <w:rFonts w:ascii="David" w:hAnsi="David" w:hint="cs"/>
          <w:rtl/>
        </w:rPr>
        <w:t>צה</w:t>
      </w:r>
      <w:r w:rsidRPr="00C07DB9">
        <w:rPr>
          <w:rFonts w:ascii="David" w:hAnsi="David"/>
          <w:rtl/>
        </w:rPr>
        <w:t xml:space="preserve"> </w:t>
      </w:r>
      <w:r>
        <w:rPr>
          <w:rFonts w:ascii="David" w:hAnsi="David" w:hint="cs"/>
          <w:rtl/>
        </w:rPr>
        <w:t xml:space="preserve">להעמיד את </w:t>
      </w:r>
      <w:r w:rsidRPr="00C07DB9">
        <w:rPr>
          <w:rFonts w:ascii="David" w:hAnsi="David"/>
          <w:rtl/>
        </w:rPr>
        <w:t xml:space="preserve">הנאשם בצו מבחן למשך </w:t>
      </w:r>
      <w:r>
        <w:rPr>
          <w:rFonts w:ascii="David" w:hAnsi="David" w:hint="cs"/>
          <w:rtl/>
        </w:rPr>
        <w:t>6</w:t>
      </w:r>
      <w:r w:rsidRPr="00C07DB9">
        <w:rPr>
          <w:rFonts w:ascii="David" w:hAnsi="David"/>
          <w:rtl/>
        </w:rPr>
        <w:t xml:space="preserve"> חודשים בשילוב </w:t>
      </w:r>
      <w:r>
        <w:rPr>
          <w:rFonts w:ascii="David" w:hAnsi="David" w:hint="cs"/>
          <w:rtl/>
        </w:rPr>
        <w:t>צו של"צ</w:t>
      </w:r>
      <w:r w:rsidRPr="00C07DB9">
        <w:rPr>
          <w:rFonts w:ascii="David" w:hAnsi="David"/>
          <w:rtl/>
        </w:rPr>
        <w:t xml:space="preserve">. </w:t>
      </w:r>
      <w:r w:rsidRPr="00C07DB9">
        <w:rPr>
          <w:rFonts w:ascii="David" w:hAnsi="David" w:hint="cs"/>
          <w:rtl/>
        </w:rPr>
        <w:t xml:space="preserve">ביחס לאפשרות לביטול הרשעתו בדין צוין </w:t>
      </w:r>
      <w:r>
        <w:rPr>
          <w:rFonts w:ascii="David" w:hAnsi="David" w:hint="cs"/>
          <w:rtl/>
        </w:rPr>
        <w:t xml:space="preserve">שלא תיגרם </w:t>
      </w:r>
      <w:r w:rsidRPr="00C07DB9">
        <w:rPr>
          <w:rFonts w:ascii="David" w:hAnsi="David" w:hint="cs"/>
          <w:rtl/>
        </w:rPr>
        <w:t xml:space="preserve">פגיעה קונקרטית </w:t>
      </w:r>
      <w:r>
        <w:rPr>
          <w:rFonts w:ascii="David" w:hAnsi="David" w:hint="cs"/>
          <w:rtl/>
        </w:rPr>
        <w:t xml:space="preserve">בעטיה של הרשעה, </w:t>
      </w:r>
      <w:r w:rsidRPr="00C07DB9">
        <w:rPr>
          <w:rFonts w:ascii="David" w:hAnsi="David" w:hint="cs"/>
          <w:rtl/>
        </w:rPr>
        <w:t>אך קיימת אפשרות שהרשעה תגביל את אפשרויותיו התעסוקתיות.</w:t>
      </w:r>
    </w:p>
    <w:p w14:paraId="359804F7" w14:textId="77777777" w:rsidR="00D143AC" w:rsidRPr="00C07DB9" w:rsidRDefault="00D143AC" w:rsidP="00D143AC">
      <w:pPr>
        <w:pStyle w:val="ListParagraph"/>
        <w:ind w:left="0"/>
        <w:jc w:val="both"/>
        <w:rPr>
          <w:rFonts w:ascii="David" w:hAnsi="David"/>
        </w:rPr>
      </w:pPr>
    </w:p>
    <w:p w14:paraId="24034E33" w14:textId="77777777" w:rsidR="00D143AC" w:rsidRDefault="00D143AC" w:rsidP="00D143AC">
      <w:pPr>
        <w:spacing w:line="360" w:lineRule="auto"/>
        <w:jc w:val="both"/>
        <w:rPr>
          <w:b/>
          <w:bCs/>
          <w:u w:val="single"/>
          <w:rtl/>
        </w:rPr>
      </w:pPr>
      <w:r>
        <w:rPr>
          <w:b/>
          <w:bCs/>
          <w:u w:val="single"/>
          <w:rtl/>
        </w:rPr>
        <w:t>טיעוני הצדדים והראיות לעונש</w:t>
      </w:r>
    </w:p>
    <w:p w14:paraId="2DDBC588" w14:textId="77777777" w:rsidR="00D143AC" w:rsidRDefault="00D143AC" w:rsidP="00D143AC">
      <w:pPr>
        <w:pStyle w:val="ListParagraph"/>
        <w:ind w:left="0"/>
        <w:jc w:val="both"/>
        <w:rPr>
          <w:rFonts w:ascii="David" w:hAnsi="David"/>
        </w:rPr>
      </w:pPr>
    </w:p>
    <w:p w14:paraId="6335C56D" w14:textId="77777777" w:rsidR="00D143AC" w:rsidRDefault="00D143AC" w:rsidP="00D143AC">
      <w:pPr>
        <w:pStyle w:val="ListParagraph"/>
        <w:numPr>
          <w:ilvl w:val="0"/>
          <w:numId w:val="1"/>
        </w:numPr>
        <w:spacing w:line="360" w:lineRule="auto"/>
        <w:jc w:val="both"/>
      </w:pPr>
      <w:r w:rsidRPr="00C95B30">
        <w:rPr>
          <w:rtl/>
        </w:rPr>
        <w:t xml:space="preserve">ב"כ המאשימה </w:t>
      </w:r>
      <w:r>
        <w:rPr>
          <w:rtl/>
        </w:rPr>
        <w:t>טע</w:t>
      </w:r>
      <w:r>
        <w:rPr>
          <w:rFonts w:hint="cs"/>
          <w:rtl/>
        </w:rPr>
        <w:t>נה</w:t>
      </w:r>
      <w:r>
        <w:rPr>
          <w:rtl/>
        </w:rPr>
        <w:t xml:space="preserve"> </w:t>
      </w:r>
      <w:r>
        <w:rPr>
          <w:rFonts w:hint="cs"/>
          <w:rtl/>
        </w:rPr>
        <w:t>ש</w:t>
      </w:r>
      <w:r>
        <w:rPr>
          <w:rtl/>
        </w:rPr>
        <w:t>במעשיו פגע הנאשם בערכים המוגנים של שלום הציבור ובריאותו</w:t>
      </w:r>
      <w:r w:rsidRPr="002A5A00">
        <w:rPr>
          <w:rFonts w:ascii="David" w:hAnsi="David" w:hint="cs"/>
          <w:rtl/>
        </w:rPr>
        <w:t xml:space="preserve"> וכי עבירת גידול </w:t>
      </w:r>
      <w:r>
        <w:rPr>
          <w:rFonts w:ascii="David" w:hAnsi="David" w:hint="cs"/>
          <w:rtl/>
        </w:rPr>
        <w:t xml:space="preserve">סמים </w:t>
      </w:r>
      <w:r w:rsidRPr="002A5A00">
        <w:rPr>
          <w:rFonts w:ascii="David" w:hAnsi="David" w:hint="cs"/>
          <w:rtl/>
        </w:rPr>
        <w:t xml:space="preserve">היא חלק בלתי נפרד משרשרת הפצת הסם. צוין כי מדובר בעבירה לה קדם תכנון מוקדם, הוגשה פסיקה ונטען </w:t>
      </w:r>
      <w:r>
        <w:rPr>
          <w:rFonts w:ascii="David" w:hAnsi="David" w:hint="cs"/>
          <w:rtl/>
        </w:rPr>
        <w:t>ש</w:t>
      </w:r>
      <w:r w:rsidRPr="002A5A00">
        <w:rPr>
          <w:rFonts w:ascii="David" w:hAnsi="David" w:hint="cs"/>
          <w:rtl/>
        </w:rPr>
        <w:t xml:space="preserve">מתחם העונש ההולם נע בין 10 חודשי מאסר בפועל ועד 24 חודשי מאסר בפועל. ביחס לתסקיר </w:t>
      </w:r>
      <w:r>
        <w:rPr>
          <w:rFonts w:ascii="David" w:hAnsi="David" w:hint="cs"/>
          <w:rtl/>
        </w:rPr>
        <w:t>נ</w:t>
      </w:r>
      <w:r w:rsidRPr="002A5A00">
        <w:rPr>
          <w:rFonts w:ascii="David" w:hAnsi="David" w:hint="cs"/>
          <w:rtl/>
        </w:rPr>
        <w:t xml:space="preserve">טען </w:t>
      </w:r>
      <w:r>
        <w:rPr>
          <w:rFonts w:ascii="David" w:hAnsi="David" w:hint="cs"/>
          <w:rtl/>
        </w:rPr>
        <w:t>ש</w:t>
      </w:r>
      <w:r w:rsidRPr="002A5A00">
        <w:rPr>
          <w:rFonts w:ascii="David" w:hAnsi="David" w:hint="cs"/>
          <w:rtl/>
        </w:rPr>
        <w:t>אין בו כל אינדיקציה להליך שיקום ממשי המצדיק סטייה ממתחם הענישה וכי השיקום התעסוקתי אינו מעיד על שינוי ו</w:t>
      </w:r>
      <w:r>
        <w:rPr>
          <w:rFonts w:ascii="David" w:hAnsi="David" w:hint="cs"/>
          <w:rtl/>
        </w:rPr>
        <w:t>קבלת</w:t>
      </w:r>
      <w:r w:rsidRPr="002A5A00">
        <w:rPr>
          <w:rFonts w:ascii="David" w:hAnsi="David" w:hint="cs"/>
          <w:rtl/>
        </w:rPr>
        <w:t xml:space="preserve"> אחריות. </w:t>
      </w:r>
      <w:r>
        <w:rPr>
          <w:rtl/>
        </w:rPr>
        <w:t xml:space="preserve">ביחס לעונש הראוי שיש להטיל על </w:t>
      </w:r>
      <w:r>
        <w:rPr>
          <w:rFonts w:hint="cs"/>
          <w:rtl/>
        </w:rPr>
        <w:t>הנאשם עתרה המאשימה ל</w:t>
      </w:r>
      <w:r>
        <w:rPr>
          <w:rtl/>
        </w:rPr>
        <w:t xml:space="preserve">עונש מאסר בפועל </w:t>
      </w:r>
      <w:r>
        <w:rPr>
          <w:rFonts w:hint="cs"/>
          <w:rtl/>
        </w:rPr>
        <w:t xml:space="preserve">למשך 10 חודשים </w:t>
      </w:r>
      <w:r>
        <w:rPr>
          <w:rtl/>
        </w:rPr>
        <w:t>לצד מאסר על תנאי, קנס</w:t>
      </w:r>
      <w:r>
        <w:rPr>
          <w:rFonts w:hint="cs"/>
          <w:rtl/>
        </w:rPr>
        <w:t>, התחייבות</w:t>
      </w:r>
      <w:r>
        <w:rPr>
          <w:rtl/>
        </w:rPr>
        <w:t xml:space="preserve"> ופסילת רישיון. </w:t>
      </w:r>
    </w:p>
    <w:p w14:paraId="20E3CA54" w14:textId="77777777" w:rsidR="00D143AC" w:rsidRDefault="00D143AC" w:rsidP="00D143AC">
      <w:pPr>
        <w:pStyle w:val="ListParagraph"/>
        <w:ind w:left="0"/>
        <w:jc w:val="both"/>
      </w:pPr>
    </w:p>
    <w:p w14:paraId="5DD5C949" w14:textId="77777777" w:rsidR="00D143AC" w:rsidRDefault="00D143AC" w:rsidP="00D143AC">
      <w:pPr>
        <w:pStyle w:val="ListParagraph"/>
        <w:numPr>
          <w:ilvl w:val="0"/>
          <w:numId w:val="1"/>
        </w:numPr>
        <w:spacing w:line="360" w:lineRule="auto"/>
        <w:jc w:val="both"/>
      </w:pPr>
      <w:r>
        <w:rPr>
          <w:rtl/>
        </w:rPr>
        <w:t xml:space="preserve">ב"כ הנאשם טען כי הנאשם </w:t>
      </w:r>
      <w:r>
        <w:rPr>
          <w:rFonts w:hint="cs"/>
          <w:rtl/>
        </w:rPr>
        <w:t xml:space="preserve">נעדר עבר פלילי, </w:t>
      </w:r>
      <w:r>
        <w:rPr>
          <w:rtl/>
        </w:rPr>
        <w:t>קיבל אחריות למעשיו בהזדמנות הראשונה</w:t>
      </w:r>
      <w:r>
        <w:rPr>
          <w:rFonts w:hint="cs"/>
          <w:rtl/>
        </w:rPr>
        <w:t xml:space="preserve"> עוד בחקירתו במשטרה</w:t>
      </w:r>
      <w:r>
        <w:rPr>
          <w:rtl/>
        </w:rPr>
        <w:t>,</w:t>
      </w:r>
      <w:r>
        <w:rPr>
          <w:rFonts w:hint="cs"/>
          <w:rtl/>
        </w:rPr>
        <w:t xml:space="preserve"> וכי נסיבות חייו המורכבות ובהן גם מצבו הבריאותי, מצדיקות הקלה עימו. נטען שמדובר במי שערך שינוי משמעותי בחייו ושליחתו כיום למאסר תוריד לטימיון את מאמציו ואין כל הצדקה לכך. ההגנה ציינה כי לאחר ביצוע העבירה קיבל הנאשם אישור לצריכת קנביס רפואי וכי בנסיבות הכוללות ובהן כמות השתילים הקטנה יחסית; עברו הנקי; הודאתו בהזדמנות הראשונה; ושילובו המוצלח בהליך השיקום, יש לאמץ את המלצת שירות המבחן, להעדיף את שיקולי השיקום ולהטיל עליו מאסר מותנה, צו מבחן ושל"צ. </w:t>
      </w:r>
    </w:p>
    <w:p w14:paraId="6D97EE60" w14:textId="77777777" w:rsidR="00D143AC" w:rsidRPr="00E56DE1" w:rsidRDefault="00D143AC" w:rsidP="00D143AC">
      <w:pPr>
        <w:pStyle w:val="ListParagraph"/>
        <w:rPr>
          <w:rtl/>
        </w:rPr>
      </w:pPr>
    </w:p>
    <w:p w14:paraId="78A0D88D" w14:textId="77777777" w:rsidR="00D143AC" w:rsidRDefault="00D143AC" w:rsidP="00D143AC">
      <w:pPr>
        <w:pStyle w:val="ListParagraph"/>
        <w:numPr>
          <w:ilvl w:val="0"/>
          <w:numId w:val="1"/>
        </w:numPr>
        <w:spacing w:line="360" w:lineRule="auto"/>
        <w:jc w:val="both"/>
      </w:pPr>
      <w:r>
        <w:rPr>
          <w:rFonts w:hint="cs"/>
          <w:rtl/>
        </w:rPr>
        <w:t>הנאשם בדברו האחרון סיפר על השינוי שעבר ועל רצונו להמשיך ולשקם את חייו.</w:t>
      </w:r>
    </w:p>
    <w:p w14:paraId="4DA086D8" w14:textId="77777777" w:rsidR="00D143AC" w:rsidRDefault="00D143AC" w:rsidP="00D143AC">
      <w:pPr>
        <w:rPr>
          <w:rtl/>
        </w:rPr>
      </w:pPr>
    </w:p>
    <w:p w14:paraId="2261DC6B" w14:textId="77777777" w:rsidR="00D143AC" w:rsidRDefault="00D143AC" w:rsidP="00D143AC">
      <w:pPr>
        <w:spacing w:line="360" w:lineRule="auto"/>
        <w:jc w:val="both"/>
        <w:rPr>
          <w:b/>
          <w:bCs/>
          <w:u w:val="single"/>
        </w:rPr>
      </w:pPr>
      <w:r>
        <w:rPr>
          <w:b/>
          <w:bCs/>
          <w:u w:val="single"/>
          <w:rtl/>
        </w:rPr>
        <w:t>דיון והכרעה</w:t>
      </w:r>
    </w:p>
    <w:p w14:paraId="1F51C772" w14:textId="77777777" w:rsidR="00D143AC" w:rsidRDefault="00D143AC" w:rsidP="00D143AC">
      <w:pPr>
        <w:rPr>
          <w:b/>
          <w:bCs/>
          <w:u w:val="single"/>
          <w:rtl/>
        </w:rPr>
      </w:pPr>
      <w:r>
        <w:rPr>
          <w:b/>
          <w:bCs/>
          <w:u w:val="single"/>
          <w:rtl/>
        </w:rPr>
        <w:t>קביעת מתחם הענישה</w:t>
      </w:r>
    </w:p>
    <w:p w14:paraId="1F5D1A56" w14:textId="77777777" w:rsidR="00D143AC" w:rsidRDefault="00D143AC" w:rsidP="00D143AC">
      <w:pPr>
        <w:rPr>
          <w:rtl/>
        </w:rPr>
      </w:pPr>
    </w:p>
    <w:p w14:paraId="51C81861" w14:textId="77777777" w:rsidR="00D143AC" w:rsidRDefault="00D143AC" w:rsidP="00D143AC">
      <w:pPr>
        <w:pStyle w:val="ListParagraph"/>
        <w:numPr>
          <w:ilvl w:val="0"/>
          <w:numId w:val="1"/>
        </w:numPr>
        <w:spacing w:line="360" w:lineRule="auto"/>
        <w:jc w:val="both"/>
        <w:rPr>
          <w:b/>
          <w:bCs/>
          <w:u w:val="single"/>
        </w:rPr>
      </w:pPr>
      <w:r>
        <w:rPr>
          <w:b/>
          <w:bCs/>
          <w:rtl/>
        </w:rPr>
        <w:t>הערכים המוגנים בבסיס העביר</w:t>
      </w:r>
      <w:r>
        <w:rPr>
          <w:rFonts w:hint="cs"/>
          <w:b/>
          <w:bCs/>
          <w:rtl/>
        </w:rPr>
        <w:t xml:space="preserve">ה </w:t>
      </w:r>
      <w:r>
        <w:rPr>
          <w:rFonts w:hint="cs"/>
          <w:rtl/>
        </w:rPr>
        <w:t>ברורים ומדובר</w:t>
      </w:r>
      <w:r>
        <w:rPr>
          <w:rFonts w:ascii="David" w:hAnsi="David"/>
          <w:rtl/>
        </w:rPr>
        <w:t xml:space="preserve"> </w:t>
      </w:r>
      <w:r>
        <w:rPr>
          <w:rFonts w:ascii="David" w:hAnsi="David" w:hint="cs"/>
          <w:rtl/>
        </w:rPr>
        <w:t>ב</w:t>
      </w:r>
      <w:r>
        <w:rPr>
          <w:rFonts w:ascii="David" w:hAnsi="David"/>
          <w:rtl/>
        </w:rPr>
        <w:t>ב</w:t>
      </w:r>
      <w:r>
        <w:rPr>
          <w:rFonts w:ascii="David" w:hAnsi="David" w:hint="cs"/>
          <w:rtl/>
        </w:rPr>
        <w:t>י</w:t>
      </w:r>
      <w:r>
        <w:rPr>
          <w:rFonts w:ascii="David" w:hAnsi="David"/>
          <w:rtl/>
        </w:rPr>
        <w:t xml:space="preserve">טחון הציבור ושלומו. הסכנות הטמונות בהחזקת סם וגידולו ידועות ואין צורך להכביר מילים על הנזקים שעלולים להיגרם לחברה ולפרט ממעשים אלו. פעם אחר פעם נפסק </w:t>
      </w:r>
      <w:r>
        <w:rPr>
          <w:rFonts w:ascii="David" w:hAnsi="David" w:hint="cs"/>
          <w:rtl/>
        </w:rPr>
        <w:t>ש</w:t>
      </w:r>
      <w:r>
        <w:rPr>
          <w:rFonts w:ascii="David" w:hAnsi="David"/>
          <w:rtl/>
        </w:rPr>
        <w:t xml:space="preserve">יש לראות בחומרה את עבירות הסמים אשר הפכו מכת מדינה וכי תוצאותיהן הישירות והעקיפות הרות אסון לשלומה של החברה, לבריאותה ולביטחונה.  </w:t>
      </w:r>
    </w:p>
    <w:p w14:paraId="045C117E" w14:textId="77777777" w:rsidR="00D143AC" w:rsidRPr="00E56DE1" w:rsidRDefault="00D143AC" w:rsidP="00D143AC">
      <w:pPr>
        <w:pStyle w:val="ListParagraph"/>
        <w:ind w:left="0"/>
        <w:jc w:val="both"/>
        <w:rPr>
          <w:b/>
          <w:bCs/>
          <w:u w:val="single"/>
        </w:rPr>
      </w:pPr>
    </w:p>
    <w:p w14:paraId="5B17B07D" w14:textId="77777777" w:rsidR="00D143AC" w:rsidRDefault="00D143AC" w:rsidP="00D143AC">
      <w:pPr>
        <w:pStyle w:val="ListParagraph"/>
        <w:numPr>
          <w:ilvl w:val="0"/>
          <w:numId w:val="1"/>
        </w:numPr>
        <w:spacing w:line="360" w:lineRule="auto"/>
        <w:jc w:val="both"/>
      </w:pPr>
      <w:r>
        <w:rPr>
          <w:b/>
          <w:bCs/>
          <w:rtl/>
        </w:rPr>
        <w:t>נסיבות הקשורות לביצוע העביר</w:t>
      </w:r>
      <w:r>
        <w:rPr>
          <w:rFonts w:hint="cs"/>
          <w:b/>
          <w:bCs/>
          <w:rtl/>
        </w:rPr>
        <w:t>ה</w:t>
      </w:r>
      <w:r>
        <w:rPr>
          <w:b/>
          <w:bCs/>
          <w:rtl/>
        </w:rPr>
        <w:t>:</w:t>
      </w:r>
      <w:r>
        <w:rPr>
          <w:rtl/>
        </w:rPr>
        <w:t xml:space="preserve"> גידול סמים מחייב תכנון מוקדם, לימוד, רכישת ציוד, היערכות והתמדה. נתונים אלו יש לשקול לחומרה. עם זאת, </w:t>
      </w:r>
      <w:r>
        <w:rPr>
          <w:rFonts w:hint="cs"/>
          <w:rtl/>
        </w:rPr>
        <w:t>במקרה זה מדובר ב-</w:t>
      </w:r>
      <w:r>
        <w:rPr>
          <w:rtl/>
        </w:rPr>
        <w:t xml:space="preserve"> </w:t>
      </w:r>
      <w:r>
        <w:rPr>
          <w:rFonts w:hint="cs"/>
          <w:rtl/>
        </w:rPr>
        <w:t>12</w:t>
      </w:r>
      <w:r>
        <w:rPr>
          <w:rtl/>
        </w:rPr>
        <w:t xml:space="preserve"> שתילים בלבד, ומכאן שפוטנציאל הנזק קטן משמעותית בהשוואה למקרים אחרים המובאים תדיר בפני בית המשפט וזאת מבלי להפחית מחומרת העביר</w:t>
      </w:r>
      <w:r>
        <w:rPr>
          <w:rFonts w:hint="cs"/>
          <w:rtl/>
        </w:rPr>
        <w:t>ה</w:t>
      </w:r>
      <w:r>
        <w:rPr>
          <w:rtl/>
        </w:rPr>
        <w:t xml:space="preserve">. </w:t>
      </w:r>
      <w:r>
        <w:rPr>
          <w:rFonts w:hint="cs"/>
          <w:rtl/>
        </w:rPr>
        <w:t>אציין עוד שהכמות הנוספת שנטען כי היא "</w:t>
      </w:r>
      <w:r w:rsidRPr="00E56DE1">
        <w:rPr>
          <w:rFonts w:ascii="Miriam" w:hAnsi="Miriam" w:cs="Miriam"/>
          <w:rtl/>
        </w:rPr>
        <w:t>תוצר הגידול</w:t>
      </w:r>
      <w:r>
        <w:rPr>
          <w:rFonts w:hint="cs"/>
          <w:rtl/>
        </w:rPr>
        <w:t xml:space="preserve">" נכללה בהתאם להסדר הטיעון בגידול עצמו (בעמ' 14, בש' 15) ולא יוחסה בנושא זה עבירה נוספת. </w:t>
      </w:r>
      <w:r>
        <w:rPr>
          <w:rtl/>
        </w:rPr>
        <w:t>כן</w:t>
      </w:r>
      <w:r>
        <w:rPr>
          <w:rFonts w:hint="cs"/>
          <w:rtl/>
        </w:rPr>
        <w:t xml:space="preserve"> אציין</w:t>
      </w:r>
      <w:r>
        <w:rPr>
          <w:rtl/>
        </w:rPr>
        <w:t xml:space="preserve"> </w:t>
      </w:r>
      <w:r>
        <w:rPr>
          <w:rFonts w:hint="cs"/>
          <w:rtl/>
        </w:rPr>
        <w:t>ש</w:t>
      </w:r>
      <w:r>
        <w:rPr>
          <w:rtl/>
        </w:rPr>
        <w:t>הסמים גודלו בדירה בה התגורר</w:t>
      </w:r>
      <w:r>
        <w:rPr>
          <w:rFonts w:hint="cs"/>
          <w:rtl/>
        </w:rPr>
        <w:t xml:space="preserve"> </w:t>
      </w:r>
      <w:r>
        <w:rPr>
          <w:rtl/>
        </w:rPr>
        <w:t>הנאש</w:t>
      </w:r>
      <w:r>
        <w:rPr>
          <w:rFonts w:hint="cs"/>
          <w:rtl/>
        </w:rPr>
        <w:t>ם,</w:t>
      </w:r>
      <w:r>
        <w:rPr>
          <w:rtl/>
        </w:rPr>
        <w:t xml:space="preserve"> היינו שלא מדובר במיזם עסקי במסגרתו נשכרה דירה ייעודית לנושא</w:t>
      </w:r>
      <w:r>
        <w:rPr>
          <w:rFonts w:hint="cs"/>
          <w:rtl/>
        </w:rPr>
        <w:t>, על כל המשתמע מכך</w:t>
      </w:r>
      <w:r>
        <w:rPr>
          <w:rtl/>
        </w:rPr>
        <w:t>.</w:t>
      </w:r>
      <w:r>
        <w:rPr>
          <w:rFonts w:hint="cs"/>
          <w:rtl/>
        </w:rPr>
        <w:t xml:space="preserve"> </w:t>
      </w:r>
    </w:p>
    <w:p w14:paraId="36DAA193" w14:textId="77777777" w:rsidR="00D143AC" w:rsidRPr="008F60A8" w:rsidRDefault="00D143AC" w:rsidP="00D143AC">
      <w:pPr>
        <w:pStyle w:val="ListParagraph"/>
        <w:rPr>
          <w:rtl/>
        </w:rPr>
      </w:pPr>
    </w:p>
    <w:p w14:paraId="7C754909" w14:textId="77777777" w:rsidR="00D143AC" w:rsidRDefault="00D143AC" w:rsidP="00D143AC">
      <w:pPr>
        <w:numPr>
          <w:ilvl w:val="0"/>
          <w:numId w:val="1"/>
        </w:numPr>
        <w:spacing w:line="360" w:lineRule="auto"/>
        <w:jc w:val="both"/>
      </w:pPr>
      <w:r w:rsidRPr="00F3688D">
        <w:rPr>
          <w:b/>
          <w:bCs/>
          <w:rtl/>
        </w:rPr>
        <w:t>מטרת גידול הסמים</w:t>
      </w:r>
      <w:r w:rsidRPr="00231A6A">
        <w:rPr>
          <w:rtl/>
        </w:rPr>
        <w:t>:</w:t>
      </w:r>
      <w:r w:rsidRPr="00964792">
        <w:rPr>
          <w:rtl/>
        </w:rPr>
        <w:t xml:space="preserve"> </w:t>
      </w:r>
      <w:r>
        <w:rPr>
          <w:rFonts w:hint="cs"/>
          <w:rtl/>
        </w:rPr>
        <w:t xml:space="preserve">הסנגור טען שמדובר עבור הנאשם בתרופה המסייעת לו להתמודד עם כאביו וכי המדינה מכירה בכך, שהרי הוא זכה בהמשך לרישיון לצריכת קנאביס רפואי. המאשימה לא התייחסה לנושא. לדידי, יש להביא נושא זה בחשבון לצורך קביעת גבולות המתחם, במידה מסוימת ואנמק. </w:t>
      </w:r>
      <w:r w:rsidRPr="00964792">
        <w:rPr>
          <w:rtl/>
        </w:rPr>
        <w:t xml:space="preserve">עבירת גידול סמים לפי </w:t>
      </w:r>
      <w:hyperlink r:id="rId27" w:history="1">
        <w:r w:rsidR="00B45F31" w:rsidRPr="00B45F31">
          <w:rPr>
            <w:rStyle w:val="Hyperlink"/>
            <w:rtl/>
          </w:rPr>
          <w:t>סעיף 6</w:t>
        </w:r>
      </w:hyperlink>
      <w:r w:rsidRPr="00964792">
        <w:rPr>
          <w:rtl/>
        </w:rPr>
        <w:t xml:space="preserve"> לפקודת סמים, אינה כוללת חלופה עונשית קלה יותר במקרה בו מוכח שמטרת הגידול הייתה לשימוש עצמי, כפי שקיים במקרה בו מדובר בהחזקה של סם (</w:t>
      </w:r>
      <w:hyperlink r:id="rId28" w:history="1">
        <w:r w:rsidR="00B45F31" w:rsidRPr="00B45F31">
          <w:rPr>
            <w:rStyle w:val="Hyperlink"/>
            <w:rtl/>
          </w:rPr>
          <w:t>סעיף 7(ג)</w:t>
        </w:r>
      </w:hyperlink>
      <w:r w:rsidRPr="00964792">
        <w:rPr>
          <w:rtl/>
        </w:rPr>
        <w:t xml:space="preserve"> </w:t>
      </w:r>
      <w:r>
        <w:rPr>
          <w:rFonts w:hint="cs"/>
          <w:rtl/>
        </w:rPr>
        <w:t xml:space="preserve">סיפא </w:t>
      </w:r>
      <w:r w:rsidRPr="00964792">
        <w:rPr>
          <w:rtl/>
        </w:rPr>
        <w:t xml:space="preserve">לפקודת הסמים). </w:t>
      </w:r>
      <w:r>
        <w:rPr>
          <w:rFonts w:hint="cs"/>
          <w:rtl/>
        </w:rPr>
        <w:t>עם</w:t>
      </w:r>
      <w:r w:rsidRPr="00964792">
        <w:rPr>
          <w:rtl/>
        </w:rPr>
        <w:t xml:space="preserve"> זאת, ברי שמדובר בנסיבה משמעותית לעונש (ראה </w:t>
      </w:r>
      <w:hyperlink r:id="rId29" w:history="1">
        <w:r w:rsidR="00B45F31" w:rsidRPr="00B45F31">
          <w:rPr>
            <w:rStyle w:val="Hyperlink"/>
            <w:rtl/>
          </w:rPr>
          <w:t>סעיף 40ט'(5)</w:t>
        </w:r>
      </w:hyperlink>
      <w:r w:rsidRPr="00964792">
        <w:rPr>
          <w:rtl/>
        </w:rPr>
        <w:t xml:space="preserve"> ל</w:t>
      </w:r>
      <w:hyperlink r:id="rId30" w:history="1">
        <w:r w:rsidR="00503DE9" w:rsidRPr="00503DE9">
          <w:rPr>
            <w:color w:val="0000FF"/>
            <w:u w:val="single"/>
            <w:rtl/>
          </w:rPr>
          <w:t>חוק העונשין</w:t>
        </w:r>
      </w:hyperlink>
      <w:r w:rsidRPr="00964792">
        <w:rPr>
          <w:rtl/>
        </w:rPr>
        <w:t xml:space="preserve">, וכן לעניין הנזק הצפוי ראה </w:t>
      </w:r>
      <w:r w:rsidRPr="00503DE9">
        <w:rPr>
          <w:color w:val="000000"/>
          <w:rtl/>
        </w:rPr>
        <w:t xml:space="preserve">סעיפים </w:t>
      </w:r>
      <w:hyperlink r:id="rId31" w:history="1">
        <w:r w:rsidR="00B45F31" w:rsidRPr="00B45F31">
          <w:rPr>
            <w:rStyle w:val="Hyperlink"/>
            <w:rtl/>
          </w:rPr>
          <w:t>40ט' (3)-(4)</w:t>
        </w:r>
      </w:hyperlink>
      <w:r w:rsidRPr="00964792">
        <w:rPr>
          <w:rtl/>
        </w:rPr>
        <w:t xml:space="preserve"> לחוק העונשין). בענייננו, כתב האישום המתוקן שותק ביחס לנסיבה זו. ככלל, על כתב אישום מתוקן בו הודה נאשם במסגרת הסדר טיעון לכלול את כל העובדות הנחוצות לצורך גזירת הדין (</w:t>
      </w:r>
      <w:hyperlink r:id="rId32" w:history="1">
        <w:r w:rsidR="00B45F31" w:rsidRPr="00B45F31">
          <w:rPr>
            <w:rStyle w:val="Hyperlink"/>
            <w:rtl/>
          </w:rPr>
          <w:t>סעיף 40י(ד)</w:t>
        </w:r>
      </w:hyperlink>
      <w:r w:rsidRPr="00964792">
        <w:rPr>
          <w:rtl/>
        </w:rPr>
        <w:t xml:space="preserve"> ל</w:t>
      </w:r>
      <w:hyperlink r:id="rId33" w:history="1">
        <w:r w:rsidR="00503DE9" w:rsidRPr="00503DE9">
          <w:rPr>
            <w:color w:val="0000FF"/>
            <w:u w:val="single"/>
            <w:rtl/>
          </w:rPr>
          <w:t>חוק העונשין</w:t>
        </w:r>
      </w:hyperlink>
      <w:r w:rsidRPr="00964792">
        <w:rPr>
          <w:rtl/>
        </w:rPr>
        <w:t xml:space="preserve">). עם זאת, בעניין זה ראוי להפנות לפסק דינו של ס. הנשיא (כתוארו אז) </w:t>
      </w:r>
      <w:r>
        <w:rPr>
          <w:rFonts w:hint="cs"/>
          <w:rtl/>
        </w:rPr>
        <w:t xml:space="preserve">כב' </w:t>
      </w:r>
      <w:r w:rsidRPr="00964792">
        <w:rPr>
          <w:rtl/>
        </w:rPr>
        <w:t xml:space="preserve">השופט ר. שפירא במסגרת </w:t>
      </w:r>
      <w:hyperlink r:id="rId34" w:history="1">
        <w:r w:rsidR="00503DE9" w:rsidRPr="00503DE9">
          <w:rPr>
            <w:color w:val="0000FF"/>
            <w:u w:val="single"/>
            <w:rtl/>
          </w:rPr>
          <w:t>עפ"ג 28110-10-15</w:t>
        </w:r>
      </w:hyperlink>
      <w:r w:rsidRPr="00964792">
        <w:rPr>
          <w:rtl/>
        </w:rPr>
        <w:t xml:space="preserve"> </w:t>
      </w:r>
      <w:r w:rsidRPr="00F3688D">
        <w:rPr>
          <w:b/>
          <w:bCs/>
          <w:rtl/>
        </w:rPr>
        <w:t>מדינת ישראל נ' דוד</w:t>
      </w:r>
      <w:r w:rsidRPr="00964792">
        <w:rPr>
          <w:rtl/>
        </w:rPr>
        <w:t xml:space="preserve"> </w:t>
      </w:r>
      <w:r w:rsidR="001044E1" w:rsidRPr="001044E1">
        <w:rPr>
          <w:sz w:val="22"/>
          <w:rtl/>
        </w:rPr>
        <w:t xml:space="preserve">[פורסם בנבו] </w:t>
      </w:r>
      <w:r w:rsidRPr="00964792">
        <w:rPr>
          <w:rtl/>
        </w:rPr>
        <w:t>(17.12.</w:t>
      </w:r>
      <w:r>
        <w:rPr>
          <w:rFonts w:hint="cs"/>
          <w:rtl/>
        </w:rPr>
        <w:t>2015</w:t>
      </w:r>
      <w:r w:rsidRPr="00964792">
        <w:rPr>
          <w:rtl/>
        </w:rPr>
        <w:t>), שם נקבע כי מקום בו לא צוין בכתב האישום שמטרת הגידול היא מסחרית, יש להניח לטובת הנאשם את ההנחה הנוחה יותר, כלומר שמדובר בגידו</w:t>
      </w:r>
      <w:r>
        <w:rPr>
          <w:rtl/>
        </w:rPr>
        <w:t xml:space="preserve">ל לשימוש עצמי. יצוין כי במקרה </w:t>
      </w:r>
      <w:r>
        <w:rPr>
          <w:rFonts w:hint="cs"/>
          <w:rtl/>
        </w:rPr>
        <w:t>זה</w:t>
      </w:r>
      <w:r w:rsidRPr="00964792">
        <w:rPr>
          <w:rtl/>
        </w:rPr>
        <w:t xml:space="preserve"> מדובר היה בכמות העולה על החזקה הקבועה בפקודת הסמים ביחס לכמות הסם (</w:t>
      </w:r>
      <w:hyperlink r:id="rId35" w:history="1">
        <w:r w:rsidR="00B45F31" w:rsidRPr="00B45F31">
          <w:rPr>
            <w:rStyle w:val="Hyperlink"/>
            <w:rtl/>
          </w:rPr>
          <w:t>סעיף 31(3)</w:t>
        </w:r>
      </w:hyperlink>
      <w:r w:rsidRPr="00964792">
        <w:rPr>
          <w:rtl/>
        </w:rPr>
        <w:t xml:space="preserve">לפקודה). </w:t>
      </w:r>
      <w:r>
        <w:rPr>
          <w:rFonts w:hint="cs"/>
          <w:rtl/>
        </w:rPr>
        <w:t xml:space="preserve">ודוק: </w:t>
      </w:r>
      <w:r w:rsidRPr="00964792">
        <w:rPr>
          <w:rtl/>
        </w:rPr>
        <w:t>אין להבין מכך כמובן שבכל מקרה וללא קשר למספר השתילים ויתר הנסיבות שהוכחו, יש להסיק בהיעדר ציון אחר בכתב האישום</w:t>
      </w:r>
      <w:r>
        <w:rPr>
          <w:rFonts w:hint="cs"/>
          <w:rtl/>
        </w:rPr>
        <w:t>,</w:t>
      </w:r>
      <w:r w:rsidRPr="00964792">
        <w:rPr>
          <w:rtl/>
        </w:rPr>
        <w:t xml:space="preserve"> שמטרת הגידול היא לשימוש עצמי</w:t>
      </w:r>
      <w:r>
        <w:rPr>
          <w:rFonts w:hint="cs"/>
          <w:rtl/>
        </w:rPr>
        <w:t>.</w:t>
      </w:r>
      <w:r w:rsidRPr="00964792">
        <w:rPr>
          <w:rtl/>
        </w:rPr>
        <w:t xml:space="preserve"> ברי </w:t>
      </w:r>
      <w:r>
        <w:rPr>
          <w:rFonts w:hint="cs"/>
          <w:rtl/>
        </w:rPr>
        <w:t>שקיימים</w:t>
      </w:r>
      <w:r w:rsidRPr="00964792">
        <w:rPr>
          <w:rtl/>
        </w:rPr>
        <w:t xml:space="preserve"> מקרים בהם </w:t>
      </w:r>
      <w:r>
        <w:rPr>
          <w:rFonts w:hint="cs"/>
          <w:rtl/>
        </w:rPr>
        <w:t xml:space="preserve">ניתן להסיק מהנסיבות (ובמיוחד מהכמות) את </w:t>
      </w:r>
      <w:r w:rsidRPr="00964792">
        <w:rPr>
          <w:rtl/>
        </w:rPr>
        <w:t>מטרת הגידול גם אם הדבר לא צוין כעובדה בכתב האישום</w:t>
      </w:r>
      <w:r>
        <w:rPr>
          <w:rFonts w:hint="cs"/>
          <w:rtl/>
        </w:rPr>
        <w:t>, שכן</w:t>
      </w:r>
      <w:r w:rsidRPr="00964792">
        <w:rPr>
          <w:rtl/>
        </w:rPr>
        <w:t xml:space="preserve"> מדובר בהליך לוגי של הסקת מסקנות (ברמת ההוכחה הנדרשת לשם קביעת נסיבה מחמירה (</w:t>
      </w:r>
      <w:hyperlink r:id="rId36" w:history="1">
        <w:r w:rsidR="00B45F31" w:rsidRPr="00B45F31">
          <w:rPr>
            <w:rStyle w:val="Hyperlink"/>
            <w:rtl/>
          </w:rPr>
          <w:t>סעיף 40י'(ג)</w:t>
        </w:r>
      </w:hyperlink>
      <w:r w:rsidRPr="00964792">
        <w:rPr>
          <w:rtl/>
        </w:rPr>
        <w:t xml:space="preserve"> ל</w:t>
      </w:r>
      <w:hyperlink r:id="rId37" w:history="1">
        <w:r w:rsidR="00503DE9" w:rsidRPr="00503DE9">
          <w:rPr>
            <w:color w:val="0000FF"/>
            <w:u w:val="single"/>
            <w:rtl/>
          </w:rPr>
          <w:t>חוק העונשין</w:t>
        </w:r>
      </w:hyperlink>
      <w:r w:rsidRPr="00964792">
        <w:rPr>
          <w:rtl/>
        </w:rPr>
        <w:t>)) ולכן המסקנה היא פונקציה של הנסיבות והעובדות שהוכחו</w:t>
      </w:r>
      <w:r>
        <w:rPr>
          <w:rFonts w:hint="cs"/>
          <w:rtl/>
        </w:rPr>
        <w:t xml:space="preserve"> </w:t>
      </w:r>
      <w:r w:rsidRPr="0096120D">
        <w:rPr>
          <w:rFonts w:ascii="Arial" w:hAnsi="Arial" w:hint="cs"/>
          <w:rtl/>
        </w:rPr>
        <w:t>(</w:t>
      </w:r>
      <w:r>
        <w:rPr>
          <w:rFonts w:ascii="Arial" w:hAnsi="Arial" w:hint="cs"/>
          <w:rtl/>
        </w:rPr>
        <w:t xml:space="preserve">ראו בהשוואה: </w:t>
      </w:r>
      <w:hyperlink r:id="rId38" w:history="1">
        <w:r w:rsidR="00503DE9" w:rsidRPr="00503DE9">
          <w:rPr>
            <w:rFonts w:ascii="Arial" w:hAnsi="Arial"/>
            <w:color w:val="0000FF"/>
            <w:u w:val="single"/>
            <w:rtl/>
          </w:rPr>
          <w:t>ע"פ 170/07</w:t>
        </w:r>
      </w:hyperlink>
      <w:r w:rsidRPr="0096120D">
        <w:rPr>
          <w:rFonts w:ascii="Arial" w:hAnsi="Arial" w:hint="cs"/>
          <w:rtl/>
        </w:rPr>
        <w:t xml:space="preserve"> </w:t>
      </w:r>
      <w:r w:rsidRPr="0096120D">
        <w:rPr>
          <w:rFonts w:ascii="Arial" w:hAnsi="Arial" w:hint="cs"/>
          <w:b/>
          <w:bCs/>
          <w:rtl/>
        </w:rPr>
        <w:t>ליאור מטיס נ' מדינת ישראל</w:t>
      </w:r>
      <w:r w:rsidRPr="0096120D">
        <w:rPr>
          <w:rFonts w:ascii="Arial" w:hAnsi="Arial" w:hint="cs"/>
          <w:rtl/>
        </w:rPr>
        <w:t xml:space="preserve"> </w:t>
      </w:r>
      <w:r w:rsidR="001044E1" w:rsidRPr="001044E1">
        <w:rPr>
          <w:sz w:val="22"/>
          <w:rtl/>
        </w:rPr>
        <w:t xml:space="preserve">[פורסם בנבו] </w:t>
      </w:r>
      <w:r w:rsidRPr="0096120D">
        <w:rPr>
          <w:rFonts w:ascii="Arial" w:hAnsi="Arial" w:hint="cs"/>
          <w:rtl/>
        </w:rPr>
        <w:t>(19.11.</w:t>
      </w:r>
      <w:r>
        <w:rPr>
          <w:rFonts w:ascii="Arial" w:hAnsi="Arial" w:hint="cs"/>
          <w:rtl/>
        </w:rPr>
        <w:t>20</w:t>
      </w:r>
      <w:r w:rsidRPr="0096120D">
        <w:rPr>
          <w:rFonts w:ascii="Arial" w:hAnsi="Arial" w:hint="cs"/>
          <w:rtl/>
        </w:rPr>
        <w:t>07)</w:t>
      </w:r>
      <w:r>
        <w:rPr>
          <w:rFonts w:ascii="Arial" w:hAnsi="Arial" w:hint="cs"/>
          <w:rtl/>
        </w:rPr>
        <w:t>;</w:t>
      </w:r>
      <w:r w:rsidRPr="0096120D">
        <w:rPr>
          <w:rFonts w:ascii="Arial" w:hAnsi="Arial" w:hint="cs"/>
          <w:rtl/>
        </w:rPr>
        <w:t xml:space="preserve"> </w:t>
      </w:r>
      <w:hyperlink r:id="rId39" w:history="1">
        <w:r w:rsidR="00503DE9" w:rsidRPr="00503DE9">
          <w:rPr>
            <w:rFonts w:ascii="Arial" w:hAnsi="Arial"/>
            <w:color w:val="0000FF"/>
            <w:u w:val="single"/>
            <w:rtl/>
          </w:rPr>
          <w:t>דנ"פ 10402/07</w:t>
        </w:r>
      </w:hyperlink>
      <w:r w:rsidRPr="0096120D">
        <w:rPr>
          <w:rFonts w:ascii="Arial" w:hAnsi="Arial" w:hint="cs"/>
          <w:rtl/>
        </w:rPr>
        <w:t xml:space="preserve"> </w:t>
      </w:r>
      <w:r w:rsidRPr="0096120D">
        <w:rPr>
          <w:rFonts w:ascii="Arial" w:hAnsi="Arial" w:hint="cs"/>
          <w:b/>
          <w:bCs/>
          <w:rtl/>
        </w:rPr>
        <w:t>מטיס נ' מדינת ישראל</w:t>
      </w:r>
      <w:r w:rsidRPr="0096120D">
        <w:rPr>
          <w:rFonts w:ascii="Arial" w:hAnsi="Arial" w:hint="cs"/>
          <w:rtl/>
        </w:rPr>
        <w:t xml:space="preserve"> </w:t>
      </w:r>
      <w:r w:rsidR="001044E1" w:rsidRPr="001044E1">
        <w:rPr>
          <w:sz w:val="22"/>
          <w:rtl/>
        </w:rPr>
        <w:t xml:space="preserve">[פורסם בנבו] </w:t>
      </w:r>
      <w:r w:rsidRPr="0096120D">
        <w:rPr>
          <w:rFonts w:ascii="Arial" w:hAnsi="Arial" w:hint="cs"/>
          <w:rtl/>
        </w:rPr>
        <w:t>(29.1.</w:t>
      </w:r>
      <w:r>
        <w:rPr>
          <w:rFonts w:ascii="Arial" w:hAnsi="Arial" w:hint="cs"/>
          <w:rtl/>
        </w:rPr>
        <w:t>2008)).</w:t>
      </w:r>
      <w:r w:rsidRPr="00964792">
        <w:rPr>
          <w:rtl/>
        </w:rPr>
        <w:t xml:space="preserve"> </w:t>
      </w:r>
      <w:r>
        <w:rPr>
          <w:rtl/>
        </w:rPr>
        <w:t xml:space="preserve">במקרה שלפנינו, חרף שתיקת כתב האישום והיעדר ראיות בנושא על ידי הנאשם, סברתי שלצורך קביעת מתחם הענישה </w:t>
      </w:r>
      <w:r>
        <w:rPr>
          <w:rFonts w:hint="cs"/>
          <w:rtl/>
        </w:rPr>
        <w:t>ניתן</w:t>
      </w:r>
      <w:r>
        <w:rPr>
          <w:rtl/>
        </w:rPr>
        <w:t xml:space="preserve"> להביא בחשבון </w:t>
      </w:r>
      <w:r>
        <w:rPr>
          <w:rFonts w:hint="cs"/>
          <w:rtl/>
        </w:rPr>
        <w:t>ש</w:t>
      </w:r>
      <w:r>
        <w:rPr>
          <w:rtl/>
        </w:rPr>
        <w:t>למצער</w:t>
      </w:r>
      <w:r>
        <w:rPr>
          <w:rFonts w:hint="cs"/>
          <w:rtl/>
        </w:rPr>
        <w:t xml:space="preserve"> חלק מהגידול נועד ל</w:t>
      </w:r>
      <w:r>
        <w:rPr>
          <w:rtl/>
        </w:rPr>
        <w:t xml:space="preserve">שימושו האישי של הנאשם. מסקנה זו מתיישבת היטב עם מספרם המועט </w:t>
      </w:r>
      <w:r>
        <w:rPr>
          <w:rFonts w:hint="cs"/>
          <w:rtl/>
        </w:rPr>
        <w:t xml:space="preserve">יחסית </w:t>
      </w:r>
      <w:r>
        <w:rPr>
          <w:rtl/>
        </w:rPr>
        <w:t>של השתילים; העובדה שהנאשם</w:t>
      </w:r>
      <w:r>
        <w:rPr>
          <w:rFonts w:hint="cs"/>
          <w:rtl/>
        </w:rPr>
        <w:t xml:space="preserve"> קיבל לאחר מכן אישור לצריכת קנביס רפואי; ה</w:t>
      </w:r>
      <w:r>
        <w:rPr>
          <w:rtl/>
        </w:rPr>
        <w:t>עובדה שלא הושקעו השקעות כספיות משמעותיות בגידול (ומדובר היה בדירה בה התגורר</w:t>
      </w:r>
      <w:r>
        <w:rPr>
          <w:rFonts w:hint="cs"/>
          <w:rtl/>
        </w:rPr>
        <w:t xml:space="preserve"> </w:t>
      </w:r>
      <w:r>
        <w:rPr>
          <w:rtl/>
        </w:rPr>
        <w:t>ה</w:t>
      </w:r>
      <w:r>
        <w:rPr>
          <w:rFonts w:hint="cs"/>
          <w:rtl/>
        </w:rPr>
        <w:t>נאשם</w:t>
      </w:r>
      <w:r>
        <w:rPr>
          <w:rtl/>
        </w:rPr>
        <w:t>); וכי</w:t>
      </w:r>
      <w:r>
        <w:rPr>
          <w:rFonts w:hint="cs"/>
          <w:rtl/>
        </w:rPr>
        <w:t xml:space="preserve"> הסם הנוסף שהוחזק בדירה היה תוצר של הגידול. </w:t>
      </w:r>
    </w:p>
    <w:p w14:paraId="3A7FC6CC" w14:textId="77777777" w:rsidR="00D143AC" w:rsidRPr="00F3688D" w:rsidRDefault="00D143AC" w:rsidP="00D143AC">
      <w:pPr>
        <w:pStyle w:val="ListParagraph"/>
        <w:rPr>
          <w:rtl/>
        </w:rPr>
      </w:pPr>
    </w:p>
    <w:p w14:paraId="52FA4292" w14:textId="77777777" w:rsidR="00D143AC" w:rsidRPr="00EB3835" w:rsidRDefault="00D143AC" w:rsidP="00D143AC">
      <w:pPr>
        <w:numPr>
          <w:ilvl w:val="0"/>
          <w:numId w:val="1"/>
        </w:numPr>
        <w:spacing w:line="360" w:lineRule="auto"/>
        <w:jc w:val="both"/>
        <w:rPr>
          <w:rFonts w:cs="Times New Roman"/>
        </w:rPr>
      </w:pPr>
      <w:r w:rsidRPr="00EB3835">
        <w:rPr>
          <w:b/>
          <w:bCs/>
          <w:rtl/>
        </w:rPr>
        <w:t>מדיניות הענישה:</w:t>
      </w:r>
      <w:r w:rsidRPr="00EB3835">
        <w:rPr>
          <w:rFonts w:ascii="David" w:hAnsi="David"/>
          <w:rtl/>
        </w:rPr>
        <w:t xml:space="preserve"> </w:t>
      </w:r>
      <w:r w:rsidRPr="00EB3835">
        <w:rPr>
          <w:rtl/>
        </w:rPr>
        <w:t xml:space="preserve">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w:t>
      </w:r>
      <w:r>
        <w:rPr>
          <w:rFonts w:hint="cs"/>
          <w:rtl/>
        </w:rPr>
        <w:t>ש</w:t>
      </w:r>
      <w:r w:rsidRPr="00EB3835">
        <w:rPr>
          <w:rtl/>
        </w:rPr>
        <w:t xml:space="preserve">יש להחמיר עם אלו שמגדלים סמים </w:t>
      </w:r>
      <w:r w:rsidRPr="00C704C6">
        <w:rPr>
          <w:rFonts w:ascii="David" w:hAnsi="David"/>
          <w:spacing w:val="10"/>
          <w:rtl/>
        </w:rPr>
        <w:t>(</w:t>
      </w:r>
      <w:hyperlink r:id="rId40" w:history="1">
        <w:r w:rsidR="00503DE9" w:rsidRPr="00503DE9">
          <w:rPr>
            <w:rFonts w:ascii="David" w:hAnsi="David"/>
            <w:color w:val="0000FF"/>
            <w:spacing w:val="10"/>
            <w:u w:val="single"/>
            <w:rtl/>
          </w:rPr>
          <w:t>ע"פ 5807/17</w:t>
        </w:r>
      </w:hyperlink>
      <w:r w:rsidRPr="00C704C6">
        <w:rPr>
          <w:rFonts w:ascii="David" w:hAnsi="David"/>
          <w:spacing w:val="10"/>
          <w:rtl/>
        </w:rPr>
        <w:t xml:space="preserve"> </w:t>
      </w:r>
      <w:r w:rsidRPr="00C704C6">
        <w:rPr>
          <w:rFonts w:ascii="David" w:hAnsi="David"/>
          <w:b/>
          <w:bCs/>
          <w:rtl/>
        </w:rPr>
        <w:t>דרחי ואח' נ' מדינת ישראל</w:t>
      </w:r>
      <w:r w:rsidRPr="00C704C6">
        <w:rPr>
          <w:rFonts w:ascii="David" w:hAnsi="David"/>
          <w:rtl/>
        </w:rPr>
        <w:t xml:space="preserve"> </w:t>
      </w:r>
      <w:r w:rsidR="001044E1" w:rsidRPr="001044E1">
        <w:rPr>
          <w:sz w:val="22"/>
          <w:rtl/>
        </w:rPr>
        <w:t xml:space="preserve">[פורסם בנבו] </w:t>
      </w:r>
      <w:r w:rsidRPr="00C704C6">
        <w:rPr>
          <w:rFonts w:ascii="David" w:hAnsi="David"/>
          <w:rtl/>
        </w:rPr>
        <w:t>(18.6.2018)</w:t>
      </w:r>
      <w:r>
        <w:rPr>
          <w:rFonts w:ascii="David" w:hAnsi="David" w:hint="cs"/>
          <w:rtl/>
        </w:rPr>
        <w:t xml:space="preserve">; </w:t>
      </w:r>
      <w:hyperlink r:id="rId41" w:history="1">
        <w:r w:rsidR="00503DE9" w:rsidRPr="00503DE9">
          <w:rPr>
            <w:color w:val="0000FF"/>
            <w:u w:val="single"/>
            <w:rtl/>
          </w:rPr>
          <w:t>ע"פ 2596/18</w:t>
        </w:r>
      </w:hyperlink>
      <w:r w:rsidRPr="00624952">
        <w:rPr>
          <w:rFonts w:hint="cs"/>
          <w:rtl/>
        </w:rPr>
        <w:t xml:space="preserve"> </w:t>
      </w:r>
      <w:r w:rsidRPr="00624952">
        <w:rPr>
          <w:b/>
          <w:bCs/>
          <w:rtl/>
        </w:rPr>
        <w:t>כפיר זנזורי</w:t>
      </w:r>
      <w:r w:rsidRPr="00624952">
        <w:rPr>
          <w:rFonts w:hint="cs"/>
          <w:b/>
          <w:bCs/>
          <w:rtl/>
        </w:rPr>
        <w:t xml:space="preserve"> נ' מדינת ישראל</w:t>
      </w:r>
      <w:r w:rsidRPr="00624952">
        <w:rPr>
          <w:rFonts w:hint="cs"/>
          <w:rtl/>
        </w:rPr>
        <w:t xml:space="preserve"> </w:t>
      </w:r>
      <w:r w:rsidR="001044E1" w:rsidRPr="001044E1">
        <w:rPr>
          <w:sz w:val="22"/>
          <w:rtl/>
        </w:rPr>
        <w:t xml:space="preserve">[פורסם בנבו] </w:t>
      </w:r>
      <w:r w:rsidRPr="00624952">
        <w:rPr>
          <w:rFonts w:hint="cs"/>
          <w:rtl/>
        </w:rPr>
        <w:t>(12.8.2018)</w:t>
      </w:r>
      <w:r w:rsidRPr="00624952">
        <w:rPr>
          <w:rtl/>
        </w:rPr>
        <w:t>)</w:t>
      </w:r>
      <w:r>
        <w:rPr>
          <w:rFonts w:hint="cs"/>
          <w:rtl/>
        </w:rPr>
        <w:t xml:space="preserve">. </w:t>
      </w:r>
      <w:r w:rsidRPr="00EB3835">
        <w:rPr>
          <w:rtl/>
        </w:rPr>
        <w:t xml:space="preserve">במקרים בהם כמות הסם שגודלה הייתה ממשית הוטלו לרוב עונשי מאסר בפועל, ובמקרים רבים אף שלא בעבודות שירות (ראה למשל </w:t>
      </w:r>
      <w:hyperlink r:id="rId42" w:history="1">
        <w:r w:rsidR="00503DE9" w:rsidRPr="00503DE9">
          <w:rPr>
            <w:color w:val="0000FF"/>
            <w:u w:val="single"/>
            <w:rtl/>
          </w:rPr>
          <w:t>רע"פ 3841/16</w:t>
        </w:r>
      </w:hyperlink>
      <w:r w:rsidRPr="00EB3835">
        <w:rPr>
          <w:rtl/>
        </w:rPr>
        <w:t xml:space="preserve"> </w:t>
      </w:r>
      <w:r w:rsidRPr="00EB3835">
        <w:rPr>
          <w:rFonts w:hint="cs"/>
          <w:b/>
          <w:bCs/>
          <w:rtl/>
        </w:rPr>
        <w:t>יעקב מזרחי נ' מדינת ישראל</w:t>
      </w:r>
      <w:r w:rsidRPr="00EB3835">
        <w:rPr>
          <w:rFonts w:hint="cs"/>
          <w:rtl/>
        </w:rPr>
        <w:t xml:space="preserve"> </w:t>
      </w:r>
      <w:r w:rsidR="001044E1" w:rsidRPr="001044E1">
        <w:rPr>
          <w:sz w:val="22"/>
          <w:rtl/>
        </w:rPr>
        <w:t xml:space="preserve">[פורסם בנבו] </w:t>
      </w:r>
      <w:r w:rsidRPr="00EB3835">
        <w:rPr>
          <w:rFonts w:hint="cs"/>
          <w:rtl/>
        </w:rPr>
        <w:t>(16.5.</w:t>
      </w:r>
      <w:r>
        <w:rPr>
          <w:rFonts w:hint="cs"/>
          <w:rtl/>
        </w:rPr>
        <w:t>2016</w:t>
      </w:r>
      <w:r w:rsidRPr="00EB3835">
        <w:rPr>
          <w:rFonts w:hint="cs"/>
          <w:rtl/>
        </w:rPr>
        <w:t xml:space="preserve">); </w:t>
      </w:r>
      <w:hyperlink r:id="rId43" w:history="1">
        <w:r w:rsidR="00503DE9" w:rsidRPr="00503DE9">
          <w:rPr>
            <w:color w:val="0000FF"/>
            <w:u w:val="single"/>
            <w:rtl/>
          </w:rPr>
          <w:t>רע"פ 1787/15</w:t>
        </w:r>
      </w:hyperlink>
      <w:r w:rsidRPr="00EB3835">
        <w:rPr>
          <w:rtl/>
        </w:rPr>
        <w:t xml:space="preserve"> </w:t>
      </w:r>
      <w:r w:rsidRPr="00EB3835">
        <w:rPr>
          <w:rFonts w:hint="cs"/>
          <w:b/>
          <w:bCs/>
          <w:rtl/>
        </w:rPr>
        <w:t>עמר נ' מדינת ישראל</w:t>
      </w:r>
      <w:r w:rsidRPr="00EB3835">
        <w:rPr>
          <w:rFonts w:hint="cs"/>
          <w:rtl/>
        </w:rPr>
        <w:t xml:space="preserve"> </w:t>
      </w:r>
      <w:r w:rsidR="001044E1" w:rsidRPr="001044E1">
        <w:rPr>
          <w:sz w:val="22"/>
          <w:rtl/>
        </w:rPr>
        <w:t xml:space="preserve">[פורסם בנבו] </w:t>
      </w:r>
      <w:r w:rsidRPr="00EB3835">
        <w:rPr>
          <w:rFonts w:hint="cs"/>
          <w:rtl/>
        </w:rPr>
        <w:t>(24.3.</w:t>
      </w:r>
      <w:r>
        <w:rPr>
          <w:rFonts w:hint="cs"/>
          <w:rtl/>
        </w:rPr>
        <w:t>2015</w:t>
      </w:r>
      <w:r w:rsidRPr="00EB3835">
        <w:rPr>
          <w:rFonts w:hint="cs"/>
          <w:rtl/>
        </w:rPr>
        <w:t xml:space="preserve">); </w:t>
      </w:r>
      <w:hyperlink r:id="rId44" w:history="1">
        <w:r w:rsidR="00503DE9" w:rsidRPr="00503DE9">
          <w:rPr>
            <w:color w:val="0000FF"/>
            <w:u w:val="single"/>
            <w:rtl/>
          </w:rPr>
          <w:t>רע"פ 7005/14</w:t>
        </w:r>
      </w:hyperlink>
      <w:r w:rsidRPr="00EB3835">
        <w:rPr>
          <w:rtl/>
        </w:rPr>
        <w:t xml:space="preserve"> </w:t>
      </w:r>
      <w:r w:rsidRPr="00EB3835">
        <w:rPr>
          <w:rFonts w:hint="cs"/>
          <w:b/>
          <w:bCs/>
          <w:rtl/>
        </w:rPr>
        <w:t>דגן נ' מדינת ישראל</w:t>
      </w:r>
      <w:r w:rsidRPr="00EB3835">
        <w:rPr>
          <w:rFonts w:hint="cs"/>
          <w:rtl/>
        </w:rPr>
        <w:t xml:space="preserve"> </w:t>
      </w:r>
      <w:r w:rsidR="001044E1" w:rsidRPr="001044E1">
        <w:rPr>
          <w:sz w:val="22"/>
          <w:rtl/>
        </w:rPr>
        <w:t xml:space="preserve">[פורסם בנבו] </w:t>
      </w:r>
      <w:r w:rsidRPr="00EB3835">
        <w:rPr>
          <w:rFonts w:hint="cs"/>
          <w:rtl/>
        </w:rPr>
        <w:t>(30.11.</w:t>
      </w:r>
      <w:r>
        <w:rPr>
          <w:rFonts w:hint="cs"/>
          <w:rtl/>
        </w:rPr>
        <w:t>2014)).</w:t>
      </w:r>
    </w:p>
    <w:p w14:paraId="65D8B94C" w14:textId="77777777" w:rsidR="00D143AC" w:rsidRDefault="00D143AC" w:rsidP="00D143AC">
      <w:pPr>
        <w:jc w:val="both"/>
        <w:rPr>
          <w:rFonts w:cs="Times New Roman"/>
        </w:rPr>
      </w:pPr>
    </w:p>
    <w:p w14:paraId="464985C8" w14:textId="77777777" w:rsidR="00D143AC" w:rsidRDefault="00D143AC" w:rsidP="00D143AC">
      <w:pPr>
        <w:numPr>
          <w:ilvl w:val="0"/>
          <w:numId w:val="1"/>
        </w:numPr>
        <w:spacing w:line="360" w:lineRule="auto"/>
        <w:jc w:val="both"/>
      </w:pPr>
      <w:r>
        <w:rPr>
          <w:rtl/>
        </w:rPr>
        <w:t xml:space="preserve">בענייננו, מדובר בגידול כמות קטנה יחסית של צמחים – </w:t>
      </w:r>
      <w:r>
        <w:rPr>
          <w:rFonts w:hint="cs"/>
          <w:rtl/>
        </w:rPr>
        <w:t>12</w:t>
      </w:r>
      <w:r>
        <w:rPr>
          <w:rtl/>
        </w:rPr>
        <w:t xml:space="preserve"> במספר</w:t>
      </w:r>
      <w:r>
        <w:rPr>
          <w:rFonts w:hint="cs"/>
          <w:rtl/>
        </w:rPr>
        <w:t>.</w:t>
      </w:r>
      <w:r>
        <w:rPr>
          <w:rtl/>
        </w:rPr>
        <w:t xml:space="preserve"> נסיבות אלו אינן מתאימות למתחמים שנקבעו ביחס לגידול סמים בכמויות מסחריות. לצורך בחינת מדיניות הענישה הנוהגת בעבירות דומות ניתן להפנות לפסקי הדין הבאים: </w:t>
      </w:r>
      <w:hyperlink r:id="rId45" w:history="1">
        <w:r w:rsidR="00503DE9" w:rsidRPr="00503DE9">
          <w:rPr>
            <w:color w:val="0000FF"/>
            <w:u w:val="single"/>
            <w:rtl/>
          </w:rPr>
          <w:t>רע"פ 314/16</w:t>
        </w:r>
      </w:hyperlink>
      <w:r>
        <w:rPr>
          <w:rtl/>
        </w:rPr>
        <w:t xml:space="preserve"> </w:t>
      </w:r>
      <w:r>
        <w:rPr>
          <w:b/>
          <w:bCs/>
          <w:rtl/>
        </w:rPr>
        <w:t>בן</w:t>
      </w:r>
      <w:r>
        <w:rPr>
          <w:rtl/>
        </w:rPr>
        <w:t xml:space="preserve"> </w:t>
      </w:r>
      <w:r>
        <w:rPr>
          <w:b/>
          <w:bCs/>
          <w:rtl/>
        </w:rPr>
        <w:t>צבי נ' מדינת ישראל</w:t>
      </w:r>
      <w:r>
        <w:rPr>
          <w:rtl/>
        </w:rPr>
        <w:t xml:space="preserve"> </w:t>
      </w:r>
      <w:r w:rsidR="001044E1" w:rsidRPr="001044E1">
        <w:rPr>
          <w:sz w:val="22"/>
          <w:rtl/>
        </w:rPr>
        <w:t xml:space="preserve">[פורסם בנבו] </w:t>
      </w:r>
      <w:r>
        <w:rPr>
          <w:rtl/>
        </w:rPr>
        <w:t>(22.2.</w:t>
      </w:r>
      <w:r>
        <w:rPr>
          <w:rFonts w:hint="cs"/>
          <w:rtl/>
        </w:rPr>
        <w:t>2016</w:t>
      </w:r>
      <w:r>
        <w:rPr>
          <w:rtl/>
        </w:rPr>
        <w:t>), בו הוחמר עונשו של נאשם ל-10 חודשי מאסר, בשל גידול תשעה שתילי קנב</w:t>
      </w:r>
      <w:r>
        <w:rPr>
          <w:rFonts w:hint="cs"/>
          <w:rtl/>
        </w:rPr>
        <w:t>י</w:t>
      </w:r>
      <w:r>
        <w:rPr>
          <w:rtl/>
        </w:rPr>
        <w:t xml:space="preserve">ס במשקל של 2.5 קילו; </w:t>
      </w:r>
      <w:hyperlink r:id="rId46" w:history="1">
        <w:r w:rsidR="00503DE9" w:rsidRPr="00503DE9">
          <w:rPr>
            <w:color w:val="0000FF"/>
            <w:u w:val="single"/>
            <w:rtl/>
          </w:rPr>
          <w:t>עפ"ג 62171-05-17</w:t>
        </w:r>
      </w:hyperlink>
      <w:r>
        <w:rPr>
          <w:rtl/>
        </w:rPr>
        <w:t xml:space="preserve"> </w:t>
      </w:r>
      <w:r>
        <w:rPr>
          <w:b/>
          <w:bCs/>
          <w:rtl/>
        </w:rPr>
        <w:t>אסי חן נ' מדינת ישראל</w:t>
      </w:r>
      <w:r>
        <w:rPr>
          <w:rtl/>
        </w:rPr>
        <w:t xml:space="preserve"> </w:t>
      </w:r>
      <w:r w:rsidR="001044E1" w:rsidRPr="001044E1">
        <w:rPr>
          <w:sz w:val="22"/>
          <w:rtl/>
        </w:rPr>
        <w:t xml:space="preserve">[פורסם בנבו] </w:t>
      </w:r>
      <w:r>
        <w:rPr>
          <w:rtl/>
        </w:rPr>
        <w:t>(10.7.</w:t>
      </w:r>
      <w:r>
        <w:rPr>
          <w:rFonts w:hint="cs"/>
          <w:rtl/>
        </w:rPr>
        <w:t>2017</w:t>
      </w:r>
      <w:r>
        <w:rPr>
          <w:rtl/>
        </w:rPr>
        <w:t>)</w:t>
      </w:r>
      <w:r>
        <w:rPr>
          <w:rFonts w:hint="cs"/>
          <w:rtl/>
        </w:rPr>
        <w:t>,</w:t>
      </w:r>
      <w:r>
        <w:rPr>
          <w:rtl/>
        </w:rPr>
        <w:t xml:space="preserve"> בו הוטלו על נאשם שגידל 19 שתילים 12 חודשי מאסר. אציין כי בית המשפט המחוזי אישר במסגרת ערעור הנאשם את מתחם הענישה שקבע בית משפט השלום (8-20 חודשי מאסר); </w:t>
      </w:r>
      <w:hyperlink r:id="rId47" w:history="1">
        <w:r w:rsidR="00503DE9" w:rsidRPr="00503DE9">
          <w:rPr>
            <w:color w:val="0000FF"/>
            <w:u w:val="single"/>
            <w:rtl/>
          </w:rPr>
          <w:t>ת"פ 44091-11-15</w:t>
        </w:r>
      </w:hyperlink>
      <w:r>
        <w:rPr>
          <w:rtl/>
        </w:rPr>
        <w:t xml:space="preserve"> </w:t>
      </w:r>
      <w:r>
        <w:rPr>
          <w:b/>
          <w:bCs/>
          <w:rtl/>
        </w:rPr>
        <w:t>מדינת ישראל נ' תומר ראובני</w:t>
      </w:r>
      <w:r>
        <w:rPr>
          <w:rtl/>
        </w:rPr>
        <w:t xml:space="preserve"> </w:t>
      </w:r>
      <w:r w:rsidR="001044E1" w:rsidRPr="001044E1">
        <w:rPr>
          <w:sz w:val="22"/>
          <w:rtl/>
        </w:rPr>
        <w:t xml:space="preserve">[פורסם בנבו] </w:t>
      </w:r>
      <w:r>
        <w:rPr>
          <w:rtl/>
        </w:rPr>
        <w:t>(17.5.</w:t>
      </w:r>
      <w:r>
        <w:rPr>
          <w:rFonts w:hint="cs"/>
          <w:rtl/>
        </w:rPr>
        <w:t>2016</w:t>
      </w:r>
      <w:r>
        <w:rPr>
          <w:rtl/>
        </w:rPr>
        <w:t xml:space="preserve">), בו הורשע הנאשם בגידול סמים במשקל של 132 גרם ובהחזקת סם מסוג קנביס שלא לשימוש עצמי במשקל של כ-170 גרם. בית המשפט קבע כי מתחם העונש ההולם את נסיבות העבירות נע בין עונש מאסר שניתן לשאת בו בעבודות שירות ועד 18 חודשי מאסר; </w:t>
      </w:r>
      <w:hyperlink r:id="rId48" w:history="1">
        <w:r w:rsidR="00503DE9" w:rsidRPr="00503DE9">
          <w:rPr>
            <w:color w:val="0000FF"/>
            <w:u w:val="single"/>
            <w:rtl/>
          </w:rPr>
          <w:t>עפ"ג 13901-11-15</w:t>
        </w:r>
      </w:hyperlink>
      <w:r>
        <w:rPr>
          <w:rtl/>
        </w:rPr>
        <w:t xml:space="preserve"> </w:t>
      </w:r>
      <w:r>
        <w:rPr>
          <w:b/>
          <w:bCs/>
          <w:rtl/>
        </w:rPr>
        <w:t>עזרא נ' מדינת ישראל</w:t>
      </w:r>
      <w:r>
        <w:rPr>
          <w:rtl/>
        </w:rPr>
        <w:t xml:space="preserve"> </w:t>
      </w:r>
      <w:r w:rsidR="001044E1" w:rsidRPr="001044E1">
        <w:rPr>
          <w:sz w:val="22"/>
          <w:rtl/>
        </w:rPr>
        <w:t xml:space="preserve">[פורסם בנבו] </w:t>
      </w:r>
      <w:r>
        <w:rPr>
          <w:rtl/>
        </w:rPr>
        <w:t>(9.12.</w:t>
      </w:r>
      <w:r>
        <w:rPr>
          <w:rFonts w:hint="cs"/>
          <w:rtl/>
        </w:rPr>
        <w:t>2015</w:t>
      </w:r>
      <w:r>
        <w:rPr>
          <w:rtl/>
        </w:rPr>
        <w:t>), בו גידל הנאשם חמישה שתילי קנב</w:t>
      </w:r>
      <w:r>
        <w:rPr>
          <w:rFonts w:hint="cs"/>
          <w:rtl/>
        </w:rPr>
        <w:t>י</w:t>
      </w:r>
      <w:r>
        <w:rPr>
          <w:rtl/>
        </w:rPr>
        <w:t xml:space="preserve">ס שהגיעו למשקל של 1,200 גרם נטו. בית משפט השלום קבע מתחם שנע בין שישה חודשי מאסר בעבודות שירות לבין 18 חודשי מאסר, חרג מהמתחם מטעמי שיקום וקבע עונש של 45 ימי מאסר בעבודות שירות, וגזר הדין אושר בערעור; </w:t>
      </w:r>
      <w:hyperlink r:id="rId49" w:history="1">
        <w:r w:rsidR="00503DE9" w:rsidRPr="00503DE9">
          <w:rPr>
            <w:color w:val="0000FF"/>
            <w:u w:val="single"/>
            <w:rtl/>
          </w:rPr>
          <w:t>ע"פ 41827-08-10</w:t>
        </w:r>
      </w:hyperlink>
      <w:r>
        <w:rPr>
          <w:rtl/>
        </w:rPr>
        <w:t xml:space="preserve"> </w:t>
      </w:r>
      <w:r>
        <w:rPr>
          <w:b/>
          <w:bCs/>
          <w:rtl/>
        </w:rPr>
        <w:t>דוד פרידמן נ' מדינת ישראל</w:t>
      </w:r>
      <w:r>
        <w:rPr>
          <w:rtl/>
        </w:rPr>
        <w:t xml:space="preserve"> </w:t>
      </w:r>
      <w:r w:rsidR="001044E1" w:rsidRPr="001044E1">
        <w:rPr>
          <w:sz w:val="22"/>
          <w:rtl/>
        </w:rPr>
        <w:t xml:space="preserve">[פורסם בנבו] </w:t>
      </w:r>
      <w:r>
        <w:rPr>
          <w:rtl/>
        </w:rPr>
        <w:t>(30.12.</w:t>
      </w:r>
      <w:r>
        <w:rPr>
          <w:rFonts w:hint="cs"/>
          <w:rtl/>
        </w:rPr>
        <w:t>2010</w:t>
      </w:r>
      <w:r>
        <w:rPr>
          <w:rtl/>
        </w:rPr>
        <w:t>), בו הורשע הנאשם בהחזקת סם מסוג קנב</w:t>
      </w:r>
      <w:r>
        <w:rPr>
          <w:rFonts w:hint="cs"/>
          <w:rtl/>
        </w:rPr>
        <w:t>י</w:t>
      </w:r>
      <w:r>
        <w:rPr>
          <w:rtl/>
        </w:rPr>
        <w:t>ס במשקל של כ-200 ג', ובגידול 8 שתילי קנב</w:t>
      </w:r>
      <w:r>
        <w:rPr>
          <w:rFonts w:hint="cs"/>
          <w:rtl/>
        </w:rPr>
        <w:t>י</w:t>
      </w:r>
      <w:r>
        <w:rPr>
          <w:rtl/>
        </w:rPr>
        <w:t xml:space="preserve">ס שמשקלם הכולל היה 308.54 גרם וכן החזקת כלים המשמשים להכנת סם. חרף המלצת שירות המבחן, בית משפט השלום דחה את בקשת הנאשם להימנע מהרשעתו, וגזר עליו 5 חודשי מאסר שירוצו בדרך של עבודות שרות, מאסרים על תנאי, פסילה על תנאי וצו מבחן. ערעור הנאשם נדחה;  </w:t>
      </w:r>
      <w:hyperlink r:id="rId50" w:history="1">
        <w:r w:rsidR="00503DE9" w:rsidRPr="00503DE9">
          <w:rPr>
            <w:color w:val="0000FF"/>
            <w:u w:val="single"/>
            <w:rtl/>
          </w:rPr>
          <w:t>ע"פ 67356-10-13</w:t>
        </w:r>
      </w:hyperlink>
      <w:r>
        <w:rPr>
          <w:rtl/>
        </w:rPr>
        <w:t xml:space="preserve"> </w:t>
      </w:r>
      <w:r>
        <w:rPr>
          <w:b/>
          <w:bCs/>
          <w:rtl/>
        </w:rPr>
        <w:t>יבגני סמנצקו נ' מדינת ישראל</w:t>
      </w:r>
      <w:r>
        <w:rPr>
          <w:rtl/>
        </w:rPr>
        <w:t xml:space="preserve"> </w:t>
      </w:r>
      <w:r w:rsidR="001044E1" w:rsidRPr="001044E1">
        <w:rPr>
          <w:sz w:val="22"/>
          <w:rtl/>
        </w:rPr>
        <w:t xml:space="preserve">[פורסם בנבו] </w:t>
      </w:r>
      <w:r>
        <w:rPr>
          <w:rtl/>
        </w:rPr>
        <w:t>(8.1.</w:t>
      </w:r>
      <w:r>
        <w:rPr>
          <w:rFonts w:hint="cs"/>
          <w:rtl/>
        </w:rPr>
        <w:t>2014</w:t>
      </w:r>
      <w:r>
        <w:rPr>
          <w:rtl/>
        </w:rPr>
        <w:t>), בו הורשע הנאשם בעבירות גידול סמים והחזקת כלים להכנת סם שלא לצריכה עצמית. הנאשם גידל יחד עם אדם נוסף 3 שתילי סם מסוג קנב</w:t>
      </w:r>
      <w:r>
        <w:rPr>
          <w:rFonts w:hint="cs"/>
          <w:rtl/>
        </w:rPr>
        <w:t>י</w:t>
      </w:r>
      <w:r>
        <w:rPr>
          <w:rtl/>
        </w:rPr>
        <w:t>ס במשקל 1,700 גרם וכן החזיקו כלים המשמשים להכנת סם. בית המשפט סטה לקול</w:t>
      </w:r>
      <w:r>
        <w:rPr>
          <w:rFonts w:hint="cs"/>
          <w:rtl/>
        </w:rPr>
        <w:t>ה</w:t>
      </w:r>
      <w:r>
        <w:rPr>
          <w:rtl/>
        </w:rPr>
        <w:t xml:space="preserve"> ממתחם העונש וגזר עליו 300 שעות של"צ, צו מבחן ועונשים נלווים. ערעורו נדחה; </w:t>
      </w:r>
      <w:hyperlink r:id="rId51" w:history="1">
        <w:r w:rsidR="00503DE9" w:rsidRPr="00503DE9">
          <w:rPr>
            <w:color w:val="0000FF"/>
            <w:u w:val="single"/>
            <w:rtl/>
          </w:rPr>
          <w:t>ת"פ 57043-06-16</w:t>
        </w:r>
      </w:hyperlink>
      <w:r>
        <w:rPr>
          <w:rtl/>
        </w:rPr>
        <w:t xml:space="preserve"> </w:t>
      </w:r>
      <w:r>
        <w:rPr>
          <w:b/>
          <w:bCs/>
          <w:rtl/>
        </w:rPr>
        <w:t>תביעות צפת נ' חבני</w:t>
      </w:r>
      <w:r>
        <w:rPr>
          <w:rtl/>
        </w:rPr>
        <w:t xml:space="preserve"> </w:t>
      </w:r>
      <w:r w:rsidR="001044E1" w:rsidRPr="001044E1">
        <w:rPr>
          <w:sz w:val="22"/>
          <w:rtl/>
        </w:rPr>
        <w:t xml:space="preserve">[פורסם בנבו] </w:t>
      </w:r>
      <w:r>
        <w:rPr>
          <w:rtl/>
        </w:rPr>
        <w:t>(17.7.</w:t>
      </w:r>
      <w:r>
        <w:rPr>
          <w:rFonts w:hint="cs"/>
          <w:rtl/>
        </w:rPr>
        <w:t>2017</w:t>
      </w:r>
      <w:r>
        <w:rPr>
          <w:rtl/>
        </w:rPr>
        <w:t>), בו הורשע הנאשם בעבירות של גידול סמים והחזקת סמים שלא לצריכה עצמית. הנאשם החזיק ב- 154.08 גרם של סם מסוכן מסוג קנב</w:t>
      </w:r>
      <w:r>
        <w:rPr>
          <w:rFonts w:hint="cs"/>
          <w:rtl/>
        </w:rPr>
        <w:t>י</w:t>
      </w:r>
      <w:r>
        <w:rPr>
          <w:rtl/>
        </w:rPr>
        <w:t>ס ו- 0.79 גרם של סם מסוכן מסוג חשיש. בנוסף, גידל הנאשם על גג ביתו 3 שתילי סם מסוג קנב</w:t>
      </w:r>
      <w:r>
        <w:rPr>
          <w:rFonts w:hint="cs"/>
          <w:rtl/>
        </w:rPr>
        <w:t>י</w:t>
      </w:r>
      <w:r>
        <w:rPr>
          <w:rtl/>
        </w:rPr>
        <w:t xml:space="preserve">ס במשקל 210 גרם. בית המשפט דחה את עתירת הנאשם לביטול הרשעתו והוא נידון למאסר על תנאי, קנס, התחייבות ופסילה על תנאי; </w:t>
      </w:r>
      <w:hyperlink r:id="rId52" w:history="1">
        <w:r w:rsidR="00503DE9" w:rsidRPr="00503DE9">
          <w:rPr>
            <w:color w:val="0000FF"/>
            <w:u w:val="single"/>
            <w:rtl/>
          </w:rPr>
          <w:t>ת"פ 62475-06-16</w:t>
        </w:r>
      </w:hyperlink>
      <w:r>
        <w:rPr>
          <w:rtl/>
        </w:rPr>
        <w:t xml:space="preserve"> </w:t>
      </w:r>
      <w:r>
        <w:rPr>
          <w:b/>
          <w:bCs/>
          <w:rtl/>
        </w:rPr>
        <w:t>מדינת ישראל נ' שי אדרי</w:t>
      </w:r>
      <w:r>
        <w:rPr>
          <w:rtl/>
        </w:rPr>
        <w:t xml:space="preserve"> </w:t>
      </w:r>
      <w:r w:rsidR="001044E1" w:rsidRPr="001044E1">
        <w:rPr>
          <w:sz w:val="22"/>
          <w:rtl/>
        </w:rPr>
        <w:t xml:space="preserve">[פורסם בנבו] </w:t>
      </w:r>
      <w:r>
        <w:rPr>
          <w:rtl/>
        </w:rPr>
        <w:t>(16.7.</w:t>
      </w:r>
      <w:r>
        <w:rPr>
          <w:rFonts w:hint="cs"/>
          <w:rtl/>
        </w:rPr>
        <w:t>2018</w:t>
      </w:r>
      <w:r>
        <w:rPr>
          <w:rtl/>
        </w:rPr>
        <w:t xml:space="preserve">), בו בוטלה הרשעתו של נאשם שנקבע שגידל שני שתילי קנביס והוטל עליו צו של"צ ומבחן. </w:t>
      </w:r>
    </w:p>
    <w:p w14:paraId="0D9E1616" w14:textId="77777777" w:rsidR="00D143AC" w:rsidRPr="00544E45" w:rsidRDefault="00D143AC" w:rsidP="00D143AC">
      <w:pPr>
        <w:jc w:val="both"/>
      </w:pPr>
    </w:p>
    <w:p w14:paraId="04C207F6" w14:textId="77777777" w:rsidR="00D143AC" w:rsidRDefault="00D143AC" w:rsidP="00D143AC">
      <w:pPr>
        <w:pStyle w:val="ListParagraph"/>
        <w:numPr>
          <w:ilvl w:val="0"/>
          <w:numId w:val="1"/>
        </w:numPr>
        <w:spacing w:line="360" w:lineRule="auto"/>
        <w:jc w:val="both"/>
        <w:rPr>
          <w:rFonts w:ascii="David" w:eastAsia="Calibri" w:hAnsi="David"/>
        </w:rPr>
      </w:pPr>
      <w:r>
        <w:rPr>
          <w:rtl/>
        </w:rPr>
        <w:t xml:space="preserve">לאור כל זאת, </w:t>
      </w:r>
      <w:r>
        <w:rPr>
          <w:rFonts w:ascii="David" w:eastAsia="Calibri" w:hAnsi="David"/>
          <w:rtl/>
        </w:rPr>
        <w:t xml:space="preserve">אני בדעה כי מתחם הענישה ההולם את העבירה מושא ענייננו נע בין </w:t>
      </w:r>
      <w:r>
        <w:rPr>
          <w:rFonts w:ascii="David" w:eastAsia="Calibri" w:hAnsi="David" w:hint="cs"/>
          <w:rtl/>
        </w:rPr>
        <w:t>6</w:t>
      </w:r>
      <w:r>
        <w:rPr>
          <w:rFonts w:ascii="David" w:eastAsia="Calibri" w:hAnsi="David"/>
          <w:rtl/>
        </w:rPr>
        <w:t xml:space="preserve"> חודשי מאסר בפועל</w:t>
      </w:r>
      <w:r>
        <w:rPr>
          <w:rFonts w:ascii="David" w:eastAsia="Calibri" w:hAnsi="David" w:hint="cs"/>
          <w:rtl/>
        </w:rPr>
        <w:t>, שניתן לשאת בעבודות שירות,</w:t>
      </w:r>
      <w:r>
        <w:rPr>
          <w:rFonts w:ascii="David" w:eastAsia="Calibri" w:hAnsi="David"/>
          <w:rtl/>
        </w:rPr>
        <w:t xml:space="preserve"> ועד </w:t>
      </w:r>
      <w:r>
        <w:rPr>
          <w:rFonts w:ascii="David" w:eastAsia="Calibri" w:hAnsi="David" w:hint="cs"/>
          <w:rtl/>
        </w:rPr>
        <w:t>18</w:t>
      </w:r>
      <w:r>
        <w:rPr>
          <w:rFonts w:ascii="David" w:eastAsia="Calibri" w:hAnsi="David"/>
          <w:rtl/>
        </w:rPr>
        <w:t xml:space="preserve"> חודשי מאסר בפועל. </w:t>
      </w:r>
    </w:p>
    <w:p w14:paraId="22B82429" w14:textId="77777777" w:rsidR="00D143AC" w:rsidRDefault="00D143AC" w:rsidP="00D143AC">
      <w:pPr>
        <w:pStyle w:val="ListParagraph"/>
        <w:spacing w:line="360" w:lineRule="auto"/>
        <w:ind w:left="0"/>
        <w:jc w:val="both"/>
        <w:rPr>
          <w:rFonts w:ascii="David" w:eastAsia="Calibri" w:hAnsi="David"/>
        </w:rPr>
      </w:pPr>
    </w:p>
    <w:p w14:paraId="0D5010CA" w14:textId="77777777" w:rsidR="00D143AC" w:rsidRDefault="00D143AC" w:rsidP="00D143AC">
      <w:pPr>
        <w:spacing w:line="360" w:lineRule="auto"/>
        <w:jc w:val="both"/>
        <w:rPr>
          <w:b/>
          <w:bCs/>
          <w:u w:val="single"/>
          <w:rtl/>
        </w:rPr>
      </w:pPr>
    </w:p>
    <w:p w14:paraId="53A0CB55" w14:textId="77777777" w:rsidR="00D143AC" w:rsidRDefault="00D143AC" w:rsidP="00D143AC">
      <w:pPr>
        <w:spacing w:line="360" w:lineRule="auto"/>
        <w:jc w:val="both"/>
        <w:rPr>
          <w:b/>
          <w:bCs/>
          <w:u w:val="single"/>
        </w:rPr>
      </w:pPr>
      <w:r w:rsidRPr="00760FF2">
        <w:rPr>
          <w:b/>
          <w:bCs/>
          <w:u w:val="single"/>
          <w:rtl/>
        </w:rPr>
        <w:t>קביעת עונשו של הנאשם</w:t>
      </w:r>
    </w:p>
    <w:p w14:paraId="5AA54D53" w14:textId="77777777" w:rsidR="00D143AC" w:rsidRDefault="00D143AC" w:rsidP="00D143AC">
      <w:pPr>
        <w:pStyle w:val="ListParagraph"/>
        <w:ind w:left="0"/>
        <w:jc w:val="both"/>
        <w:rPr>
          <w:rFonts w:ascii="David" w:eastAsia="Calibri" w:hAnsi="David"/>
        </w:rPr>
      </w:pPr>
    </w:p>
    <w:p w14:paraId="12945401" w14:textId="77777777" w:rsidR="00D143AC" w:rsidRDefault="00D143AC" w:rsidP="00D143AC">
      <w:pPr>
        <w:pStyle w:val="ListParagraph"/>
        <w:numPr>
          <w:ilvl w:val="0"/>
          <w:numId w:val="1"/>
        </w:numPr>
        <w:spacing w:line="360" w:lineRule="auto"/>
        <w:jc w:val="both"/>
      </w:pPr>
      <w:r>
        <w:rPr>
          <w:rtl/>
        </w:rPr>
        <w:t xml:space="preserve">אקדים ואומר כי לאחר עיון בתסקירי שירות המבחן ובחינת נסיבות המקרה בכללותו, באתי לכלל מסקנה כי </w:t>
      </w:r>
      <w:r>
        <w:rPr>
          <w:rFonts w:hint="cs"/>
          <w:rtl/>
        </w:rPr>
        <w:t xml:space="preserve">ראוי במקרה זה </w:t>
      </w:r>
      <w:r>
        <w:rPr>
          <w:rtl/>
        </w:rPr>
        <w:t>להעדיף את הפן השיקומי ולסטות בשל כך ממתחם הענישה.</w:t>
      </w:r>
      <w:r>
        <w:rPr>
          <w:rFonts w:hint="cs"/>
          <w:rtl/>
        </w:rPr>
        <w:t xml:space="preserve"> אנמק. </w:t>
      </w:r>
    </w:p>
    <w:p w14:paraId="5F675E96" w14:textId="77777777" w:rsidR="00D143AC" w:rsidRDefault="00D143AC" w:rsidP="00D143AC">
      <w:pPr>
        <w:pStyle w:val="ListParagraph"/>
        <w:ind w:left="0"/>
        <w:jc w:val="both"/>
      </w:pPr>
    </w:p>
    <w:p w14:paraId="1BA4917D" w14:textId="77777777" w:rsidR="00D143AC" w:rsidRDefault="00D143AC" w:rsidP="00D143AC">
      <w:pPr>
        <w:pStyle w:val="ListParagraph"/>
        <w:numPr>
          <w:ilvl w:val="0"/>
          <w:numId w:val="1"/>
        </w:numPr>
        <w:spacing w:line="360" w:lineRule="auto"/>
        <w:jc w:val="both"/>
      </w:pPr>
      <w:r>
        <w:rPr>
          <w:rFonts w:ascii="David" w:hAnsi="David"/>
          <w:color w:val="000000"/>
          <w:shd w:val="clear" w:color="auto" w:fill="FFFFFF"/>
          <w:rtl/>
        </w:rPr>
        <w:t xml:space="preserve">כידוע,  </w:t>
      </w:r>
      <w:r>
        <w:rPr>
          <w:rtl/>
        </w:rPr>
        <w:t xml:space="preserve">בהתאם </w:t>
      </w:r>
      <w:hyperlink r:id="rId53" w:history="1">
        <w:r w:rsidR="00B45F31" w:rsidRPr="00B45F31">
          <w:rPr>
            <w:rStyle w:val="Hyperlink"/>
            <w:rtl/>
          </w:rPr>
          <w:t>לסעיף 40ד'</w:t>
        </w:r>
      </w:hyperlink>
      <w:r>
        <w:rPr>
          <w:rtl/>
        </w:rPr>
        <w:t xml:space="preserve"> ל</w:t>
      </w:r>
      <w:hyperlink r:id="rId54" w:history="1">
        <w:r w:rsidR="00503DE9" w:rsidRPr="00503DE9">
          <w:rPr>
            <w:color w:val="0000FF"/>
            <w:u w:val="single"/>
            <w:rtl/>
          </w:rPr>
          <w:t>חוק העונשין</w:t>
        </w:r>
      </w:hyperlink>
      <w:r>
        <w:rPr>
          <w:rtl/>
        </w:rPr>
        <w:t xml:space="preserve">, רשאי בית המשפט לחרוג לקולה ממתחם הענישה שקבע, אם מצא כי </w:t>
      </w:r>
      <w:r>
        <w:rPr>
          <w:rFonts w:cs="Miriam"/>
          <w:rtl/>
        </w:rPr>
        <w:t>"הנאשם השתקם או כי יש סיכוי של ממש שישתקם"</w:t>
      </w:r>
      <w:r>
        <w:rPr>
          <w:rtl/>
        </w:rPr>
        <w:t xml:space="preserve">. בעניין זה נקבע כי </w:t>
      </w:r>
      <w:r>
        <w:rPr>
          <w:rFonts w:cs="Miriam"/>
          <w:rtl/>
        </w:rPr>
        <w:t xml:space="preserve">"על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 </w:t>
      </w:r>
      <w:r>
        <w:rPr>
          <w:rtl/>
        </w:rPr>
        <w:t>(</w:t>
      </w:r>
      <w:hyperlink r:id="rId55" w:history="1">
        <w:r w:rsidR="00503DE9" w:rsidRPr="00503DE9">
          <w:rPr>
            <w:color w:val="0000FF"/>
            <w:u w:val="single"/>
            <w:rtl/>
          </w:rPr>
          <w:t>רע"פ 7683/13</w:t>
        </w:r>
      </w:hyperlink>
      <w:r>
        <w:rPr>
          <w:rtl/>
        </w:rPr>
        <w:t xml:space="preserve"> </w:t>
      </w:r>
      <w:r>
        <w:rPr>
          <w:b/>
          <w:bCs/>
          <w:rtl/>
        </w:rPr>
        <w:t>דוד פרלמן נ' מדינת ישראל</w:t>
      </w:r>
      <w:r>
        <w:rPr>
          <w:rtl/>
        </w:rPr>
        <w:t xml:space="preserve"> </w:t>
      </w:r>
      <w:r w:rsidR="001044E1" w:rsidRPr="001044E1">
        <w:rPr>
          <w:sz w:val="22"/>
          <w:rtl/>
        </w:rPr>
        <w:t xml:space="preserve">[פורסם בנבו] </w:t>
      </w:r>
      <w:r>
        <w:rPr>
          <w:rtl/>
        </w:rPr>
        <w:t>(23.2.2014)</w:t>
      </w:r>
      <w:r>
        <w:rPr>
          <w:rFonts w:ascii="Arial TUR" w:hAnsi="Arial TUR" w:cs="Miriam" w:hint="cs"/>
          <w:spacing w:val="10"/>
          <w:rtl/>
        </w:rPr>
        <w:t>;</w:t>
      </w:r>
      <w:r w:rsidRPr="00760FF2">
        <w:rPr>
          <w:rFonts w:ascii="Arial TUR" w:hAnsi="Arial TUR" w:cs="Miriam"/>
          <w:spacing w:val="10"/>
          <w:rtl/>
        </w:rPr>
        <w:t xml:space="preserve"> </w:t>
      </w:r>
      <w:hyperlink r:id="rId56" w:history="1">
        <w:r w:rsidR="00503DE9" w:rsidRPr="00503DE9">
          <w:rPr>
            <w:rFonts w:ascii="Century" w:hAnsi="Century" w:hint="eastAsia"/>
            <w:color w:val="0000FF"/>
            <w:spacing w:val="10"/>
            <w:u w:val="single"/>
            <w:rtl/>
          </w:rPr>
          <w:t>ע</w:t>
        </w:r>
        <w:r w:rsidR="00503DE9" w:rsidRPr="00503DE9">
          <w:rPr>
            <w:rFonts w:ascii="Century" w:hAnsi="Century"/>
            <w:color w:val="0000FF"/>
            <w:spacing w:val="10"/>
            <w:u w:val="single"/>
            <w:rtl/>
          </w:rPr>
          <w:t>"</w:t>
        </w:r>
        <w:r w:rsidR="00503DE9" w:rsidRPr="00503DE9">
          <w:rPr>
            <w:rFonts w:ascii="Century" w:hAnsi="Century" w:hint="eastAsia"/>
            <w:color w:val="0000FF"/>
            <w:spacing w:val="10"/>
            <w:u w:val="single"/>
            <w:rtl/>
          </w:rPr>
          <w:t>פ</w:t>
        </w:r>
        <w:r w:rsidR="00503DE9" w:rsidRPr="00503DE9">
          <w:rPr>
            <w:rFonts w:ascii="Century" w:hAnsi="Century"/>
            <w:color w:val="0000FF"/>
            <w:spacing w:val="10"/>
            <w:u w:val="single"/>
            <w:rtl/>
          </w:rPr>
          <w:t xml:space="preserve"> 6637/17</w:t>
        </w:r>
      </w:hyperlink>
      <w:r>
        <w:rPr>
          <w:rFonts w:ascii="Century" w:hAnsi="Century"/>
          <w:spacing w:val="10"/>
          <w:rtl/>
        </w:rPr>
        <w:t xml:space="preserve"> </w:t>
      </w:r>
      <w:r>
        <w:rPr>
          <w:rFonts w:ascii="Century" w:hAnsi="Century" w:hint="cs"/>
          <w:b/>
          <w:bCs/>
          <w:spacing w:val="10"/>
          <w:rtl/>
        </w:rPr>
        <w:t>אליזבט קרינדל נ' מדינת ישראל</w:t>
      </w:r>
      <w:r>
        <w:rPr>
          <w:rFonts w:ascii="Century" w:hAnsi="Century" w:hint="cs"/>
          <w:spacing w:val="10"/>
          <w:rtl/>
        </w:rPr>
        <w:t xml:space="preserve"> </w:t>
      </w:r>
      <w:r w:rsidR="001044E1" w:rsidRPr="001044E1">
        <w:rPr>
          <w:sz w:val="22"/>
          <w:rtl/>
        </w:rPr>
        <w:t>[</w:t>
      </w:r>
      <w:r w:rsidR="001044E1" w:rsidRPr="001044E1">
        <w:rPr>
          <w:rFonts w:hint="eastAsia"/>
          <w:sz w:val="22"/>
          <w:rtl/>
        </w:rPr>
        <w:t>פורסם</w:t>
      </w:r>
      <w:r w:rsidR="001044E1" w:rsidRPr="001044E1">
        <w:rPr>
          <w:sz w:val="22"/>
          <w:rtl/>
        </w:rPr>
        <w:t xml:space="preserve"> </w:t>
      </w:r>
      <w:r w:rsidR="001044E1" w:rsidRPr="001044E1">
        <w:rPr>
          <w:rFonts w:hint="eastAsia"/>
          <w:sz w:val="22"/>
          <w:rtl/>
        </w:rPr>
        <w:t>בנבו</w:t>
      </w:r>
      <w:r w:rsidR="001044E1" w:rsidRPr="001044E1">
        <w:rPr>
          <w:sz w:val="22"/>
          <w:rtl/>
        </w:rPr>
        <w:t xml:space="preserve">] </w:t>
      </w:r>
      <w:r>
        <w:rPr>
          <w:rFonts w:ascii="Century" w:hAnsi="Century" w:hint="cs"/>
          <w:spacing w:val="10"/>
          <w:rtl/>
        </w:rPr>
        <w:t>(18.4.2018)).</w:t>
      </w:r>
      <w:r>
        <w:rPr>
          <w:rFonts w:hint="cs"/>
          <w:rtl/>
        </w:rPr>
        <w:t xml:space="preserve"> הנאשם הוא צעיר כבן 29 ונסיבות חייו אינן פשוטות. עברו הפלילי נקי ולאחר תאונת עבודה שעבר נקטע רצף חייו ולאחרונה הוא שולב בהליך שיקום תעסוקתי במסגרת המוסד לביטוח לאומי. ממכתבה של מנהלת מרכז השיקום עולה כי הוא שולב באופן משביע רצון, משקיע זמן רב בשיקום ומביע מוטיבציה גדולה לשינוי והתקדמות על אף מגבלותיו הבריאותיות (ענ/2). </w:t>
      </w:r>
      <w:r>
        <w:rPr>
          <w:rtl/>
        </w:rPr>
        <w:t xml:space="preserve">שירות המבחן התרשם </w:t>
      </w:r>
      <w:r>
        <w:rPr>
          <w:rFonts w:hint="cs"/>
          <w:rtl/>
        </w:rPr>
        <w:t>אף הוא ש</w:t>
      </w:r>
      <w:r>
        <w:rPr>
          <w:rtl/>
        </w:rPr>
        <w:t xml:space="preserve">לנאשם רצון אמיתי בשינוי חייו וכי הוא יכול להיתרם מהליך </w:t>
      </w:r>
      <w:r>
        <w:rPr>
          <w:rFonts w:hint="cs"/>
          <w:rtl/>
        </w:rPr>
        <w:t>השיקום ובכך אף יפחת הסיכון להתנהגות עבריינית בעתיד</w:t>
      </w:r>
      <w:r>
        <w:rPr>
          <w:rtl/>
        </w:rPr>
        <w:t>. לאור כך הומלץ על העמדתו ב</w:t>
      </w:r>
      <w:r>
        <w:rPr>
          <w:rFonts w:hint="cs"/>
          <w:rtl/>
        </w:rPr>
        <w:t xml:space="preserve">צו </w:t>
      </w:r>
      <w:r>
        <w:rPr>
          <w:rtl/>
        </w:rPr>
        <w:t xml:space="preserve">מבחן בצירוף צו של"צ. </w:t>
      </w:r>
    </w:p>
    <w:p w14:paraId="136E1898" w14:textId="77777777" w:rsidR="00D143AC" w:rsidRDefault="00D143AC" w:rsidP="00D143AC">
      <w:pPr>
        <w:pStyle w:val="ListParagraph"/>
        <w:ind w:left="0"/>
        <w:jc w:val="both"/>
      </w:pPr>
    </w:p>
    <w:p w14:paraId="01B22AD5" w14:textId="77777777" w:rsidR="00D143AC" w:rsidRDefault="00D143AC" w:rsidP="00D143AC">
      <w:pPr>
        <w:pStyle w:val="ListParagraph"/>
        <w:numPr>
          <w:ilvl w:val="0"/>
          <w:numId w:val="1"/>
        </w:numPr>
        <w:spacing w:line="360" w:lineRule="auto"/>
        <w:jc w:val="both"/>
      </w:pPr>
      <w:r>
        <w:rPr>
          <w:rtl/>
        </w:rPr>
        <w:t>עמדה זו ראיה בעיני בהחלט. שירות המבחן הו</w:t>
      </w:r>
      <w:r>
        <w:rPr>
          <w:rFonts w:hint="cs"/>
          <w:rtl/>
        </w:rPr>
        <w:t>א</w:t>
      </w:r>
      <w:r>
        <w:rPr>
          <w:rtl/>
        </w:rPr>
        <w:t xml:space="preserve"> הגוף המקצועי האמון על שיקום נאשמים ועל </w:t>
      </w:r>
      <w:r w:rsidRPr="00AD0098">
        <w:rPr>
          <w:rtl/>
        </w:rPr>
        <w:t>הערכת הסיכויים לכך. קצין המבחן משמש כזרועו הארוכה של בית המשפט לעניין זה, ועל אף שאין הכרח לאמץ את המלצתו, ברי כי להמלצת שירות המבחן משקל ממשי בבואו של בית המשפט לגזור את דינו של נאשם (</w:t>
      </w:r>
      <w:hyperlink r:id="rId57" w:history="1">
        <w:r w:rsidR="00503DE9" w:rsidRPr="00503DE9">
          <w:rPr>
            <w:color w:val="0000FF"/>
            <w:u w:val="single"/>
            <w:rtl/>
          </w:rPr>
          <w:t>ע"פ 3472/11</w:t>
        </w:r>
      </w:hyperlink>
      <w:r w:rsidRPr="00AD0098">
        <w:rPr>
          <w:rtl/>
        </w:rPr>
        <w:t xml:space="preserve"> </w:t>
      </w:r>
      <w:r w:rsidRPr="00AD0098">
        <w:rPr>
          <w:b/>
          <w:bCs/>
          <w:rtl/>
        </w:rPr>
        <w:t>פלוני נ' מדינת ישראל</w:t>
      </w:r>
      <w:r w:rsidRPr="00AD0098">
        <w:rPr>
          <w:rtl/>
        </w:rPr>
        <w:t xml:space="preserve"> </w:t>
      </w:r>
      <w:r w:rsidR="001044E1" w:rsidRPr="001044E1">
        <w:rPr>
          <w:sz w:val="22"/>
          <w:rtl/>
        </w:rPr>
        <w:t xml:space="preserve">[פורסם בנבו] </w:t>
      </w:r>
      <w:r w:rsidRPr="00AD0098">
        <w:rPr>
          <w:rtl/>
        </w:rPr>
        <w:t>(3.9.</w:t>
      </w:r>
      <w:r>
        <w:rPr>
          <w:rFonts w:hint="cs"/>
          <w:rtl/>
        </w:rPr>
        <w:t>2012</w:t>
      </w:r>
      <w:r>
        <w:rPr>
          <w:rtl/>
        </w:rPr>
        <w:t>)). על חומרת העביר</w:t>
      </w:r>
      <w:r>
        <w:rPr>
          <w:rFonts w:hint="cs"/>
          <w:rtl/>
        </w:rPr>
        <w:t>ה</w:t>
      </w:r>
      <w:r w:rsidRPr="00AD0098">
        <w:rPr>
          <w:rtl/>
        </w:rPr>
        <w:t xml:space="preserve"> במקרה זה אין חולק, ועמדתי לעיל על מדיניות הענישה הראויה בעבירות כגון אלו. עם זאת, במקרה זה סברתי </w:t>
      </w:r>
      <w:r>
        <w:rPr>
          <w:rFonts w:hint="cs"/>
          <w:rtl/>
        </w:rPr>
        <w:t>ש</w:t>
      </w:r>
      <w:r w:rsidRPr="00AD0098">
        <w:rPr>
          <w:rtl/>
        </w:rPr>
        <w:t>אין זה נכון להטיל על הנאשם עונש מאסר</w:t>
      </w:r>
      <w:r>
        <w:rPr>
          <w:rFonts w:hint="cs"/>
          <w:rtl/>
        </w:rPr>
        <w:t xml:space="preserve"> כעתירת המאשימה,</w:t>
      </w:r>
      <w:r w:rsidRPr="00AD0098">
        <w:rPr>
          <w:rtl/>
        </w:rPr>
        <w:t xml:space="preserve"> ולו בעבודות שירות. הנאשם אינו בעל דפוסי התנהגות </w:t>
      </w:r>
      <w:r>
        <w:rPr>
          <w:rtl/>
        </w:rPr>
        <w:t>עברייניים</w:t>
      </w:r>
      <w:r>
        <w:rPr>
          <w:rFonts w:hint="cs"/>
          <w:rtl/>
        </w:rPr>
        <w:t xml:space="preserve"> (</w:t>
      </w:r>
      <w:r>
        <w:rPr>
          <w:rtl/>
        </w:rPr>
        <w:t xml:space="preserve">לעניין הימנעות </w:t>
      </w:r>
      <w:r w:rsidRPr="00AD0098">
        <w:rPr>
          <w:rtl/>
        </w:rPr>
        <w:t>מהטלת עונש מאסר ביחס למי שאינו בעל דפוסי עבריינות מובהקים רא</w:t>
      </w:r>
      <w:r>
        <w:rPr>
          <w:rFonts w:hint="cs"/>
          <w:rtl/>
        </w:rPr>
        <w:t>ו</w:t>
      </w:r>
      <w:r w:rsidRPr="00AD0098">
        <w:rPr>
          <w:rtl/>
        </w:rPr>
        <w:t xml:space="preserve"> </w:t>
      </w:r>
      <w:hyperlink r:id="rId58" w:history="1">
        <w:r w:rsidR="00503DE9" w:rsidRPr="00503DE9">
          <w:rPr>
            <w:color w:val="0000FF"/>
            <w:u w:val="single"/>
            <w:rtl/>
          </w:rPr>
          <w:t>ע"פ 4318-10-11</w:t>
        </w:r>
      </w:hyperlink>
      <w:r w:rsidRPr="00AD0098">
        <w:rPr>
          <w:rtl/>
        </w:rPr>
        <w:t xml:space="preserve"> </w:t>
      </w:r>
      <w:r w:rsidRPr="00AD0098">
        <w:rPr>
          <w:b/>
          <w:bCs/>
          <w:rtl/>
        </w:rPr>
        <w:t xml:space="preserve">מדינת </w:t>
      </w:r>
      <w:r>
        <w:rPr>
          <w:b/>
          <w:bCs/>
          <w:rtl/>
        </w:rPr>
        <w:t>ישראל נ' רפאילוב ואח'</w:t>
      </w:r>
      <w:r>
        <w:rPr>
          <w:rtl/>
        </w:rPr>
        <w:t xml:space="preserve"> </w:t>
      </w:r>
      <w:r w:rsidR="001044E1" w:rsidRPr="001044E1">
        <w:rPr>
          <w:sz w:val="22"/>
          <w:rtl/>
        </w:rPr>
        <w:t xml:space="preserve">[פורסם בנבו] </w:t>
      </w:r>
      <w:r>
        <w:rPr>
          <w:rtl/>
        </w:rPr>
        <w:t>(5.1.</w:t>
      </w:r>
      <w:r>
        <w:rPr>
          <w:rFonts w:hint="cs"/>
          <w:rtl/>
        </w:rPr>
        <w:t>2012</w:t>
      </w:r>
      <w:r>
        <w:rPr>
          <w:rtl/>
        </w:rPr>
        <w:t xml:space="preserve">), חוות דעתו של כב' השופט </w:t>
      </w:r>
      <w:r>
        <w:rPr>
          <w:rFonts w:hint="cs"/>
          <w:rtl/>
        </w:rPr>
        <w:t xml:space="preserve">(כתוארו אז) </w:t>
      </w:r>
      <w:r>
        <w:rPr>
          <w:rtl/>
        </w:rPr>
        <w:t>שפירא</w:t>
      </w:r>
      <w:r>
        <w:rPr>
          <w:rFonts w:hint="cs"/>
          <w:rtl/>
        </w:rPr>
        <w:t>)</w:t>
      </w:r>
      <w:r>
        <w:rPr>
          <w:rtl/>
        </w:rPr>
        <w:t>. הוא צעיר ועברו נקי</w:t>
      </w:r>
      <w:r>
        <w:rPr>
          <w:rFonts w:hint="cs"/>
          <w:rtl/>
        </w:rPr>
        <w:t xml:space="preserve">. בשנים האחרונות הוא מתמודד עם פציעה לאחר תאונת עבודה, בגינה נקבעה לו נכות צמיתה. כיום הנאשם מחזיק ברישיון צריכת קנאביס מטעמים רפואיים. </w:t>
      </w:r>
      <w:r>
        <w:rPr>
          <w:rtl/>
        </w:rPr>
        <w:t>נסיבות אלו, על רקע מהות העביר</w:t>
      </w:r>
      <w:r>
        <w:rPr>
          <w:rFonts w:hint="cs"/>
          <w:rtl/>
        </w:rPr>
        <w:t>ה</w:t>
      </w:r>
      <w:r>
        <w:rPr>
          <w:rtl/>
        </w:rPr>
        <w:t xml:space="preserve"> </w:t>
      </w:r>
      <w:r>
        <w:rPr>
          <w:rFonts w:hint="cs"/>
          <w:rtl/>
        </w:rPr>
        <w:t xml:space="preserve">ונסיבותיה, כמו גם </w:t>
      </w:r>
      <w:r>
        <w:rPr>
          <w:rtl/>
        </w:rPr>
        <w:t>המלצת שירות המבחן, מביא</w:t>
      </w:r>
      <w:r>
        <w:rPr>
          <w:rFonts w:hint="cs"/>
          <w:rtl/>
        </w:rPr>
        <w:t>ות</w:t>
      </w:r>
      <w:r>
        <w:rPr>
          <w:rtl/>
        </w:rPr>
        <w:t xml:space="preserve"> למסקנה לפיה עונש מאסר אינו הולם את נסיבות המקרה ונסיבות העושה</w:t>
      </w:r>
      <w:r>
        <w:rPr>
          <w:rFonts w:hint="cs"/>
          <w:rtl/>
        </w:rPr>
        <w:t xml:space="preserve">. </w:t>
      </w:r>
      <w:r>
        <w:rPr>
          <w:rtl/>
        </w:rPr>
        <w:t xml:space="preserve">להשפעותיו השליליות של עונש מאסר </w:t>
      </w:r>
      <w:r>
        <w:rPr>
          <w:rFonts w:hint="cs"/>
          <w:rtl/>
        </w:rPr>
        <w:t>אפנה לדברים שצוינו</w:t>
      </w:r>
      <w:r>
        <w:rPr>
          <w:rtl/>
        </w:rPr>
        <w:t xml:space="preserve"> </w:t>
      </w:r>
      <w:r>
        <w:rPr>
          <w:rFonts w:hint="cs"/>
          <w:rtl/>
        </w:rPr>
        <w:t>ב</w:t>
      </w:r>
      <w:r>
        <w:rPr>
          <w:b/>
          <w:bCs/>
          <w:rtl/>
        </w:rPr>
        <w:t>דו"ח הועדה הציבורית לבחינת מדיניות הענישה והטיפול בעבריינים</w:t>
      </w:r>
      <w:r>
        <w:rPr>
          <w:rtl/>
        </w:rPr>
        <w:t>, 2015 (המכונה "דו"ח ועדת דורנר")</w:t>
      </w:r>
      <w:r>
        <w:rPr>
          <w:rFonts w:hint="cs"/>
          <w:rtl/>
        </w:rPr>
        <w:t xml:space="preserve"> וכן ל</w:t>
      </w:r>
      <w:hyperlink r:id="rId59" w:history="1">
        <w:r w:rsidR="00503DE9" w:rsidRPr="00503DE9">
          <w:rPr>
            <w:color w:val="0000FF"/>
            <w:u w:val="single"/>
            <w:rtl/>
          </w:rPr>
          <w:t>בג"צ 1892/14</w:t>
        </w:r>
      </w:hyperlink>
      <w:r w:rsidRPr="007C038B">
        <w:rPr>
          <w:rtl/>
        </w:rPr>
        <w:t xml:space="preserve"> </w:t>
      </w:r>
      <w:r w:rsidRPr="007C038B">
        <w:rPr>
          <w:rFonts w:hint="cs"/>
          <w:b/>
          <w:bCs/>
          <w:rtl/>
        </w:rPr>
        <w:t>האגודה לזכויות האדם בישראל ואח' נ' השר לבטחון פנים ואח'</w:t>
      </w:r>
      <w:r w:rsidRPr="007C038B">
        <w:rPr>
          <w:rFonts w:hint="cs"/>
          <w:rtl/>
        </w:rPr>
        <w:t xml:space="preserve"> </w:t>
      </w:r>
      <w:r w:rsidR="001044E1" w:rsidRPr="001044E1">
        <w:rPr>
          <w:sz w:val="22"/>
          <w:rtl/>
        </w:rPr>
        <w:t xml:space="preserve">[פורסם בנבו] </w:t>
      </w:r>
      <w:r w:rsidRPr="007C038B">
        <w:rPr>
          <w:rFonts w:hint="cs"/>
          <w:rtl/>
        </w:rPr>
        <w:t xml:space="preserve">(13.6.2017), </w:t>
      </w:r>
      <w:r>
        <w:rPr>
          <w:rFonts w:hint="cs"/>
          <w:rtl/>
        </w:rPr>
        <w:t>פסקה קכו' לפסק דינו של המשנה לנשיאה רובינשטיין</w:t>
      </w:r>
      <w:r>
        <w:rPr>
          <w:rtl/>
        </w:rPr>
        <w:t>.</w:t>
      </w:r>
      <w:r>
        <w:rPr>
          <w:rFonts w:hint="cs"/>
          <w:rtl/>
        </w:rPr>
        <w:t xml:space="preserve"> לדידי, מסוכנותו של הנאשם כיום פחותה משמעותית מזו שהייתה בעת ביצוע העבירה ואף נתון זה תומך בהימנעות מהטלת עונש מאסר והעדפת הפן השיקומי. כמו כן, תמיכה בתהליך השיקום תסייע לנאשם ולחברה בעוד שעונש מאסר, ולו בעבודות שירות, עלול לקטוע מהלך זה </w:t>
      </w:r>
      <w:r>
        <w:rPr>
          <w:rtl/>
        </w:rPr>
        <w:t>(</w:t>
      </w:r>
      <w:hyperlink r:id="rId60" w:history="1">
        <w:r w:rsidR="001044E1" w:rsidRPr="001044E1">
          <w:rPr>
            <w:rStyle w:val="Hyperlink"/>
            <w:rFonts w:hint="eastAsia"/>
            <w:rtl/>
          </w:rPr>
          <w:t>ע</w:t>
        </w:r>
        <w:r w:rsidR="001044E1" w:rsidRPr="001044E1">
          <w:rPr>
            <w:rStyle w:val="Hyperlink"/>
            <w:rtl/>
          </w:rPr>
          <w:t>"פ 26985-08-19</w:t>
        </w:r>
      </w:hyperlink>
      <w:r>
        <w:rPr>
          <w:rFonts w:hint="cs"/>
          <w:rtl/>
        </w:rPr>
        <w:t xml:space="preserve"> </w:t>
      </w:r>
      <w:r w:rsidRPr="00B161A8">
        <w:rPr>
          <w:rFonts w:hint="cs"/>
          <w:b/>
          <w:bCs/>
          <w:rtl/>
        </w:rPr>
        <w:t>ארטיום שטנפר נ' מדינת ישראל</w:t>
      </w:r>
      <w:r>
        <w:rPr>
          <w:rFonts w:hint="cs"/>
          <w:rtl/>
        </w:rPr>
        <w:t xml:space="preserve"> </w:t>
      </w:r>
      <w:r w:rsidR="001044E1" w:rsidRPr="001044E1">
        <w:rPr>
          <w:sz w:val="22"/>
          <w:rtl/>
        </w:rPr>
        <w:t xml:space="preserve">[פורסם בנבו] </w:t>
      </w:r>
      <w:r>
        <w:rPr>
          <w:rFonts w:hint="cs"/>
          <w:rtl/>
        </w:rPr>
        <w:t>(21.11.2019)). עוד אציין שעונש מאסר (ממש) כעתירת המאשימה לא יאפשר שילוב הנאשם בצו מבחן וראיתי בכך חשיבות לצורך תמיכה בהליך השיקום.  בצד דברים אלו אציין שבכוונתי לקבוע תקופת מבחן ממושכת מזו עליה המליצה קצינת המבחן וזאת על מנת להבטיח רצף טיפולי ארוך יותר. כן אציין ש</w:t>
      </w:r>
      <w:r>
        <w:rPr>
          <w:rtl/>
        </w:rPr>
        <w:t xml:space="preserve">הנאשם אינו מסיים את ההליך כעת וככל שלא ישתף פעולה עם שירות המבחן, ובוודאי אם יעבור עבירה נוספת, יחודש ההליך נגדו והוא </w:t>
      </w:r>
      <w:r w:rsidRPr="00025A01">
        <w:rPr>
          <w:rtl/>
        </w:rPr>
        <w:t>יישא בעונש ההולם את מעשיו (</w:t>
      </w:r>
      <w:hyperlink r:id="rId61" w:history="1">
        <w:r w:rsidR="00503DE9" w:rsidRPr="00503DE9">
          <w:rPr>
            <w:color w:val="0000FF"/>
            <w:u w:val="single"/>
            <w:rtl/>
          </w:rPr>
          <w:t>עפ"ג 39953-11-13</w:t>
        </w:r>
      </w:hyperlink>
      <w:r w:rsidRPr="00025A01">
        <w:rPr>
          <w:rtl/>
        </w:rPr>
        <w:t xml:space="preserve"> </w:t>
      </w:r>
      <w:r w:rsidRPr="00025A01">
        <w:rPr>
          <w:b/>
          <w:bCs/>
          <w:rtl/>
        </w:rPr>
        <w:t>סבח נ' מדינת ישראל</w:t>
      </w:r>
      <w:r w:rsidRPr="00025A01">
        <w:rPr>
          <w:rtl/>
        </w:rPr>
        <w:t xml:space="preserve"> </w:t>
      </w:r>
      <w:r w:rsidR="001044E1" w:rsidRPr="001044E1">
        <w:rPr>
          <w:sz w:val="22"/>
          <w:rtl/>
        </w:rPr>
        <w:t xml:space="preserve">[פורסם בנבו] </w:t>
      </w:r>
      <w:r w:rsidRPr="00025A01">
        <w:rPr>
          <w:rtl/>
        </w:rPr>
        <w:t>(23.1.</w:t>
      </w:r>
      <w:r>
        <w:rPr>
          <w:rFonts w:hint="cs"/>
          <w:rtl/>
        </w:rPr>
        <w:t>2014</w:t>
      </w:r>
      <w:r w:rsidRPr="00025A01">
        <w:rPr>
          <w:rtl/>
        </w:rPr>
        <w:t>)).</w:t>
      </w:r>
      <w:r>
        <w:rPr>
          <w:rFonts w:hint="cs"/>
          <w:rtl/>
        </w:rPr>
        <w:t xml:space="preserve"> כן אציין שבכוונתי להטיל על הנאשם צו של"צ בהיקף לא מבוטל המהווה ענישה קונקרטית, הגם שבבסיסה אפקט חינוכי-שיקומי. בכך ייווצ</w:t>
      </w:r>
      <w:r>
        <w:rPr>
          <w:rFonts w:hint="eastAsia"/>
          <w:rtl/>
        </w:rPr>
        <w:t>ר</w:t>
      </w:r>
      <w:r>
        <w:rPr>
          <w:rFonts w:hint="cs"/>
          <w:rtl/>
        </w:rPr>
        <w:t xml:space="preserve"> לדידי תמהיל עונשי ראוי שיש בו להשיג את תכלית הענישה בצד שמירה על סיכויי השיקום. </w:t>
      </w:r>
    </w:p>
    <w:p w14:paraId="2B21D5EB" w14:textId="77777777" w:rsidR="00D143AC" w:rsidRPr="00624952" w:rsidRDefault="00D143AC" w:rsidP="00D143AC">
      <w:pPr>
        <w:pStyle w:val="ListParagraph"/>
        <w:ind w:left="0"/>
        <w:jc w:val="both"/>
      </w:pPr>
    </w:p>
    <w:p w14:paraId="4C18561D" w14:textId="77777777" w:rsidR="00D143AC" w:rsidRDefault="00D143AC" w:rsidP="00D143AC">
      <w:pPr>
        <w:numPr>
          <w:ilvl w:val="0"/>
          <w:numId w:val="1"/>
        </w:numPr>
        <w:spacing w:before="120" w:after="120" w:line="360" w:lineRule="auto"/>
        <w:contextualSpacing/>
        <w:jc w:val="both"/>
      </w:pPr>
      <w:r>
        <w:rPr>
          <w:rtl/>
        </w:rPr>
        <w:t xml:space="preserve">סיכומו של דבר, לאחר שבחנתי את מכלול השיקולים, הן לקולה והן לחומרה, אני </w:t>
      </w:r>
      <w:r>
        <w:rPr>
          <w:rFonts w:hint="cs"/>
          <w:rtl/>
        </w:rPr>
        <w:t xml:space="preserve">מחליט לחרוג ממתחם הענישה ולהטיל </w:t>
      </w:r>
      <w:r>
        <w:rPr>
          <w:rtl/>
        </w:rPr>
        <w:t>על הנאשם את העונשים הבאים:</w:t>
      </w:r>
    </w:p>
    <w:p w14:paraId="5CAC7ACA" w14:textId="77777777" w:rsidR="00D143AC" w:rsidRDefault="00D143AC" w:rsidP="00D143AC">
      <w:pPr>
        <w:pStyle w:val="ListParagraph"/>
        <w:numPr>
          <w:ilvl w:val="0"/>
          <w:numId w:val="2"/>
        </w:numPr>
        <w:spacing w:before="120" w:after="120" w:line="360" w:lineRule="auto"/>
        <w:jc w:val="both"/>
      </w:pPr>
      <w:r>
        <w:rPr>
          <w:b/>
          <w:bCs/>
          <w:rtl/>
        </w:rPr>
        <w:t>אני מעמיד את הנאשם בפיקוח שירות המבחן למשך 12 חודשים.</w:t>
      </w:r>
      <w:r>
        <w:rPr>
          <w:rtl/>
        </w:rPr>
        <w:t xml:space="preserve"> הוסבר לנאשם בלשון פשוטה שעליו לקיים את הוראות שירות המבחן וכי הפרה של צו הפיקוח עלולה להוביל להפקעתו ולהטלת עונשים נוספים.</w:t>
      </w:r>
    </w:p>
    <w:p w14:paraId="5FEF7292" w14:textId="77777777" w:rsidR="00D143AC" w:rsidRDefault="00D143AC" w:rsidP="00D143AC">
      <w:pPr>
        <w:pStyle w:val="ListParagraph"/>
        <w:spacing w:before="120" w:after="120"/>
        <w:jc w:val="both"/>
      </w:pPr>
    </w:p>
    <w:p w14:paraId="000B270E" w14:textId="77777777" w:rsidR="00D143AC" w:rsidRDefault="00D143AC" w:rsidP="00D143AC">
      <w:pPr>
        <w:pStyle w:val="ListParagraph"/>
        <w:numPr>
          <w:ilvl w:val="0"/>
          <w:numId w:val="2"/>
        </w:numPr>
        <w:spacing w:before="120" w:after="120" w:line="360" w:lineRule="auto"/>
        <w:jc w:val="both"/>
      </w:pPr>
      <w:r>
        <w:rPr>
          <w:rtl/>
        </w:rPr>
        <w:t>מאסר על תנאי לתקופה של 4 חודשים והתנאי הוא שהנאשם לא יעבור במשך שנתיים כל עבירה על פקודת הסמים שהיא פשע.</w:t>
      </w:r>
    </w:p>
    <w:p w14:paraId="46E5F9A9" w14:textId="77777777" w:rsidR="00D143AC" w:rsidRDefault="00D143AC" w:rsidP="00D143AC">
      <w:pPr>
        <w:pStyle w:val="ListParagraph"/>
        <w:rPr>
          <w:rtl/>
        </w:rPr>
      </w:pPr>
    </w:p>
    <w:p w14:paraId="7FA79D5C" w14:textId="77777777" w:rsidR="00D143AC" w:rsidRDefault="00D143AC" w:rsidP="00D143AC">
      <w:pPr>
        <w:pStyle w:val="ListParagraph"/>
        <w:numPr>
          <w:ilvl w:val="0"/>
          <w:numId w:val="2"/>
        </w:numPr>
        <w:spacing w:before="120" w:after="120" w:line="360" w:lineRule="auto"/>
        <w:jc w:val="both"/>
      </w:pPr>
      <w:r>
        <w:rPr>
          <w:rFonts w:hint="cs"/>
          <w:rtl/>
        </w:rPr>
        <w:t>קנס בסך 4,000 ₪. הקנס ישולם בחמישה תשלומים שווים ורצופים מיום 1.1.22 ובכל -1 לחודש שלאחריו. לא ישולם אחד התשלומים או יותר במועדו, תעמוד היתרה לפירעון מידי.</w:t>
      </w:r>
    </w:p>
    <w:p w14:paraId="5C4CDF83" w14:textId="77777777" w:rsidR="00D143AC" w:rsidRPr="00674A10" w:rsidRDefault="00D143AC" w:rsidP="00D143AC">
      <w:pPr>
        <w:numPr>
          <w:ilvl w:val="0"/>
          <w:numId w:val="2"/>
        </w:numPr>
        <w:spacing w:before="240" w:after="240" w:line="360" w:lineRule="auto"/>
        <w:contextualSpacing/>
        <w:jc w:val="both"/>
      </w:pPr>
      <w:r>
        <w:rPr>
          <w:rtl/>
        </w:rPr>
        <w:t xml:space="preserve">אני מחייב את הנאשם לבצע </w:t>
      </w:r>
      <w:r>
        <w:rPr>
          <w:rFonts w:hint="cs"/>
          <w:rtl/>
        </w:rPr>
        <w:t>250</w:t>
      </w:r>
      <w:r>
        <w:rPr>
          <w:rtl/>
        </w:rPr>
        <w:t xml:space="preserve"> שעות של"צ. שירות המבחן יגיש תכנית של"צ בתוך 30 יום. </w:t>
      </w:r>
      <w:r w:rsidRPr="00674A10">
        <w:rPr>
          <w:b/>
          <w:bCs/>
          <w:rtl/>
        </w:rPr>
        <w:t xml:space="preserve">מובהר לנאשם </w:t>
      </w:r>
      <w:r>
        <w:rPr>
          <w:rFonts w:hint="cs"/>
          <w:b/>
          <w:bCs/>
          <w:rtl/>
        </w:rPr>
        <w:t>ש</w:t>
      </w:r>
      <w:r w:rsidRPr="00674A10">
        <w:rPr>
          <w:b/>
          <w:bCs/>
          <w:rtl/>
        </w:rPr>
        <w:t>עליו לבצע את הצו על פי הוראות שירות המבחן וכי אם לא יעשה כן ניתן יהיה להפקיע את הצו ולהטיל עליו ענישה נוספת.</w:t>
      </w:r>
    </w:p>
    <w:p w14:paraId="0C277FA2" w14:textId="77777777" w:rsidR="00D143AC" w:rsidRDefault="00D143AC" w:rsidP="00D143AC">
      <w:pPr>
        <w:spacing w:before="240" w:after="240"/>
        <w:ind w:left="720"/>
        <w:contextualSpacing/>
        <w:jc w:val="both"/>
      </w:pPr>
    </w:p>
    <w:p w14:paraId="62581190" w14:textId="77777777" w:rsidR="00D143AC" w:rsidRDefault="00D143AC" w:rsidP="00D143AC">
      <w:pPr>
        <w:spacing w:before="120" w:after="120" w:line="360" w:lineRule="auto"/>
        <w:ind w:left="360"/>
        <w:contextualSpacing/>
        <w:jc w:val="both"/>
        <w:rPr>
          <w:b/>
          <w:bCs/>
          <w:u w:val="single"/>
        </w:rPr>
      </w:pPr>
      <w:r>
        <w:rPr>
          <w:b/>
          <w:bCs/>
          <w:u w:val="single"/>
          <w:rtl/>
        </w:rPr>
        <w:t xml:space="preserve">בחלוף תקופת הערעור, ניתן להשמיד את המוצגים - הסמים והציוד הנלווה. </w:t>
      </w:r>
    </w:p>
    <w:p w14:paraId="67A6A57D" w14:textId="77777777" w:rsidR="00D143AC" w:rsidRDefault="00503DE9" w:rsidP="00D143AC">
      <w:pPr>
        <w:spacing w:line="360" w:lineRule="auto"/>
        <w:ind w:left="360"/>
        <w:contextualSpacing/>
        <w:jc w:val="both"/>
        <w:rPr>
          <w:b/>
          <w:bCs/>
          <w:u w:val="single"/>
        </w:rPr>
      </w:pPr>
      <w:r w:rsidRPr="00503DE9">
        <w:rPr>
          <w:b/>
          <w:bCs/>
          <w:color w:val="FFFFFF"/>
          <w:sz w:val="2"/>
          <w:szCs w:val="2"/>
          <w:u w:val="single"/>
          <w:rtl/>
        </w:rPr>
        <w:t>5129371</w:t>
      </w:r>
      <w:r w:rsidR="00D143AC">
        <w:rPr>
          <w:b/>
          <w:bCs/>
          <w:u w:val="single"/>
          <w:rtl/>
        </w:rPr>
        <w:t>יש להמציא את גזר הדין לשירות המבחן.</w:t>
      </w:r>
    </w:p>
    <w:p w14:paraId="7F27A6FD" w14:textId="77777777" w:rsidR="00D143AC" w:rsidRDefault="00503DE9" w:rsidP="00D143AC">
      <w:pPr>
        <w:spacing w:line="360" w:lineRule="auto"/>
        <w:ind w:left="360"/>
        <w:rPr>
          <w:b/>
          <w:bCs/>
          <w:u w:val="single"/>
        </w:rPr>
      </w:pPr>
      <w:r w:rsidRPr="00503DE9">
        <w:rPr>
          <w:b/>
          <w:bCs/>
          <w:color w:val="FFFFFF"/>
          <w:sz w:val="2"/>
          <w:szCs w:val="2"/>
          <w:u w:val="single"/>
          <w:rtl/>
        </w:rPr>
        <w:t>54678313</w:t>
      </w:r>
      <w:r w:rsidR="00D143AC">
        <w:rPr>
          <w:b/>
          <w:bCs/>
          <w:u w:val="single"/>
          <w:rtl/>
        </w:rPr>
        <w:t>זכות ערעור בתוך 45 יום.</w:t>
      </w:r>
    </w:p>
    <w:p w14:paraId="2F3E3E68" w14:textId="77777777" w:rsidR="00D143AC" w:rsidRPr="000B1AD9" w:rsidRDefault="00D143AC" w:rsidP="00D143AC">
      <w:pPr>
        <w:spacing w:line="360" w:lineRule="auto"/>
        <w:jc w:val="both"/>
        <w:rPr>
          <w:rFonts w:ascii="David" w:hAnsi="David"/>
          <w:rtl/>
        </w:rPr>
      </w:pPr>
    </w:p>
    <w:p w14:paraId="01ECF76C" w14:textId="77777777" w:rsidR="00D143AC" w:rsidRPr="001044E1" w:rsidRDefault="00503DE9" w:rsidP="00D143AC">
      <w:pPr>
        <w:rPr>
          <w:rFonts w:ascii="David" w:hAnsi="David"/>
          <w:b/>
          <w:bCs/>
          <w:rtl/>
        </w:rPr>
      </w:pPr>
      <w:bookmarkStart w:id="7" w:name="Nitan"/>
      <w:r w:rsidRPr="001044E1">
        <w:rPr>
          <w:rFonts w:ascii="David" w:hAnsi="David"/>
          <w:b/>
          <w:bCs/>
          <w:rtl/>
        </w:rPr>
        <w:t xml:space="preserve">ניתן היום,  י"ט כסלו תשפ"ב, 23 נובמבר 2021, במעמד הצדדים. </w:t>
      </w:r>
      <w:bookmarkEnd w:id="7"/>
    </w:p>
    <w:p w14:paraId="7ADCA354" w14:textId="77777777" w:rsidR="00D143AC" w:rsidRPr="000B1AD9" w:rsidRDefault="00D143AC" w:rsidP="00503DE9">
      <w:pPr>
        <w:jc w:val="center"/>
      </w:pPr>
      <w:r w:rsidRPr="000B1AD9">
        <w:rPr>
          <w:rFonts w:ascii="David" w:hAnsi="David"/>
          <w:rtl/>
        </w:rPr>
        <w:t xml:space="preserve">   </w:t>
      </w:r>
      <w:r w:rsidRPr="000B1AD9">
        <w:rPr>
          <w:rFonts w:ascii="David" w:hAnsi="David"/>
          <w:rtl/>
        </w:rPr>
        <w:tab/>
      </w:r>
      <w:r w:rsidRPr="000B1AD9">
        <w:rPr>
          <w:rFonts w:ascii="David" w:hAnsi="David"/>
          <w:rtl/>
        </w:rPr>
        <w:tab/>
      </w:r>
      <w:r w:rsidRPr="000B1AD9">
        <w:rPr>
          <w:rFonts w:ascii="David" w:hAnsi="David"/>
          <w:rtl/>
        </w:rPr>
        <w:tab/>
      </w:r>
      <w:r w:rsidRPr="000B1AD9">
        <w:rPr>
          <w:rFonts w:ascii="David" w:hAnsi="David"/>
          <w:rtl/>
        </w:rPr>
        <w:tab/>
      </w:r>
      <w:r w:rsidRPr="000B1AD9">
        <w:rPr>
          <w:rFonts w:ascii="David" w:hAnsi="David"/>
          <w:rtl/>
        </w:rPr>
        <w:tab/>
      </w:r>
    </w:p>
    <w:p w14:paraId="7D72B717" w14:textId="77777777" w:rsidR="00D143AC" w:rsidRPr="000B1AD9" w:rsidRDefault="00D143AC" w:rsidP="00D143AC">
      <w:pPr>
        <w:jc w:val="center"/>
        <w:rPr>
          <w:rFonts w:ascii="David" w:hAnsi="David"/>
          <w:rtl/>
        </w:rPr>
      </w:pPr>
    </w:p>
    <w:p w14:paraId="34E6DB93" w14:textId="77777777" w:rsidR="00DD3879" w:rsidRPr="00503DE9" w:rsidRDefault="00DD3879" w:rsidP="00503DE9">
      <w:pPr>
        <w:keepNext/>
        <w:rPr>
          <w:rFonts w:ascii="David" w:hAnsi="David"/>
          <w:color w:val="000000"/>
          <w:sz w:val="22"/>
          <w:szCs w:val="22"/>
          <w:rtl/>
        </w:rPr>
      </w:pPr>
    </w:p>
    <w:p w14:paraId="178277BD" w14:textId="77777777" w:rsidR="00503DE9" w:rsidRPr="00503DE9" w:rsidRDefault="00503DE9" w:rsidP="00503DE9">
      <w:pPr>
        <w:keepNext/>
        <w:rPr>
          <w:rFonts w:ascii="David" w:hAnsi="David"/>
          <w:color w:val="000000"/>
          <w:sz w:val="22"/>
          <w:szCs w:val="22"/>
          <w:rtl/>
        </w:rPr>
      </w:pPr>
      <w:r w:rsidRPr="00503DE9">
        <w:rPr>
          <w:rFonts w:ascii="David" w:hAnsi="David"/>
          <w:color w:val="000000"/>
          <w:sz w:val="22"/>
          <w:szCs w:val="22"/>
          <w:rtl/>
        </w:rPr>
        <w:t>יוסי טורס 54678313</w:t>
      </w:r>
    </w:p>
    <w:p w14:paraId="03383F44" w14:textId="77777777" w:rsidR="00503DE9" w:rsidRDefault="00503DE9" w:rsidP="00503DE9">
      <w:r w:rsidRPr="00503DE9">
        <w:rPr>
          <w:color w:val="000000"/>
          <w:rtl/>
        </w:rPr>
        <w:t>נוסח מסמך זה כפוף לשינויי ניסוח ועריכה</w:t>
      </w:r>
    </w:p>
    <w:p w14:paraId="1FDFD09F" w14:textId="77777777" w:rsidR="00503DE9" w:rsidRDefault="00503DE9" w:rsidP="00503DE9">
      <w:pPr>
        <w:rPr>
          <w:rtl/>
        </w:rPr>
      </w:pPr>
    </w:p>
    <w:p w14:paraId="68533117" w14:textId="77777777" w:rsidR="00503DE9" w:rsidRDefault="00503DE9" w:rsidP="00503DE9">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5A8F1B37" w14:textId="77777777" w:rsidR="00503DE9" w:rsidRPr="00503DE9" w:rsidRDefault="00503DE9" w:rsidP="00503DE9">
      <w:pPr>
        <w:jc w:val="center"/>
        <w:rPr>
          <w:color w:val="0000FF"/>
          <w:u w:val="single"/>
        </w:rPr>
      </w:pPr>
    </w:p>
    <w:sectPr w:rsidR="00503DE9" w:rsidRPr="00503DE9" w:rsidSect="00503DE9">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5CC31" w14:textId="77777777" w:rsidR="00F15CFF" w:rsidRDefault="00F15CFF" w:rsidP="00813BCB">
      <w:r>
        <w:separator/>
      </w:r>
    </w:p>
  </w:endnote>
  <w:endnote w:type="continuationSeparator" w:id="0">
    <w:p w14:paraId="081AE0C9" w14:textId="77777777" w:rsidR="00F15CFF" w:rsidRDefault="00F15CFF" w:rsidP="0081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C104C" w14:textId="77777777" w:rsidR="00503DE9" w:rsidRDefault="00503DE9" w:rsidP="00503D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BA0CB3" w14:textId="77777777" w:rsidR="001A5520" w:rsidRPr="00503DE9" w:rsidRDefault="00503DE9" w:rsidP="00503D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3E043" w14:textId="77777777" w:rsidR="00503DE9" w:rsidRDefault="00503DE9" w:rsidP="00503D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1FE0">
      <w:rPr>
        <w:rFonts w:ascii="FrankRuehl" w:hAnsi="FrankRuehl" w:cs="FrankRuehl"/>
        <w:noProof/>
        <w:rtl/>
      </w:rPr>
      <w:t>1</w:t>
    </w:r>
    <w:r>
      <w:rPr>
        <w:rFonts w:ascii="FrankRuehl" w:hAnsi="FrankRuehl" w:cs="FrankRuehl"/>
        <w:rtl/>
      </w:rPr>
      <w:fldChar w:fldCharType="end"/>
    </w:r>
  </w:p>
  <w:p w14:paraId="5E1F34D1" w14:textId="77777777" w:rsidR="001A5520" w:rsidRPr="00503DE9" w:rsidRDefault="00503DE9" w:rsidP="00503D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DB4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46A2D" w14:textId="77777777" w:rsidR="00F15CFF" w:rsidRDefault="00F15CFF" w:rsidP="00813BCB">
      <w:r>
        <w:separator/>
      </w:r>
    </w:p>
  </w:footnote>
  <w:footnote w:type="continuationSeparator" w:id="0">
    <w:p w14:paraId="4481B58E" w14:textId="77777777" w:rsidR="00F15CFF" w:rsidRDefault="00F15CFF" w:rsidP="00813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1198A" w14:textId="77777777" w:rsidR="00503DE9" w:rsidRPr="00503DE9" w:rsidRDefault="00503DE9" w:rsidP="00503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47396-07-19</w:t>
    </w:r>
    <w:r>
      <w:rPr>
        <w:rFonts w:ascii="David" w:hAnsi="David"/>
        <w:color w:val="000000"/>
        <w:sz w:val="22"/>
        <w:szCs w:val="22"/>
        <w:rtl/>
      </w:rPr>
      <w:tab/>
      <w:t xml:space="preserve"> מדינת ישראל נ' רוני יעקב חג'ג'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FCE05" w14:textId="77777777" w:rsidR="00503DE9" w:rsidRPr="00503DE9" w:rsidRDefault="00503DE9" w:rsidP="00503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47396-07-19</w:t>
    </w:r>
    <w:r>
      <w:rPr>
        <w:rFonts w:ascii="David" w:hAnsi="David"/>
        <w:color w:val="000000"/>
        <w:sz w:val="22"/>
        <w:szCs w:val="22"/>
        <w:rtl/>
      </w:rPr>
      <w:tab/>
      <w:t xml:space="preserve"> מדינת ישראל נ' רוני יעקב חג'ג'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728C7"/>
    <w:multiLevelType w:val="hybridMultilevel"/>
    <w:tmpl w:val="03CE744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30C5C"/>
    <w:multiLevelType w:val="hybridMultilevel"/>
    <w:tmpl w:val="8D42960A"/>
    <w:lvl w:ilvl="0" w:tplc="7CD474EC">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054741">
    <w:abstractNumId w:val="1"/>
  </w:num>
  <w:num w:numId="2" w16cid:durableId="142306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43AC"/>
    <w:rsid w:val="001044E1"/>
    <w:rsid w:val="001A5520"/>
    <w:rsid w:val="00234412"/>
    <w:rsid w:val="00503DE9"/>
    <w:rsid w:val="00522BFA"/>
    <w:rsid w:val="00692EDB"/>
    <w:rsid w:val="007225E0"/>
    <w:rsid w:val="00813BCB"/>
    <w:rsid w:val="00851FE0"/>
    <w:rsid w:val="008D2A12"/>
    <w:rsid w:val="009A4E4C"/>
    <w:rsid w:val="00B45F31"/>
    <w:rsid w:val="00C76415"/>
    <w:rsid w:val="00D143AC"/>
    <w:rsid w:val="00DD3879"/>
    <w:rsid w:val="00EB3E36"/>
    <w:rsid w:val="00F15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C047C6"/>
  <w15:chartTrackingRefBased/>
  <w15:docId w15:val="{90A68FC6-1F93-4DE7-8C74-1D392F38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43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43AC"/>
    <w:pPr>
      <w:tabs>
        <w:tab w:val="center" w:pos="4153"/>
        <w:tab w:val="right" w:pos="8306"/>
      </w:tabs>
    </w:pPr>
  </w:style>
  <w:style w:type="character" w:customStyle="1" w:styleId="a4">
    <w:name w:val="כותרת עליונה תו"/>
    <w:link w:val="a3"/>
    <w:rsid w:val="00D143AC"/>
    <w:rPr>
      <w:rFonts w:ascii="Times New Roman" w:eastAsia="Times New Roman" w:hAnsi="Times New Roman" w:cs="David"/>
      <w:sz w:val="24"/>
      <w:szCs w:val="24"/>
    </w:rPr>
  </w:style>
  <w:style w:type="paragraph" w:styleId="a5">
    <w:name w:val="footer"/>
    <w:basedOn w:val="a"/>
    <w:link w:val="a6"/>
    <w:rsid w:val="00D143AC"/>
    <w:pPr>
      <w:tabs>
        <w:tab w:val="center" w:pos="4153"/>
        <w:tab w:val="right" w:pos="8306"/>
      </w:tabs>
    </w:pPr>
  </w:style>
  <w:style w:type="character" w:customStyle="1" w:styleId="a6">
    <w:name w:val="כותרת תחתונה תו"/>
    <w:link w:val="a5"/>
    <w:rsid w:val="00D143AC"/>
    <w:rPr>
      <w:rFonts w:ascii="Times New Roman" w:eastAsia="Times New Roman" w:hAnsi="Times New Roman" w:cs="David"/>
      <w:sz w:val="24"/>
      <w:szCs w:val="24"/>
    </w:rPr>
  </w:style>
  <w:style w:type="table" w:styleId="a7">
    <w:name w:val="Table Grid"/>
    <w:basedOn w:val="a1"/>
    <w:rsid w:val="00D143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43AC"/>
  </w:style>
  <w:style w:type="paragraph" w:customStyle="1" w:styleId="ListParagraph">
    <w:name w:val="List Paragraph"/>
    <w:basedOn w:val="a"/>
    <w:qFormat/>
    <w:rsid w:val="00D143AC"/>
    <w:pPr>
      <w:ind w:left="720"/>
      <w:contextualSpacing/>
    </w:pPr>
  </w:style>
  <w:style w:type="character" w:styleId="Hyperlink">
    <w:name w:val="Hyperlink"/>
    <w:rsid w:val="00D143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995435"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0632055" TargetMode="External"/><Relationship Id="rId42" Type="http://schemas.openxmlformats.org/officeDocument/2006/relationships/hyperlink" Target="http://www.nevo.co.il/case/21474175" TargetMode="External"/><Relationship Id="rId47" Type="http://schemas.openxmlformats.org/officeDocument/2006/relationships/hyperlink" Target="http://www.nevo.co.il/case/20740036" TargetMode="External"/><Relationship Id="rId50" Type="http://schemas.openxmlformats.org/officeDocument/2006/relationships/hyperlink" Target="http://www.nevo.co.il/case/10472985" TargetMode="External"/><Relationship Id="rId55" Type="http://schemas.openxmlformats.org/officeDocument/2006/relationships/hyperlink" Target="http://www.nevo.co.il/case/10459128"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70301/40i.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6" TargetMode="External"/><Relationship Id="rId32" Type="http://schemas.openxmlformats.org/officeDocument/2006/relationships/hyperlink" Target="http://www.nevo.co.il/law/70301/40j.d"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2841413" TargetMode="External"/><Relationship Id="rId45" Type="http://schemas.openxmlformats.org/officeDocument/2006/relationships/hyperlink" Target="http://www.nevo.co.il/case/20881083" TargetMode="External"/><Relationship Id="rId53" Type="http://schemas.openxmlformats.org/officeDocument/2006/relationships/hyperlink" Target="http://www.nevo.co.il/law/70301/40d" TargetMode="External"/><Relationship Id="rId58" Type="http://schemas.openxmlformats.org/officeDocument/2006/relationships/hyperlink" Target="http://www.nevo.co.il/case/2894643"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10520794"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i.4" TargetMode="External"/><Relationship Id="rId22" Type="http://schemas.openxmlformats.org/officeDocument/2006/relationships/hyperlink" Target="http://www.nevo.co.il/law/4216/6" TargetMode="External"/><Relationship Id="rId27" Type="http://schemas.openxmlformats.org/officeDocument/2006/relationships/hyperlink" Target="http://www.nevo.co.il/law/4216/6"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31.3" TargetMode="External"/><Relationship Id="rId43" Type="http://schemas.openxmlformats.org/officeDocument/2006/relationships/hyperlink" Target="http://www.nevo.co.il/case/20111708" TargetMode="External"/><Relationship Id="rId48" Type="http://schemas.openxmlformats.org/officeDocument/2006/relationships/hyperlink" Target="http://www.nevo.co.il/case/20707362" TargetMode="External"/><Relationship Id="rId56" Type="http://schemas.openxmlformats.org/officeDocument/2006/relationships/hyperlink" Target="http://www.nevo.co.il/case/22938500" TargetMode="External"/><Relationship Id="rId64"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21888543"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j.d"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681787" TargetMode="External"/><Relationship Id="rId46" Type="http://schemas.openxmlformats.org/officeDocument/2006/relationships/hyperlink" Target="http://www.nevo.co.il/case/22656269" TargetMode="External"/><Relationship Id="rId59" Type="http://schemas.openxmlformats.org/officeDocument/2006/relationships/hyperlink" Target="http://www.nevo.co.il/case/13055183" TargetMode="External"/><Relationship Id="rId67" Type="http://schemas.openxmlformats.org/officeDocument/2006/relationships/fontTable" Target="fontTable.xml"/><Relationship Id="rId20" Type="http://schemas.openxmlformats.org/officeDocument/2006/relationships/hyperlink" Target="http://www.nevo.co.il/law/4216/6" TargetMode="External"/><Relationship Id="rId41" Type="http://schemas.openxmlformats.org/officeDocument/2006/relationships/hyperlink" Target="http://www.nevo.co.il/case/23827604" TargetMode="External"/><Relationship Id="rId54" Type="http://schemas.openxmlformats.org/officeDocument/2006/relationships/hyperlink" Target="http://www.nevo.co.il/law/70301"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5"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70301/40j.c" TargetMode="External"/><Relationship Id="rId49" Type="http://schemas.openxmlformats.org/officeDocument/2006/relationships/hyperlink" Target="http://www.nevo.co.il/case/4213217" TargetMode="External"/><Relationship Id="rId57" Type="http://schemas.openxmlformats.org/officeDocument/2006/relationships/hyperlink" Target="http://www.nevo.co.il/case/6244964" TargetMode="External"/><Relationship Id="rId10" Type="http://schemas.openxmlformats.org/officeDocument/2006/relationships/hyperlink" Target="http://www.nevo.co.il/law/4216/31.3" TargetMode="External"/><Relationship Id="rId31" Type="http://schemas.openxmlformats.org/officeDocument/2006/relationships/hyperlink" Target="http://www.nevo.co.il/law/70301/40i.3.;40i.4" TargetMode="External"/><Relationship Id="rId44" Type="http://schemas.openxmlformats.org/officeDocument/2006/relationships/hyperlink" Target="http://www.nevo.co.il/case/18107527" TargetMode="External"/><Relationship Id="rId52" Type="http://schemas.openxmlformats.org/officeDocument/2006/relationships/hyperlink" Target="http://www.nevo.co.il/case/21896580" TargetMode="External"/><Relationship Id="rId60" Type="http://schemas.openxmlformats.org/officeDocument/2006/relationships/hyperlink" Target="http://www.nevo.co.il/case/25946245"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i.3." TargetMode="External"/><Relationship Id="rId18" Type="http://schemas.openxmlformats.org/officeDocument/2006/relationships/hyperlink" Target="http://www.nevo.co.il/law/4216/6" TargetMode="External"/><Relationship Id="rId39" Type="http://schemas.openxmlformats.org/officeDocument/2006/relationships/hyperlink" Target="http://www.nevo.co.il/case/568179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3342</Words>
  <Characters>16710</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20012</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3997809</vt:i4>
      </vt:variant>
      <vt:variant>
        <vt:i4>162</vt:i4>
      </vt:variant>
      <vt:variant>
        <vt:i4>0</vt:i4>
      </vt:variant>
      <vt:variant>
        <vt:i4>5</vt:i4>
      </vt:variant>
      <vt:variant>
        <vt:lpwstr>http://www.nevo.co.il/case/10520794</vt:lpwstr>
      </vt:variant>
      <vt:variant>
        <vt:lpwstr/>
      </vt:variant>
      <vt:variant>
        <vt:i4>3735671</vt:i4>
      </vt:variant>
      <vt:variant>
        <vt:i4>159</vt:i4>
      </vt:variant>
      <vt:variant>
        <vt:i4>0</vt:i4>
      </vt:variant>
      <vt:variant>
        <vt:i4>5</vt:i4>
      </vt:variant>
      <vt:variant>
        <vt:lpwstr>http://www.nevo.co.il/case/25946245</vt:lpwstr>
      </vt:variant>
      <vt:variant>
        <vt:lpwstr/>
      </vt:variant>
      <vt:variant>
        <vt:i4>3932275</vt:i4>
      </vt:variant>
      <vt:variant>
        <vt:i4>156</vt:i4>
      </vt:variant>
      <vt:variant>
        <vt:i4>0</vt:i4>
      </vt:variant>
      <vt:variant>
        <vt:i4>5</vt:i4>
      </vt:variant>
      <vt:variant>
        <vt:lpwstr>http://www.nevo.co.il/case/13055183</vt:lpwstr>
      </vt:variant>
      <vt:variant>
        <vt:lpwstr/>
      </vt:variant>
      <vt:variant>
        <vt:i4>4063356</vt:i4>
      </vt:variant>
      <vt:variant>
        <vt:i4>153</vt:i4>
      </vt:variant>
      <vt:variant>
        <vt:i4>0</vt:i4>
      </vt:variant>
      <vt:variant>
        <vt:i4>5</vt:i4>
      </vt:variant>
      <vt:variant>
        <vt:lpwstr>http://www.nevo.co.il/case/2894643</vt:lpwstr>
      </vt:variant>
      <vt:variant>
        <vt:lpwstr/>
      </vt:variant>
      <vt:variant>
        <vt:i4>4128884</vt:i4>
      </vt:variant>
      <vt:variant>
        <vt:i4>150</vt:i4>
      </vt:variant>
      <vt:variant>
        <vt:i4>0</vt:i4>
      </vt:variant>
      <vt:variant>
        <vt:i4>5</vt:i4>
      </vt:variant>
      <vt:variant>
        <vt:lpwstr>http://www.nevo.co.il/case/6244964</vt:lpwstr>
      </vt:variant>
      <vt:variant>
        <vt:lpwstr/>
      </vt:variant>
      <vt:variant>
        <vt:i4>3342448</vt:i4>
      </vt:variant>
      <vt:variant>
        <vt:i4>147</vt:i4>
      </vt:variant>
      <vt:variant>
        <vt:i4>0</vt:i4>
      </vt:variant>
      <vt:variant>
        <vt:i4>5</vt:i4>
      </vt:variant>
      <vt:variant>
        <vt:lpwstr>http://www.nevo.co.il/case/22938500</vt:lpwstr>
      </vt:variant>
      <vt:variant>
        <vt:lpwstr/>
      </vt:variant>
      <vt:variant>
        <vt:i4>4063344</vt:i4>
      </vt:variant>
      <vt:variant>
        <vt:i4>144</vt:i4>
      </vt:variant>
      <vt:variant>
        <vt:i4>0</vt:i4>
      </vt:variant>
      <vt:variant>
        <vt:i4>5</vt:i4>
      </vt:variant>
      <vt:variant>
        <vt:lpwstr>http://www.nevo.co.il/case/10459128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3407993</vt:i4>
      </vt:variant>
      <vt:variant>
        <vt:i4>135</vt:i4>
      </vt:variant>
      <vt:variant>
        <vt:i4>0</vt:i4>
      </vt:variant>
      <vt:variant>
        <vt:i4>5</vt:i4>
      </vt:variant>
      <vt:variant>
        <vt:lpwstr>http://www.nevo.co.il/case/21896580</vt:lpwstr>
      </vt:variant>
      <vt:variant>
        <vt:lpwstr/>
      </vt:variant>
      <vt:variant>
        <vt:i4>3539064</vt:i4>
      </vt:variant>
      <vt:variant>
        <vt:i4>132</vt:i4>
      </vt:variant>
      <vt:variant>
        <vt:i4>0</vt:i4>
      </vt:variant>
      <vt:variant>
        <vt:i4>5</vt:i4>
      </vt:variant>
      <vt:variant>
        <vt:lpwstr>http://www.nevo.co.il/case/21888543</vt:lpwstr>
      </vt:variant>
      <vt:variant>
        <vt:lpwstr/>
      </vt:variant>
      <vt:variant>
        <vt:i4>4128890</vt:i4>
      </vt:variant>
      <vt:variant>
        <vt:i4>129</vt:i4>
      </vt:variant>
      <vt:variant>
        <vt:i4>0</vt:i4>
      </vt:variant>
      <vt:variant>
        <vt:i4>5</vt:i4>
      </vt:variant>
      <vt:variant>
        <vt:lpwstr>http://www.nevo.co.il/case/10472985</vt:lpwstr>
      </vt:variant>
      <vt:variant>
        <vt:lpwstr/>
      </vt:variant>
      <vt:variant>
        <vt:i4>3145844</vt:i4>
      </vt:variant>
      <vt:variant>
        <vt:i4>126</vt:i4>
      </vt:variant>
      <vt:variant>
        <vt:i4>0</vt:i4>
      </vt:variant>
      <vt:variant>
        <vt:i4>5</vt:i4>
      </vt:variant>
      <vt:variant>
        <vt:lpwstr>http://www.nevo.co.il/case/4213217</vt:lpwstr>
      </vt:variant>
      <vt:variant>
        <vt:lpwstr/>
      </vt:variant>
      <vt:variant>
        <vt:i4>3407991</vt:i4>
      </vt:variant>
      <vt:variant>
        <vt:i4>123</vt:i4>
      </vt:variant>
      <vt:variant>
        <vt:i4>0</vt:i4>
      </vt:variant>
      <vt:variant>
        <vt:i4>5</vt:i4>
      </vt:variant>
      <vt:variant>
        <vt:lpwstr>http://www.nevo.co.il/case/20707362</vt:lpwstr>
      </vt:variant>
      <vt:variant>
        <vt:lpwstr/>
      </vt:variant>
      <vt:variant>
        <vt:i4>3539056</vt:i4>
      </vt:variant>
      <vt:variant>
        <vt:i4>120</vt:i4>
      </vt:variant>
      <vt:variant>
        <vt:i4>0</vt:i4>
      </vt:variant>
      <vt:variant>
        <vt:i4>5</vt:i4>
      </vt:variant>
      <vt:variant>
        <vt:lpwstr>http://www.nevo.co.il/case/20740036</vt:lpwstr>
      </vt:variant>
      <vt:variant>
        <vt:lpwstr/>
      </vt:variant>
      <vt:variant>
        <vt:i4>3407985</vt:i4>
      </vt:variant>
      <vt:variant>
        <vt:i4>117</vt:i4>
      </vt:variant>
      <vt:variant>
        <vt:i4>0</vt:i4>
      </vt:variant>
      <vt:variant>
        <vt:i4>5</vt:i4>
      </vt:variant>
      <vt:variant>
        <vt:lpwstr>http://www.nevo.co.il/case/22656269</vt:lpwstr>
      </vt:variant>
      <vt:variant>
        <vt:lpwstr/>
      </vt:variant>
      <vt:variant>
        <vt:i4>3342460</vt:i4>
      </vt:variant>
      <vt:variant>
        <vt:i4>114</vt:i4>
      </vt:variant>
      <vt:variant>
        <vt:i4>0</vt:i4>
      </vt:variant>
      <vt:variant>
        <vt:i4>5</vt:i4>
      </vt:variant>
      <vt:variant>
        <vt:lpwstr>http://www.nevo.co.il/case/20881083</vt:lpwstr>
      </vt:variant>
      <vt:variant>
        <vt:lpwstr/>
      </vt:variant>
      <vt:variant>
        <vt:i4>3473529</vt:i4>
      </vt:variant>
      <vt:variant>
        <vt:i4>111</vt:i4>
      </vt:variant>
      <vt:variant>
        <vt:i4>0</vt:i4>
      </vt:variant>
      <vt:variant>
        <vt:i4>5</vt:i4>
      </vt:variant>
      <vt:variant>
        <vt:lpwstr>http://www.nevo.co.il/case/18107527</vt:lpwstr>
      </vt:variant>
      <vt:variant>
        <vt:lpwstr/>
      </vt:variant>
      <vt:variant>
        <vt:i4>3276914</vt:i4>
      </vt:variant>
      <vt:variant>
        <vt:i4>108</vt:i4>
      </vt:variant>
      <vt:variant>
        <vt:i4>0</vt:i4>
      </vt:variant>
      <vt:variant>
        <vt:i4>5</vt:i4>
      </vt:variant>
      <vt:variant>
        <vt:lpwstr>http://www.nevo.co.il/case/20111708</vt:lpwstr>
      </vt:variant>
      <vt:variant>
        <vt:lpwstr/>
      </vt:variant>
      <vt:variant>
        <vt:i4>3473523</vt:i4>
      </vt:variant>
      <vt:variant>
        <vt:i4>105</vt:i4>
      </vt:variant>
      <vt:variant>
        <vt:i4>0</vt:i4>
      </vt:variant>
      <vt:variant>
        <vt:i4>5</vt:i4>
      </vt:variant>
      <vt:variant>
        <vt:lpwstr>http://www.nevo.co.il/case/21474175</vt:lpwstr>
      </vt:variant>
      <vt:variant>
        <vt:lpwstr/>
      </vt:variant>
      <vt:variant>
        <vt:i4>3997811</vt:i4>
      </vt:variant>
      <vt:variant>
        <vt:i4>102</vt:i4>
      </vt:variant>
      <vt:variant>
        <vt:i4>0</vt:i4>
      </vt:variant>
      <vt:variant>
        <vt:i4>5</vt:i4>
      </vt:variant>
      <vt:variant>
        <vt:lpwstr>http://www.nevo.co.il/case/23827604</vt:lpwstr>
      </vt:variant>
      <vt:variant>
        <vt:lpwstr/>
      </vt:variant>
      <vt:variant>
        <vt:i4>3801206</vt:i4>
      </vt:variant>
      <vt:variant>
        <vt:i4>99</vt:i4>
      </vt:variant>
      <vt:variant>
        <vt:i4>0</vt:i4>
      </vt:variant>
      <vt:variant>
        <vt:i4>5</vt:i4>
      </vt:variant>
      <vt:variant>
        <vt:lpwstr>http://www.nevo.co.il/case/22841413</vt:lpwstr>
      </vt:variant>
      <vt:variant>
        <vt:lpwstr/>
      </vt:variant>
      <vt:variant>
        <vt:i4>3801210</vt:i4>
      </vt:variant>
      <vt:variant>
        <vt:i4>96</vt:i4>
      </vt:variant>
      <vt:variant>
        <vt:i4>0</vt:i4>
      </vt:variant>
      <vt:variant>
        <vt:i4>5</vt:i4>
      </vt:variant>
      <vt:variant>
        <vt:lpwstr>http://www.nevo.co.il/case/5681790</vt:lpwstr>
      </vt:variant>
      <vt:variant>
        <vt:lpwstr/>
      </vt:variant>
      <vt:variant>
        <vt:i4>3997819</vt:i4>
      </vt:variant>
      <vt:variant>
        <vt:i4>93</vt:i4>
      </vt:variant>
      <vt:variant>
        <vt:i4>0</vt:i4>
      </vt:variant>
      <vt:variant>
        <vt:i4>5</vt:i4>
      </vt:variant>
      <vt:variant>
        <vt:lpwstr>http://www.nevo.co.il/case/5681787</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4915211</vt:i4>
      </vt:variant>
      <vt:variant>
        <vt:i4>87</vt:i4>
      </vt:variant>
      <vt:variant>
        <vt:i4>0</vt:i4>
      </vt:variant>
      <vt:variant>
        <vt:i4>5</vt:i4>
      </vt:variant>
      <vt:variant>
        <vt:lpwstr>http://www.nevo.co.il/law/70301/40j.c</vt:lpwstr>
      </vt:variant>
      <vt:variant>
        <vt:lpwstr/>
      </vt:variant>
      <vt:variant>
        <vt:i4>6488187</vt:i4>
      </vt:variant>
      <vt:variant>
        <vt:i4>84</vt:i4>
      </vt:variant>
      <vt:variant>
        <vt:i4>0</vt:i4>
      </vt:variant>
      <vt:variant>
        <vt:i4>5</vt:i4>
      </vt:variant>
      <vt:variant>
        <vt:lpwstr>http://www.nevo.co.il/law/4216/31.3</vt:lpwstr>
      </vt:variant>
      <vt:variant>
        <vt:lpwstr/>
      </vt:variant>
      <vt:variant>
        <vt:i4>3342455</vt:i4>
      </vt:variant>
      <vt:variant>
        <vt:i4>81</vt:i4>
      </vt:variant>
      <vt:variant>
        <vt:i4>0</vt:i4>
      </vt:variant>
      <vt:variant>
        <vt:i4>5</vt:i4>
      </vt:variant>
      <vt:variant>
        <vt:lpwstr>http://www.nevo.co.il/case/20632055</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4915211</vt:i4>
      </vt:variant>
      <vt:variant>
        <vt:i4>75</vt:i4>
      </vt:variant>
      <vt:variant>
        <vt:i4>0</vt:i4>
      </vt:variant>
      <vt:variant>
        <vt:i4>5</vt:i4>
      </vt:variant>
      <vt:variant>
        <vt:lpwstr>http://www.nevo.co.il/law/70301/40j.d</vt:lpwstr>
      </vt:variant>
      <vt:variant>
        <vt:lpwstr/>
      </vt:variant>
      <vt:variant>
        <vt:i4>786462</vt:i4>
      </vt:variant>
      <vt:variant>
        <vt:i4>72</vt:i4>
      </vt:variant>
      <vt:variant>
        <vt:i4>0</vt:i4>
      </vt:variant>
      <vt:variant>
        <vt:i4>5</vt:i4>
      </vt:variant>
      <vt:variant>
        <vt:lpwstr>http://www.nevo.co.il/law/70301/40i.3.;40i.4</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4915208</vt:i4>
      </vt:variant>
      <vt:variant>
        <vt:i4>66</vt:i4>
      </vt:variant>
      <vt:variant>
        <vt:i4>0</vt:i4>
      </vt:variant>
      <vt:variant>
        <vt:i4>5</vt:i4>
      </vt:variant>
      <vt:variant>
        <vt:lpwstr>http://www.nevo.co.il/law/70301/40i.5</vt:lpwstr>
      </vt:variant>
      <vt:variant>
        <vt:lpwstr/>
      </vt:variant>
      <vt:variant>
        <vt:i4>2752612</vt:i4>
      </vt:variant>
      <vt:variant>
        <vt:i4>63</vt:i4>
      </vt:variant>
      <vt:variant>
        <vt:i4>0</vt:i4>
      </vt:variant>
      <vt:variant>
        <vt:i4>5</vt:i4>
      </vt:variant>
      <vt:variant>
        <vt:lpwstr>http://www.nevo.co.il/law/4216/7.c</vt:lpwstr>
      </vt:variant>
      <vt:variant>
        <vt:lpwstr/>
      </vt:variant>
      <vt:variant>
        <vt:i4>4718666</vt:i4>
      </vt:variant>
      <vt:variant>
        <vt:i4>60</vt:i4>
      </vt:variant>
      <vt:variant>
        <vt:i4>0</vt:i4>
      </vt:variant>
      <vt:variant>
        <vt:i4>5</vt:i4>
      </vt:variant>
      <vt:variant>
        <vt:lpwstr>http://www.nevo.co.il/law/4216/6</vt:lpwstr>
      </vt:variant>
      <vt:variant>
        <vt:lpwstr/>
      </vt:variant>
      <vt:variant>
        <vt:i4>3997823</vt:i4>
      </vt:variant>
      <vt:variant>
        <vt:i4>57</vt:i4>
      </vt:variant>
      <vt:variant>
        <vt:i4>0</vt:i4>
      </vt:variant>
      <vt:variant>
        <vt:i4>5</vt:i4>
      </vt:variant>
      <vt:variant>
        <vt:lpwstr>http://www.nevo.co.il/case/26995435</vt:lpwstr>
      </vt:variant>
      <vt:variant>
        <vt:lpwstr/>
      </vt:variant>
      <vt:variant>
        <vt:i4>8257637</vt:i4>
      </vt:variant>
      <vt:variant>
        <vt:i4>54</vt:i4>
      </vt:variant>
      <vt:variant>
        <vt:i4>0</vt:i4>
      </vt:variant>
      <vt:variant>
        <vt:i4>5</vt:i4>
      </vt:variant>
      <vt:variant>
        <vt:lpwstr>http://www.nevo.co.il/law/4216</vt:lpwstr>
      </vt:variant>
      <vt:variant>
        <vt:lpwstr/>
      </vt:variant>
      <vt:variant>
        <vt:i4>4718666</vt:i4>
      </vt:variant>
      <vt:variant>
        <vt:i4>51</vt:i4>
      </vt:variant>
      <vt:variant>
        <vt:i4>0</vt:i4>
      </vt:variant>
      <vt:variant>
        <vt:i4>5</vt:i4>
      </vt:variant>
      <vt:variant>
        <vt:lpwstr>http://www.nevo.co.il/law/4216/6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4718666</vt:i4>
      </vt:variant>
      <vt:variant>
        <vt:i4>45</vt:i4>
      </vt:variant>
      <vt:variant>
        <vt:i4>0</vt:i4>
      </vt:variant>
      <vt:variant>
        <vt:i4>5</vt:i4>
      </vt:variant>
      <vt:variant>
        <vt:lpwstr>http://www.nevo.co.il/law/4216/6</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4915211</vt:i4>
      </vt:variant>
      <vt:variant>
        <vt:i4>30</vt:i4>
      </vt:variant>
      <vt:variant>
        <vt:i4>0</vt:i4>
      </vt:variant>
      <vt:variant>
        <vt:i4>5</vt:i4>
      </vt:variant>
      <vt:variant>
        <vt:lpwstr>http://www.nevo.co.il/law/70301/40j.d</vt:lpwstr>
      </vt:variant>
      <vt:variant>
        <vt:lpwstr/>
      </vt:variant>
      <vt:variant>
        <vt:i4>4915211</vt:i4>
      </vt:variant>
      <vt:variant>
        <vt:i4>27</vt:i4>
      </vt:variant>
      <vt:variant>
        <vt:i4>0</vt:i4>
      </vt:variant>
      <vt:variant>
        <vt:i4>5</vt:i4>
      </vt:variant>
      <vt:variant>
        <vt:lpwstr>http://www.nevo.co.il/law/70301/40j.c</vt:lpwstr>
      </vt:variant>
      <vt:variant>
        <vt:lpwstr/>
      </vt:variant>
      <vt:variant>
        <vt:i4>4915208</vt:i4>
      </vt:variant>
      <vt:variant>
        <vt:i4>24</vt:i4>
      </vt:variant>
      <vt:variant>
        <vt:i4>0</vt:i4>
      </vt:variant>
      <vt:variant>
        <vt:i4>5</vt:i4>
      </vt:variant>
      <vt:variant>
        <vt:lpwstr>http://www.nevo.co.il/law/70301/40i.5</vt:lpwstr>
      </vt:variant>
      <vt:variant>
        <vt:lpwstr/>
      </vt:variant>
      <vt:variant>
        <vt:i4>4915208</vt:i4>
      </vt:variant>
      <vt:variant>
        <vt:i4>21</vt:i4>
      </vt:variant>
      <vt:variant>
        <vt:i4>0</vt:i4>
      </vt:variant>
      <vt:variant>
        <vt:i4>5</vt:i4>
      </vt:variant>
      <vt:variant>
        <vt:lpwstr>http://www.nevo.co.il/law/70301/40i.4</vt:lpwstr>
      </vt:variant>
      <vt:variant>
        <vt:lpwstr/>
      </vt:variant>
      <vt:variant>
        <vt:i4>6619195</vt:i4>
      </vt:variant>
      <vt:variant>
        <vt:i4>18</vt:i4>
      </vt:variant>
      <vt:variant>
        <vt:i4>0</vt:i4>
      </vt:variant>
      <vt:variant>
        <vt:i4>5</vt:i4>
      </vt:variant>
      <vt:variant>
        <vt:lpwstr>http://www.nevo.co.il/law/70301/40i.3.</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6488187</vt:i4>
      </vt:variant>
      <vt:variant>
        <vt:i4>9</vt:i4>
      </vt:variant>
      <vt:variant>
        <vt:i4>0</vt:i4>
      </vt:variant>
      <vt:variant>
        <vt:i4>5</vt:i4>
      </vt:variant>
      <vt:variant>
        <vt:lpwstr>http://www.nevo.co.il/law/4216/31.3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47396</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רוני יעקב חג'ג'</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20211123</vt:lpwstr>
  </property>
  <property fmtid="{D5CDD505-2E9C-101B-9397-08002B2CF9AE}" pid="13" name="TYPE_N_DATE">
    <vt:lpwstr>38020211123</vt:lpwstr>
  </property>
  <property fmtid="{D5CDD505-2E9C-101B-9397-08002B2CF9AE}" pid="14" name="WORDNUMPAGES">
    <vt:lpwstr>8</vt:lpwstr>
  </property>
  <property fmtid="{D5CDD505-2E9C-101B-9397-08002B2CF9AE}" pid="15" name="TYPE_ABS_DATE">
    <vt:lpwstr>380120211123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26995435;20632055;5681787;5681790;22841413;23827604;21474175;20111708;18107527;20881083;22656269;20740036;20707362;4213217;10472985;21888543;21896580;10459128;22938500;6244964;2894643;13055183;25946245;10520794</vt:lpwstr>
  </property>
  <property fmtid="{D5CDD505-2E9C-101B-9397-08002B2CF9AE}" pid="36" name="LAWLISTTMP1">
    <vt:lpwstr>4216/006:2;007.c;031.3</vt:lpwstr>
  </property>
  <property fmtid="{D5CDD505-2E9C-101B-9397-08002B2CF9AE}" pid="37" name="LAWLISTTMP2">
    <vt:lpwstr>70301/040i.5;040i.3;040i.4;040j.d;040j.c;040d</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8991;17420;14346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שיקום</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מדיניות ענישה: שיקום</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20211201</vt:lpwstr>
  </property>
  <property fmtid="{D5CDD505-2E9C-101B-9397-08002B2CF9AE}" pid="72" name="METAKZER">
    <vt:lpwstr>שירי</vt:lpwstr>
  </property>
</Properties>
</file>