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45"/>
        <w:gridCol w:w="4113"/>
        <w:gridCol w:w="3663"/>
        <w:gridCol w:w="99"/>
      </w:tblGrid>
      <w:tr w:rsidR="00D6179F" w:rsidRPr="00765EBD" w14:paraId="74A55C96" w14:textId="77777777" w:rsidTr="00D76ABC">
        <w:trPr>
          <w:gridAfter w:val="1"/>
          <w:wAfter w:w="99" w:type="dxa"/>
          <w:trHeight w:hRule="exact" w:val="418"/>
          <w:jc w:val="center"/>
        </w:trPr>
        <w:tc>
          <w:tcPr>
            <w:tcW w:w="8721" w:type="dxa"/>
            <w:gridSpan w:val="3"/>
          </w:tcPr>
          <w:p w14:paraId="292E6A00" w14:textId="77777777" w:rsidR="00D6179F" w:rsidRPr="00765EBD" w:rsidRDefault="00D6179F" w:rsidP="00A257C7">
            <w:pPr>
              <w:pStyle w:val="a3"/>
              <w:jc w:val="center"/>
              <w:rPr>
                <w:rFonts w:ascii="Tahoma" w:hAnsi="Tahoma" w:cs="Tahoma"/>
                <w:color w:val="000080"/>
                <w:rtl/>
              </w:rPr>
            </w:pPr>
            <w:bookmarkStart w:id="0" w:name="FirstLawyer"/>
            <w:bookmarkStart w:id="1" w:name="LastJudge"/>
            <w:r w:rsidRPr="00765EBD">
              <w:rPr>
                <w:rFonts w:ascii="Tahoma" w:hAnsi="Tahoma" w:cs="Tahoma"/>
                <w:b/>
                <w:bCs/>
                <w:color w:val="000080"/>
                <w:rtl/>
              </w:rPr>
              <w:t>בית משפט השלום בקריית גת</w:t>
            </w:r>
          </w:p>
        </w:tc>
      </w:tr>
      <w:tr w:rsidR="00D6179F" w:rsidRPr="00765EBD" w14:paraId="33F033EB" w14:textId="77777777" w:rsidTr="00D76ABC">
        <w:trPr>
          <w:gridAfter w:val="1"/>
          <w:wAfter w:w="99" w:type="dxa"/>
          <w:trHeight w:val="337"/>
          <w:jc w:val="center"/>
        </w:trPr>
        <w:tc>
          <w:tcPr>
            <w:tcW w:w="5057" w:type="dxa"/>
            <w:gridSpan w:val="2"/>
          </w:tcPr>
          <w:p w14:paraId="06DDD77D" w14:textId="77777777" w:rsidR="00D6179F" w:rsidRPr="00765EBD" w:rsidRDefault="00D6179F" w:rsidP="00A257C7">
            <w:pPr>
              <w:rPr>
                <w:rFonts w:cs="FrankRuehl"/>
                <w:sz w:val="28"/>
                <w:szCs w:val="28"/>
                <w:rtl/>
              </w:rPr>
            </w:pPr>
            <w:r w:rsidRPr="00765EBD">
              <w:rPr>
                <w:rFonts w:cs="FrankRuehl"/>
                <w:sz w:val="28"/>
                <w:szCs w:val="28"/>
                <w:rtl/>
              </w:rPr>
              <w:t>ת"פ</w:t>
            </w:r>
            <w:r w:rsidRPr="00765EBD">
              <w:rPr>
                <w:rFonts w:cs="FrankRuehl" w:hint="cs"/>
                <w:sz w:val="28"/>
                <w:szCs w:val="28"/>
                <w:rtl/>
              </w:rPr>
              <w:t xml:space="preserve"> </w:t>
            </w:r>
            <w:r w:rsidRPr="00765EBD">
              <w:rPr>
                <w:rFonts w:cs="FrankRuehl"/>
                <w:sz w:val="28"/>
                <w:szCs w:val="28"/>
                <w:rtl/>
              </w:rPr>
              <w:t>53124-07-19</w:t>
            </w:r>
            <w:r w:rsidRPr="00765EBD">
              <w:rPr>
                <w:rFonts w:cs="FrankRuehl" w:hint="cs"/>
                <w:sz w:val="28"/>
                <w:szCs w:val="28"/>
                <w:rtl/>
              </w:rPr>
              <w:t xml:space="preserve"> </w:t>
            </w:r>
            <w:r w:rsidRPr="00765EBD">
              <w:rPr>
                <w:rFonts w:cs="FrankRuehl"/>
                <w:sz w:val="28"/>
                <w:szCs w:val="28"/>
                <w:rtl/>
              </w:rPr>
              <w:t>מדינת ישראל נ' דהן</w:t>
            </w:r>
            <w:r w:rsidRPr="00765EBD">
              <w:rPr>
                <w:rtl/>
              </w:rPr>
              <w:br/>
            </w:r>
            <w:r w:rsidRPr="00765EBD">
              <w:rPr>
                <w:rFonts w:hint="cs"/>
                <w:rtl/>
              </w:rPr>
              <w:t>פל"א 24915/2020</w:t>
            </w:r>
          </w:p>
          <w:p w14:paraId="07A08698" w14:textId="77777777" w:rsidR="00D6179F" w:rsidRPr="00765EBD" w:rsidRDefault="00D6179F" w:rsidP="00A257C7">
            <w:pPr>
              <w:pStyle w:val="a3"/>
              <w:rPr>
                <w:rFonts w:cs="FrankRuehl"/>
                <w:sz w:val="28"/>
                <w:szCs w:val="28"/>
                <w:rtl/>
              </w:rPr>
            </w:pPr>
          </w:p>
        </w:tc>
        <w:tc>
          <w:tcPr>
            <w:tcW w:w="3664" w:type="dxa"/>
          </w:tcPr>
          <w:p w14:paraId="345820D4" w14:textId="77777777" w:rsidR="00D6179F" w:rsidRPr="00765EBD" w:rsidRDefault="00D6179F" w:rsidP="00A257C7">
            <w:pPr>
              <w:pStyle w:val="a3"/>
              <w:jc w:val="right"/>
              <w:rPr>
                <w:rFonts w:cs="FrankRuehl"/>
                <w:sz w:val="28"/>
                <w:szCs w:val="28"/>
                <w:rtl/>
              </w:rPr>
            </w:pPr>
          </w:p>
        </w:tc>
      </w:tr>
      <w:tr w:rsidR="00D6179F" w:rsidRPr="00765EBD" w14:paraId="6A76D168" w14:textId="77777777" w:rsidTr="00D76A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45" w:type="dxa"/>
            <w:tcBorders>
              <w:top w:val="nil"/>
              <w:left w:val="nil"/>
              <w:bottom w:val="nil"/>
              <w:right w:val="nil"/>
            </w:tcBorders>
            <w:shd w:val="clear" w:color="auto" w:fill="auto"/>
          </w:tcPr>
          <w:p w14:paraId="21047C1D" w14:textId="77777777" w:rsidR="00D6179F" w:rsidRPr="00765EBD" w:rsidRDefault="00D6179F" w:rsidP="00D6179F">
            <w:pPr>
              <w:jc w:val="both"/>
              <w:rPr>
                <w:rFonts w:ascii="David" w:hAnsi="David"/>
                <w:b/>
                <w:bCs/>
                <w:sz w:val="28"/>
                <w:szCs w:val="28"/>
              </w:rPr>
            </w:pPr>
            <w:r w:rsidRPr="00765EBD">
              <w:rPr>
                <w:rFonts w:hint="cs"/>
                <w:rtl/>
              </w:rPr>
              <w:t xml:space="preserve"> </w:t>
            </w:r>
            <w:r w:rsidRPr="00765EBD">
              <w:rPr>
                <w:rFonts w:ascii="David" w:hAnsi="David"/>
                <w:b/>
                <w:bCs/>
                <w:sz w:val="28"/>
                <w:szCs w:val="28"/>
                <w:rtl/>
              </w:rPr>
              <w:t xml:space="preserve">בפני </w:t>
            </w:r>
          </w:p>
        </w:tc>
        <w:tc>
          <w:tcPr>
            <w:tcW w:w="7875" w:type="dxa"/>
            <w:gridSpan w:val="3"/>
            <w:tcBorders>
              <w:top w:val="nil"/>
              <w:left w:val="nil"/>
              <w:bottom w:val="nil"/>
              <w:right w:val="nil"/>
            </w:tcBorders>
            <w:shd w:val="clear" w:color="auto" w:fill="auto"/>
          </w:tcPr>
          <w:p w14:paraId="441A31C9" w14:textId="77777777" w:rsidR="00D6179F" w:rsidRPr="00765EBD" w:rsidRDefault="00D6179F" w:rsidP="00A257C7">
            <w:pPr>
              <w:rPr>
                <w:rFonts w:ascii="David" w:hAnsi="David"/>
                <w:b/>
                <w:bCs/>
                <w:sz w:val="28"/>
                <w:szCs w:val="28"/>
                <w:rtl/>
              </w:rPr>
            </w:pPr>
            <w:r w:rsidRPr="00765EBD">
              <w:rPr>
                <w:rFonts w:ascii="David" w:hAnsi="David"/>
                <w:b/>
                <w:bCs/>
                <w:sz w:val="28"/>
                <w:szCs w:val="28"/>
                <w:rtl/>
              </w:rPr>
              <w:t>כבוד השופטת  טל לחיאני שהם</w:t>
            </w:r>
          </w:p>
          <w:p w14:paraId="3BF4D046" w14:textId="77777777" w:rsidR="00D6179F" w:rsidRPr="00765EBD" w:rsidRDefault="00D6179F" w:rsidP="00A257C7">
            <w:pPr>
              <w:rPr>
                <w:rFonts w:ascii="David" w:hAnsi="David"/>
                <w:b/>
                <w:bCs/>
                <w:sz w:val="28"/>
                <w:szCs w:val="28"/>
                <w:rtl/>
              </w:rPr>
            </w:pPr>
          </w:p>
          <w:p w14:paraId="39E6E89E" w14:textId="77777777" w:rsidR="00D6179F" w:rsidRPr="00765EBD" w:rsidRDefault="00D6179F" w:rsidP="00D6179F">
            <w:pPr>
              <w:jc w:val="both"/>
              <w:rPr>
                <w:rFonts w:ascii="David" w:hAnsi="David"/>
                <w:b/>
                <w:bCs/>
                <w:sz w:val="28"/>
                <w:szCs w:val="28"/>
              </w:rPr>
            </w:pPr>
          </w:p>
        </w:tc>
      </w:tr>
      <w:tr w:rsidR="00D6179F" w:rsidRPr="00765EBD" w14:paraId="57133004" w14:textId="77777777" w:rsidTr="00D76A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6B4C8514" w14:textId="77777777" w:rsidR="00D6179F" w:rsidRPr="00765EBD" w:rsidRDefault="00D6179F" w:rsidP="00D6179F">
            <w:pPr>
              <w:jc w:val="both"/>
              <w:rPr>
                <w:rFonts w:ascii="David" w:hAnsi="David"/>
                <w:b/>
                <w:bCs/>
                <w:sz w:val="28"/>
                <w:szCs w:val="28"/>
              </w:rPr>
            </w:pPr>
            <w:bookmarkStart w:id="2" w:name="FirstAppellant"/>
            <w:r w:rsidRPr="00765EBD">
              <w:rPr>
                <w:rFonts w:ascii="David" w:hAnsi="David"/>
                <w:b/>
                <w:bCs/>
                <w:sz w:val="28"/>
                <w:szCs w:val="28"/>
                <w:rtl/>
              </w:rPr>
              <w:t>בעניין:</w:t>
            </w:r>
          </w:p>
        </w:tc>
        <w:tc>
          <w:tcPr>
            <w:tcW w:w="4114" w:type="dxa"/>
            <w:tcBorders>
              <w:top w:val="nil"/>
              <w:left w:val="nil"/>
              <w:bottom w:val="nil"/>
              <w:right w:val="nil"/>
            </w:tcBorders>
            <w:shd w:val="clear" w:color="auto" w:fill="auto"/>
          </w:tcPr>
          <w:p w14:paraId="719A4B98" w14:textId="77777777" w:rsidR="00D6179F" w:rsidRPr="00765EBD" w:rsidRDefault="00D6179F" w:rsidP="00A257C7">
            <w:pPr>
              <w:rPr>
                <w:rFonts w:ascii="David" w:hAnsi="David"/>
                <w:b/>
                <w:bCs/>
                <w:sz w:val="28"/>
                <w:szCs w:val="28"/>
              </w:rPr>
            </w:pPr>
            <w:r w:rsidRPr="00765EBD">
              <w:rPr>
                <w:rFonts w:ascii="David" w:hAnsi="David"/>
                <w:b/>
                <w:bCs/>
                <w:sz w:val="28"/>
                <w:szCs w:val="28"/>
                <w:rtl/>
              </w:rPr>
              <w:t>מדינת ישראל</w:t>
            </w:r>
            <w:r w:rsidRPr="00765EBD">
              <w:rPr>
                <w:rFonts w:ascii="David" w:hAnsi="David"/>
                <w:b/>
                <w:bCs/>
                <w:sz w:val="28"/>
                <w:szCs w:val="28"/>
                <w:rtl/>
              </w:rPr>
              <w:br/>
            </w:r>
            <w:r w:rsidRPr="00765EBD">
              <w:rPr>
                <w:rFonts w:ascii="David" w:hAnsi="David" w:hint="cs"/>
                <w:b/>
                <w:bCs/>
                <w:sz w:val="28"/>
                <w:szCs w:val="28"/>
                <w:rtl/>
              </w:rPr>
              <w:t>באמצעות ב"כ עו"ד ליברזון</w:t>
            </w:r>
          </w:p>
        </w:tc>
        <w:tc>
          <w:tcPr>
            <w:tcW w:w="3761" w:type="dxa"/>
            <w:gridSpan w:val="2"/>
            <w:tcBorders>
              <w:top w:val="nil"/>
              <w:left w:val="nil"/>
              <w:bottom w:val="nil"/>
              <w:right w:val="nil"/>
            </w:tcBorders>
            <w:shd w:val="clear" w:color="auto" w:fill="auto"/>
          </w:tcPr>
          <w:p w14:paraId="475305D2" w14:textId="77777777" w:rsidR="00D6179F" w:rsidRPr="00765EBD" w:rsidRDefault="00D6179F" w:rsidP="00D6179F">
            <w:pPr>
              <w:jc w:val="both"/>
              <w:rPr>
                <w:rFonts w:ascii="David" w:hAnsi="David"/>
                <w:b/>
                <w:bCs/>
                <w:sz w:val="28"/>
                <w:szCs w:val="28"/>
              </w:rPr>
            </w:pPr>
          </w:p>
        </w:tc>
      </w:tr>
      <w:bookmarkEnd w:id="2"/>
      <w:tr w:rsidR="00D6179F" w:rsidRPr="00765EBD" w14:paraId="6AC6F71B" w14:textId="77777777" w:rsidTr="00D76A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1625E46B" w14:textId="77777777" w:rsidR="00D6179F" w:rsidRPr="00765EBD" w:rsidRDefault="00D6179F" w:rsidP="00D6179F">
            <w:pPr>
              <w:jc w:val="both"/>
              <w:rPr>
                <w:rFonts w:ascii="David" w:hAnsi="David"/>
                <w:b/>
                <w:bCs/>
                <w:sz w:val="28"/>
                <w:szCs w:val="28"/>
                <w:rtl/>
              </w:rPr>
            </w:pPr>
          </w:p>
        </w:tc>
        <w:tc>
          <w:tcPr>
            <w:tcW w:w="4114" w:type="dxa"/>
            <w:tcBorders>
              <w:top w:val="nil"/>
              <w:left w:val="nil"/>
              <w:bottom w:val="nil"/>
              <w:right w:val="nil"/>
            </w:tcBorders>
            <w:shd w:val="clear" w:color="auto" w:fill="auto"/>
          </w:tcPr>
          <w:p w14:paraId="46B8A3FA" w14:textId="77777777" w:rsidR="00D6179F" w:rsidRPr="00765EBD" w:rsidRDefault="00D6179F" w:rsidP="00D6179F">
            <w:pPr>
              <w:jc w:val="both"/>
              <w:rPr>
                <w:rFonts w:ascii="David" w:hAnsi="David"/>
                <w:b/>
                <w:bCs/>
                <w:sz w:val="28"/>
                <w:szCs w:val="28"/>
                <w:rtl/>
              </w:rPr>
            </w:pPr>
          </w:p>
        </w:tc>
        <w:tc>
          <w:tcPr>
            <w:tcW w:w="3761" w:type="dxa"/>
            <w:gridSpan w:val="2"/>
            <w:tcBorders>
              <w:top w:val="nil"/>
              <w:left w:val="nil"/>
              <w:bottom w:val="nil"/>
              <w:right w:val="nil"/>
            </w:tcBorders>
            <w:shd w:val="clear" w:color="auto" w:fill="auto"/>
          </w:tcPr>
          <w:p w14:paraId="3477961F" w14:textId="77777777" w:rsidR="00D6179F" w:rsidRPr="00765EBD" w:rsidRDefault="00D6179F" w:rsidP="00D6179F">
            <w:pPr>
              <w:jc w:val="right"/>
              <w:rPr>
                <w:rFonts w:ascii="David" w:hAnsi="David"/>
                <w:b/>
                <w:bCs/>
                <w:sz w:val="28"/>
                <w:szCs w:val="28"/>
                <w:rtl/>
              </w:rPr>
            </w:pPr>
            <w:r w:rsidRPr="00765EBD">
              <w:rPr>
                <w:rFonts w:ascii="David" w:hAnsi="David"/>
                <w:b/>
                <w:bCs/>
                <w:sz w:val="28"/>
                <w:szCs w:val="28"/>
                <w:rtl/>
              </w:rPr>
              <w:t>המאשימה</w:t>
            </w:r>
          </w:p>
        </w:tc>
      </w:tr>
      <w:tr w:rsidR="00D6179F" w:rsidRPr="00765EBD" w14:paraId="500C5FBA" w14:textId="77777777" w:rsidTr="00D76A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6E02AA76" w14:textId="77777777" w:rsidR="00D6179F" w:rsidRPr="00765EBD" w:rsidRDefault="00D6179F" w:rsidP="00D6179F">
            <w:pPr>
              <w:jc w:val="both"/>
              <w:rPr>
                <w:rFonts w:ascii="David" w:hAnsi="David"/>
                <w:b/>
                <w:bCs/>
                <w:sz w:val="28"/>
                <w:szCs w:val="28"/>
                <w:rtl/>
              </w:rPr>
            </w:pPr>
          </w:p>
        </w:tc>
        <w:tc>
          <w:tcPr>
            <w:tcW w:w="7875" w:type="dxa"/>
            <w:gridSpan w:val="3"/>
            <w:tcBorders>
              <w:top w:val="nil"/>
              <w:left w:val="nil"/>
              <w:bottom w:val="nil"/>
              <w:right w:val="nil"/>
            </w:tcBorders>
            <w:shd w:val="clear" w:color="auto" w:fill="auto"/>
          </w:tcPr>
          <w:p w14:paraId="7752612F" w14:textId="77777777" w:rsidR="00D6179F" w:rsidRPr="00765EBD" w:rsidRDefault="00D6179F" w:rsidP="00D6179F">
            <w:pPr>
              <w:jc w:val="center"/>
              <w:rPr>
                <w:rFonts w:ascii="David" w:hAnsi="David"/>
                <w:b/>
                <w:bCs/>
                <w:sz w:val="28"/>
                <w:szCs w:val="28"/>
                <w:rtl/>
              </w:rPr>
            </w:pPr>
          </w:p>
          <w:p w14:paraId="2E672CB4" w14:textId="77777777" w:rsidR="00D6179F" w:rsidRPr="00765EBD" w:rsidRDefault="00D6179F" w:rsidP="00D6179F">
            <w:pPr>
              <w:jc w:val="center"/>
              <w:rPr>
                <w:rFonts w:ascii="David" w:hAnsi="David"/>
                <w:b/>
                <w:bCs/>
                <w:sz w:val="28"/>
                <w:szCs w:val="28"/>
                <w:rtl/>
              </w:rPr>
            </w:pPr>
            <w:r w:rsidRPr="00765EBD">
              <w:rPr>
                <w:rFonts w:ascii="David" w:hAnsi="David"/>
                <w:b/>
                <w:bCs/>
                <w:sz w:val="28"/>
                <w:szCs w:val="28"/>
                <w:rtl/>
              </w:rPr>
              <w:t>נגד</w:t>
            </w:r>
          </w:p>
          <w:p w14:paraId="472ACD22" w14:textId="77777777" w:rsidR="00D6179F" w:rsidRPr="00765EBD" w:rsidRDefault="00D6179F" w:rsidP="00D6179F">
            <w:pPr>
              <w:jc w:val="both"/>
              <w:rPr>
                <w:rFonts w:ascii="David" w:hAnsi="David"/>
                <w:b/>
                <w:bCs/>
                <w:sz w:val="28"/>
                <w:szCs w:val="28"/>
              </w:rPr>
            </w:pPr>
          </w:p>
        </w:tc>
      </w:tr>
      <w:tr w:rsidR="00D6179F" w:rsidRPr="00765EBD" w14:paraId="1A17D13F" w14:textId="77777777" w:rsidTr="00D76A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05C13C43" w14:textId="77777777" w:rsidR="00D6179F" w:rsidRPr="00765EBD" w:rsidRDefault="00D6179F" w:rsidP="00A257C7">
            <w:pPr>
              <w:rPr>
                <w:rFonts w:ascii="David" w:hAnsi="David"/>
                <w:b/>
                <w:bCs/>
                <w:sz w:val="28"/>
                <w:szCs w:val="28"/>
                <w:rtl/>
              </w:rPr>
            </w:pPr>
          </w:p>
        </w:tc>
        <w:tc>
          <w:tcPr>
            <w:tcW w:w="4114" w:type="dxa"/>
            <w:tcBorders>
              <w:top w:val="nil"/>
              <w:left w:val="nil"/>
              <w:bottom w:val="nil"/>
              <w:right w:val="nil"/>
            </w:tcBorders>
            <w:shd w:val="clear" w:color="auto" w:fill="auto"/>
          </w:tcPr>
          <w:p w14:paraId="61319A13" w14:textId="77777777" w:rsidR="00D6179F" w:rsidRPr="00765EBD" w:rsidRDefault="00D6179F" w:rsidP="00A257C7">
            <w:pPr>
              <w:rPr>
                <w:rFonts w:ascii="David" w:hAnsi="David"/>
                <w:b/>
                <w:bCs/>
                <w:sz w:val="28"/>
                <w:szCs w:val="28"/>
                <w:rtl/>
              </w:rPr>
            </w:pPr>
            <w:r w:rsidRPr="00765EBD">
              <w:rPr>
                <w:rFonts w:ascii="David" w:hAnsi="David"/>
                <w:b/>
                <w:bCs/>
                <w:sz w:val="28"/>
                <w:szCs w:val="28"/>
                <w:rtl/>
              </w:rPr>
              <w:t>אילן דהן</w:t>
            </w:r>
            <w:r w:rsidRPr="00765EBD">
              <w:rPr>
                <w:rFonts w:ascii="David" w:hAnsi="David"/>
                <w:b/>
                <w:bCs/>
                <w:sz w:val="28"/>
                <w:szCs w:val="28"/>
                <w:rtl/>
              </w:rPr>
              <w:br/>
              <w:t>באמצעות ב"כ עו"ד וקסלר</w:t>
            </w:r>
          </w:p>
        </w:tc>
        <w:tc>
          <w:tcPr>
            <w:tcW w:w="3761" w:type="dxa"/>
            <w:gridSpan w:val="2"/>
            <w:tcBorders>
              <w:top w:val="nil"/>
              <w:left w:val="nil"/>
              <w:bottom w:val="nil"/>
              <w:right w:val="nil"/>
            </w:tcBorders>
            <w:shd w:val="clear" w:color="auto" w:fill="auto"/>
          </w:tcPr>
          <w:p w14:paraId="46F0AC89" w14:textId="77777777" w:rsidR="00D6179F" w:rsidRPr="00765EBD" w:rsidRDefault="00D6179F" w:rsidP="00D6179F">
            <w:pPr>
              <w:jc w:val="right"/>
              <w:rPr>
                <w:rFonts w:ascii="David" w:hAnsi="David"/>
                <w:b/>
                <w:bCs/>
                <w:sz w:val="28"/>
                <w:szCs w:val="28"/>
              </w:rPr>
            </w:pPr>
          </w:p>
        </w:tc>
      </w:tr>
      <w:tr w:rsidR="00D6179F" w:rsidRPr="00765EBD" w14:paraId="63CF2F2C" w14:textId="77777777" w:rsidTr="00D76A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1EC330AF" w14:textId="77777777" w:rsidR="00D6179F" w:rsidRPr="00765EBD" w:rsidRDefault="00D6179F" w:rsidP="00D6179F">
            <w:pPr>
              <w:jc w:val="both"/>
              <w:rPr>
                <w:rFonts w:ascii="David" w:hAnsi="David"/>
                <w:b/>
                <w:bCs/>
                <w:sz w:val="28"/>
                <w:szCs w:val="28"/>
                <w:rtl/>
              </w:rPr>
            </w:pPr>
          </w:p>
        </w:tc>
        <w:tc>
          <w:tcPr>
            <w:tcW w:w="4114" w:type="dxa"/>
            <w:tcBorders>
              <w:top w:val="nil"/>
              <w:left w:val="nil"/>
              <w:bottom w:val="nil"/>
              <w:right w:val="nil"/>
            </w:tcBorders>
            <w:shd w:val="clear" w:color="auto" w:fill="auto"/>
          </w:tcPr>
          <w:p w14:paraId="412F7866" w14:textId="77777777" w:rsidR="00D6179F" w:rsidRPr="00765EBD" w:rsidRDefault="00D6179F" w:rsidP="00D6179F">
            <w:pPr>
              <w:jc w:val="both"/>
              <w:rPr>
                <w:rFonts w:ascii="David" w:hAnsi="David"/>
                <w:b/>
                <w:bCs/>
                <w:sz w:val="28"/>
                <w:szCs w:val="28"/>
                <w:rtl/>
              </w:rPr>
            </w:pPr>
          </w:p>
        </w:tc>
        <w:tc>
          <w:tcPr>
            <w:tcW w:w="3761" w:type="dxa"/>
            <w:gridSpan w:val="2"/>
            <w:tcBorders>
              <w:top w:val="nil"/>
              <w:left w:val="nil"/>
              <w:bottom w:val="nil"/>
              <w:right w:val="nil"/>
            </w:tcBorders>
            <w:shd w:val="clear" w:color="auto" w:fill="auto"/>
          </w:tcPr>
          <w:p w14:paraId="552ABE31" w14:textId="77777777" w:rsidR="00D6179F" w:rsidRPr="00765EBD" w:rsidRDefault="00D6179F" w:rsidP="00D6179F">
            <w:pPr>
              <w:jc w:val="right"/>
              <w:rPr>
                <w:rFonts w:ascii="David" w:hAnsi="David"/>
                <w:b/>
                <w:bCs/>
                <w:sz w:val="28"/>
                <w:szCs w:val="28"/>
              </w:rPr>
            </w:pPr>
            <w:r w:rsidRPr="00765EBD">
              <w:rPr>
                <w:rFonts w:ascii="David" w:hAnsi="David"/>
                <w:b/>
                <w:bCs/>
                <w:sz w:val="28"/>
                <w:szCs w:val="28"/>
                <w:rtl/>
              </w:rPr>
              <w:t>הנאשם</w:t>
            </w:r>
          </w:p>
        </w:tc>
      </w:tr>
    </w:tbl>
    <w:p w14:paraId="1E518EDE" w14:textId="77777777" w:rsidR="00D76ABC" w:rsidRDefault="00D76ABC" w:rsidP="00765EBD">
      <w:pPr>
        <w:rPr>
          <w:rFonts w:ascii="David" w:hAnsi="David"/>
          <w:sz w:val="28"/>
          <w:szCs w:val="28"/>
          <w:rtl/>
        </w:rPr>
      </w:pPr>
    </w:p>
    <w:p w14:paraId="39E292FF" w14:textId="77777777" w:rsidR="00D76ABC" w:rsidRPr="00D76ABC" w:rsidRDefault="00D76ABC" w:rsidP="00D76ABC">
      <w:pPr>
        <w:spacing w:after="120" w:line="240" w:lineRule="exact"/>
        <w:ind w:left="283" w:hanging="283"/>
        <w:jc w:val="both"/>
        <w:rPr>
          <w:rFonts w:ascii="FrankRuehl" w:hAnsi="FrankRuehl" w:cs="FrankRuehl"/>
          <w:rtl/>
        </w:rPr>
      </w:pPr>
    </w:p>
    <w:p w14:paraId="442E0AE4" w14:textId="77777777" w:rsidR="00620A56" w:rsidRPr="00620A56" w:rsidRDefault="00620A56" w:rsidP="00620A56">
      <w:pPr>
        <w:spacing w:before="120" w:after="120" w:line="240" w:lineRule="exact"/>
        <w:ind w:left="283" w:hanging="283"/>
        <w:jc w:val="both"/>
        <w:rPr>
          <w:rFonts w:ascii="FrankRuehl" w:hAnsi="FrankRuehl" w:cs="FrankRuehl"/>
          <w:rtl/>
        </w:rPr>
      </w:pPr>
    </w:p>
    <w:p w14:paraId="3564A6E5" w14:textId="77777777" w:rsidR="00E074A5" w:rsidRDefault="00E074A5" w:rsidP="00E074A5">
      <w:pPr>
        <w:rPr>
          <w:rFonts w:ascii="David" w:hAnsi="David"/>
          <w:sz w:val="28"/>
          <w:szCs w:val="28"/>
          <w:rtl/>
        </w:rPr>
      </w:pPr>
      <w:bookmarkStart w:id="3" w:name="LawTable"/>
      <w:bookmarkEnd w:id="3"/>
    </w:p>
    <w:p w14:paraId="71635F67" w14:textId="77777777" w:rsidR="00E074A5" w:rsidRPr="00E074A5" w:rsidRDefault="00E074A5" w:rsidP="00E074A5">
      <w:pPr>
        <w:spacing w:before="120" w:after="120" w:line="240" w:lineRule="exact"/>
        <w:ind w:left="283" w:hanging="283"/>
        <w:jc w:val="both"/>
        <w:rPr>
          <w:rFonts w:ascii="FrankRuehl" w:hAnsi="FrankRuehl" w:cs="FrankRuehl"/>
          <w:rtl/>
        </w:rPr>
      </w:pPr>
    </w:p>
    <w:p w14:paraId="0C4FE5D0" w14:textId="77777777" w:rsidR="00E074A5" w:rsidRPr="00E074A5" w:rsidRDefault="00E074A5" w:rsidP="00E074A5">
      <w:pPr>
        <w:spacing w:before="120" w:after="120" w:line="240" w:lineRule="exact"/>
        <w:ind w:left="283" w:hanging="283"/>
        <w:jc w:val="both"/>
        <w:rPr>
          <w:rFonts w:ascii="FrankRuehl" w:hAnsi="FrankRuehl" w:cs="FrankRuehl"/>
          <w:rtl/>
        </w:rPr>
      </w:pPr>
    </w:p>
    <w:p w14:paraId="7030058C" w14:textId="77777777" w:rsidR="00E074A5" w:rsidRPr="00E074A5" w:rsidRDefault="00E074A5" w:rsidP="00E074A5">
      <w:pPr>
        <w:spacing w:before="120" w:after="120" w:line="240" w:lineRule="exact"/>
        <w:ind w:left="283" w:hanging="283"/>
        <w:jc w:val="both"/>
        <w:rPr>
          <w:rFonts w:ascii="FrankRuehl" w:hAnsi="FrankRuehl" w:cs="FrankRuehl"/>
          <w:rtl/>
        </w:rPr>
      </w:pPr>
      <w:r w:rsidRPr="00E074A5">
        <w:rPr>
          <w:rFonts w:ascii="FrankRuehl" w:hAnsi="FrankRuehl" w:cs="FrankRuehl"/>
          <w:rtl/>
        </w:rPr>
        <w:t xml:space="preserve">חקיקה שאוזכרה: </w:t>
      </w:r>
    </w:p>
    <w:p w14:paraId="7D51B368" w14:textId="77777777" w:rsidR="00E074A5" w:rsidRPr="00E074A5" w:rsidRDefault="00E074A5" w:rsidP="00E074A5">
      <w:pPr>
        <w:spacing w:before="120" w:after="120" w:line="240" w:lineRule="exact"/>
        <w:ind w:left="283" w:hanging="283"/>
        <w:jc w:val="both"/>
        <w:rPr>
          <w:rFonts w:ascii="FrankRuehl" w:hAnsi="FrankRuehl" w:cs="FrankRuehl"/>
          <w:rtl/>
        </w:rPr>
      </w:pPr>
      <w:hyperlink r:id="rId7" w:history="1">
        <w:r w:rsidRPr="00E074A5">
          <w:rPr>
            <w:rFonts w:ascii="FrankRuehl" w:hAnsi="FrankRuehl" w:cs="FrankRuehl"/>
            <w:color w:val="0000FF"/>
            <w:rtl/>
          </w:rPr>
          <w:t>פקודת הסמים המסוכנים [נוסח חדש], תשל"ג-1973</w:t>
        </w:r>
      </w:hyperlink>
      <w:r w:rsidRPr="00E074A5">
        <w:rPr>
          <w:rFonts w:ascii="FrankRuehl" w:hAnsi="FrankRuehl" w:cs="FrankRuehl"/>
          <w:rtl/>
        </w:rPr>
        <w:t xml:space="preserve">: סע'  </w:t>
      </w:r>
      <w:hyperlink r:id="rId8" w:history="1">
        <w:r w:rsidRPr="00E074A5">
          <w:rPr>
            <w:rFonts w:ascii="FrankRuehl" w:hAnsi="FrankRuehl" w:cs="FrankRuehl"/>
            <w:color w:val="0000FF"/>
            <w:rtl/>
          </w:rPr>
          <w:t>7.א.</w:t>
        </w:r>
      </w:hyperlink>
      <w:r w:rsidRPr="00E074A5">
        <w:rPr>
          <w:rFonts w:ascii="FrankRuehl" w:hAnsi="FrankRuehl" w:cs="FrankRuehl"/>
          <w:rtl/>
        </w:rPr>
        <w:t xml:space="preserve">, </w:t>
      </w:r>
      <w:hyperlink r:id="rId9" w:history="1">
        <w:r w:rsidRPr="00E074A5">
          <w:rPr>
            <w:rFonts w:ascii="FrankRuehl" w:hAnsi="FrankRuehl" w:cs="FrankRuehl"/>
            <w:color w:val="0000FF"/>
            <w:rtl/>
          </w:rPr>
          <w:t>7.ג</w:t>
        </w:r>
      </w:hyperlink>
    </w:p>
    <w:p w14:paraId="425C9E2F" w14:textId="77777777" w:rsidR="00E074A5" w:rsidRPr="00E074A5" w:rsidRDefault="00E074A5" w:rsidP="00E074A5">
      <w:pPr>
        <w:spacing w:before="120" w:after="120" w:line="240" w:lineRule="exact"/>
        <w:ind w:left="283" w:hanging="283"/>
        <w:jc w:val="both"/>
        <w:rPr>
          <w:rFonts w:ascii="FrankRuehl" w:hAnsi="FrankRuehl" w:cs="FrankRuehl"/>
          <w:rtl/>
        </w:rPr>
      </w:pPr>
      <w:hyperlink r:id="rId10" w:history="1">
        <w:r w:rsidRPr="00E074A5">
          <w:rPr>
            <w:rFonts w:ascii="FrankRuehl" w:hAnsi="FrankRuehl" w:cs="FrankRuehl"/>
            <w:color w:val="0000FF"/>
            <w:rtl/>
          </w:rPr>
          <w:t>חוק העונשין, תשל"ז-1977</w:t>
        </w:r>
      </w:hyperlink>
      <w:r w:rsidRPr="00E074A5">
        <w:rPr>
          <w:rFonts w:ascii="FrankRuehl" w:hAnsi="FrankRuehl" w:cs="FrankRuehl"/>
          <w:rtl/>
        </w:rPr>
        <w:t xml:space="preserve">: סע'  </w:t>
      </w:r>
      <w:hyperlink r:id="rId11" w:history="1">
        <w:r w:rsidRPr="00E074A5">
          <w:rPr>
            <w:rFonts w:ascii="FrankRuehl" w:hAnsi="FrankRuehl" w:cs="FrankRuehl"/>
            <w:color w:val="0000FF"/>
            <w:rtl/>
          </w:rPr>
          <w:t>40ט</w:t>
        </w:r>
      </w:hyperlink>
      <w:r w:rsidRPr="00E074A5">
        <w:rPr>
          <w:rFonts w:ascii="FrankRuehl" w:hAnsi="FrankRuehl" w:cs="FrankRuehl"/>
          <w:rtl/>
        </w:rPr>
        <w:t xml:space="preserve">, </w:t>
      </w:r>
      <w:hyperlink r:id="rId12" w:history="1">
        <w:r w:rsidRPr="00E074A5">
          <w:rPr>
            <w:rFonts w:ascii="FrankRuehl" w:hAnsi="FrankRuehl" w:cs="FrankRuehl"/>
            <w:color w:val="0000FF"/>
            <w:rtl/>
          </w:rPr>
          <w:t>40יא</w:t>
        </w:r>
      </w:hyperlink>
      <w:r w:rsidRPr="00E074A5">
        <w:rPr>
          <w:rFonts w:ascii="FrankRuehl" w:hAnsi="FrankRuehl" w:cs="FrankRuehl"/>
          <w:rtl/>
        </w:rPr>
        <w:t xml:space="preserve">, </w:t>
      </w:r>
      <w:hyperlink r:id="rId13" w:history="1">
        <w:r w:rsidRPr="00E074A5">
          <w:rPr>
            <w:rFonts w:ascii="FrankRuehl" w:hAnsi="FrankRuehl" w:cs="FrankRuehl"/>
            <w:color w:val="0000FF"/>
            <w:rtl/>
          </w:rPr>
          <w:t>40 יג</w:t>
        </w:r>
      </w:hyperlink>
    </w:p>
    <w:p w14:paraId="762D3F39" w14:textId="77777777" w:rsidR="00E074A5" w:rsidRPr="00E074A5" w:rsidRDefault="00E074A5" w:rsidP="00E074A5">
      <w:pPr>
        <w:rPr>
          <w:rFonts w:ascii="David" w:hAnsi="David"/>
          <w:sz w:val="28"/>
          <w:szCs w:val="28"/>
          <w:rtl/>
        </w:rPr>
      </w:pPr>
      <w:bookmarkStart w:id="4" w:name="LawTable_End"/>
      <w:bookmarkEnd w:id="4"/>
    </w:p>
    <w:p w14:paraId="40DF58DB" w14:textId="77777777" w:rsidR="00D6179F" w:rsidRPr="00620A56" w:rsidRDefault="00D6179F" w:rsidP="00620A56">
      <w:pPr>
        <w:rPr>
          <w:rFonts w:ascii="David" w:hAnsi="David"/>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6179F" w:rsidRPr="00BB6B41" w14:paraId="693C33F4" w14:textId="77777777" w:rsidTr="00D6179F">
        <w:trPr>
          <w:trHeight w:val="355"/>
          <w:jc w:val="center"/>
        </w:trPr>
        <w:tc>
          <w:tcPr>
            <w:tcW w:w="8820" w:type="dxa"/>
            <w:tcBorders>
              <w:top w:val="nil"/>
              <w:left w:val="nil"/>
              <w:bottom w:val="nil"/>
              <w:right w:val="nil"/>
            </w:tcBorders>
            <w:shd w:val="clear" w:color="auto" w:fill="auto"/>
          </w:tcPr>
          <w:p w14:paraId="536099CE" w14:textId="77777777" w:rsidR="00765EBD" w:rsidRPr="00765EBD" w:rsidRDefault="00765EBD" w:rsidP="00765EBD">
            <w:pPr>
              <w:jc w:val="center"/>
              <w:rPr>
                <w:rFonts w:ascii="David" w:hAnsi="David"/>
                <w:b/>
                <w:bCs/>
                <w:sz w:val="28"/>
                <w:szCs w:val="28"/>
                <w:u w:val="single"/>
                <w:rtl/>
              </w:rPr>
            </w:pPr>
            <w:bookmarkStart w:id="5" w:name="PsakDin" w:colFirst="0" w:colLast="0"/>
            <w:bookmarkEnd w:id="0"/>
            <w:bookmarkEnd w:id="1"/>
            <w:r w:rsidRPr="00765EBD">
              <w:rPr>
                <w:rFonts w:ascii="David" w:hAnsi="David"/>
                <w:b/>
                <w:bCs/>
                <w:sz w:val="28"/>
                <w:szCs w:val="28"/>
                <w:u w:val="single"/>
                <w:rtl/>
              </w:rPr>
              <w:t>גזר דין</w:t>
            </w:r>
          </w:p>
          <w:p w14:paraId="3BF96248" w14:textId="77777777" w:rsidR="00D6179F" w:rsidRPr="00765EBD" w:rsidRDefault="00D6179F" w:rsidP="00765EBD">
            <w:pPr>
              <w:jc w:val="center"/>
              <w:rPr>
                <w:rFonts w:ascii="David" w:hAnsi="David"/>
                <w:b/>
                <w:bCs/>
                <w:sz w:val="28"/>
                <w:szCs w:val="28"/>
                <w:u w:val="single"/>
                <w:rtl/>
              </w:rPr>
            </w:pPr>
          </w:p>
        </w:tc>
      </w:tr>
      <w:bookmarkEnd w:id="5"/>
    </w:tbl>
    <w:p w14:paraId="45A202A3" w14:textId="77777777" w:rsidR="00D6179F" w:rsidRPr="00B05847" w:rsidRDefault="00D6179F" w:rsidP="00D6179F">
      <w:pPr>
        <w:rPr>
          <w:rFonts w:ascii="Arial" w:hAnsi="Arial"/>
          <w:rtl/>
        </w:rPr>
      </w:pPr>
    </w:p>
    <w:p w14:paraId="734C0FBD" w14:textId="77777777" w:rsidR="00D6179F" w:rsidRPr="00B05847" w:rsidRDefault="00D6179F" w:rsidP="00D6179F">
      <w:pPr>
        <w:rPr>
          <w:rtl/>
        </w:rPr>
      </w:pPr>
    </w:p>
    <w:p w14:paraId="4804AE69" w14:textId="77777777" w:rsidR="00D6179F" w:rsidRPr="00DF313D" w:rsidRDefault="00D6179F" w:rsidP="00D6179F">
      <w:pPr>
        <w:spacing w:line="360" w:lineRule="auto"/>
        <w:jc w:val="both"/>
        <w:rPr>
          <w:rFonts w:ascii="David" w:hAnsi="David"/>
          <w:b/>
          <w:bCs/>
        </w:rPr>
      </w:pPr>
      <w:bookmarkStart w:id="6" w:name="ABSTRACT_START"/>
      <w:bookmarkEnd w:id="6"/>
      <w:r w:rsidRPr="00DF313D">
        <w:rPr>
          <w:rFonts w:ascii="David" w:hAnsi="David"/>
          <w:b/>
          <w:bCs/>
          <w:rtl/>
        </w:rPr>
        <w:t>1</w:t>
      </w:r>
      <w:r w:rsidRPr="00DF313D">
        <w:rPr>
          <w:rFonts w:ascii="David" w:hAnsi="David"/>
          <w:rtl/>
        </w:rPr>
        <w:t xml:space="preserve">. הנאשם הורשע בהתאם להודאתו בביצוע עבירת החזקת סמים שלא לצריכה עצמית, עבירה לפי </w:t>
      </w:r>
      <w:r w:rsidRPr="00DF313D">
        <w:rPr>
          <w:rFonts w:ascii="David" w:hAnsi="David"/>
          <w:b/>
          <w:bCs/>
          <w:rtl/>
        </w:rPr>
        <w:t xml:space="preserve">סעיף </w:t>
      </w:r>
      <w:hyperlink r:id="rId14" w:history="1">
        <w:r w:rsidR="00D76ABC" w:rsidRPr="00D76ABC">
          <w:rPr>
            <w:rStyle w:val="Hyperlink"/>
            <w:rFonts w:ascii="David" w:hAnsi="David"/>
            <w:b/>
            <w:bCs/>
            <w:rtl/>
          </w:rPr>
          <w:t>7(א)+(ג)</w:t>
        </w:r>
      </w:hyperlink>
      <w:r w:rsidRPr="00DF313D">
        <w:rPr>
          <w:rFonts w:ascii="David" w:hAnsi="David"/>
          <w:b/>
          <w:bCs/>
          <w:rtl/>
        </w:rPr>
        <w:t xml:space="preserve"> רישא ל</w:t>
      </w:r>
      <w:hyperlink r:id="rId15" w:history="1">
        <w:r w:rsidR="00765EBD" w:rsidRPr="00765EBD">
          <w:rPr>
            <w:rFonts w:ascii="David" w:hAnsi="David"/>
            <w:b/>
            <w:bCs/>
            <w:color w:val="0000FF"/>
            <w:u w:val="single"/>
            <w:rtl/>
          </w:rPr>
          <w:t>פקודת הסמים המסוכנים</w:t>
        </w:r>
      </w:hyperlink>
      <w:r w:rsidRPr="00DF313D">
        <w:rPr>
          <w:rFonts w:ascii="David" w:hAnsi="David"/>
          <w:b/>
          <w:bCs/>
          <w:rtl/>
        </w:rPr>
        <w:t xml:space="preserve"> [נוסח חדש], תשל"ג-1973 </w:t>
      </w:r>
      <w:r w:rsidRPr="00DF313D">
        <w:rPr>
          <w:rFonts w:ascii="David" w:hAnsi="David"/>
          <w:rtl/>
        </w:rPr>
        <w:t>(להלן:</w:t>
      </w:r>
      <w:r w:rsidRPr="00DF313D">
        <w:rPr>
          <w:rFonts w:ascii="David" w:hAnsi="David"/>
          <w:b/>
          <w:bCs/>
          <w:rtl/>
        </w:rPr>
        <w:t xml:space="preserve"> </w:t>
      </w:r>
      <w:r w:rsidRPr="00DF313D">
        <w:rPr>
          <w:rFonts w:ascii="David" w:hAnsi="David"/>
          <w:rtl/>
        </w:rPr>
        <w:t>"</w:t>
      </w:r>
      <w:r w:rsidRPr="00DF313D">
        <w:rPr>
          <w:rFonts w:ascii="David" w:hAnsi="David"/>
          <w:b/>
          <w:bCs/>
          <w:rtl/>
        </w:rPr>
        <w:t>פקודת הסמים המסוכנים</w:t>
      </w:r>
      <w:r w:rsidRPr="00DF313D">
        <w:rPr>
          <w:rFonts w:ascii="David" w:hAnsi="David"/>
          <w:rtl/>
        </w:rPr>
        <w:t>").</w:t>
      </w:r>
    </w:p>
    <w:p w14:paraId="76A3C995" w14:textId="77777777" w:rsidR="00D6179F" w:rsidRPr="00DF313D" w:rsidRDefault="00D6179F" w:rsidP="00D6179F">
      <w:pPr>
        <w:spacing w:line="360" w:lineRule="auto"/>
        <w:contextualSpacing/>
        <w:jc w:val="both"/>
        <w:rPr>
          <w:rFonts w:ascii="David" w:hAnsi="David"/>
          <w:rtl/>
        </w:rPr>
      </w:pPr>
    </w:p>
    <w:p w14:paraId="0479585C" w14:textId="77777777" w:rsidR="00D6179F" w:rsidRPr="00DF313D" w:rsidRDefault="00D6179F" w:rsidP="00D6179F">
      <w:pPr>
        <w:spacing w:line="360" w:lineRule="auto"/>
        <w:contextualSpacing/>
        <w:jc w:val="both"/>
        <w:rPr>
          <w:rFonts w:ascii="David" w:hAnsi="David"/>
          <w:b/>
          <w:bCs/>
          <w:rtl/>
        </w:rPr>
      </w:pPr>
      <w:bookmarkStart w:id="7" w:name="ABSTRACT_END"/>
      <w:bookmarkEnd w:id="7"/>
      <w:r w:rsidRPr="00DF313D">
        <w:rPr>
          <w:rFonts w:ascii="David" w:hAnsi="David"/>
          <w:rtl/>
        </w:rPr>
        <w:t xml:space="preserve">מעובדות כתב האישום המתוקן עולה כי בתאריך 16/01/19 בשעה 10:37 או בסמוך לכך, ברחוב שפינוזה 21/2 באשקלון, החזיק הנאשם בסם מסוכן מסוג קנבוס במשקל 110 גרם נטו, שלא לצריכתו העצמית וללא רישיון לעשות כן. </w:t>
      </w:r>
    </w:p>
    <w:p w14:paraId="3E3F8562" w14:textId="77777777" w:rsidR="00D6179F" w:rsidRPr="00DF313D" w:rsidRDefault="00D6179F" w:rsidP="00D6179F">
      <w:pPr>
        <w:spacing w:line="360" w:lineRule="auto"/>
        <w:contextualSpacing/>
        <w:jc w:val="both"/>
        <w:rPr>
          <w:rFonts w:ascii="David" w:hAnsi="David"/>
          <w:b/>
          <w:bCs/>
          <w:rtl/>
        </w:rPr>
      </w:pPr>
    </w:p>
    <w:p w14:paraId="25ECD0C7" w14:textId="77777777" w:rsidR="00D6179F" w:rsidRPr="00DF313D" w:rsidRDefault="00D6179F" w:rsidP="00D6179F">
      <w:pPr>
        <w:spacing w:line="360" w:lineRule="auto"/>
        <w:jc w:val="both"/>
        <w:rPr>
          <w:rFonts w:ascii="David" w:hAnsi="David"/>
          <w:b/>
          <w:bCs/>
        </w:rPr>
      </w:pPr>
      <w:r w:rsidRPr="00DF313D">
        <w:rPr>
          <w:rFonts w:ascii="David" w:hAnsi="David"/>
          <w:b/>
          <w:bCs/>
          <w:rtl/>
        </w:rPr>
        <w:lastRenderedPageBreak/>
        <w:t xml:space="preserve">2. </w:t>
      </w:r>
      <w:r w:rsidRPr="00DF313D">
        <w:rPr>
          <w:rFonts w:ascii="David" w:hAnsi="David"/>
          <w:rtl/>
        </w:rPr>
        <w:t>לבקשת הנאשם צורף תיק נוסף,</w:t>
      </w:r>
      <w:r w:rsidRPr="00DF313D">
        <w:rPr>
          <w:rFonts w:ascii="David" w:hAnsi="David"/>
          <w:b/>
          <w:bCs/>
          <w:rtl/>
        </w:rPr>
        <w:t xml:space="preserve"> פל"א 249152/2020</w:t>
      </w:r>
      <w:r w:rsidRPr="00DF313D">
        <w:rPr>
          <w:rFonts w:ascii="David" w:hAnsi="David"/>
          <w:rtl/>
        </w:rPr>
        <w:t xml:space="preserve">, בו הורשע הנאשם, בהתאם להודאתו, בביצוע עבירת החזקת סמים לצריכה עצמית, עבירה לפי </w:t>
      </w:r>
      <w:hyperlink r:id="rId16" w:history="1">
        <w:r w:rsidR="00D76ABC" w:rsidRPr="00D76ABC">
          <w:rPr>
            <w:rStyle w:val="Hyperlink"/>
            <w:rFonts w:ascii="David" w:hAnsi="David"/>
            <w:b/>
            <w:bCs/>
            <w:rtl/>
          </w:rPr>
          <w:t>סעיף 7(א)+(ג)</w:t>
        </w:r>
      </w:hyperlink>
      <w:r w:rsidRPr="00DF313D">
        <w:rPr>
          <w:rFonts w:ascii="David" w:hAnsi="David"/>
          <w:b/>
          <w:bCs/>
          <w:rtl/>
        </w:rPr>
        <w:t xml:space="preserve"> סיפא ל</w:t>
      </w:r>
      <w:hyperlink r:id="rId17" w:history="1">
        <w:r w:rsidR="00765EBD" w:rsidRPr="00765EBD">
          <w:rPr>
            <w:rFonts w:ascii="David" w:hAnsi="David"/>
            <w:b/>
            <w:bCs/>
            <w:color w:val="0000FF"/>
            <w:u w:val="single"/>
            <w:rtl/>
          </w:rPr>
          <w:t>פקודת הסמים המסוכנים</w:t>
        </w:r>
      </w:hyperlink>
      <w:r w:rsidRPr="00DF313D">
        <w:rPr>
          <w:rFonts w:ascii="David" w:hAnsi="David"/>
          <w:rtl/>
        </w:rPr>
        <w:t>.</w:t>
      </w:r>
    </w:p>
    <w:p w14:paraId="09122369" w14:textId="77777777" w:rsidR="00D6179F" w:rsidRPr="00DF313D" w:rsidRDefault="00D6179F" w:rsidP="00D6179F">
      <w:pPr>
        <w:spacing w:line="360" w:lineRule="auto"/>
        <w:contextualSpacing/>
        <w:jc w:val="both"/>
        <w:rPr>
          <w:rFonts w:ascii="David" w:hAnsi="David"/>
          <w:b/>
          <w:bCs/>
          <w:rtl/>
        </w:rPr>
      </w:pPr>
    </w:p>
    <w:p w14:paraId="17E520B4" w14:textId="77777777" w:rsidR="00D6179F" w:rsidRPr="00DF313D" w:rsidRDefault="00D6179F" w:rsidP="00D6179F">
      <w:pPr>
        <w:spacing w:line="360" w:lineRule="auto"/>
        <w:contextualSpacing/>
        <w:jc w:val="both"/>
        <w:rPr>
          <w:rFonts w:ascii="David" w:hAnsi="David"/>
          <w:rtl/>
        </w:rPr>
      </w:pPr>
      <w:r w:rsidRPr="00DF313D">
        <w:rPr>
          <w:rFonts w:ascii="David" w:hAnsi="David"/>
          <w:rtl/>
        </w:rPr>
        <w:t>מעובדות כתב האישום המתוקן עולה כי בתאריך 19/05/20 בשעה 10:41 או בסמוך לכך, ברחוב שפינוזה 21/2 באשקלון, החזיק הנאשם בסם מסוכן מסוג קנבוס במשקל 15 גרם נטו, לצריכתו העצמית, כשהוא נתון בשקית בתוך פח האוכל של הכלב בכניסה לבית. את האמור עשה הנאשם ללא רישיון או היתר.</w:t>
      </w:r>
    </w:p>
    <w:p w14:paraId="4C245DA6" w14:textId="77777777" w:rsidR="00D6179F" w:rsidRPr="00DF313D" w:rsidRDefault="00D6179F" w:rsidP="00D6179F">
      <w:pPr>
        <w:spacing w:line="360" w:lineRule="auto"/>
        <w:contextualSpacing/>
        <w:jc w:val="both"/>
        <w:rPr>
          <w:rFonts w:ascii="David" w:hAnsi="David"/>
          <w:rtl/>
        </w:rPr>
      </w:pPr>
    </w:p>
    <w:p w14:paraId="2A29955A" w14:textId="77777777" w:rsidR="00D6179F" w:rsidRPr="00DF313D" w:rsidRDefault="00D6179F" w:rsidP="00D6179F">
      <w:pPr>
        <w:spacing w:line="360" w:lineRule="auto"/>
        <w:contextualSpacing/>
        <w:jc w:val="both"/>
        <w:rPr>
          <w:rFonts w:ascii="David" w:hAnsi="David"/>
          <w:b/>
          <w:bCs/>
          <w:u w:val="single"/>
          <w:rtl/>
        </w:rPr>
      </w:pPr>
      <w:r w:rsidRPr="00DF313D">
        <w:rPr>
          <w:rFonts w:ascii="David" w:hAnsi="David"/>
          <w:b/>
          <w:bCs/>
          <w:u w:val="single"/>
          <w:rtl/>
        </w:rPr>
        <w:t>הסדר הטיעון</w:t>
      </w:r>
    </w:p>
    <w:p w14:paraId="185374B1" w14:textId="77777777" w:rsidR="00D6179F" w:rsidRPr="00DF313D" w:rsidRDefault="00D6179F" w:rsidP="00D6179F">
      <w:pPr>
        <w:spacing w:line="360" w:lineRule="auto"/>
        <w:contextualSpacing/>
        <w:jc w:val="both"/>
        <w:rPr>
          <w:rFonts w:ascii="David" w:hAnsi="David"/>
          <w:b/>
          <w:rtl/>
        </w:rPr>
      </w:pPr>
      <w:r w:rsidRPr="00DF313D">
        <w:rPr>
          <w:rFonts w:ascii="David" w:hAnsi="David"/>
          <w:b/>
          <w:bCs/>
          <w:rtl/>
        </w:rPr>
        <w:t xml:space="preserve">3. </w:t>
      </w:r>
      <w:r w:rsidRPr="00DF313D">
        <w:rPr>
          <w:rFonts w:ascii="David" w:hAnsi="David"/>
          <w:b/>
          <w:rtl/>
        </w:rPr>
        <w:t>במסגרת ההסדר אשר הציגו ב"כ הצדדים ביום 18/03/21 הוסכם כי הנאשם יודה בעובדות כתב האישום המתוקן בתיק העיקרי ויורשע, וכי הצדדים יטענו לעונש באופן פתוח.</w:t>
      </w:r>
    </w:p>
    <w:p w14:paraId="54B0595B" w14:textId="77777777" w:rsidR="00D6179F" w:rsidRPr="00DF313D" w:rsidRDefault="00D6179F" w:rsidP="00D6179F">
      <w:pPr>
        <w:spacing w:line="360" w:lineRule="auto"/>
        <w:jc w:val="both"/>
        <w:rPr>
          <w:rFonts w:ascii="David" w:hAnsi="David"/>
          <w:b/>
          <w:bCs/>
          <w:u w:val="single"/>
          <w:rtl/>
        </w:rPr>
      </w:pPr>
      <w:r w:rsidRPr="00DF313D">
        <w:rPr>
          <w:rFonts w:ascii="David" w:hAnsi="David"/>
          <w:rtl/>
        </w:rPr>
        <w:t xml:space="preserve">ב"כ המאשימה הצהירה כי עמדתה לעונש היא למאסר שיכול וירוצה בעבודות שירות, לצד ענישה נלווית. </w:t>
      </w:r>
    </w:p>
    <w:p w14:paraId="0C60D499" w14:textId="77777777" w:rsidR="00D6179F" w:rsidRPr="00DF313D" w:rsidRDefault="00D6179F" w:rsidP="00D6179F">
      <w:pPr>
        <w:spacing w:line="360" w:lineRule="auto"/>
        <w:jc w:val="both"/>
        <w:rPr>
          <w:rFonts w:ascii="David" w:hAnsi="David"/>
          <w:rtl/>
        </w:rPr>
      </w:pPr>
      <w:r w:rsidRPr="00DF313D">
        <w:rPr>
          <w:rFonts w:ascii="David" w:hAnsi="David"/>
          <w:rtl/>
        </w:rPr>
        <w:t xml:space="preserve">במועד זה טען ב"כ הנאשם כי הנאשם הודה בעובדות כתב האישום, ובעבירה המיוחסת לו בגין ביצוען, בשים לב לכמות הסם והחזקה הקבועה בחוק, ובהיעדר יכולת לסתור את החזקה ברף המשפטי הנדרש. </w:t>
      </w:r>
    </w:p>
    <w:p w14:paraId="79C8B191" w14:textId="77777777" w:rsidR="00D6179F" w:rsidRPr="00DF313D" w:rsidRDefault="00D6179F" w:rsidP="00D6179F">
      <w:pPr>
        <w:spacing w:line="360" w:lineRule="auto"/>
        <w:contextualSpacing/>
        <w:jc w:val="both"/>
        <w:rPr>
          <w:rFonts w:ascii="David" w:hAnsi="David"/>
          <w:b/>
          <w:rtl/>
        </w:rPr>
      </w:pPr>
    </w:p>
    <w:p w14:paraId="23510C87" w14:textId="77777777" w:rsidR="00D6179F" w:rsidRPr="00DF313D" w:rsidRDefault="00D6179F" w:rsidP="00D6179F">
      <w:pPr>
        <w:spacing w:line="360" w:lineRule="auto"/>
        <w:contextualSpacing/>
        <w:jc w:val="both"/>
        <w:rPr>
          <w:rFonts w:ascii="David" w:hAnsi="David"/>
          <w:bCs/>
          <w:u w:val="single"/>
          <w:rtl/>
        </w:rPr>
      </w:pPr>
      <w:r w:rsidRPr="00DF313D">
        <w:rPr>
          <w:rFonts w:ascii="David" w:hAnsi="David"/>
          <w:bCs/>
          <w:u w:val="single"/>
          <w:rtl/>
        </w:rPr>
        <w:t>טיעוני הצדדים</w:t>
      </w:r>
    </w:p>
    <w:p w14:paraId="775A4C77" w14:textId="77777777" w:rsidR="00D6179F" w:rsidRPr="00DF313D" w:rsidRDefault="00D6179F" w:rsidP="00D6179F">
      <w:pPr>
        <w:spacing w:line="360" w:lineRule="auto"/>
        <w:contextualSpacing/>
        <w:jc w:val="both"/>
        <w:rPr>
          <w:rFonts w:ascii="David" w:hAnsi="David"/>
          <w:b/>
          <w:rtl/>
        </w:rPr>
      </w:pPr>
      <w:r w:rsidRPr="00DF313D">
        <w:rPr>
          <w:rFonts w:ascii="David" w:hAnsi="David"/>
          <w:b/>
          <w:bCs/>
          <w:rtl/>
        </w:rPr>
        <w:t>4.</w:t>
      </w:r>
      <w:r w:rsidRPr="00DF313D">
        <w:rPr>
          <w:rFonts w:ascii="David" w:hAnsi="David"/>
          <w:b/>
          <w:rtl/>
        </w:rPr>
        <w:t xml:space="preserve"> ב"כ המאשימה טענה כי מתחם הענישה בגין עבירת החזקת סמים שלא לצריכה עצמית נע בין 6-12 חודשי מאסר בפועל. בגין עבירת החזקת סמים לצריכה עצמית טענה למתחם ענישה הנע בין 4-12 חודשי מאסר בפועל, והפנתה לערכים המוגנים אשר נפגעו כתוצאה מביצוע העבירות.</w:t>
      </w:r>
    </w:p>
    <w:p w14:paraId="5E345EA0" w14:textId="77777777" w:rsidR="00D6179F" w:rsidRPr="00DF313D" w:rsidRDefault="00D6179F" w:rsidP="00D6179F">
      <w:pPr>
        <w:spacing w:line="360" w:lineRule="auto"/>
        <w:contextualSpacing/>
        <w:jc w:val="both"/>
        <w:rPr>
          <w:rFonts w:ascii="David" w:hAnsi="David"/>
          <w:b/>
          <w:rtl/>
        </w:rPr>
      </w:pPr>
    </w:p>
    <w:p w14:paraId="1A1F0176" w14:textId="77777777" w:rsidR="00D6179F" w:rsidRPr="00DF313D" w:rsidRDefault="00D6179F" w:rsidP="00D6179F">
      <w:pPr>
        <w:spacing w:line="360" w:lineRule="auto"/>
        <w:contextualSpacing/>
        <w:jc w:val="both"/>
        <w:rPr>
          <w:rFonts w:ascii="David" w:hAnsi="David"/>
          <w:b/>
          <w:rtl/>
        </w:rPr>
      </w:pPr>
      <w:r w:rsidRPr="00DF313D">
        <w:rPr>
          <w:rFonts w:ascii="David" w:hAnsi="David"/>
          <w:b/>
          <w:rtl/>
        </w:rPr>
        <w:t xml:space="preserve">בתוככי המתחם עתרה ב"כ המאשימה להטיל על הנאשם ענישה ברף הבינוני-גבוה של המתחמים, לצד הטלת קנס, פסילת רישיון בפועל ועל תנאי, והתחייבות. זאת בשים לב לעברו הפלילי של הנאשם ולהיעדר השתלבות בהליך שיקום מכל סוג שהוא. </w:t>
      </w:r>
    </w:p>
    <w:p w14:paraId="3287BD79" w14:textId="77777777" w:rsidR="00D6179F" w:rsidRPr="00DF313D" w:rsidRDefault="00D6179F" w:rsidP="00D6179F">
      <w:pPr>
        <w:spacing w:line="360" w:lineRule="auto"/>
        <w:contextualSpacing/>
        <w:jc w:val="both"/>
        <w:rPr>
          <w:rFonts w:ascii="David" w:hAnsi="David"/>
          <w:b/>
          <w:rtl/>
        </w:rPr>
      </w:pPr>
    </w:p>
    <w:p w14:paraId="1C7C87E0" w14:textId="77777777" w:rsidR="00D6179F" w:rsidRPr="00DF313D" w:rsidRDefault="00D6179F" w:rsidP="00D6179F">
      <w:pPr>
        <w:spacing w:line="360" w:lineRule="auto"/>
        <w:contextualSpacing/>
        <w:jc w:val="both"/>
        <w:rPr>
          <w:rFonts w:ascii="David" w:hAnsi="David"/>
          <w:b/>
          <w:rtl/>
        </w:rPr>
      </w:pPr>
      <w:r w:rsidRPr="00DF313D">
        <w:rPr>
          <w:rFonts w:ascii="David" w:hAnsi="David"/>
          <w:b/>
          <w:rtl/>
        </w:rPr>
        <w:t xml:space="preserve">ב"כ המאשימה הגישה גיליון רישום פלילי של הנאשם </w:t>
      </w:r>
      <w:r w:rsidRPr="00DF313D">
        <w:rPr>
          <w:rFonts w:ascii="David" w:hAnsi="David"/>
          <w:bCs/>
          <w:rtl/>
        </w:rPr>
        <w:t>(ת/1)</w:t>
      </w:r>
      <w:r w:rsidRPr="00DF313D">
        <w:rPr>
          <w:rFonts w:ascii="David" w:hAnsi="David"/>
          <w:b/>
          <w:rtl/>
        </w:rPr>
        <w:t xml:space="preserve"> והפנתה לפסיקה כתמיכה לעתירתה באשר למתחם הענישה ההולם במסגרת התיק העיקרי.</w:t>
      </w:r>
    </w:p>
    <w:p w14:paraId="707569B3" w14:textId="77777777" w:rsidR="00D6179F" w:rsidRPr="00DF313D" w:rsidRDefault="00D6179F" w:rsidP="00D6179F">
      <w:pPr>
        <w:spacing w:line="360" w:lineRule="auto"/>
        <w:contextualSpacing/>
        <w:jc w:val="both"/>
        <w:rPr>
          <w:rFonts w:ascii="David" w:hAnsi="David"/>
          <w:b/>
          <w:rtl/>
        </w:rPr>
      </w:pPr>
    </w:p>
    <w:p w14:paraId="6364E33F" w14:textId="77777777" w:rsidR="00D6179F" w:rsidRPr="00DF313D" w:rsidRDefault="00D6179F" w:rsidP="00D6179F">
      <w:pPr>
        <w:spacing w:line="360" w:lineRule="auto"/>
        <w:contextualSpacing/>
        <w:jc w:val="both"/>
        <w:rPr>
          <w:rFonts w:ascii="David" w:hAnsi="David"/>
          <w:b/>
          <w:rtl/>
        </w:rPr>
      </w:pPr>
      <w:r w:rsidRPr="00DF313D">
        <w:rPr>
          <w:rFonts w:ascii="David" w:hAnsi="David"/>
          <w:b/>
          <w:bCs/>
          <w:rtl/>
        </w:rPr>
        <w:t xml:space="preserve">5. </w:t>
      </w:r>
      <w:r w:rsidRPr="00DF313D">
        <w:rPr>
          <w:rFonts w:ascii="David" w:hAnsi="David"/>
          <w:b/>
          <w:rtl/>
        </w:rPr>
        <w:t>ב"כ הנאשם עתרה למתחם ענישה הנע בין מאסר מותנה למספר חודשי מאסר בפועל שניתן לרצות בדרך של עבודות שירות, וטענה כי בתוככי המתחם יש להטיל על הנאשם ענישה ברף התחתון.</w:t>
      </w:r>
    </w:p>
    <w:p w14:paraId="306EE565" w14:textId="77777777" w:rsidR="00D6179F" w:rsidRPr="00DF313D" w:rsidRDefault="00D6179F" w:rsidP="00D6179F">
      <w:pPr>
        <w:spacing w:line="360" w:lineRule="auto"/>
        <w:contextualSpacing/>
        <w:jc w:val="both"/>
        <w:rPr>
          <w:rFonts w:ascii="David" w:hAnsi="David"/>
          <w:b/>
          <w:rtl/>
        </w:rPr>
      </w:pPr>
    </w:p>
    <w:p w14:paraId="296310AF" w14:textId="77777777" w:rsidR="00D6179F" w:rsidRPr="00DF313D" w:rsidRDefault="00D6179F" w:rsidP="00D6179F">
      <w:pPr>
        <w:spacing w:line="360" w:lineRule="auto"/>
        <w:contextualSpacing/>
        <w:jc w:val="both"/>
        <w:rPr>
          <w:rFonts w:ascii="David" w:hAnsi="David"/>
          <w:b/>
          <w:rtl/>
        </w:rPr>
      </w:pPr>
      <w:r w:rsidRPr="00DF313D">
        <w:rPr>
          <w:rFonts w:ascii="David" w:hAnsi="David"/>
          <w:b/>
          <w:rtl/>
        </w:rPr>
        <w:lastRenderedPageBreak/>
        <w:t>ב"כ הנאשם הפנתה למצבו הנפשי של הנאשם, כפי שעולה מ</w:t>
      </w:r>
      <w:r w:rsidRPr="00DF313D">
        <w:rPr>
          <w:rFonts w:ascii="David" w:hAnsi="David"/>
          <w:bCs/>
          <w:rtl/>
        </w:rPr>
        <w:t>נ/1</w:t>
      </w:r>
      <w:r w:rsidRPr="00DF313D">
        <w:rPr>
          <w:rFonts w:ascii="David" w:hAnsi="David"/>
          <w:b/>
          <w:rtl/>
        </w:rPr>
        <w:t xml:space="preserve">, אשר הוביל בעבר, פעמיים, להפסקת הליכים כנגדו. לטענתה, על אף שהנאשם לא התייצב לבדיקה הפסיכיאטרית אליה הופנה וההגנה זנחה טענתה לאי כשירות או אחריות – יש ליתן משקל לנתון זה. לטענתה, על אף החזקה הקבועה בחוק, יש לקבל טענת הנאשם לפיה כל הסם שנתפס נועד לשימושו האישי ועל מנת לסייע לו בהתמודדות עם המורכבות הנפשית. </w:t>
      </w:r>
    </w:p>
    <w:p w14:paraId="5883DDDE" w14:textId="77777777" w:rsidR="00D6179F" w:rsidRPr="00DF313D" w:rsidRDefault="00D6179F" w:rsidP="00D6179F">
      <w:pPr>
        <w:spacing w:line="360" w:lineRule="auto"/>
        <w:contextualSpacing/>
        <w:jc w:val="both"/>
        <w:rPr>
          <w:rFonts w:ascii="David" w:hAnsi="David"/>
          <w:b/>
          <w:rtl/>
        </w:rPr>
      </w:pPr>
    </w:p>
    <w:p w14:paraId="55E374C0" w14:textId="77777777" w:rsidR="00D6179F" w:rsidRPr="00DF313D" w:rsidRDefault="00D6179F" w:rsidP="00D6179F">
      <w:pPr>
        <w:spacing w:line="360" w:lineRule="auto"/>
        <w:contextualSpacing/>
        <w:jc w:val="both"/>
        <w:rPr>
          <w:rFonts w:ascii="David" w:hAnsi="David"/>
          <w:b/>
          <w:rtl/>
        </w:rPr>
      </w:pPr>
      <w:r w:rsidRPr="00DF313D">
        <w:rPr>
          <w:rFonts w:ascii="David" w:hAnsi="David"/>
          <w:b/>
          <w:rtl/>
        </w:rPr>
        <w:t>לטענת ב"כ הנאשם, הנאשם איננו משולב במסגרת כלשהי בשל מצבו הרפואי, מקבל טיפול פסיכיאטרי על ידי רופא המשפחה באופן קבוע, לוקח אחריות על ביצוע העבירות, ולא ביקש להישלח לקבלת תסקיר מאחר ואיננו מעוניין להשתלב בטיפול.</w:t>
      </w:r>
    </w:p>
    <w:p w14:paraId="1202C132" w14:textId="77777777" w:rsidR="00D6179F" w:rsidRPr="00DF313D" w:rsidRDefault="00D6179F" w:rsidP="00D6179F">
      <w:pPr>
        <w:spacing w:line="360" w:lineRule="auto"/>
        <w:contextualSpacing/>
        <w:jc w:val="both"/>
        <w:rPr>
          <w:rFonts w:ascii="David" w:hAnsi="David"/>
          <w:b/>
          <w:rtl/>
        </w:rPr>
      </w:pPr>
    </w:p>
    <w:p w14:paraId="0EBA4DAB" w14:textId="77777777" w:rsidR="00D6179F" w:rsidRPr="00DF313D" w:rsidRDefault="00D6179F" w:rsidP="00D6179F">
      <w:pPr>
        <w:spacing w:line="360" w:lineRule="auto"/>
        <w:contextualSpacing/>
        <w:jc w:val="both"/>
        <w:rPr>
          <w:rFonts w:ascii="David" w:hAnsi="David"/>
          <w:b/>
          <w:rtl/>
        </w:rPr>
      </w:pPr>
      <w:r w:rsidRPr="00DF313D">
        <w:rPr>
          <w:rFonts w:ascii="David" w:hAnsi="David"/>
          <w:b/>
          <w:rtl/>
        </w:rPr>
        <w:t xml:space="preserve">עוד טענה כי לנאשם הרשעה קודמת אחת בלבד בתחום הסמים, מבית המשפט לנוער בשנת 2009, וכי העבירה האחרונה בגינה הורשע בשנת 2016 בוצעה בשנת 2012. </w:t>
      </w:r>
    </w:p>
    <w:p w14:paraId="1C425CEF" w14:textId="77777777" w:rsidR="00D6179F" w:rsidRPr="00DF313D" w:rsidRDefault="00D6179F" w:rsidP="00D6179F">
      <w:pPr>
        <w:spacing w:line="360" w:lineRule="auto"/>
        <w:contextualSpacing/>
        <w:jc w:val="both"/>
        <w:rPr>
          <w:rFonts w:ascii="David" w:hAnsi="David"/>
          <w:b/>
          <w:rtl/>
        </w:rPr>
      </w:pPr>
    </w:p>
    <w:p w14:paraId="38F3FF10" w14:textId="77777777" w:rsidR="00D6179F" w:rsidRPr="00DF313D" w:rsidRDefault="00D6179F" w:rsidP="00D6179F">
      <w:pPr>
        <w:spacing w:line="360" w:lineRule="auto"/>
        <w:contextualSpacing/>
        <w:jc w:val="both"/>
        <w:rPr>
          <w:rFonts w:ascii="David" w:hAnsi="David"/>
          <w:b/>
          <w:rtl/>
        </w:rPr>
      </w:pPr>
      <w:r w:rsidRPr="00DF313D">
        <w:rPr>
          <w:rFonts w:ascii="David" w:hAnsi="David"/>
          <w:b/>
          <w:rtl/>
        </w:rPr>
        <w:t xml:space="preserve">ב"כ הנאשם הגישה מסמך רפואי בעניינו של הנאשם </w:t>
      </w:r>
      <w:r w:rsidRPr="00DF313D">
        <w:rPr>
          <w:rFonts w:ascii="David" w:hAnsi="David"/>
          <w:bCs/>
          <w:rtl/>
        </w:rPr>
        <w:t>(נ/1)</w:t>
      </w:r>
      <w:r w:rsidRPr="00DF313D">
        <w:rPr>
          <w:rFonts w:ascii="David" w:hAnsi="David"/>
          <w:b/>
          <w:rtl/>
        </w:rPr>
        <w:t xml:space="preserve"> והפנתה לפסיקה לתמיכה בעתירתה.</w:t>
      </w:r>
    </w:p>
    <w:p w14:paraId="038CD22C" w14:textId="77777777" w:rsidR="00D6179F" w:rsidRPr="00DF313D" w:rsidRDefault="00D6179F" w:rsidP="00D6179F">
      <w:pPr>
        <w:spacing w:line="360" w:lineRule="auto"/>
        <w:contextualSpacing/>
        <w:jc w:val="both"/>
        <w:rPr>
          <w:rFonts w:ascii="David" w:hAnsi="David"/>
          <w:b/>
          <w:rtl/>
        </w:rPr>
      </w:pPr>
    </w:p>
    <w:p w14:paraId="4C678ECB" w14:textId="77777777" w:rsidR="00D6179F" w:rsidRPr="00DF313D" w:rsidRDefault="00D6179F" w:rsidP="00D6179F">
      <w:pPr>
        <w:spacing w:line="360" w:lineRule="auto"/>
        <w:contextualSpacing/>
        <w:jc w:val="both"/>
        <w:rPr>
          <w:rFonts w:ascii="David" w:hAnsi="David"/>
          <w:b/>
          <w:rtl/>
        </w:rPr>
      </w:pPr>
      <w:r w:rsidRPr="00DF313D">
        <w:rPr>
          <w:rFonts w:ascii="David" w:hAnsi="David"/>
          <w:b/>
          <w:bCs/>
          <w:rtl/>
        </w:rPr>
        <w:t xml:space="preserve">6. </w:t>
      </w:r>
      <w:r w:rsidRPr="00DF313D">
        <w:rPr>
          <w:rFonts w:ascii="David" w:hAnsi="David"/>
          <w:b/>
          <w:rtl/>
        </w:rPr>
        <w:t xml:space="preserve">במועד זה טען הנאשם כי נוטל כדורים אשר מקשים עליו לקום בבוקר. </w:t>
      </w:r>
    </w:p>
    <w:p w14:paraId="3BDDCD0D" w14:textId="77777777" w:rsidR="00D6179F" w:rsidRPr="00DF313D" w:rsidRDefault="00D6179F" w:rsidP="00D6179F">
      <w:pPr>
        <w:spacing w:line="360" w:lineRule="auto"/>
        <w:contextualSpacing/>
        <w:jc w:val="both"/>
        <w:rPr>
          <w:rFonts w:ascii="David" w:hAnsi="David"/>
          <w:b/>
          <w:rtl/>
        </w:rPr>
      </w:pPr>
    </w:p>
    <w:p w14:paraId="47103441" w14:textId="77777777" w:rsidR="00D6179F" w:rsidRPr="00DF313D" w:rsidRDefault="00D6179F" w:rsidP="00D6179F">
      <w:pPr>
        <w:spacing w:line="360" w:lineRule="auto"/>
        <w:jc w:val="both"/>
        <w:rPr>
          <w:rFonts w:ascii="David" w:hAnsi="David"/>
          <w:b/>
          <w:bCs/>
          <w:u w:val="single"/>
          <w:rtl/>
        </w:rPr>
      </w:pPr>
      <w:r w:rsidRPr="00DF313D">
        <w:rPr>
          <w:rFonts w:ascii="David" w:hAnsi="David"/>
          <w:b/>
          <w:bCs/>
          <w:u w:val="single"/>
          <w:rtl/>
        </w:rPr>
        <w:t>קביעת מתחם העונש ההולם</w:t>
      </w:r>
    </w:p>
    <w:p w14:paraId="53B174DC" w14:textId="77777777" w:rsidR="00D6179F" w:rsidRPr="00DF313D" w:rsidRDefault="00D6179F" w:rsidP="00D6179F">
      <w:pPr>
        <w:spacing w:line="360" w:lineRule="auto"/>
        <w:jc w:val="both"/>
        <w:rPr>
          <w:rFonts w:ascii="David" w:hAnsi="David"/>
          <w:b/>
          <w:bCs/>
          <w:u w:val="single"/>
          <w:rtl/>
        </w:rPr>
      </w:pPr>
      <w:r w:rsidRPr="00DF313D">
        <w:rPr>
          <w:rFonts w:ascii="David" w:hAnsi="David"/>
          <w:b/>
          <w:bCs/>
          <w:rtl/>
        </w:rPr>
        <w:t>7.</w:t>
      </w:r>
      <w:r w:rsidRPr="00DF313D">
        <w:rPr>
          <w:rFonts w:ascii="David" w:hAnsi="David"/>
          <w:rtl/>
        </w:rPr>
        <w:t xml:space="preserve"> </w:t>
      </w:r>
      <w:r w:rsidRPr="00DF313D">
        <w:rPr>
          <w:rFonts w:ascii="David" w:hAnsi="David"/>
          <w:b/>
          <w:bCs/>
          <w:rtl/>
        </w:rPr>
        <w:t>תיקון 113 ל</w:t>
      </w:r>
      <w:hyperlink r:id="rId18" w:history="1">
        <w:r w:rsidR="00765EBD" w:rsidRPr="00765EBD">
          <w:rPr>
            <w:rFonts w:ascii="David" w:hAnsi="David"/>
            <w:b/>
            <w:bCs/>
            <w:color w:val="0000FF"/>
            <w:u w:val="single"/>
            <w:rtl/>
          </w:rPr>
          <w:t>חוק העונשין</w:t>
        </w:r>
      </w:hyperlink>
      <w:r w:rsidRPr="00DF313D">
        <w:rPr>
          <w:rFonts w:ascii="David" w:hAnsi="David"/>
          <w:rtl/>
        </w:rPr>
        <w:t xml:space="preserve"> קובע מנגנון תלת-שלבי להליך גזירת העונש: בשלב הראשון ייקבע מתחם העונש ההולם בהתחשב בעבירה ובנסיבות הקשורות בביצועה, בשלב השני תבחן התקיימותם של שיקולים חריגים המצדיקים סטייה מן המתחם שנקבע – פוטנציאל שיקום מיוחד או הגנה על שלום הציבור, ובשלב השלישי ייגזר העונש הראוי בתוככי המתחם שנקבע, בהתחשב בנסיבות שאינן קשורות לביצוע העבירה</w:t>
      </w:r>
      <w:r>
        <w:rPr>
          <w:rFonts w:ascii="David" w:hAnsi="David" w:hint="cs"/>
          <w:rtl/>
        </w:rPr>
        <w:t>, ככל שבית המשפט לא מצא מקום לסטות מהמתחם</w:t>
      </w:r>
      <w:r w:rsidRPr="00DF313D">
        <w:rPr>
          <w:rFonts w:ascii="David" w:hAnsi="David"/>
          <w:rtl/>
        </w:rPr>
        <w:t>.</w:t>
      </w:r>
    </w:p>
    <w:p w14:paraId="59DCEE31" w14:textId="77777777" w:rsidR="00D6179F" w:rsidRPr="00DF313D" w:rsidRDefault="00D6179F" w:rsidP="00D6179F">
      <w:pPr>
        <w:spacing w:line="360" w:lineRule="auto"/>
        <w:jc w:val="both"/>
        <w:rPr>
          <w:rFonts w:ascii="David" w:hAnsi="David"/>
        </w:rPr>
      </w:pPr>
    </w:p>
    <w:p w14:paraId="0BAAB894" w14:textId="77777777" w:rsidR="00D6179F" w:rsidRPr="00DF313D" w:rsidRDefault="00D6179F" w:rsidP="00D6179F">
      <w:pPr>
        <w:spacing w:line="360" w:lineRule="auto"/>
        <w:jc w:val="both"/>
        <w:rPr>
          <w:rFonts w:ascii="David" w:hAnsi="David"/>
          <w:rtl/>
        </w:rPr>
      </w:pPr>
      <w:r w:rsidRPr="00DF313D">
        <w:rPr>
          <w:rFonts w:ascii="David" w:hAnsi="David"/>
          <w:b/>
          <w:bCs/>
          <w:rtl/>
        </w:rPr>
        <w:t>8.</w:t>
      </w:r>
      <w:r w:rsidRPr="00DF313D">
        <w:rPr>
          <w:rFonts w:ascii="David" w:hAnsi="David"/>
          <w:rtl/>
        </w:rPr>
        <w:t xml:space="preserve"> במקרה </w:t>
      </w:r>
      <w:r>
        <w:rPr>
          <w:rFonts w:ascii="David" w:hAnsi="David" w:hint="cs"/>
          <w:rtl/>
        </w:rPr>
        <w:t>דנן</w:t>
      </w:r>
      <w:r w:rsidRPr="00DF313D">
        <w:rPr>
          <w:rFonts w:ascii="David" w:hAnsi="David"/>
          <w:rtl/>
        </w:rPr>
        <w:t xml:space="preserve"> מדובר </w:t>
      </w:r>
      <w:r w:rsidRPr="00DF313D">
        <w:rPr>
          <w:rFonts w:ascii="David" w:hAnsi="David"/>
          <w:b/>
          <w:bCs/>
          <w:rtl/>
        </w:rPr>
        <w:t>בשני אירועים</w:t>
      </w:r>
      <w:r w:rsidRPr="00DF313D">
        <w:rPr>
          <w:rFonts w:ascii="David" w:hAnsi="David"/>
          <w:rtl/>
        </w:rPr>
        <w:t xml:space="preserve"> אשר בעניינם יש לקבוע שני מתחמי עונש הולמים.</w:t>
      </w:r>
    </w:p>
    <w:p w14:paraId="2F77B306" w14:textId="77777777" w:rsidR="00D6179F" w:rsidRPr="00DF313D" w:rsidRDefault="00D6179F" w:rsidP="00D6179F">
      <w:pPr>
        <w:spacing w:line="360" w:lineRule="auto"/>
        <w:jc w:val="both"/>
        <w:rPr>
          <w:rFonts w:ascii="David" w:hAnsi="David"/>
          <w:rtl/>
        </w:rPr>
      </w:pPr>
    </w:p>
    <w:p w14:paraId="1E1BBBEF" w14:textId="77777777" w:rsidR="00D6179F" w:rsidRPr="00DF313D" w:rsidRDefault="00D6179F" w:rsidP="00D6179F">
      <w:pPr>
        <w:spacing w:line="360" w:lineRule="auto"/>
        <w:jc w:val="both"/>
        <w:rPr>
          <w:rFonts w:ascii="David" w:hAnsi="David"/>
          <w:rtl/>
        </w:rPr>
      </w:pPr>
      <w:r w:rsidRPr="00DF313D">
        <w:rPr>
          <w:rFonts w:ascii="David" w:hAnsi="David"/>
          <w:b/>
          <w:bCs/>
          <w:rtl/>
        </w:rPr>
        <w:t>9.</w:t>
      </w:r>
      <w:r w:rsidRPr="00DF313D">
        <w:rPr>
          <w:rFonts w:ascii="David" w:hAnsi="David"/>
          <w:rtl/>
        </w:rPr>
        <w:t xml:space="preserve"> קביעת מתחם העונש ההולם למעשה העבירה נעשית בהתאם ל</w:t>
      </w:r>
      <w:r w:rsidRPr="00DF313D">
        <w:rPr>
          <w:rFonts w:ascii="David" w:hAnsi="David"/>
          <w:b/>
          <w:bCs/>
          <w:rtl/>
        </w:rPr>
        <w:t>עקרון ההלימה</w:t>
      </w:r>
      <w:r w:rsidRPr="00DF313D">
        <w:rPr>
          <w:rFonts w:ascii="David" w:hAnsi="David"/>
          <w:rtl/>
        </w:rPr>
        <w:t>. לשם קביעת מתחם העונש ההולם יש להתחשב בערך החברתי אשר נפגע, במידת הפגיעה בו, במדיניות הענישה הנוהגת ובנסיבות הקשורות בביצוע העבירה.</w:t>
      </w:r>
    </w:p>
    <w:p w14:paraId="29056FA1" w14:textId="77777777" w:rsidR="00D6179F" w:rsidRPr="00DF313D" w:rsidRDefault="00D6179F" w:rsidP="00D6179F">
      <w:pPr>
        <w:spacing w:line="360" w:lineRule="auto"/>
        <w:jc w:val="both"/>
        <w:rPr>
          <w:rFonts w:ascii="David" w:hAnsi="David"/>
          <w:rtl/>
        </w:rPr>
      </w:pPr>
    </w:p>
    <w:p w14:paraId="509848FB" w14:textId="77777777" w:rsidR="00D6179F" w:rsidRPr="00DF313D" w:rsidRDefault="00D6179F" w:rsidP="00D6179F">
      <w:pPr>
        <w:spacing w:line="360" w:lineRule="auto"/>
        <w:jc w:val="both"/>
        <w:rPr>
          <w:rFonts w:ascii="David" w:hAnsi="David"/>
          <w:rtl/>
        </w:rPr>
      </w:pPr>
      <w:r w:rsidRPr="00DF313D">
        <w:rPr>
          <w:rFonts w:ascii="David" w:hAnsi="David"/>
          <w:b/>
          <w:bCs/>
          <w:rtl/>
        </w:rPr>
        <w:t>10</w:t>
      </w:r>
      <w:r w:rsidRPr="00DF313D">
        <w:rPr>
          <w:rFonts w:ascii="David" w:hAnsi="David"/>
          <w:rtl/>
        </w:rPr>
        <w:t xml:space="preserve">. במקרה דנן, </w:t>
      </w:r>
      <w:r w:rsidRPr="00DF313D">
        <w:rPr>
          <w:rFonts w:ascii="David" w:hAnsi="David"/>
          <w:b/>
          <w:bCs/>
          <w:rtl/>
        </w:rPr>
        <w:t xml:space="preserve">הערכים החברתיים </w:t>
      </w:r>
      <w:r w:rsidRPr="00DF313D">
        <w:rPr>
          <w:rFonts w:ascii="David" w:hAnsi="David"/>
          <w:rtl/>
        </w:rPr>
        <w:t>אשר נפגעו כתוצאה מביצוע עבירות הסמים עליהן נותן הנאשם את הדין הם ההגנה על שלום הציבור, בריאותו ובטחונו מפני הנזקים הישירים והעקיפים הנגרמים כתוצאה מהפצה ושימוש בסמים.</w:t>
      </w:r>
    </w:p>
    <w:p w14:paraId="7D34A8AF" w14:textId="77777777" w:rsidR="00D6179F" w:rsidRPr="00DF313D" w:rsidRDefault="00D6179F" w:rsidP="00D6179F">
      <w:pPr>
        <w:spacing w:line="360" w:lineRule="auto"/>
        <w:jc w:val="both"/>
        <w:rPr>
          <w:rFonts w:ascii="David" w:hAnsi="David"/>
          <w:rtl/>
        </w:rPr>
      </w:pPr>
    </w:p>
    <w:p w14:paraId="68384A2B" w14:textId="77777777" w:rsidR="00D6179F" w:rsidRPr="00DF313D" w:rsidRDefault="00D6179F" w:rsidP="00D6179F">
      <w:pPr>
        <w:spacing w:line="360" w:lineRule="auto"/>
        <w:jc w:val="both"/>
        <w:rPr>
          <w:rFonts w:ascii="David" w:hAnsi="David"/>
          <w:rtl/>
        </w:rPr>
      </w:pPr>
      <w:r w:rsidRPr="00DF313D">
        <w:rPr>
          <w:rFonts w:ascii="David" w:hAnsi="David"/>
          <w:rtl/>
        </w:rPr>
        <w:t>כבר נכתב רבות על חומרת עבירות הסמים, וב</w:t>
      </w:r>
      <w:hyperlink r:id="rId19" w:history="1">
        <w:r w:rsidR="00765EBD" w:rsidRPr="00765EBD">
          <w:rPr>
            <w:rFonts w:ascii="David" w:hAnsi="David"/>
            <w:b/>
            <w:bCs/>
            <w:color w:val="0000FF"/>
            <w:u w:val="single"/>
            <w:rtl/>
          </w:rPr>
          <w:t>ע"פ 8988/16</w:t>
        </w:r>
      </w:hyperlink>
      <w:r w:rsidRPr="00DF313D">
        <w:rPr>
          <w:rFonts w:ascii="David" w:hAnsi="David"/>
          <w:b/>
          <w:bCs/>
          <w:rtl/>
        </w:rPr>
        <w:t xml:space="preserve"> בן סימון נגד מדינת ישראל (08/03/17) </w:t>
      </w:r>
      <w:r w:rsidRPr="00DF313D">
        <w:rPr>
          <w:rFonts w:ascii="David" w:hAnsi="David"/>
          <w:rtl/>
        </w:rPr>
        <w:t xml:space="preserve">קבע כב' השופט ג'ובראן כי: </w:t>
      </w:r>
      <w:r w:rsidRPr="00DF313D">
        <w:rPr>
          <w:rFonts w:ascii="David" w:hAnsi="David"/>
          <w:b/>
          <w:bCs/>
          <w:noProof/>
          <w:rtl/>
        </w:rPr>
        <w:t>"ההלכה בעניין עבירות סמים קובעת כי נוכח חומרתן הרבה של אותן העבירות יש להתמודד מולן באמצעות ענישה משמעותית ומרתיעה ... כי יש לבכר את שיקולי ההרתעה על השיקולים האישיים בעבירות מסוג זה ... וכי יש חשיבות בענישה כלכלית בעבירות סמים שעיקרן הוא בצע כסף".</w:t>
      </w:r>
    </w:p>
    <w:p w14:paraId="5282328E" w14:textId="77777777" w:rsidR="00D6179F" w:rsidRPr="00DF313D" w:rsidRDefault="00D6179F" w:rsidP="00D6179F">
      <w:pPr>
        <w:spacing w:line="360" w:lineRule="auto"/>
        <w:contextualSpacing/>
        <w:jc w:val="both"/>
        <w:rPr>
          <w:rFonts w:ascii="David" w:hAnsi="David"/>
        </w:rPr>
      </w:pPr>
    </w:p>
    <w:p w14:paraId="67DA50BE" w14:textId="77777777" w:rsidR="00D6179F" w:rsidRPr="00DF313D" w:rsidRDefault="00D6179F" w:rsidP="00D6179F">
      <w:pPr>
        <w:spacing w:line="360" w:lineRule="auto"/>
        <w:contextualSpacing/>
        <w:jc w:val="both"/>
        <w:rPr>
          <w:rFonts w:ascii="David" w:hAnsi="David"/>
          <w:rtl/>
        </w:rPr>
      </w:pPr>
      <w:r w:rsidRPr="00DF313D">
        <w:rPr>
          <w:rFonts w:ascii="David" w:hAnsi="David"/>
          <w:b/>
          <w:bCs/>
          <w:rtl/>
        </w:rPr>
        <w:t>11</w:t>
      </w:r>
      <w:r w:rsidRPr="00DF313D">
        <w:rPr>
          <w:rFonts w:ascii="David" w:hAnsi="David"/>
          <w:rtl/>
        </w:rPr>
        <w:t xml:space="preserve">. בחינת </w:t>
      </w:r>
      <w:r w:rsidRPr="00DF313D">
        <w:rPr>
          <w:rFonts w:ascii="David" w:hAnsi="David"/>
          <w:b/>
          <w:bCs/>
          <w:rtl/>
        </w:rPr>
        <w:t>מידת הפגיעה בערך המוגן</w:t>
      </w:r>
      <w:r w:rsidRPr="00DF313D">
        <w:rPr>
          <w:rFonts w:ascii="David" w:hAnsi="David"/>
          <w:rtl/>
        </w:rPr>
        <w:t xml:space="preserve"> בגין ביצוע</w:t>
      </w:r>
      <w:r>
        <w:rPr>
          <w:rFonts w:ascii="David" w:hAnsi="David" w:hint="cs"/>
          <w:rtl/>
        </w:rPr>
        <w:t xml:space="preserve"> עבירת החזקת הסם שלא לצריכה עצמית</w:t>
      </w:r>
      <w:r w:rsidRPr="00DF313D">
        <w:rPr>
          <w:rFonts w:ascii="David" w:hAnsi="David"/>
          <w:rtl/>
        </w:rPr>
        <w:t xml:space="preserve"> מובילה למסקנה כי הפגיעה בערך המוגן היא ברף הבינוני-נמוך, וזאת בשים לב לסוג הסם וכמותו</w:t>
      </w:r>
      <w:r>
        <w:rPr>
          <w:rFonts w:ascii="David" w:hAnsi="David" w:hint="cs"/>
          <w:rtl/>
        </w:rPr>
        <w:t>. מידת הפגיעה בערך המוגן בגין ביצוע עבירת החזקת הסמים לצריכה עצמית מובילה למסקנה כי הפגיעה בערך המוגן היא ברף הנמוך, וזאת לאור כמות הסם, מקום המצאו וסוגו.</w:t>
      </w:r>
    </w:p>
    <w:p w14:paraId="3D587D16" w14:textId="77777777" w:rsidR="00D6179F" w:rsidRPr="00DF313D" w:rsidRDefault="00D6179F" w:rsidP="00D6179F">
      <w:pPr>
        <w:spacing w:line="360" w:lineRule="auto"/>
        <w:contextualSpacing/>
        <w:jc w:val="both"/>
        <w:rPr>
          <w:rFonts w:ascii="David" w:hAnsi="David"/>
          <w:rtl/>
        </w:rPr>
      </w:pPr>
    </w:p>
    <w:p w14:paraId="06C39CB2" w14:textId="77777777" w:rsidR="00D6179F" w:rsidRPr="00DF313D" w:rsidRDefault="00D6179F" w:rsidP="00D6179F">
      <w:pPr>
        <w:spacing w:line="360" w:lineRule="auto"/>
        <w:contextualSpacing/>
        <w:jc w:val="both"/>
        <w:rPr>
          <w:rFonts w:ascii="David" w:hAnsi="David"/>
          <w:rtl/>
        </w:rPr>
      </w:pPr>
      <w:r w:rsidRPr="00DF313D">
        <w:rPr>
          <w:rFonts w:ascii="David" w:hAnsi="David"/>
          <w:b/>
          <w:bCs/>
          <w:rtl/>
        </w:rPr>
        <w:t>12</w:t>
      </w:r>
      <w:r w:rsidRPr="00DF313D">
        <w:rPr>
          <w:rFonts w:ascii="David" w:hAnsi="David"/>
          <w:rtl/>
        </w:rPr>
        <w:t xml:space="preserve">. בחינת </w:t>
      </w:r>
      <w:r w:rsidRPr="00DF313D">
        <w:rPr>
          <w:rFonts w:ascii="David" w:hAnsi="David"/>
          <w:b/>
          <w:bCs/>
          <w:rtl/>
        </w:rPr>
        <w:t xml:space="preserve">מדיניות הענישה הנוהגת </w:t>
      </w:r>
      <w:r w:rsidRPr="00DF313D">
        <w:rPr>
          <w:rFonts w:ascii="David" w:hAnsi="David"/>
          <w:rtl/>
        </w:rPr>
        <w:t>בגין עבירת החזקת הסמים שלא לצריכה עצמית מעלה כי במקרים דומים הוטלו על נאשמים עונשים כמפורט להלן:</w:t>
      </w:r>
    </w:p>
    <w:p w14:paraId="195F1B21" w14:textId="77777777" w:rsidR="00D6179F" w:rsidRPr="00DF313D" w:rsidRDefault="00D6179F" w:rsidP="00D6179F">
      <w:pPr>
        <w:numPr>
          <w:ilvl w:val="0"/>
          <w:numId w:val="1"/>
        </w:numPr>
        <w:spacing w:line="360" w:lineRule="auto"/>
        <w:ind w:left="340" w:hanging="340"/>
        <w:contextualSpacing/>
        <w:jc w:val="both"/>
        <w:rPr>
          <w:rFonts w:ascii="David" w:hAnsi="David"/>
        </w:rPr>
      </w:pPr>
      <w:r w:rsidRPr="00DF313D">
        <w:rPr>
          <w:rtl/>
        </w:rPr>
        <w:t>ב</w:t>
      </w:r>
      <w:hyperlink r:id="rId20" w:history="1">
        <w:r w:rsidR="00765EBD" w:rsidRPr="00765EBD">
          <w:rPr>
            <w:b/>
            <w:bCs/>
            <w:color w:val="0000FF"/>
            <w:u w:val="single"/>
            <w:rtl/>
          </w:rPr>
          <w:t>רע"פ 2590/10</w:t>
        </w:r>
      </w:hyperlink>
      <w:r w:rsidRPr="00DF313D">
        <w:rPr>
          <w:b/>
          <w:bCs/>
          <w:rtl/>
        </w:rPr>
        <w:t xml:space="preserve"> שגיא נגד מדינת ישראל</w:t>
      </w:r>
      <w:r w:rsidRPr="00DF313D">
        <w:rPr>
          <w:rtl/>
        </w:rPr>
        <w:t xml:space="preserve"> </w:t>
      </w:r>
      <w:r w:rsidRPr="00DF313D">
        <w:rPr>
          <w:b/>
          <w:bCs/>
          <w:rtl/>
        </w:rPr>
        <w:t>(08/04/10)</w:t>
      </w:r>
      <w:r w:rsidRPr="00DF313D">
        <w:rPr>
          <w:rtl/>
        </w:rPr>
        <w:t>, אישר בית המשפט העליון את פסק דינו של בית המשפט המחוזי, אשר דחה ערעור על פסק דינו של בית משפט השלום בטבריה שהטיל על הנאשם, בגין עבירת החזקת סמים מסוכנים מסוג קנבוס שלא לצריכה עצמית במשקל כולל של כ-270 גרם ובהחזקת כלים להכנת סם או לצריכתו, 6 חודשי מאסר בדרך של עבודות שירות.</w:t>
      </w:r>
    </w:p>
    <w:p w14:paraId="70A078E2" w14:textId="77777777" w:rsidR="00D6179F" w:rsidRPr="00DF313D" w:rsidRDefault="00D6179F" w:rsidP="00D6179F">
      <w:pPr>
        <w:numPr>
          <w:ilvl w:val="0"/>
          <w:numId w:val="1"/>
        </w:numPr>
        <w:spacing w:line="360" w:lineRule="auto"/>
        <w:ind w:left="340" w:hanging="340"/>
        <w:contextualSpacing/>
        <w:jc w:val="both"/>
        <w:rPr>
          <w:rFonts w:ascii="David" w:hAnsi="David"/>
        </w:rPr>
      </w:pPr>
      <w:r w:rsidRPr="00DF313D">
        <w:rPr>
          <w:rFonts w:ascii="David" w:hAnsi="David"/>
          <w:rtl/>
        </w:rPr>
        <w:t>ב</w:t>
      </w:r>
      <w:hyperlink r:id="rId21" w:history="1">
        <w:r w:rsidR="00765EBD" w:rsidRPr="00765EBD">
          <w:rPr>
            <w:rFonts w:ascii="David" w:hAnsi="David"/>
            <w:b/>
            <w:bCs/>
            <w:color w:val="0000FF"/>
            <w:u w:val="single"/>
            <w:rtl/>
          </w:rPr>
          <w:t>עפ"ג (חי') 63945-07-18</w:t>
        </w:r>
      </w:hyperlink>
      <w:r w:rsidRPr="00DF313D">
        <w:rPr>
          <w:b/>
          <w:bCs/>
          <w:rtl/>
        </w:rPr>
        <w:t xml:space="preserve"> מדינת ישראל נגד אזריאל (08/11/18)</w:t>
      </w:r>
      <w:r w:rsidRPr="00DF313D">
        <w:rPr>
          <w:rtl/>
        </w:rPr>
        <w:t xml:space="preserve"> קיבל בית המשפט את ערעורה של המאשימה, בעניינו של נאשם אשר הורשע בהתאם להודאתו בביצוע עבירת החזקת סמים מסוכנים שלא לצריכה עצמית. בית משפט השלום הטיל על הנאשם, אשר החזיק סם מסוכן מסוג קאנביס במשקל 758 גרם נטו שלא לצריכתו האישית, בין היתר, 9 ימי מאסר בניכוי ימי מאסרו. יש לציין כי זאת לאחר שבבדיקת שתן שמסר הנאשם אצל הממונה על עבודות השירות נמצאו שרידי סם ומשכך קבע הממונה כי הנאשם לא מתאים לרצות מאסר בדרך של עבודות שירות. בית המשפט המחוזי קבע כי מתחם הענישה בגין החזקת סמים שלא לשימוש עצמי במשקל של מאות גרמים צריך לעמוד על בין מספר חודשי מאסר שניתן לרצותם בעבודות שירות ועד ל-12 חודשי מאסר בפועל. לאחר ששקל כלל השיקולים הרלוונטיים בעניינו של הנאשם, הטיל בית המשפט המחוזי על הנאשם, בין היתר, 5 חודשי מאסר בפועל לריצוי מאחורי סורג ובריח.</w:t>
      </w:r>
    </w:p>
    <w:p w14:paraId="574A6345" w14:textId="77777777" w:rsidR="00D6179F" w:rsidRPr="00DF313D" w:rsidRDefault="00D6179F" w:rsidP="00D6179F">
      <w:pPr>
        <w:numPr>
          <w:ilvl w:val="0"/>
          <w:numId w:val="1"/>
        </w:numPr>
        <w:spacing w:line="360" w:lineRule="auto"/>
        <w:ind w:left="340" w:hanging="340"/>
        <w:contextualSpacing/>
        <w:jc w:val="both"/>
        <w:rPr>
          <w:rFonts w:ascii="David" w:hAnsi="David"/>
        </w:rPr>
      </w:pPr>
      <w:r w:rsidRPr="00DF313D">
        <w:rPr>
          <w:rtl/>
        </w:rPr>
        <w:t>ב</w:t>
      </w:r>
      <w:hyperlink r:id="rId22" w:history="1">
        <w:r w:rsidR="00765EBD" w:rsidRPr="00765EBD">
          <w:rPr>
            <w:b/>
            <w:bCs/>
            <w:color w:val="0000FF"/>
            <w:u w:val="single"/>
            <w:rtl/>
          </w:rPr>
          <w:t>ע"פ (נצ') 16202-05-10</w:t>
        </w:r>
      </w:hyperlink>
      <w:r w:rsidRPr="00DF313D">
        <w:rPr>
          <w:b/>
          <w:bCs/>
          <w:rtl/>
        </w:rPr>
        <w:t xml:space="preserve"> קושניר נגד מדינת ישראל (06/07/10) </w:t>
      </w:r>
      <w:r w:rsidRPr="00DF313D">
        <w:rPr>
          <w:rtl/>
        </w:rPr>
        <w:t xml:space="preserve">דחה בית המשפט את ערעורו של הנאשם, אשר הורשע בהתאם להודאתו בביצוע עבירת התנהגות פרועה במקום ציבורי, החזקת סמים מסוכנים שלא לצריכה עצמית ועבירות של החזקת סם מסוכן לשימוש עצמי. בית משפט השלום הטיל על הנאשם, אשר השליך כיסא על סורגי בית הספר, </w:t>
      </w:r>
      <w:r w:rsidRPr="00DF313D">
        <w:rPr>
          <w:rFonts w:ascii="David" w:hAnsi="David"/>
          <w:rtl/>
        </w:rPr>
        <w:t>החזיק סם מסוכן מסוג קאנבוס במשקל 125.68 גרם נטו</w:t>
      </w:r>
      <w:r w:rsidRPr="00DF313D">
        <w:rPr>
          <w:rtl/>
        </w:rPr>
        <w:t xml:space="preserve"> שלא לצריכתו האישית, והחזקת סמים מסוג חשיש לשימושו העצמי, בין היתר, 5 חודשי מאסר בפועל לריצוי מאחורי סורג ובריח, וזאת לאחר שבבדיקת שתן שמסר אצל הממונה על עבודות השירות נמצאו שרידי סם ומשכך קבע הממונה כי הנאשם לא מתאים לרצות מאסר בדרך של עבודות שירות. בית המשפט המחוזי קבע כי אין לנאשם להלין אלא על עצמו וכי לא קיימת כל הצדקה לחזור שוב ולהפנות את המערער, אשר טוען כי הפסיק לעשות שימוש בסמים, לממונה על עבודות השירות לשם בדיקת התאמתו. </w:t>
      </w:r>
    </w:p>
    <w:p w14:paraId="5BCF40EE" w14:textId="77777777" w:rsidR="00D6179F" w:rsidRPr="00DF313D" w:rsidRDefault="00D6179F" w:rsidP="00D6179F">
      <w:pPr>
        <w:numPr>
          <w:ilvl w:val="0"/>
          <w:numId w:val="1"/>
        </w:numPr>
        <w:spacing w:line="360" w:lineRule="auto"/>
        <w:ind w:left="340" w:hanging="340"/>
        <w:contextualSpacing/>
        <w:jc w:val="both"/>
        <w:rPr>
          <w:rFonts w:ascii="David" w:hAnsi="David"/>
        </w:rPr>
      </w:pPr>
      <w:r w:rsidRPr="00DF313D">
        <w:rPr>
          <w:rtl/>
        </w:rPr>
        <w:t>ב</w:t>
      </w:r>
      <w:hyperlink r:id="rId23" w:history="1">
        <w:r w:rsidR="00765EBD" w:rsidRPr="00765EBD">
          <w:rPr>
            <w:b/>
            <w:bCs/>
            <w:color w:val="0000FF"/>
            <w:u w:val="single"/>
            <w:rtl/>
          </w:rPr>
          <w:t>ת"פ (רמ') 33125-01-14</w:t>
        </w:r>
      </w:hyperlink>
      <w:r w:rsidRPr="00DF313D">
        <w:rPr>
          <w:b/>
          <w:bCs/>
          <w:rtl/>
        </w:rPr>
        <w:t xml:space="preserve"> מדינת ישראל נגד אבו לבן ואח' (15/01/15) </w:t>
      </w:r>
      <w:r w:rsidRPr="00DF313D">
        <w:rPr>
          <w:rtl/>
        </w:rPr>
        <w:t xml:space="preserve">קבע בית המשפט כי מתחם הענישה בגין עבירת החזקת סמים מסוג חשיש וקנבוס, שלא לצריכה עצמית, במשקל של כ-94 גרם, הוא בין 4 חודשי מאסר שיכול וירוצו בעבודות שירות לבין 18 חודשי מאסר בפועל, וגזר על הנאשם, בין היתר, 8 חודשי מאסר בפועל. </w:t>
      </w:r>
    </w:p>
    <w:p w14:paraId="38FAD5C2" w14:textId="77777777" w:rsidR="00D6179F" w:rsidRPr="00DF313D" w:rsidRDefault="00D6179F" w:rsidP="00D6179F">
      <w:pPr>
        <w:numPr>
          <w:ilvl w:val="0"/>
          <w:numId w:val="1"/>
        </w:numPr>
        <w:spacing w:line="360" w:lineRule="auto"/>
        <w:ind w:left="340" w:hanging="340"/>
        <w:contextualSpacing/>
        <w:jc w:val="both"/>
        <w:rPr>
          <w:rtl/>
        </w:rPr>
      </w:pPr>
      <w:r w:rsidRPr="00DF313D">
        <w:rPr>
          <w:rtl/>
        </w:rPr>
        <w:t>ב</w:t>
      </w:r>
      <w:hyperlink r:id="rId24" w:history="1">
        <w:r w:rsidR="00765EBD" w:rsidRPr="00765EBD">
          <w:rPr>
            <w:b/>
            <w:bCs/>
            <w:color w:val="0000FF"/>
            <w:u w:val="single"/>
            <w:rtl/>
          </w:rPr>
          <w:t>ת"פ (ת"א) 54653-07-12</w:t>
        </w:r>
      </w:hyperlink>
      <w:r w:rsidRPr="00DF313D">
        <w:rPr>
          <w:b/>
          <w:bCs/>
          <w:rtl/>
        </w:rPr>
        <w:t xml:space="preserve"> מדינת ישראל נגד נאביאן (24/02/14) </w:t>
      </w:r>
      <w:r w:rsidRPr="00DF313D">
        <w:rPr>
          <w:rtl/>
        </w:rPr>
        <w:t>קבע בית המשפט כי מתחם הענישה בגין עבירת החזקת סמים מסוג חשיש, שלא לצריכה עצמית, במשקל של כ-500 גרם נטו, הוא בין מספר חודשי מאסר שיכול וירוצו בעבודות שירות לבין 12 חודשי מאסר בפועל.</w:t>
      </w:r>
    </w:p>
    <w:p w14:paraId="09E75184" w14:textId="77777777" w:rsidR="00D6179F" w:rsidRPr="00DF313D" w:rsidRDefault="00D6179F" w:rsidP="00D6179F">
      <w:pPr>
        <w:spacing w:line="360" w:lineRule="auto"/>
        <w:contextualSpacing/>
        <w:jc w:val="both"/>
        <w:rPr>
          <w:rtl/>
        </w:rPr>
      </w:pPr>
    </w:p>
    <w:p w14:paraId="0A2EE6DC" w14:textId="77777777" w:rsidR="00D6179F" w:rsidRPr="00DF313D" w:rsidRDefault="00D6179F" w:rsidP="00D6179F">
      <w:pPr>
        <w:spacing w:line="360" w:lineRule="auto"/>
        <w:contextualSpacing/>
        <w:jc w:val="both"/>
        <w:rPr>
          <w:rFonts w:ascii="David" w:hAnsi="David"/>
        </w:rPr>
      </w:pPr>
      <w:r w:rsidRPr="00DF313D">
        <w:rPr>
          <w:b/>
          <w:bCs/>
          <w:rtl/>
        </w:rPr>
        <w:t>13</w:t>
      </w:r>
      <w:r w:rsidRPr="00DF313D">
        <w:rPr>
          <w:rtl/>
        </w:rPr>
        <w:t xml:space="preserve">. במסגרת </w:t>
      </w:r>
      <w:r w:rsidRPr="00DF313D">
        <w:rPr>
          <w:b/>
          <w:bCs/>
          <w:rtl/>
        </w:rPr>
        <w:t>הנסיבות הקשורות בביצוע העבירה</w:t>
      </w:r>
      <w:r w:rsidRPr="00DF313D">
        <w:rPr>
          <w:rtl/>
        </w:rPr>
        <w:t xml:space="preserve"> (</w:t>
      </w:r>
      <w:hyperlink r:id="rId25" w:history="1">
        <w:r w:rsidR="00D76ABC" w:rsidRPr="00D76ABC">
          <w:rPr>
            <w:rStyle w:val="Hyperlink"/>
            <w:b/>
            <w:bCs/>
            <w:rtl/>
          </w:rPr>
          <w:t>סעיף 40ט</w:t>
        </w:r>
      </w:hyperlink>
      <w:r w:rsidRPr="00DF313D">
        <w:rPr>
          <w:b/>
          <w:bCs/>
          <w:rtl/>
        </w:rPr>
        <w:t xml:space="preserve"> לחוק</w:t>
      </w:r>
      <w:r w:rsidRPr="00DF313D">
        <w:rPr>
          <w:rtl/>
        </w:rPr>
        <w:t>) יש לתת את הדעת לנזק אשר היה צפוי להיגרם מהפצת בסמים, אך גם לטענת ב"כ הנאשם באשר לסיבת החזקתם על ידי הנאשם, כמפורט לעיל</w:t>
      </w:r>
      <w:r>
        <w:rPr>
          <w:rFonts w:hint="cs"/>
          <w:rtl/>
        </w:rPr>
        <w:t>, וזאת מבלי לקבל עתירתה ולקבוע כי הסמים הוחזקו לצריכה עצמית</w:t>
      </w:r>
      <w:r w:rsidRPr="00DF313D">
        <w:rPr>
          <w:rtl/>
        </w:rPr>
        <w:t>.</w:t>
      </w:r>
    </w:p>
    <w:p w14:paraId="445B3859" w14:textId="77777777" w:rsidR="00D6179F" w:rsidRPr="00DF313D" w:rsidRDefault="00D6179F" w:rsidP="00D6179F">
      <w:pPr>
        <w:spacing w:line="360" w:lineRule="auto"/>
        <w:jc w:val="both"/>
        <w:rPr>
          <w:rFonts w:ascii="David" w:hAnsi="David"/>
        </w:rPr>
      </w:pPr>
    </w:p>
    <w:p w14:paraId="7A8D9189" w14:textId="77777777" w:rsidR="00D6179F" w:rsidRPr="00DF313D" w:rsidRDefault="00D6179F" w:rsidP="00D6179F">
      <w:pPr>
        <w:spacing w:line="360" w:lineRule="auto"/>
        <w:contextualSpacing/>
        <w:jc w:val="both"/>
        <w:rPr>
          <w:rFonts w:ascii="David" w:hAnsi="David"/>
          <w:rtl/>
        </w:rPr>
      </w:pPr>
      <w:r w:rsidRPr="00DF313D">
        <w:rPr>
          <w:rFonts w:ascii="David" w:hAnsi="David"/>
          <w:b/>
          <w:bCs/>
          <w:rtl/>
        </w:rPr>
        <w:t>14</w:t>
      </w:r>
      <w:r w:rsidRPr="00DF313D">
        <w:rPr>
          <w:rFonts w:ascii="David" w:hAnsi="David"/>
          <w:rtl/>
        </w:rPr>
        <w:t>. בהתאם לתיקון 113 ל</w:t>
      </w:r>
      <w:hyperlink r:id="rId26" w:history="1">
        <w:r w:rsidR="00765EBD" w:rsidRPr="00765EBD">
          <w:rPr>
            <w:rFonts w:ascii="David" w:hAnsi="David"/>
            <w:color w:val="0000FF"/>
            <w:u w:val="single"/>
            <w:rtl/>
          </w:rPr>
          <w:t>חוק העונשין</w:t>
        </w:r>
      </w:hyperlink>
      <w:r w:rsidRPr="00DF313D">
        <w:rPr>
          <w:rFonts w:ascii="David" w:hAnsi="David"/>
          <w:rtl/>
        </w:rPr>
        <w:t xml:space="preserve"> (</w:t>
      </w:r>
      <w:r w:rsidRPr="00DF313D">
        <w:rPr>
          <w:rFonts w:ascii="David" w:hAnsi="David"/>
          <w:b/>
          <w:bCs/>
          <w:rtl/>
        </w:rPr>
        <w:t xml:space="preserve">סעיף </w:t>
      </w:r>
      <w:hyperlink r:id="rId27" w:history="1">
        <w:r w:rsidR="00D76ABC" w:rsidRPr="00D76ABC">
          <w:rPr>
            <w:rStyle w:val="Hyperlink"/>
            <w:rFonts w:ascii="David" w:hAnsi="David"/>
            <w:b/>
            <w:bCs/>
            <w:rtl/>
          </w:rPr>
          <w:t>40 יג</w:t>
        </w:r>
      </w:hyperlink>
      <w:r w:rsidRPr="00DF313D">
        <w:rPr>
          <w:rFonts w:ascii="David" w:hAnsi="David"/>
          <w:rtl/>
        </w:rPr>
        <w:t xml:space="preserve">) מצאתי כי </w:t>
      </w:r>
      <w:r w:rsidRPr="00DF313D">
        <w:rPr>
          <w:rFonts w:ascii="David" w:hAnsi="David"/>
          <w:b/>
          <w:bCs/>
          <w:rtl/>
        </w:rPr>
        <w:t>מתחם העונש ההולם</w:t>
      </w:r>
      <w:r w:rsidRPr="00DF313D">
        <w:rPr>
          <w:rFonts w:ascii="David" w:hAnsi="David"/>
          <w:rtl/>
        </w:rPr>
        <w:t xml:space="preserve"> בגין עבירת החזקת הסמים שלא לצריכה עצמית שביצע הנאשם הוא בין </w:t>
      </w:r>
      <w:r w:rsidRPr="00DF313D">
        <w:rPr>
          <w:rtl/>
        </w:rPr>
        <w:t>מספר חודשי מאסר בפועל שיכול וירוצו בעבודות שירות לבין 12 חודשי מאסר בפועל.</w:t>
      </w:r>
    </w:p>
    <w:p w14:paraId="2415217E" w14:textId="77777777" w:rsidR="00D6179F" w:rsidRPr="00DF313D" w:rsidRDefault="00D6179F" w:rsidP="00D6179F">
      <w:pPr>
        <w:spacing w:line="360" w:lineRule="auto"/>
        <w:contextualSpacing/>
        <w:jc w:val="both"/>
        <w:rPr>
          <w:rFonts w:ascii="David" w:hAnsi="David"/>
          <w:rtl/>
        </w:rPr>
      </w:pPr>
    </w:p>
    <w:p w14:paraId="59B2A7D4" w14:textId="77777777" w:rsidR="00D6179F" w:rsidRPr="00DF313D" w:rsidRDefault="00D6179F" w:rsidP="00D6179F">
      <w:pPr>
        <w:spacing w:line="360" w:lineRule="auto"/>
        <w:contextualSpacing/>
        <w:jc w:val="both"/>
        <w:rPr>
          <w:b/>
          <w:lang w:eastAsia="he-IL"/>
        </w:rPr>
      </w:pPr>
      <w:r w:rsidRPr="00DF313D">
        <w:rPr>
          <w:bCs/>
          <w:rtl/>
          <w:lang w:eastAsia="he-IL"/>
        </w:rPr>
        <w:t>15</w:t>
      </w:r>
      <w:r w:rsidRPr="00DF313D">
        <w:rPr>
          <w:b/>
          <w:rtl/>
          <w:lang w:eastAsia="he-IL"/>
        </w:rPr>
        <w:t xml:space="preserve">. בחינת </w:t>
      </w:r>
      <w:r w:rsidRPr="00DF313D">
        <w:rPr>
          <w:bCs/>
          <w:rtl/>
          <w:lang w:eastAsia="he-IL"/>
        </w:rPr>
        <w:t>מדיניות הענישה הנוהגת</w:t>
      </w:r>
      <w:r w:rsidRPr="00DF313D">
        <w:rPr>
          <w:b/>
          <w:rtl/>
          <w:lang w:eastAsia="he-IL"/>
        </w:rPr>
        <w:t xml:space="preserve"> </w:t>
      </w:r>
      <w:r w:rsidRPr="00DF313D">
        <w:rPr>
          <w:rFonts w:ascii="David" w:hAnsi="David"/>
          <w:rtl/>
        </w:rPr>
        <w:t>בגין עבירת החזקת הסמים לצריכה עצמית מעלה כי במקרים דומים הוטלו על נאשמים עונשים כמפורט להלן</w:t>
      </w:r>
      <w:r w:rsidRPr="00DF313D">
        <w:rPr>
          <w:b/>
          <w:rtl/>
          <w:lang w:eastAsia="he-IL"/>
        </w:rPr>
        <w:t xml:space="preserve">:  </w:t>
      </w:r>
    </w:p>
    <w:p w14:paraId="35DD4DAD" w14:textId="77777777" w:rsidR="00D6179F" w:rsidRPr="00DF313D" w:rsidRDefault="00D6179F" w:rsidP="00D6179F">
      <w:pPr>
        <w:shd w:val="clear" w:color="auto" w:fill="FFFFFF"/>
        <w:spacing w:line="360" w:lineRule="auto"/>
        <w:ind w:left="340" w:hanging="340"/>
        <w:contextualSpacing/>
        <w:jc w:val="both"/>
        <w:rPr>
          <w:b/>
          <w:bCs/>
          <w:rtl/>
        </w:rPr>
      </w:pPr>
      <w:r w:rsidRPr="00DF313D">
        <w:rPr>
          <w:b/>
          <w:bCs/>
          <w:rtl/>
        </w:rPr>
        <w:t xml:space="preserve">א. </w:t>
      </w:r>
      <w:r w:rsidRPr="00DF313D">
        <w:rPr>
          <w:rFonts w:ascii="David" w:hAnsi="David"/>
          <w:rtl/>
        </w:rPr>
        <w:t xml:space="preserve"> ב</w:t>
      </w:r>
      <w:hyperlink r:id="rId28" w:history="1">
        <w:r w:rsidR="00765EBD" w:rsidRPr="00765EBD">
          <w:rPr>
            <w:rFonts w:ascii="David" w:hAnsi="David"/>
            <w:b/>
            <w:bCs/>
            <w:color w:val="0000FF"/>
            <w:u w:val="single"/>
            <w:rtl/>
          </w:rPr>
          <w:t>ת"פ (חי') 25039-07-13</w:t>
        </w:r>
      </w:hyperlink>
      <w:r w:rsidRPr="00DF313D">
        <w:rPr>
          <w:rFonts w:ascii="David" w:hAnsi="David"/>
          <w:b/>
          <w:bCs/>
          <w:rtl/>
        </w:rPr>
        <w:t xml:space="preserve"> מדינת ישראל נגד מארון (12/05/14)</w:t>
      </w:r>
      <w:r w:rsidRPr="00DF313D">
        <w:rPr>
          <w:rFonts w:ascii="David" w:hAnsi="David"/>
          <w:rtl/>
        </w:rPr>
        <w:t xml:space="preserve"> </w:t>
      </w:r>
      <w:r w:rsidRPr="00DF313D">
        <w:rPr>
          <w:rFonts w:ascii="David" w:hAnsi="David"/>
          <w:rtl/>
          <w:lang w:eastAsia="he-IL"/>
        </w:rPr>
        <w:t xml:space="preserve">הורשע נאשם בהחזקת סם לצריכה עצמית מסוג חשיש. בית המשפט הסתפק בהארכת המאסר המותנה אשר היה תלוי ועומד כנגד הנאשם, לצד הטלת קנס. </w:t>
      </w:r>
    </w:p>
    <w:p w14:paraId="05F9C1A4" w14:textId="77777777" w:rsidR="00D6179F" w:rsidRPr="00DF313D" w:rsidRDefault="00D6179F" w:rsidP="00D6179F">
      <w:pPr>
        <w:shd w:val="clear" w:color="auto" w:fill="FFFFFF"/>
        <w:spacing w:line="360" w:lineRule="auto"/>
        <w:ind w:left="340" w:hanging="340"/>
        <w:contextualSpacing/>
        <w:jc w:val="both"/>
        <w:rPr>
          <w:b/>
          <w:bCs/>
          <w:highlight w:val="yellow"/>
          <w:rtl/>
        </w:rPr>
      </w:pPr>
      <w:r w:rsidRPr="00DF313D">
        <w:rPr>
          <w:b/>
          <w:bCs/>
          <w:rtl/>
        </w:rPr>
        <w:t xml:space="preserve">ב. </w:t>
      </w:r>
      <w:r w:rsidRPr="00DF313D">
        <w:rPr>
          <w:rFonts w:ascii="David" w:hAnsi="David"/>
          <w:rtl/>
        </w:rPr>
        <w:t xml:space="preserve"> ב</w:t>
      </w:r>
      <w:hyperlink r:id="rId29" w:history="1">
        <w:r w:rsidR="00765EBD" w:rsidRPr="00765EBD">
          <w:rPr>
            <w:rFonts w:ascii="David" w:hAnsi="David"/>
            <w:b/>
            <w:bCs/>
            <w:color w:val="0000FF"/>
            <w:u w:val="single"/>
            <w:rtl/>
          </w:rPr>
          <w:t>ת"פ (ק"ג) 55610-11-12</w:t>
        </w:r>
      </w:hyperlink>
      <w:r w:rsidRPr="00DF313D">
        <w:rPr>
          <w:rFonts w:ascii="David" w:hAnsi="David"/>
          <w:b/>
          <w:bCs/>
          <w:rtl/>
        </w:rPr>
        <w:t xml:space="preserve"> מדינת ישראל נגד ריבו (16/09/13)</w:t>
      </w:r>
      <w:r w:rsidRPr="00DF313D">
        <w:rPr>
          <w:rFonts w:ascii="David" w:hAnsi="David"/>
          <w:rtl/>
          <w:lang w:eastAsia="he-IL"/>
        </w:rPr>
        <w:t xml:space="preserve"> הורשע נאשם בהחזקת סם לצריכה עצמית מסוג חשיש. בית המשפט הסתפק בהארכת המאסר המותנה ופסילת הרישיון אשר היו תלויים ועומדים כנגד הנאשם, לצד הטלת קנס.</w:t>
      </w:r>
    </w:p>
    <w:p w14:paraId="5986513F" w14:textId="77777777" w:rsidR="00D6179F" w:rsidRPr="00DF313D" w:rsidRDefault="00D6179F" w:rsidP="00D6179F">
      <w:pPr>
        <w:shd w:val="clear" w:color="auto" w:fill="FFFFFF"/>
        <w:spacing w:line="360" w:lineRule="auto"/>
        <w:ind w:left="340" w:hanging="340"/>
        <w:contextualSpacing/>
        <w:jc w:val="both"/>
        <w:rPr>
          <w:rFonts w:ascii="David" w:hAnsi="David"/>
          <w:rtl/>
        </w:rPr>
      </w:pPr>
      <w:r w:rsidRPr="00DF313D">
        <w:rPr>
          <w:b/>
          <w:bCs/>
          <w:rtl/>
        </w:rPr>
        <w:t xml:space="preserve">ג.  </w:t>
      </w:r>
      <w:r w:rsidRPr="00DF313D">
        <w:rPr>
          <w:rtl/>
        </w:rPr>
        <w:t>ב</w:t>
      </w:r>
      <w:hyperlink r:id="rId30" w:history="1">
        <w:r w:rsidR="00765EBD" w:rsidRPr="00765EBD">
          <w:rPr>
            <w:rFonts w:ascii="David" w:hAnsi="David"/>
            <w:b/>
            <w:bCs/>
            <w:color w:val="0000FF"/>
            <w:u w:val="single"/>
            <w:rtl/>
            <w:lang w:eastAsia="he-IL"/>
          </w:rPr>
          <w:t>ת"פ (רח') 30653-04-12</w:t>
        </w:r>
      </w:hyperlink>
      <w:r w:rsidRPr="00DF313D">
        <w:rPr>
          <w:rFonts w:ascii="David" w:hAnsi="David"/>
          <w:rtl/>
          <w:lang w:eastAsia="he-IL"/>
        </w:rPr>
        <w:t xml:space="preserve"> </w:t>
      </w:r>
      <w:r w:rsidRPr="00DF313D">
        <w:rPr>
          <w:rFonts w:ascii="David" w:hAnsi="David"/>
          <w:b/>
          <w:bCs/>
          <w:rtl/>
          <w:lang w:eastAsia="he-IL"/>
        </w:rPr>
        <w:t>מדינת ישראל נגד הרמס (20/05/13)</w:t>
      </w:r>
      <w:r w:rsidRPr="00DF313D">
        <w:rPr>
          <w:rFonts w:ascii="David" w:hAnsi="David"/>
          <w:rtl/>
          <w:lang w:eastAsia="he-IL"/>
        </w:rPr>
        <w:t xml:space="preserve"> הורשע נאשם בהחזקת סם לצריכה עצמית מסוג חשיש. על הנאשם הוטל של"צ, צו מבחן, הארכת מאסר על תנאי ופסילה בפועל. </w:t>
      </w:r>
    </w:p>
    <w:p w14:paraId="10E7BF39" w14:textId="77777777" w:rsidR="00D6179F" w:rsidRPr="00DF313D" w:rsidRDefault="00D6179F" w:rsidP="00D6179F">
      <w:pPr>
        <w:spacing w:line="360" w:lineRule="auto"/>
        <w:ind w:left="340" w:hanging="340"/>
        <w:contextualSpacing/>
        <w:jc w:val="both"/>
        <w:rPr>
          <w:rFonts w:ascii="David" w:hAnsi="David"/>
          <w:rtl/>
        </w:rPr>
      </w:pPr>
      <w:r w:rsidRPr="00DF313D">
        <w:rPr>
          <w:b/>
          <w:bCs/>
          <w:rtl/>
        </w:rPr>
        <w:t>ד</w:t>
      </w:r>
      <w:r w:rsidRPr="00DF313D">
        <w:rPr>
          <w:rtl/>
        </w:rPr>
        <w:t>.</w:t>
      </w:r>
      <w:r w:rsidRPr="00DF313D">
        <w:rPr>
          <w:rFonts w:ascii="David" w:hAnsi="David"/>
          <w:bCs/>
          <w:rtl/>
          <w:lang w:eastAsia="he-IL"/>
        </w:rPr>
        <w:t xml:space="preserve"> </w:t>
      </w:r>
      <w:r w:rsidRPr="00DF313D">
        <w:rPr>
          <w:rFonts w:ascii="David" w:hAnsi="David"/>
          <w:b/>
          <w:rtl/>
          <w:lang w:eastAsia="he-IL"/>
        </w:rPr>
        <w:t>ב</w:t>
      </w:r>
      <w:hyperlink r:id="rId31" w:history="1">
        <w:r w:rsidR="00765EBD" w:rsidRPr="00765EBD">
          <w:rPr>
            <w:rFonts w:ascii="David" w:hAnsi="David"/>
            <w:bCs/>
            <w:color w:val="0000FF"/>
            <w:u w:val="single"/>
            <w:rtl/>
            <w:lang w:eastAsia="he-IL"/>
          </w:rPr>
          <w:t>ת"פ (מחוזי מרכז) 32746-11-09</w:t>
        </w:r>
      </w:hyperlink>
      <w:r w:rsidRPr="00DF313D">
        <w:rPr>
          <w:rFonts w:ascii="David" w:hAnsi="David"/>
          <w:bCs/>
          <w:rtl/>
          <w:lang w:eastAsia="he-IL"/>
        </w:rPr>
        <w:t xml:space="preserve"> מדינת ישראל נגד ביטון ואח' (16/05/10)</w:t>
      </w:r>
      <w:r w:rsidRPr="00DF313D">
        <w:rPr>
          <w:rFonts w:ascii="David" w:hAnsi="David"/>
          <w:b/>
          <w:rtl/>
          <w:lang w:eastAsia="he-IL"/>
        </w:rPr>
        <w:t xml:space="preserve"> נאשם 2, נעדר עבר פלילי, הורשע בהחזקת סם לצריכה עצמית מסוג קנבוס. בית המשפט הטיל על הנאשם מאסר החופף את תקופת מעצרו למשך חודשיים ושבוע, לצד ענישה נלווית. </w:t>
      </w:r>
    </w:p>
    <w:p w14:paraId="259F9F50" w14:textId="77777777" w:rsidR="00D6179F" w:rsidRPr="00DF313D" w:rsidRDefault="00D6179F" w:rsidP="00D6179F">
      <w:pPr>
        <w:spacing w:line="360" w:lineRule="auto"/>
        <w:contextualSpacing/>
        <w:jc w:val="both"/>
        <w:rPr>
          <w:rFonts w:ascii="David" w:hAnsi="David"/>
          <w:rtl/>
        </w:rPr>
      </w:pPr>
    </w:p>
    <w:p w14:paraId="77AF7CFA" w14:textId="77777777" w:rsidR="00D6179F" w:rsidRPr="00DF313D" w:rsidRDefault="00D6179F" w:rsidP="00D6179F">
      <w:pPr>
        <w:spacing w:line="360" w:lineRule="auto"/>
        <w:contextualSpacing/>
        <w:jc w:val="both"/>
        <w:rPr>
          <w:rFonts w:ascii="David" w:hAnsi="David"/>
        </w:rPr>
      </w:pPr>
      <w:r w:rsidRPr="00DF313D">
        <w:rPr>
          <w:b/>
          <w:bCs/>
          <w:rtl/>
        </w:rPr>
        <w:t>16</w:t>
      </w:r>
      <w:r w:rsidRPr="00DF313D">
        <w:rPr>
          <w:rtl/>
        </w:rPr>
        <w:t xml:space="preserve">. במסגרת </w:t>
      </w:r>
      <w:r w:rsidRPr="00DF313D">
        <w:rPr>
          <w:b/>
          <w:bCs/>
          <w:rtl/>
        </w:rPr>
        <w:t>הנסיבות הקשורות בביצוע העבירה</w:t>
      </w:r>
      <w:r w:rsidRPr="00DF313D">
        <w:rPr>
          <w:rtl/>
        </w:rPr>
        <w:t xml:space="preserve"> (</w:t>
      </w:r>
      <w:hyperlink r:id="rId32" w:history="1">
        <w:r w:rsidR="00D76ABC" w:rsidRPr="00D76ABC">
          <w:rPr>
            <w:rStyle w:val="Hyperlink"/>
            <w:b/>
            <w:bCs/>
            <w:rtl/>
          </w:rPr>
          <w:t>סעיף 40ט</w:t>
        </w:r>
      </w:hyperlink>
      <w:r w:rsidRPr="00DF313D">
        <w:rPr>
          <w:b/>
          <w:bCs/>
          <w:rtl/>
        </w:rPr>
        <w:t xml:space="preserve"> לחוק</w:t>
      </w:r>
      <w:r w:rsidRPr="00DF313D">
        <w:rPr>
          <w:rtl/>
        </w:rPr>
        <w:t>) יש לתת את הדעת לנזק אשר היה צפוי להיגרם מהשימוש בסמים, אך גם לסיבה הנטענת בגינה עושה הנאשם שימוש בסמים.</w:t>
      </w:r>
    </w:p>
    <w:p w14:paraId="225A7683" w14:textId="77777777" w:rsidR="00D6179F" w:rsidRPr="00DF313D" w:rsidRDefault="00D6179F" w:rsidP="00D6179F">
      <w:pPr>
        <w:spacing w:line="360" w:lineRule="auto"/>
        <w:jc w:val="both"/>
        <w:rPr>
          <w:rFonts w:ascii="David" w:hAnsi="David"/>
        </w:rPr>
      </w:pPr>
    </w:p>
    <w:p w14:paraId="03814474" w14:textId="77777777" w:rsidR="00D6179F" w:rsidRPr="00DF313D" w:rsidRDefault="00D6179F" w:rsidP="00D6179F">
      <w:pPr>
        <w:spacing w:line="360" w:lineRule="auto"/>
        <w:contextualSpacing/>
        <w:jc w:val="both"/>
        <w:rPr>
          <w:rFonts w:ascii="David" w:hAnsi="David"/>
          <w:rtl/>
        </w:rPr>
      </w:pPr>
      <w:r w:rsidRPr="00DF313D">
        <w:rPr>
          <w:rFonts w:ascii="David" w:hAnsi="David"/>
          <w:b/>
          <w:bCs/>
          <w:rtl/>
        </w:rPr>
        <w:t>17</w:t>
      </w:r>
      <w:r w:rsidRPr="00DF313D">
        <w:rPr>
          <w:rFonts w:ascii="David" w:hAnsi="David"/>
          <w:rtl/>
        </w:rPr>
        <w:t>. בהתאם לתיקון 113 ל</w:t>
      </w:r>
      <w:hyperlink r:id="rId33" w:history="1">
        <w:r w:rsidR="00765EBD" w:rsidRPr="00765EBD">
          <w:rPr>
            <w:rFonts w:ascii="David" w:hAnsi="David"/>
            <w:color w:val="0000FF"/>
            <w:u w:val="single"/>
            <w:rtl/>
          </w:rPr>
          <w:t>חוק העונשין</w:t>
        </w:r>
      </w:hyperlink>
      <w:r w:rsidRPr="00DF313D">
        <w:rPr>
          <w:rFonts w:ascii="David" w:hAnsi="David"/>
          <w:rtl/>
        </w:rPr>
        <w:t xml:space="preserve"> (</w:t>
      </w:r>
      <w:r w:rsidRPr="00DF313D">
        <w:rPr>
          <w:rFonts w:ascii="David" w:hAnsi="David"/>
          <w:b/>
          <w:bCs/>
          <w:rtl/>
        </w:rPr>
        <w:t xml:space="preserve">סעיף </w:t>
      </w:r>
      <w:hyperlink r:id="rId34" w:history="1">
        <w:r w:rsidR="00D76ABC" w:rsidRPr="00D76ABC">
          <w:rPr>
            <w:rStyle w:val="Hyperlink"/>
            <w:rFonts w:ascii="David" w:hAnsi="David"/>
            <w:b/>
            <w:bCs/>
            <w:rtl/>
          </w:rPr>
          <w:t>40 יג</w:t>
        </w:r>
      </w:hyperlink>
      <w:r w:rsidRPr="00DF313D">
        <w:rPr>
          <w:rFonts w:ascii="David" w:hAnsi="David"/>
          <w:rtl/>
        </w:rPr>
        <w:t xml:space="preserve">) מצאתי כי </w:t>
      </w:r>
      <w:r w:rsidRPr="00DF313D">
        <w:rPr>
          <w:rFonts w:ascii="David" w:hAnsi="David"/>
          <w:b/>
          <w:bCs/>
          <w:rtl/>
        </w:rPr>
        <w:t>מתחם העונש ההולם</w:t>
      </w:r>
      <w:r w:rsidRPr="00DF313D">
        <w:rPr>
          <w:rFonts w:ascii="David" w:hAnsi="David"/>
          <w:rtl/>
        </w:rPr>
        <w:t xml:space="preserve"> בגין עבירת החזקת הסמים לצריכה עצמית שביצע הנאשם הוא בין </w:t>
      </w:r>
      <w:r w:rsidRPr="00DF313D">
        <w:rPr>
          <w:rtl/>
        </w:rPr>
        <w:t xml:space="preserve">מאסר מותנה </w:t>
      </w:r>
      <w:r w:rsidRPr="00DF313D">
        <w:rPr>
          <w:rFonts w:ascii="David" w:hAnsi="David"/>
          <w:rtl/>
        </w:rPr>
        <w:t xml:space="preserve">ועד למאסר קצר שיכול וירוצה בעבודות </w:t>
      </w:r>
      <w:r w:rsidRPr="00DF313D">
        <w:rPr>
          <w:rtl/>
        </w:rPr>
        <w:t>שירות.</w:t>
      </w:r>
    </w:p>
    <w:p w14:paraId="112BC6D9" w14:textId="77777777" w:rsidR="00D6179F" w:rsidRPr="00DF313D" w:rsidRDefault="00D6179F" w:rsidP="00D6179F">
      <w:pPr>
        <w:spacing w:line="360" w:lineRule="auto"/>
        <w:contextualSpacing/>
        <w:jc w:val="both"/>
        <w:rPr>
          <w:rFonts w:ascii="David" w:hAnsi="David"/>
          <w:rtl/>
        </w:rPr>
      </w:pPr>
    </w:p>
    <w:p w14:paraId="577828DB" w14:textId="77777777" w:rsidR="00D6179F" w:rsidRPr="00DF313D" w:rsidRDefault="00D6179F" w:rsidP="00D6179F">
      <w:pPr>
        <w:spacing w:line="360" w:lineRule="auto"/>
        <w:contextualSpacing/>
        <w:jc w:val="both"/>
        <w:rPr>
          <w:rtl/>
        </w:rPr>
      </w:pPr>
      <w:r w:rsidRPr="00DF313D">
        <w:rPr>
          <w:rFonts w:ascii="David" w:hAnsi="David"/>
          <w:b/>
          <w:bCs/>
          <w:rtl/>
        </w:rPr>
        <w:t>18</w:t>
      </w:r>
      <w:r w:rsidRPr="00DF313D">
        <w:rPr>
          <w:rFonts w:ascii="David" w:hAnsi="David"/>
          <w:rtl/>
        </w:rPr>
        <w:t xml:space="preserve">. </w:t>
      </w:r>
      <w:r w:rsidRPr="00DF313D">
        <w:rPr>
          <w:rtl/>
        </w:rPr>
        <w:t>בשלב זה יש לציין כי אני דוחה טענת ב"כ הנאשם לפיה ניתן להקיש מאמירתו של סגן הנשיא שפירא ב</w:t>
      </w:r>
      <w:hyperlink r:id="rId35" w:history="1">
        <w:r w:rsidR="00765EBD" w:rsidRPr="00765EBD">
          <w:rPr>
            <w:b/>
            <w:bCs/>
            <w:color w:val="0000FF"/>
            <w:u w:val="single"/>
            <w:rtl/>
          </w:rPr>
          <w:t>עפ"ג 28110-10-15</w:t>
        </w:r>
      </w:hyperlink>
      <w:r w:rsidRPr="00DF313D">
        <w:rPr>
          <w:b/>
          <w:bCs/>
          <w:rtl/>
        </w:rPr>
        <w:t xml:space="preserve"> מדינת ישראל נגד דוד (17/12/15) </w:t>
      </w:r>
      <w:r w:rsidRPr="00DF313D">
        <w:rPr>
          <w:rtl/>
        </w:rPr>
        <w:t xml:space="preserve">לעניינו של הנאשם בכל הנוגע לתיק העיקרי. אותו מקרה עסק בביצוע עבירת גידול סמים ואמירת סגן הנשיא התייחסה לרכיבי עבירה זו, אשר יכולה להתבצע הן לצורך שימוש עצמי והן לצורך שימוש שאינו לצריכה עצמית, וזאת </w:t>
      </w:r>
      <w:r>
        <w:rPr>
          <w:rFonts w:hint="cs"/>
          <w:rtl/>
        </w:rPr>
        <w:t>בשונה</w:t>
      </w:r>
      <w:r w:rsidRPr="00DF313D">
        <w:rPr>
          <w:rtl/>
        </w:rPr>
        <w:t xml:space="preserve"> מהמקרה המונח לפניי. הנאשם הודה בעובדות כתב האישום המתוקן המגבשות ביצוע עבירת החזקת סמים שלא לצריכה עצמית, ולא הובאה כל ראיה אשר תסתור זאת. </w:t>
      </w:r>
    </w:p>
    <w:p w14:paraId="37C431FA" w14:textId="77777777" w:rsidR="00D6179F" w:rsidRPr="00DF313D" w:rsidRDefault="00D6179F" w:rsidP="00D6179F">
      <w:pPr>
        <w:spacing w:line="360" w:lineRule="auto"/>
        <w:contextualSpacing/>
        <w:jc w:val="both"/>
        <w:rPr>
          <w:rtl/>
        </w:rPr>
      </w:pPr>
    </w:p>
    <w:p w14:paraId="7CBE042E" w14:textId="77777777" w:rsidR="00D6179F" w:rsidRPr="00DF313D" w:rsidRDefault="00D6179F" w:rsidP="00D6179F">
      <w:pPr>
        <w:spacing w:line="360" w:lineRule="auto"/>
        <w:contextualSpacing/>
        <w:jc w:val="both"/>
        <w:rPr>
          <w:rtl/>
        </w:rPr>
      </w:pPr>
      <w:r w:rsidRPr="00DF313D">
        <w:rPr>
          <w:rtl/>
        </w:rPr>
        <w:t>כמו כן, לא ניתן ללמוד מ</w:t>
      </w:r>
      <w:hyperlink r:id="rId36" w:history="1">
        <w:r w:rsidR="00765EBD" w:rsidRPr="00765EBD">
          <w:rPr>
            <w:b/>
            <w:bCs/>
            <w:color w:val="0000FF"/>
            <w:u w:val="single"/>
            <w:rtl/>
          </w:rPr>
          <w:t>ת"פ 51025-04-15</w:t>
        </w:r>
      </w:hyperlink>
      <w:r w:rsidRPr="00DF313D">
        <w:rPr>
          <w:b/>
          <w:bCs/>
          <w:rtl/>
        </w:rPr>
        <w:t xml:space="preserve"> מדינת ישראל נגד מימון (13/03/17)</w:t>
      </w:r>
      <w:r w:rsidRPr="00DF313D">
        <w:rPr>
          <w:rtl/>
        </w:rPr>
        <w:t xml:space="preserve"> (להלן: "</w:t>
      </w:r>
      <w:r w:rsidRPr="00DF313D">
        <w:rPr>
          <w:b/>
          <w:bCs/>
          <w:rtl/>
        </w:rPr>
        <w:t>ת"פ מימון</w:t>
      </w:r>
      <w:r w:rsidRPr="00DF313D">
        <w:rPr>
          <w:rtl/>
        </w:rPr>
        <w:t xml:space="preserve">"), אליו הפנתה ב"כ הנאשם, לתיקו העיקרי של הנאשם, וזאת מאחר ותיק זה עוסק אף הוא בביצוע עבירת גידול סמים והחזקת סמים לצריכה עצמית. כך גם </w:t>
      </w:r>
      <w:hyperlink r:id="rId37" w:history="1">
        <w:r w:rsidR="00765EBD" w:rsidRPr="00765EBD">
          <w:rPr>
            <w:b/>
            <w:bCs/>
            <w:color w:val="0000FF"/>
            <w:u w:val="single"/>
            <w:rtl/>
          </w:rPr>
          <w:t>ת"פ 36887-07-17</w:t>
        </w:r>
      </w:hyperlink>
      <w:r w:rsidRPr="00DF313D">
        <w:rPr>
          <w:b/>
          <w:bCs/>
          <w:rtl/>
        </w:rPr>
        <w:t xml:space="preserve"> מדינת ישראל נגד בכר ואח' (01/01/20).</w:t>
      </w:r>
    </w:p>
    <w:p w14:paraId="20B35A0A" w14:textId="77777777" w:rsidR="00D6179F" w:rsidRPr="00DF313D" w:rsidRDefault="00D6179F" w:rsidP="00D6179F">
      <w:pPr>
        <w:spacing w:line="360" w:lineRule="auto"/>
        <w:contextualSpacing/>
        <w:jc w:val="both"/>
        <w:rPr>
          <w:rtl/>
        </w:rPr>
      </w:pPr>
      <w:r w:rsidRPr="00DF313D">
        <w:rPr>
          <w:rtl/>
        </w:rPr>
        <w:t>יצוין כי ב</w:t>
      </w:r>
      <w:r w:rsidRPr="00DF313D">
        <w:rPr>
          <w:b/>
          <w:bCs/>
          <w:rtl/>
        </w:rPr>
        <w:t>ת"פ מימון</w:t>
      </w:r>
      <w:r w:rsidRPr="00DF313D">
        <w:rPr>
          <w:rtl/>
        </w:rPr>
        <w:t xml:space="preserve"> באותו מקרה נקבע מתחם ענישה הנע בין מאסר מותנה למספר חודשי מאסר בפועל בגין ביצוע העבירות האמורות.</w:t>
      </w:r>
    </w:p>
    <w:p w14:paraId="1B91F8E4" w14:textId="77777777" w:rsidR="00D6179F" w:rsidRPr="00DF313D" w:rsidRDefault="00D6179F" w:rsidP="00D6179F">
      <w:pPr>
        <w:spacing w:line="360" w:lineRule="auto"/>
        <w:contextualSpacing/>
        <w:jc w:val="both"/>
        <w:rPr>
          <w:rtl/>
        </w:rPr>
      </w:pPr>
    </w:p>
    <w:p w14:paraId="4A0612B4" w14:textId="77777777" w:rsidR="00D6179F" w:rsidRPr="00DF313D" w:rsidRDefault="00D6179F" w:rsidP="00D6179F">
      <w:pPr>
        <w:spacing w:line="360" w:lineRule="auto"/>
        <w:contextualSpacing/>
        <w:jc w:val="both"/>
        <w:rPr>
          <w:rtl/>
        </w:rPr>
      </w:pPr>
      <w:r w:rsidRPr="00DF313D">
        <w:rPr>
          <w:rtl/>
        </w:rPr>
        <w:t xml:space="preserve">עוד לא מצאתי כי יש להסיק אף מפסק הדין אליו הפנתה ב"כ המאשימה, </w:t>
      </w:r>
      <w:hyperlink r:id="rId38" w:history="1">
        <w:r w:rsidR="00765EBD" w:rsidRPr="00765EBD">
          <w:rPr>
            <w:b/>
            <w:bCs/>
            <w:color w:val="0000FF"/>
            <w:u w:val="single"/>
            <w:rtl/>
          </w:rPr>
          <w:t>ת"פ 40720-03-19</w:t>
        </w:r>
      </w:hyperlink>
      <w:r w:rsidRPr="00DF313D">
        <w:rPr>
          <w:b/>
          <w:bCs/>
          <w:rtl/>
        </w:rPr>
        <w:t xml:space="preserve"> מדינת ישראל נגד סלימוב (27/11/19), </w:t>
      </w:r>
      <w:r w:rsidRPr="00DF313D">
        <w:rPr>
          <w:rtl/>
        </w:rPr>
        <w:t xml:space="preserve">וזאת בשים לב לשוני בסוג העבירות ובכמותן, כאשר באותו מקרה דובר על 2 עבירות סחר בסמים, עסקה בסמים, החזקת סמים שלא לצריכה עצמית והפרעה לשוטר במילוי תפקידו. </w:t>
      </w:r>
    </w:p>
    <w:p w14:paraId="66084EFE" w14:textId="77777777" w:rsidR="00D6179F" w:rsidRPr="00DF313D" w:rsidRDefault="00D6179F" w:rsidP="00D6179F">
      <w:pPr>
        <w:spacing w:line="360" w:lineRule="auto"/>
        <w:contextualSpacing/>
        <w:jc w:val="both"/>
        <w:rPr>
          <w:rFonts w:ascii="Calibri" w:hAnsi="Calibri"/>
          <w:b/>
          <w:bCs/>
          <w:color w:val="000000"/>
          <w:u w:val="single"/>
        </w:rPr>
      </w:pPr>
    </w:p>
    <w:p w14:paraId="67CB4AAD" w14:textId="77777777" w:rsidR="00D6179F" w:rsidRPr="00DF313D" w:rsidRDefault="00D6179F" w:rsidP="00D6179F">
      <w:pPr>
        <w:spacing w:line="360" w:lineRule="auto"/>
        <w:contextualSpacing/>
        <w:jc w:val="both"/>
        <w:rPr>
          <w:rFonts w:ascii="Calibri" w:hAnsi="Calibri"/>
          <w:rtl/>
        </w:rPr>
      </w:pPr>
      <w:r w:rsidRPr="00DF313D">
        <w:rPr>
          <w:rFonts w:ascii="Calibri" w:hAnsi="Calibri"/>
          <w:b/>
          <w:bCs/>
          <w:rtl/>
        </w:rPr>
        <w:t>19</w:t>
      </w:r>
      <w:r w:rsidRPr="00DF313D">
        <w:rPr>
          <w:rFonts w:ascii="Calibri" w:hAnsi="Calibri"/>
          <w:rtl/>
        </w:rPr>
        <w:t xml:space="preserve">. </w:t>
      </w:r>
      <w:r w:rsidRPr="00DF313D">
        <w:rPr>
          <w:rFonts w:ascii="Calibri" w:hAnsi="Calibri" w:hint="eastAsia"/>
          <w:rtl/>
        </w:rPr>
        <w:t>במקרה</w:t>
      </w:r>
      <w:r w:rsidRPr="00DF313D">
        <w:rPr>
          <w:rFonts w:ascii="Calibri" w:hAnsi="Calibri"/>
          <w:rtl/>
        </w:rPr>
        <w:t xml:space="preserve"> </w:t>
      </w:r>
      <w:r w:rsidRPr="00DF313D">
        <w:rPr>
          <w:rFonts w:ascii="Calibri" w:hAnsi="Calibri" w:hint="eastAsia"/>
          <w:rtl/>
        </w:rPr>
        <w:t>דנן</w:t>
      </w:r>
      <w:r w:rsidRPr="00DF313D">
        <w:rPr>
          <w:rFonts w:ascii="Calibri" w:hAnsi="Calibri"/>
          <w:rtl/>
        </w:rPr>
        <w:t xml:space="preserve">, </w:t>
      </w:r>
      <w:r w:rsidRPr="00DF313D">
        <w:rPr>
          <w:rFonts w:ascii="Calibri" w:hAnsi="Calibri" w:hint="eastAsia"/>
          <w:rtl/>
        </w:rPr>
        <w:t>לא</w:t>
      </w:r>
      <w:r w:rsidRPr="00DF313D">
        <w:rPr>
          <w:rFonts w:ascii="Calibri" w:hAnsi="Calibri"/>
          <w:rtl/>
        </w:rPr>
        <w:t xml:space="preserve"> </w:t>
      </w:r>
      <w:r w:rsidRPr="00DF313D">
        <w:rPr>
          <w:rFonts w:ascii="Calibri" w:hAnsi="Calibri" w:hint="eastAsia"/>
          <w:rtl/>
        </w:rPr>
        <w:t>קיימים</w:t>
      </w:r>
      <w:r w:rsidRPr="00DF313D">
        <w:rPr>
          <w:rFonts w:ascii="Calibri" w:hAnsi="Calibri"/>
          <w:rtl/>
        </w:rPr>
        <w:t xml:space="preserve"> </w:t>
      </w:r>
      <w:r w:rsidRPr="00DF313D">
        <w:rPr>
          <w:rFonts w:ascii="Calibri" w:hAnsi="Calibri" w:hint="eastAsia"/>
          <w:rtl/>
        </w:rPr>
        <w:t>שיקולים</w:t>
      </w:r>
      <w:r w:rsidRPr="00DF313D">
        <w:rPr>
          <w:rFonts w:ascii="Calibri" w:hAnsi="Calibri"/>
          <w:rtl/>
        </w:rPr>
        <w:t xml:space="preserve"> </w:t>
      </w:r>
      <w:r w:rsidRPr="00DF313D">
        <w:rPr>
          <w:rFonts w:ascii="Calibri" w:hAnsi="Calibri" w:hint="eastAsia"/>
          <w:rtl/>
        </w:rPr>
        <w:t>המצדיקים</w:t>
      </w:r>
      <w:r w:rsidRPr="00DF313D">
        <w:rPr>
          <w:rFonts w:ascii="Calibri" w:hAnsi="Calibri"/>
          <w:rtl/>
        </w:rPr>
        <w:t xml:space="preserve"> </w:t>
      </w:r>
      <w:r w:rsidRPr="00DF313D">
        <w:rPr>
          <w:rFonts w:ascii="Calibri" w:hAnsi="Calibri" w:hint="eastAsia"/>
          <w:rtl/>
        </w:rPr>
        <w:t>סטייה</w:t>
      </w:r>
      <w:r w:rsidRPr="00DF313D">
        <w:rPr>
          <w:rFonts w:ascii="Calibri" w:hAnsi="Calibri"/>
          <w:rtl/>
        </w:rPr>
        <w:t xml:space="preserve"> </w:t>
      </w:r>
      <w:r w:rsidRPr="00DF313D">
        <w:rPr>
          <w:rFonts w:ascii="Calibri" w:hAnsi="Calibri" w:hint="eastAsia"/>
          <w:rtl/>
        </w:rPr>
        <w:t>מהמתחם</w:t>
      </w:r>
      <w:r w:rsidRPr="00DF313D">
        <w:rPr>
          <w:rFonts w:ascii="Calibri" w:hAnsi="Calibri"/>
          <w:rtl/>
        </w:rPr>
        <w:t xml:space="preserve"> </w:t>
      </w:r>
      <w:r w:rsidRPr="00DF313D">
        <w:rPr>
          <w:rFonts w:ascii="Calibri" w:hAnsi="Calibri" w:hint="eastAsia"/>
          <w:rtl/>
        </w:rPr>
        <w:t>לחומרה</w:t>
      </w:r>
      <w:r w:rsidRPr="00DF313D">
        <w:rPr>
          <w:rFonts w:ascii="Calibri" w:hAnsi="Calibri"/>
          <w:rtl/>
        </w:rPr>
        <w:t xml:space="preserve"> </w:t>
      </w:r>
      <w:r w:rsidRPr="00DF313D">
        <w:rPr>
          <w:rFonts w:ascii="Calibri" w:hAnsi="Calibri" w:hint="eastAsia"/>
          <w:rtl/>
        </w:rPr>
        <w:t>או</w:t>
      </w:r>
      <w:r w:rsidRPr="00DF313D">
        <w:rPr>
          <w:rFonts w:ascii="Calibri" w:hAnsi="Calibri"/>
          <w:rtl/>
        </w:rPr>
        <w:t xml:space="preserve"> </w:t>
      </w:r>
      <w:r w:rsidRPr="00DF313D">
        <w:rPr>
          <w:rFonts w:ascii="Calibri" w:hAnsi="Calibri" w:hint="eastAsia"/>
          <w:rtl/>
        </w:rPr>
        <w:t>לקולה</w:t>
      </w:r>
      <w:r w:rsidRPr="00DF313D">
        <w:rPr>
          <w:rFonts w:ascii="Calibri" w:hAnsi="Calibri"/>
          <w:rtl/>
        </w:rPr>
        <w:t xml:space="preserve">. </w:t>
      </w:r>
    </w:p>
    <w:p w14:paraId="7CFCB7F8" w14:textId="77777777" w:rsidR="00D6179F" w:rsidRPr="00DF313D" w:rsidRDefault="00D6179F" w:rsidP="00D6179F">
      <w:pPr>
        <w:spacing w:line="360" w:lineRule="auto"/>
        <w:jc w:val="both"/>
        <w:rPr>
          <w:rFonts w:ascii="Calibri" w:hAnsi="Calibri"/>
          <w:rtl/>
        </w:rPr>
      </w:pPr>
    </w:p>
    <w:p w14:paraId="062A9F3B" w14:textId="77777777" w:rsidR="00D6179F" w:rsidRPr="00DF313D" w:rsidRDefault="00D6179F" w:rsidP="00D6179F">
      <w:pPr>
        <w:spacing w:line="360" w:lineRule="auto"/>
        <w:jc w:val="both"/>
        <w:rPr>
          <w:rFonts w:ascii="Calibri" w:hAnsi="Calibri"/>
          <w:rtl/>
        </w:rPr>
      </w:pPr>
      <w:r w:rsidRPr="00DF313D">
        <w:rPr>
          <w:rFonts w:ascii="Calibri" w:hAnsi="Calibri" w:hint="eastAsia"/>
          <w:b/>
          <w:bCs/>
          <w:rtl/>
        </w:rPr>
        <w:t>גזירת</w:t>
      </w:r>
      <w:r w:rsidRPr="00DF313D">
        <w:rPr>
          <w:rFonts w:ascii="Calibri" w:hAnsi="Calibri"/>
          <w:b/>
          <w:bCs/>
          <w:rtl/>
        </w:rPr>
        <w:t xml:space="preserve"> </w:t>
      </w:r>
      <w:r w:rsidRPr="00DF313D">
        <w:rPr>
          <w:rFonts w:ascii="Calibri" w:hAnsi="Calibri" w:hint="eastAsia"/>
          <w:b/>
          <w:bCs/>
          <w:rtl/>
        </w:rPr>
        <w:t>העונש</w:t>
      </w:r>
      <w:r w:rsidRPr="00DF313D">
        <w:rPr>
          <w:rFonts w:ascii="Calibri" w:hAnsi="Calibri"/>
          <w:b/>
          <w:bCs/>
          <w:rtl/>
        </w:rPr>
        <w:t xml:space="preserve"> </w:t>
      </w:r>
      <w:r w:rsidRPr="00DF313D">
        <w:rPr>
          <w:rFonts w:ascii="Calibri" w:hAnsi="Calibri" w:hint="eastAsia"/>
          <w:b/>
          <w:bCs/>
          <w:rtl/>
        </w:rPr>
        <w:t>המתאים</w:t>
      </w:r>
      <w:r w:rsidRPr="00DF313D">
        <w:rPr>
          <w:rFonts w:ascii="Calibri" w:hAnsi="Calibri"/>
          <w:b/>
          <w:bCs/>
          <w:rtl/>
        </w:rPr>
        <w:t xml:space="preserve"> </w:t>
      </w:r>
      <w:r w:rsidRPr="00DF313D">
        <w:rPr>
          <w:rFonts w:ascii="Calibri" w:hAnsi="Calibri" w:hint="eastAsia"/>
          <w:b/>
          <w:bCs/>
          <w:rtl/>
        </w:rPr>
        <w:t>לנאשם</w:t>
      </w:r>
      <w:r w:rsidRPr="00DF313D">
        <w:rPr>
          <w:rFonts w:ascii="Calibri" w:hAnsi="Calibri"/>
          <w:rtl/>
        </w:rPr>
        <w:t>:</w:t>
      </w:r>
    </w:p>
    <w:p w14:paraId="2C2B50E8" w14:textId="77777777" w:rsidR="00D6179F" w:rsidRPr="00DF313D" w:rsidRDefault="00D6179F" w:rsidP="00D6179F">
      <w:pPr>
        <w:spacing w:line="360" w:lineRule="auto"/>
        <w:contextualSpacing/>
        <w:jc w:val="both"/>
        <w:rPr>
          <w:rFonts w:ascii="Calibri" w:hAnsi="Calibri"/>
          <w:rtl/>
        </w:rPr>
      </w:pPr>
      <w:r w:rsidRPr="00DF313D">
        <w:rPr>
          <w:rFonts w:ascii="Calibri" w:hAnsi="Calibri"/>
          <w:b/>
          <w:bCs/>
          <w:rtl/>
        </w:rPr>
        <w:t>20</w:t>
      </w:r>
      <w:r w:rsidRPr="00DF313D">
        <w:rPr>
          <w:rFonts w:ascii="Calibri" w:hAnsi="Calibri"/>
          <w:rtl/>
        </w:rPr>
        <w:t xml:space="preserve">. </w:t>
      </w:r>
      <w:r w:rsidRPr="00DF313D">
        <w:rPr>
          <w:rFonts w:ascii="Calibri" w:hAnsi="Calibri" w:hint="eastAsia"/>
          <w:rtl/>
        </w:rPr>
        <w:t>בגזירת</w:t>
      </w:r>
      <w:r w:rsidRPr="00DF313D">
        <w:rPr>
          <w:rFonts w:ascii="Calibri" w:hAnsi="Calibri"/>
          <w:rtl/>
        </w:rPr>
        <w:t xml:space="preserve"> </w:t>
      </w:r>
      <w:r w:rsidRPr="00DF313D">
        <w:rPr>
          <w:rFonts w:ascii="Calibri" w:hAnsi="Calibri" w:hint="eastAsia"/>
          <w:rtl/>
        </w:rPr>
        <w:t>העונש</w:t>
      </w:r>
      <w:r w:rsidRPr="00DF313D">
        <w:rPr>
          <w:rFonts w:ascii="Calibri" w:hAnsi="Calibri"/>
          <w:rtl/>
        </w:rPr>
        <w:t xml:space="preserve"> </w:t>
      </w:r>
      <w:r w:rsidRPr="00DF313D">
        <w:rPr>
          <w:rFonts w:ascii="Calibri" w:hAnsi="Calibri" w:hint="eastAsia"/>
          <w:rtl/>
        </w:rPr>
        <w:t>המתאים</w:t>
      </w:r>
      <w:r w:rsidRPr="00DF313D">
        <w:rPr>
          <w:rFonts w:ascii="Calibri" w:hAnsi="Calibri"/>
          <w:rtl/>
        </w:rPr>
        <w:t xml:space="preserve"> </w:t>
      </w:r>
      <w:r w:rsidRPr="00DF313D">
        <w:rPr>
          <w:rFonts w:ascii="Calibri" w:hAnsi="Calibri" w:hint="eastAsia"/>
          <w:rtl/>
        </w:rPr>
        <w:t>לנאשם</w:t>
      </w:r>
      <w:r w:rsidRPr="00DF313D">
        <w:rPr>
          <w:rFonts w:ascii="Calibri" w:hAnsi="Calibri"/>
          <w:rtl/>
        </w:rPr>
        <w:t xml:space="preserve">, </w:t>
      </w:r>
      <w:r w:rsidRPr="00DF313D">
        <w:rPr>
          <w:rFonts w:ascii="Calibri" w:hAnsi="Calibri" w:hint="eastAsia"/>
          <w:rtl/>
        </w:rPr>
        <w:t>בגדרי</w:t>
      </w:r>
      <w:r w:rsidRPr="00DF313D">
        <w:rPr>
          <w:rFonts w:ascii="Calibri" w:hAnsi="Calibri"/>
          <w:rtl/>
        </w:rPr>
        <w:t xml:space="preserve"> </w:t>
      </w:r>
      <w:r w:rsidRPr="00DF313D">
        <w:rPr>
          <w:rFonts w:ascii="Calibri" w:hAnsi="Calibri" w:hint="eastAsia"/>
          <w:rtl/>
        </w:rPr>
        <w:t>מתחם</w:t>
      </w:r>
      <w:r w:rsidRPr="00DF313D">
        <w:rPr>
          <w:rFonts w:ascii="Calibri" w:hAnsi="Calibri"/>
          <w:rtl/>
        </w:rPr>
        <w:t xml:space="preserve"> </w:t>
      </w:r>
      <w:r w:rsidRPr="00DF313D">
        <w:rPr>
          <w:rFonts w:ascii="Calibri" w:hAnsi="Calibri" w:hint="eastAsia"/>
          <w:rtl/>
        </w:rPr>
        <w:t>העונש</w:t>
      </w:r>
      <w:r w:rsidRPr="00DF313D">
        <w:rPr>
          <w:rFonts w:ascii="Calibri" w:hAnsi="Calibri"/>
          <w:rtl/>
        </w:rPr>
        <w:t xml:space="preserve"> </w:t>
      </w:r>
      <w:r w:rsidRPr="00DF313D">
        <w:rPr>
          <w:rFonts w:ascii="Calibri" w:hAnsi="Calibri" w:hint="eastAsia"/>
          <w:rtl/>
        </w:rPr>
        <w:t>ההולם</w:t>
      </w:r>
      <w:r w:rsidRPr="00DF313D">
        <w:rPr>
          <w:rFonts w:ascii="Calibri" w:hAnsi="Calibri"/>
          <w:rtl/>
        </w:rPr>
        <w:t xml:space="preserve">, </w:t>
      </w:r>
      <w:r w:rsidRPr="00DF313D">
        <w:rPr>
          <w:rFonts w:ascii="Calibri" w:hAnsi="Calibri" w:hint="eastAsia"/>
          <w:rtl/>
        </w:rPr>
        <w:t>יש</w:t>
      </w:r>
      <w:r w:rsidRPr="00DF313D">
        <w:rPr>
          <w:rFonts w:ascii="Calibri" w:hAnsi="Calibri"/>
          <w:rtl/>
        </w:rPr>
        <w:t xml:space="preserve"> </w:t>
      </w:r>
      <w:r w:rsidRPr="00DF313D">
        <w:rPr>
          <w:rFonts w:ascii="Calibri" w:hAnsi="Calibri" w:hint="eastAsia"/>
          <w:rtl/>
        </w:rPr>
        <w:t>להתחשב</w:t>
      </w:r>
      <w:r w:rsidRPr="00DF313D">
        <w:rPr>
          <w:rFonts w:ascii="Calibri" w:hAnsi="Calibri"/>
          <w:rtl/>
        </w:rPr>
        <w:t xml:space="preserve"> </w:t>
      </w:r>
      <w:r w:rsidRPr="00DF313D">
        <w:rPr>
          <w:rFonts w:ascii="Calibri" w:hAnsi="Calibri" w:hint="eastAsia"/>
          <w:rtl/>
        </w:rPr>
        <w:t>בנסיבות</w:t>
      </w:r>
      <w:r w:rsidRPr="00DF313D">
        <w:rPr>
          <w:rFonts w:ascii="Calibri" w:hAnsi="Calibri"/>
          <w:rtl/>
        </w:rPr>
        <w:t xml:space="preserve"> </w:t>
      </w:r>
      <w:r w:rsidRPr="00DF313D">
        <w:rPr>
          <w:rFonts w:ascii="Calibri" w:hAnsi="Calibri" w:hint="eastAsia"/>
          <w:rtl/>
        </w:rPr>
        <w:t>שאינן</w:t>
      </w:r>
      <w:r w:rsidRPr="00DF313D">
        <w:rPr>
          <w:rFonts w:ascii="Calibri" w:hAnsi="Calibri"/>
          <w:rtl/>
        </w:rPr>
        <w:t xml:space="preserve"> </w:t>
      </w:r>
      <w:r w:rsidRPr="00DF313D">
        <w:rPr>
          <w:rFonts w:ascii="Calibri" w:hAnsi="Calibri" w:hint="eastAsia"/>
          <w:rtl/>
        </w:rPr>
        <w:t>קשורות</w:t>
      </w:r>
      <w:r w:rsidRPr="00DF313D">
        <w:rPr>
          <w:rFonts w:ascii="Calibri" w:hAnsi="Calibri"/>
          <w:rtl/>
        </w:rPr>
        <w:t xml:space="preserve"> </w:t>
      </w:r>
      <w:r w:rsidRPr="00DF313D">
        <w:rPr>
          <w:rFonts w:ascii="Calibri" w:hAnsi="Calibri" w:hint="eastAsia"/>
          <w:rtl/>
        </w:rPr>
        <w:t>בביצוע</w:t>
      </w:r>
      <w:r w:rsidRPr="00DF313D">
        <w:rPr>
          <w:rFonts w:ascii="Calibri" w:hAnsi="Calibri"/>
          <w:rtl/>
        </w:rPr>
        <w:t xml:space="preserve"> </w:t>
      </w:r>
      <w:r w:rsidRPr="00DF313D">
        <w:rPr>
          <w:rFonts w:ascii="Calibri" w:hAnsi="Calibri" w:hint="eastAsia"/>
          <w:rtl/>
        </w:rPr>
        <w:t>העבירה</w:t>
      </w:r>
      <w:r w:rsidRPr="00DF313D">
        <w:rPr>
          <w:rFonts w:ascii="Calibri" w:hAnsi="Calibri"/>
          <w:rtl/>
        </w:rPr>
        <w:t xml:space="preserve"> (</w:t>
      </w:r>
      <w:r w:rsidRPr="00DF313D">
        <w:rPr>
          <w:rFonts w:ascii="Calibri" w:hAnsi="Calibri" w:hint="eastAsia"/>
          <w:b/>
          <w:bCs/>
          <w:rtl/>
        </w:rPr>
        <w:t>סעיף</w:t>
      </w:r>
      <w:r w:rsidRPr="00DF313D">
        <w:rPr>
          <w:rFonts w:ascii="Calibri" w:hAnsi="Calibri"/>
          <w:b/>
          <w:bCs/>
          <w:rtl/>
        </w:rPr>
        <w:t xml:space="preserve"> </w:t>
      </w:r>
      <w:hyperlink r:id="rId39" w:history="1">
        <w:r w:rsidR="00D76ABC" w:rsidRPr="00D76ABC">
          <w:rPr>
            <w:rStyle w:val="Hyperlink"/>
            <w:rFonts w:ascii="Calibri" w:hAnsi="Calibri"/>
            <w:b/>
            <w:bCs/>
            <w:rtl/>
          </w:rPr>
          <w:t>40</w:t>
        </w:r>
        <w:r w:rsidR="00D76ABC" w:rsidRPr="00D76ABC">
          <w:rPr>
            <w:rStyle w:val="Hyperlink"/>
            <w:rFonts w:ascii="Calibri" w:hAnsi="Calibri" w:hint="eastAsia"/>
            <w:b/>
            <w:bCs/>
            <w:rtl/>
          </w:rPr>
          <w:t>יא</w:t>
        </w:r>
      </w:hyperlink>
      <w:r w:rsidRPr="00DF313D">
        <w:rPr>
          <w:rFonts w:ascii="Calibri" w:hAnsi="Calibri"/>
          <w:rtl/>
        </w:rPr>
        <w:t xml:space="preserve">). </w:t>
      </w:r>
    </w:p>
    <w:p w14:paraId="14CBB025" w14:textId="77777777" w:rsidR="00D6179F" w:rsidRPr="00DF313D" w:rsidRDefault="00D6179F" w:rsidP="00D6179F">
      <w:pPr>
        <w:spacing w:line="360" w:lineRule="auto"/>
        <w:jc w:val="both"/>
        <w:rPr>
          <w:rFonts w:ascii="David" w:hAnsi="David"/>
          <w:rtl/>
        </w:rPr>
      </w:pPr>
      <w:r w:rsidRPr="00DF313D">
        <w:rPr>
          <w:rFonts w:ascii="David" w:hAnsi="David"/>
          <w:rtl/>
        </w:rPr>
        <w:t>במסגרת זו מן הראוי לתת את הדעת לשיקולים הבאים -</w:t>
      </w:r>
    </w:p>
    <w:p w14:paraId="65314971" w14:textId="77777777" w:rsidR="00D6179F" w:rsidRPr="00DF313D" w:rsidRDefault="00D6179F" w:rsidP="00D6179F">
      <w:pPr>
        <w:numPr>
          <w:ilvl w:val="0"/>
          <w:numId w:val="3"/>
        </w:numPr>
        <w:spacing w:line="360" w:lineRule="auto"/>
        <w:ind w:left="419" w:hanging="357"/>
        <w:contextualSpacing/>
        <w:jc w:val="both"/>
        <w:rPr>
          <w:rFonts w:ascii="David" w:hAnsi="David"/>
          <w:b/>
          <w:bCs/>
          <w:rtl/>
        </w:rPr>
      </w:pPr>
      <w:r w:rsidRPr="00DF313D">
        <w:rPr>
          <w:rFonts w:ascii="David" w:hAnsi="David"/>
          <w:b/>
          <w:bCs/>
          <w:rtl/>
        </w:rPr>
        <w:t>הפגיעה של העונש בנאשם</w:t>
      </w:r>
      <w:r w:rsidRPr="00DF313D">
        <w:rPr>
          <w:rFonts w:ascii="David" w:hAnsi="David"/>
          <w:rtl/>
        </w:rPr>
        <w:t>– אין ספק כי הטלת מאסר בפועל על הנאשם, ולו לריצוי בדרך של עבודות שירות, תפגע בו, וזאת ביתר שאת נוכח מצבו הנפשי.</w:t>
      </w:r>
    </w:p>
    <w:p w14:paraId="2EDB5143" w14:textId="77777777" w:rsidR="00D6179F" w:rsidRPr="00DF313D" w:rsidRDefault="00D6179F" w:rsidP="00D6179F">
      <w:pPr>
        <w:numPr>
          <w:ilvl w:val="0"/>
          <w:numId w:val="3"/>
        </w:numPr>
        <w:spacing w:line="360" w:lineRule="auto"/>
        <w:contextualSpacing/>
        <w:jc w:val="both"/>
        <w:rPr>
          <w:rFonts w:ascii="David" w:hAnsi="David"/>
        </w:rPr>
      </w:pPr>
      <w:r w:rsidRPr="00DF313D">
        <w:rPr>
          <w:rFonts w:ascii="David" w:hAnsi="David"/>
          <w:b/>
          <w:bCs/>
          <w:rtl/>
        </w:rPr>
        <w:t xml:space="preserve">נטילת האחריות של הנאשם על מעשיו וחזרתו למוטב או מאמציו לחזור למוטב </w:t>
      </w:r>
      <w:r w:rsidRPr="00DF313D">
        <w:rPr>
          <w:rFonts w:ascii="David" w:hAnsi="David"/>
          <w:rtl/>
        </w:rPr>
        <w:t xml:space="preserve">– במקרה זה, כמפורט לעיל, הנאשם אומנם לקח אחריות על ביצוע מעשי העבירות, אולם לא התבקשה הגשת תסקיר בעניינו, וזאת בשל סירובו להשתלב בהליך טיפולי מכל סוג שהוא. לטענת ב"כ הנאשם, הנאשם אף איננו משולב בתעסוקה בשל מצבו הנפשי. </w:t>
      </w:r>
    </w:p>
    <w:p w14:paraId="2EC94FAF" w14:textId="77777777" w:rsidR="00D6179F" w:rsidRPr="00DF313D" w:rsidRDefault="00D6179F" w:rsidP="00D6179F">
      <w:pPr>
        <w:numPr>
          <w:ilvl w:val="0"/>
          <w:numId w:val="3"/>
        </w:numPr>
        <w:spacing w:line="360" w:lineRule="auto"/>
        <w:ind w:left="419" w:hanging="357"/>
        <w:contextualSpacing/>
        <w:jc w:val="both"/>
        <w:rPr>
          <w:rFonts w:ascii="David" w:hAnsi="David"/>
          <w:b/>
          <w:bCs/>
          <w:rtl/>
        </w:rPr>
      </w:pPr>
      <w:r w:rsidRPr="00DF313D">
        <w:rPr>
          <w:rFonts w:ascii="Calibri" w:hAnsi="Calibri" w:hint="eastAsia"/>
          <w:b/>
          <w:bCs/>
          <w:rtl/>
        </w:rPr>
        <w:t>נסיבות</w:t>
      </w:r>
      <w:r w:rsidRPr="00DF313D">
        <w:rPr>
          <w:rFonts w:ascii="Calibri" w:hAnsi="Calibri"/>
          <w:b/>
          <w:bCs/>
          <w:rtl/>
        </w:rPr>
        <w:t xml:space="preserve"> </w:t>
      </w:r>
      <w:r w:rsidRPr="00DF313D">
        <w:rPr>
          <w:rFonts w:ascii="Calibri" w:hAnsi="Calibri" w:hint="eastAsia"/>
          <w:b/>
          <w:bCs/>
          <w:rtl/>
        </w:rPr>
        <w:t>חיים</w:t>
      </w:r>
      <w:r w:rsidRPr="00DF313D">
        <w:rPr>
          <w:rFonts w:ascii="Calibri" w:hAnsi="Calibri"/>
          <w:b/>
          <w:bCs/>
          <w:rtl/>
        </w:rPr>
        <w:t xml:space="preserve"> </w:t>
      </w:r>
      <w:r w:rsidRPr="00DF313D">
        <w:rPr>
          <w:rFonts w:ascii="Calibri" w:hAnsi="Calibri" w:hint="eastAsia"/>
          <w:b/>
          <w:bCs/>
          <w:rtl/>
        </w:rPr>
        <w:t>שהייתה</w:t>
      </w:r>
      <w:r w:rsidRPr="00DF313D">
        <w:rPr>
          <w:rFonts w:ascii="Calibri" w:hAnsi="Calibri"/>
          <w:b/>
          <w:bCs/>
          <w:rtl/>
        </w:rPr>
        <w:t xml:space="preserve"> </w:t>
      </w:r>
      <w:r w:rsidRPr="00DF313D">
        <w:rPr>
          <w:rFonts w:ascii="Calibri" w:hAnsi="Calibri" w:hint="eastAsia"/>
          <w:b/>
          <w:bCs/>
          <w:rtl/>
        </w:rPr>
        <w:t>להן</w:t>
      </w:r>
      <w:r w:rsidRPr="00DF313D">
        <w:rPr>
          <w:rFonts w:ascii="Calibri" w:hAnsi="Calibri"/>
          <w:b/>
          <w:bCs/>
          <w:rtl/>
        </w:rPr>
        <w:t xml:space="preserve"> </w:t>
      </w:r>
      <w:r w:rsidRPr="00DF313D">
        <w:rPr>
          <w:rFonts w:ascii="Calibri" w:hAnsi="Calibri" w:hint="eastAsia"/>
          <w:b/>
          <w:bCs/>
          <w:rtl/>
        </w:rPr>
        <w:t>השפעה</w:t>
      </w:r>
      <w:r w:rsidRPr="00DF313D">
        <w:rPr>
          <w:rFonts w:ascii="Calibri" w:hAnsi="Calibri"/>
          <w:b/>
          <w:bCs/>
          <w:rtl/>
        </w:rPr>
        <w:t xml:space="preserve"> </w:t>
      </w:r>
      <w:r w:rsidRPr="00DF313D">
        <w:rPr>
          <w:rFonts w:ascii="Calibri" w:hAnsi="Calibri" w:hint="eastAsia"/>
          <w:b/>
          <w:bCs/>
          <w:rtl/>
        </w:rPr>
        <w:t>על</w:t>
      </w:r>
      <w:r w:rsidRPr="00DF313D">
        <w:rPr>
          <w:rFonts w:ascii="Calibri" w:hAnsi="Calibri"/>
          <w:b/>
          <w:bCs/>
          <w:rtl/>
        </w:rPr>
        <w:t xml:space="preserve"> </w:t>
      </w:r>
      <w:r w:rsidRPr="00DF313D">
        <w:rPr>
          <w:rFonts w:ascii="Calibri" w:hAnsi="Calibri" w:hint="eastAsia"/>
          <w:b/>
          <w:bCs/>
          <w:rtl/>
        </w:rPr>
        <w:t>ביצוע</w:t>
      </w:r>
      <w:r w:rsidRPr="00DF313D">
        <w:rPr>
          <w:rFonts w:ascii="Calibri" w:hAnsi="Calibri"/>
          <w:b/>
          <w:bCs/>
          <w:rtl/>
        </w:rPr>
        <w:t xml:space="preserve"> </w:t>
      </w:r>
      <w:r w:rsidRPr="00DF313D">
        <w:rPr>
          <w:rFonts w:ascii="Calibri" w:hAnsi="Calibri" w:hint="eastAsia"/>
          <w:b/>
          <w:bCs/>
          <w:rtl/>
        </w:rPr>
        <w:t>מעשה</w:t>
      </w:r>
      <w:r w:rsidRPr="00DF313D">
        <w:rPr>
          <w:rFonts w:ascii="Calibri" w:hAnsi="Calibri"/>
          <w:b/>
          <w:bCs/>
          <w:rtl/>
        </w:rPr>
        <w:t xml:space="preserve"> </w:t>
      </w:r>
      <w:r w:rsidRPr="00DF313D">
        <w:rPr>
          <w:rFonts w:ascii="Calibri" w:hAnsi="Calibri" w:hint="eastAsia"/>
          <w:b/>
          <w:bCs/>
          <w:rtl/>
        </w:rPr>
        <w:t>העבירה</w:t>
      </w:r>
      <w:r w:rsidRPr="00DF313D">
        <w:rPr>
          <w:rFonts w:ascii="David" w:hAnsi="David"/>
          <w:b/>
          <w:bCs/>
          <w:rtl/>
        </w:rPr>
        <w:t xml:space="preserve"> – </w:t>
      </w:r>
      <w:r w:rsidRPr="00DF313D">
        <w:rPr>
          <w:rFonts w:ascii="David" w:hAnsi="David"/>
          <w:rtl/>
        </w:rPr>
        <w:t>מ</w:t>
      </w:r>
      <w:r w:rsidRPr="00DF313D">
        <w:rPr>
          <w:rFonts w:ascii="David" w:hAnsi="David"/>
          <w:b/>
          <w:bCs/>
          <w:rtl/>
        </w:rPr>
        <w:t xml:space="preserve">ת/1 </w:t>
      </w:r>
      <w:r w:rsidRPr="00DF313D">
        <w:rPr>
          <w:rFonts w:ascii="David" w:hAnsi="David"/>
          <w:rtl/>
        </w:rPr>
        <w:t>עולה כי בשנת 2012 ובשנת 2014 הופסקו הליכים בשני תיקים שהתנהלו בעניינו של הנאשם, אשר בוצעו בשנים 2012 ו-2013, וזאת מאחר ונקבע כי איננו מסוגל לעמוד לדין. כמו כן,</w:t>
      </w:r>
      <w:r w:rsidRPr="00DF313D">
        <w:rPr>
          <w:rFonts w:ascii="David" w:hAnsi="David"/>
          <w:b/>
          <w:bCs/>
          <w:rtl/>
        </w:rPr>
        <w:t xml:space="preserve"> </w:t>
      </w:r>
      <w:r w:rsidRPr="00DF313D">
        <w:rPr>
          <w:rFonts w:ascii="David" w:hAnsi="David"/>
          <w:rtl/>
        </w:rPr>
        <w:t>מ</w:t>
      </w:r>
      <w:r w:rsidRPr="00DF313D">
        <w:rPr>
          <w:rFonts w:ascii="David" w:hAnsi="David"/>
          <w:b/>
          <w:bCs/>
          <w:rtl/>
        </w:rPr>
        <w:t>נ/1</w:t>
      </w:r>
      <w:r w:rsidRPr="00DF313D">
        <w:rPr>
          <w:rFonts w:ascii="David" w:hAnsi="David"/>
          <w:rtl/>
        </w:rPr>
        <w:t xml:space="preserve">, מסמכים רפואיים מהשנים 2012 ו-2014 עולה כי הנאשם לוקה בסכיזופרניה, בעברו מספר אשפוזים, וידוע כי עושה שימוש, מזה שנים רבות, בסמים ואלכוהול. </w:t>
      </w:r>
    </w:p>
    <w:p w14:paraId="7C02A5F7" w14:textId="77777777" w:rsidR="00D6179F" w:rsidRPr="00DF313D" w:rsidRDefault="00D6179F" w:rsidP="00D6179F">
      <w:pPr>
        <w:spacing w:line="360" w:lineRule="auto"/>
        <w:ind w:left="419"/>
        <w:contextualSpacing/>
        <w:jc w:val="both"/>
        <w:rPr>
          <w:rFonts w:ascii="David" w:hAnsi="David"/>
        </w:rPr>
      </w:pPr>
      <w:r w:rsidRPr="00DF313D">
        <w:rPr>
          <w:rFonts w:ascii="David" w:hAnsi="David"/>
          <w:rtl/>
        </w:rPr>
        <w:t xml:space="preserve">על אף שחלפו כ-5 שנים מהמועדים האמורים ועד לביצוע העבירה עליה נותן הנאשם את הדין במסגרת התיק העיקרי, ברי כי יש ליתן למצבו הנפשי של הנאשם, אשר יש להניח כי גם כיום איננו שפיר, משקל משמעותי בעת גזירת עונשו.  </w:t>
      </w:r>
    </w:p>
    <w:p w14:paraId="0CA5FA2E" w14:textId="77777777" w:rsidR="00D6179F" w:rsidRPr="00DF313D" w:rsidRDefault="00D6179F" w:rsidP="00D6179F">
      <w:pPr>
        <w:numPr>
          <w:ilvl w:val="0"/>
          <w:numId w:val="3"/>
        </w:numPr>
        <w:spacing w:line="360" w:lineRule="auto"/>
        <w:ind w:left="419" w:hanging="357"/>
        <w:contextualSpacing/>
        <w:jc w:val="both"/>
        <w:rPr>
          <w:rFonts w:ascii="David" w:hAnsi="David"/>
          <w:b/>
          <w:bCs/>
        </w:rPr>
      </w:pPr>
      <w:r w:rsidRPr="00DF313D">
        <w:rPr>
          <w:rFonts w:ascii="David" w:hAnsi="David"/>
          <w:b/>
          <w:bCs/>
          <w:rtl/>
        </w:rPr>
        <w:t>עברו הפלילי של הנאשם או העדרו</w:t>
      </w:r>
      <w:r w:rsidRPr="00DF313D">
        <w:rPr>
          <w:rFonts w:ascii="David" w:hAnsi="David"/>
          <w:rtl/>
        </w:rPr>
        <w:t xml:space="preserve"> – נוסף על המפורט לעיל, מ</w:t>
      </w:r>
      <w:r w:rsidRPr="00DF313D">
        <w:rPr>
          <w:rFonts w:ascii="David" w:hAnsi="David"/>
          <w:b/>
          <w:bCs/>
          <w:rtl/>
        </w:rPr>
        <w:t xml:space="preserve">ת/1 </w:t>
      </w:r>
      <w:r w:rsidRPr="00DF313D">
        <w:rPr>
          <w:rFonts w:ascii="David" w:hAnsi="David"/>
          <w:rtl/>
        </w:rPr>
        <w:t>עולה כי לנאשם הרשעה קודמת ישנה בתחום הסמים,  וכן הרשעה קודמת ישנה בגין ביצוע עבירות אלימות ורכוש. כמו כן, הרשעתו האחרונה של הנאשם היא משנת 2016, וזאת בגין ביצוע עבירת התנהגות פרועה במקום ציבורי.</w:t>
      </w:r>
    </w:p>
    <w:p w14:paraId="567B7D84" w14:textId="77777777" w:rsidR="00D6179F" w:rsidRPr="00DF313D" w:rsidRDefault="00D6179F" w:rsidP="00D6179F">
      <w:pPr>
        <w:spacing w:line="360" w:lineRule="auto"/>
        <w:jc w:val="both"/>
        <w:rPr>
          <w:rFonts w:ascii="David" w:hAnsi="David"/>
          <w:b/>
          <w:bCs/>
          <w:u w:val="single"/>
          <w:rtl/>
        </w:rPr>
      </w:pPr>
    </w:p>
    <w:p w14:paraId="5A8B23BE" w14:textId="77777777" w:rsidR="00D6179F" w:rsidRDefault="00D6179F" w:rsidP="00D6179F">
      <w:pPr>
        <w:spacing w:after="160" w:line="360" w:lineRule="auto"/>
        <w:contextualSpacing/>
        <w:jc w:val="both"/>
        <w:rPr>
          <w:rFonts w:ascii="Arial" w:hAnsi="Arial"/>
          <w:rtl/>
        </w:rPr>
      </w:pPr>
      <w:r w:rsidRPr="00DF313D">
        <w:rPr>
          <w:rFonts w:ascii="Calibri" w:hAnsi="Calibri"/>
          <w:b/>
          <w:bCs/>
          <w:rtl/>
        </w:rPr>
        <w:t>21</w:t>
      </w:r>
      <w:r w:rsidRPr="00DF313D">
        <w:rPr>
          <w:rFonts w:ascii="Calibri" w:hAnsi="Calibri"/>
          <w:rtl/>
        </w:rPr>
        <w:t xml:space="preserve">. </w:t>
      </w:r>
      <w:r w:rsidRPr="00DF313D">
        <w:rPr>
          <w:rFonts w:ascii="Calibri" w:hAnsi="Calibri" w:hint="eastAsia"/>
          <w:rtl/>
        </w:rPr>
        <w:t>בשים</w:t>
      </w:r>
      <w:r w:rsidRPr="00DF313D">
        <w:rPr>
          <w:rFonts w:ascii="Calibri" w:hAnsi="Calibri"/>
          <w:rtl/>
        </w:rPr>
        <w:t xml:space="preserve"> </w:t>
      </w:r>
      <w:r w:rsidRPr="00DF313D">
        <w:rPr>
          <w:rFonts w:ascii="Calibri" w:hAnsi="Calibri" w:hint="eastAsia"/>
          <w:rtl/>
        </w:rPr>
        <w:t>לב</w:t>
      </w:r>
      <w:r w:rsidRPr="00DF313D">
        <w:rPr>
          <w:rFonts w:ascii="Calibri" w:hAnsi="Calibri"/>
          <w:rtl/>
        </w:rPr>
        <w:t xml:space="preserve"> </w:t>
      </w:r>
      <w:r w:rsidRPr="00DF313D">
        <w:rPr>
          <w:rFonts w:ascii="Calibri" w:hAnsi="Calibri" w:hint="eastAsia"/>
          <w:rtl/>
        </w:rPr>
        <w:t>לאמור</w:t>
      </w:r>
      <w:r w:rsidRPr="00DF313D">
        <w:rPr>
          <w:rFonts w:ascii="Calibri" w:hAnsi="Calibri"/>
          <w:rtl/>
        </w:rPr>
        <w:t xml:space="preserve">, </w:t>
      </w:r>
      <w:r w:rsidRPr="00DF313D">
        <w:rPr>
          <w:rFonts w:ascii="Arial" w:hAnsi="Arial"/>
          <w:rtl/>
        </w:rPr>
        <w:t>באיזון בין השיקולים השונים, שוכנעתי כי לאור נסיבותיו האישיות של הנאשם ועברו הפלילי הלא מכביד, ניתן להסתפק ב</w:t>
      </w:r>
      <w:r>
        <w:rPr>
          <w:rFonts w:ascii="Arial" w:hAnsi="Arial"/>
          <w:rtl/>
        </w:rPr>
        <w:t>הטלת ענישה ברף הנמוך של המתחמים</w:t>
      </w:r>
      <w:r>
        <w:rPr>
          <w:rFonts w:ascii="Arial" w:hAnsi="Arial" w:hint="cs"/>
          <w:rtl/>
        </w:rPr>
        <w:t>.</w:t>
      </w:r>
    </w:p>
    <w:p w14:paraId="26E7145B" w14:textId="77777777" w:rsidR="00D6179F" w:rsidRDefault="00D6179F" w:rsidP="00D6179F">
      <w:pPr>
        <w:spacing w:after="160" w:line="360" w:lineRule="auto"/>
        <w:contextualSpacing/>
        <w:jc w:val="both"/>
        <w:rPr>
          <w:rFonts w:ascii="Arial" w:hAnsi="Arial"/>
          <w:rtl/>
        </w:rPr>
      </w:pPr>
    </w:p>
    <w:p w14:paraId="0A04A2DB" w14:textId="77777777" w:rsidR="00D6179F" w:rsidRPr="00BB6B41" w:rsidRDefault="00D6179F" w:rsidP="00D6179F">
      <w:pPr>
        <w:spacing w:after="160" w:line="360" w:lineRule="auto"/>
        <w:contextualSpacing/>
        <w:jc w:val="both"/>
        <w:rPr>
          <w:rFonts w:ascii="Arial" w:hAnsi="Arial"/>
          <w:rtl/>
        </w:rPr>
      </w:pPr>
      <w:r w:rsidRPr="00BB6B41">
        <w:rPr>
          <w:rFonts w:ascii="Arial" w:hAnsi="Arial" w:hint="cs"/>
          <w:rtl/>
        </w:rPr>
        <w:t xml:space="preserve">מחוות דעת הממונה אשר הוגשה ביום 18/01/22 עולה כי לנאשם לא נמצא מקום להשמה בעבודות שירות. </w:t>
      </w:r>
    </w:p>
    <w:p w14:paraId="6EE85D15" w14:textId="77777777" w:rsidR="00D6179F" w:rsidRPr="00BB6B41" w:rsidRDefault="00D6179F" w:rsidP="00D6179F">
      <w:pPr>
        <w:spacing w:after="160" w:line="360" w:lineRule="auto"/>
        <w:contextualSpacing/>
        <w:jc w:val="both"/>
        <w:rPr>
          <w:rFonts w:ascii="Arial" w:hAnsi="Arial"/>
          <w:rtl/>
        </w:rPr>
      </w:pPr>
      <w:r w:rsidRPr="00BB6B41">
        <w:rPr>
          <w:rFonts w:ascii="Arial" w:hAnsi="Arial" w:hint="cs"/>
          <w:rtl/>
        </w:rPr>
        <w:t xml:space="preserve">מחוות הדעת עולה כי לאחר קבלת סיכום פסיכיאטרי עדכני נמצא כי הנאשם כשיר לביצוע עבודות שירות עם מגבלות. בשיחה עמו הנאשם דיווח כי ממשיך לעשות שימוש לרעה בסמים מסוג גראס וכי מסרב להתחסן כנגד קורונה. מאחר שמרבית המעסיקים בעבודות שירות דורשים הצגת "תו ירוק" ובשים לב למגבלות הנאשם, נמצא מקום אחד להשמת הנאשם </w:t>
      </w:r>
      <w:r w:rsidRPr="00BB6B41">
        <w:rPr>
          <w:rFonts w:ascii="Arial" w:hAnsi="Arial"/>
          <w:rtl/>
        </w:rPr>
        <w:t>–</w:t>
      </w:r>
      <w:r w:rsidRPr="00BB6B41">
        <w:rPr>
          <w:rFonts w:ascii="Arial" w:hAnsi="Arial" w:hint="cs"/>
          <w:rtl/>
        </w:rPr>
        <w:t xml:space="preserve"> בית העלמין בקריית גת. אולם, בשיחה עמו, אשר התקיימה ביום 17/01/22 טען הנאשם כי לא יכול לנסוע בתחבורה ציבורית, לא מסכים להגיע למקום ההשמה האמור, כי נוטל תרופות ולא מסוגל לקום בזמן, וכי מתעורר מדי יום בשעה 12:00, ושב וטען כי עושה שימוש לא חוקי בקנביס. כמו כן, טען הנאשם כי לא מעוניין כלל לבצע עבודות שירות, כי מעדיף לרצות מאסר בפועל מאחורי סורג ובריח, שם מכיר את ההתנהלות מהעבר, וכי אמר זאת בכל הזדמנות לגורמים המטפלים בתיקו המשפטי. </w:t>
      </w:r>
    </w:p>
    <w:p w14:paraId="6347F14D" w14:textId="77777777" w:rsidR="00D6179F" w:rsidRDefault="00D6179F" w:rsidP="00D6179F">
      <w:pPr>
        <w:spacing w:after="160" w:line="360" w:lineRule="auto"/>
        <w:contextualSpacing/>
        <w:jc w:val="both"/>
        <w:rPr>
          <w:rFonts w:ascii="Arial" w:hAnsi="Arial"/>
          <w:rtl/>
        </w:rPr>
      </w:pPr>
      <w:r w:rsidRPr="00BB6B41">
        <w:rPr>
          <w:rFonts w:ascii="Arial" w:hAnsi="Arial" w:hint="cs"/>
          <w:rtl/>
        </w:rPr>
        <w:t>לאור המפורט, בשים לב להתנגדות הנאשם לביצוע עבודות שירות ולהצהרותיו כי לא יכול לעמוד בכ</w:t>
      </w:r>
      <w:r>
        <w:rPr>
          <w:rFonts w:ascii="Arial" w:hAnsi="Arial" w:hint="cs"/>
          <w:rtl/>
        </w:rPr>
        <w:t>ללים ולהתייצב לעבודה במקום ההשמ</w:t>
      </w:r>
      <w:r w:rsidRPr="00BB6B41">
        <w:rPr>
          <w:rFonts w:ascii="Arial" w:hAnsi="Arial" w:hint="cs"/>
          <w:rtl/>
        </w:rPr>
        <w:t xml:space="preserve">ה אשר נמצא עבורו, וכן לאור הצהרתו כי ממשיך לעשות שימוש לא חוקי בסמים </w:t>
      </w:r>
      <w:r w:rsidRPr="00BB6B41">
        <w:rPr>
          <w:rFonts w:ascii="Arial" w:hAnsi="Arial"/>
          <w:rtl/>
        </w:rPr>
        <w:t>–</w:t>
      </w:r>
      <w:r w:rsidRPr="00BB6B41">
        <w:rPr>
          <w:rFonts w:ascii="Arial" w:hAnsi="Arial" w:hint="cs"/>
          <w:rtl/>
        </w:rPr>
        <w:t xml:space="preserve"> נמצא כי לא ניתן להשמה בעבודות שירות.</w:t>
      </w:r>
      <w:r>
        <w:rPr>
          <w:rFonts w:ascii="Arial" w:hAnsi="Arial" w:hint="cs"/>
          <w:rtl/>
        </w:rPr>
        <w:t xml:space="preserve"> </w:t>
      </w:r>
    </w:p>
    <w:p w14:paraId="5A010EC8" w14:textId="77777777" w:rsidR="00D6179F" w:rsidRDefault="00D6179F" w:rsidP="00D6179F">
      <w:pPr>
        <w:spacing w:after="160" w:line="360" w:lineRule="auto"/>
        <w:contextualSpacing/>
        <w:jc w:val="both"/>
        <w:rPr>
          <w:rFonts w:ascii="Arial" w:hAnsi="Arial"/>
          <w:rtl/>
        </w:rPr>
      </w:pPr>
    </w:p>
    <w:p w14:paraId="75A0F980" w14:textId="77777777" w:rsidR="00D6179F" w:rsidRDefault="00D6179F" w:rsidP="00D6179F">
      <w:pPr>
        <w:spacing w:after="160" w:line="360" w:lineRule="auto"/>
        <w:contextualSpacing/>
        <w:jc w:val="both"/>
        <w:rPr>
          <w:rFonts w:ascii="Arial" w:hAnsi="Arial"/>
          <w:rtl/>
        </w:rPr>
      </w:pPr>
      <w:r>
        <w:rPr>
          <w:rFonts w:ascii="Arial" w:hAnsi="Arial" w:hint="cs"/>
          <w:rtl/>
        </w:rPr>
        <w:t xml:space="preserve">במצב דברים זה, הגם שבהתאם לקביעת מתחמי הענישה והצבתו של הנאשם ברף התחתון, </w:t>
      </w:r>
      <w:r w:rsidRPr="00BB6B41">
        <w:rPr>
          <w:rFonts w:ascii="Arial" w:hAnsi="Arial" w:hint="cs"/>
          <w:rtl/>
        </w:rPr>
        <w:t>ניתן היה לשקול הטלת המאסר</w:t>
      </w:r>
      <w:r w:rsidRPr="00BB6B41">
        <w:rPr>
          <w:rFonts w:ascii="Arial" w:hAnsi="Arial"/>
          <w:rtl/>
        </w:rPr>
        <w:t xml:space="preserve"> לריצוי בדרך של עבודות שירות</w:t>
      </w:r>
      <w:r w:rsidRPr="00BB6B41">
        <w:rPr>
          <w:rFonts w:ascii="Arial" w:hAnsi="Arial" w:hint="cs"/>
          <w:rtl/>
        </w:rPr>
        <w:t xml:space="preserve">, בשים לב לעולה מחוות דעת הממונה על עבודות השירות ולעמדת הנאשם ביחס להעדפתו באשר לאופן ריצוי המאסר </w:t>
      </w:r>
      <w:r w:rsidRPr="00BB6B41">
        <w:rPr>
          <w:rFonts w:ascii="Arial" w:hAnsi="Arial"/>
          <w:rtl/>
        </w:rPr>
        <w:t>–</w:t>
      </w:r>
      <w:r w:rsidRPr="00BB6B41">
        <w:rPr>
          <w:rFonts w:ascii="Arial" w:hAnsi="Arial" w:hint="cs"/>
          <w:rtl/>
        </w:rPr>
        <w:t xml:space="preserve"> לא ניתן לעשות כן.</w:t>
      </w:r>
      <w:r>
        <w:rPr>
          <w:rFonts w:ascii="Arial" w:hAnsi="Arial" w:hint="cs"/>
          <w:rtl/>
        </w:rPr>
        <w:t xml:space="preserve">  </w:t>
      </w:r>
    </w:p>
    <w:p w14:paraId="3B90A474" w14:textId="77777777" w:rsidR="00D6179F" w:rsidRDefault="00D6179F" w:rsidP="00D6179F">
      <w:pPr>
        <w:spacing w:after="160" w:line="360" w:lineRule="auto"/>
        <w:contextualSpacing/>
        <w:jc w:val="both"/>
        <w:rPr>
          <w:rFonts w:ascii="Arial" w:hAnsi="Arial"/>
          <w:rtl/>
        </w:rPr>
      </w:pPr>
    </w:p>
    <w:p w14:paraId="3701C0D8" w14:textId="77777777" w:rsidR="00D6179F" w:rsidRDefault="00D6179F" w:rsidP="00D6179F">
      <w:pPr>
        <w:spacing w:after="160" w:line="360" w:lineRule="auto"/>
        <w:contextualSpacing/>
        <w:jc w:val="both"/>
        <w:rPr>
          <w:rFonts w:ascii="Arial" w:hAnsi="Arial"/>
          <w:rtl/>
        </w:rPr>
      </w:pPr>
      <w:r>
        <w:rPr>
          <w:rFonts w:ascii="Arial" w:hAnsi="Arial" w:hint="cs"/>
          <w:rtl/>
        </w:rPr>
        <w:t xml:space="preserve">אשר על כן, עונש המאסר שיוטל על הנאשם ירוצה מאחורי סורג ובריח. </w:t>
      </w:r>
    </w:p>
    <w:p w14:paraId="594FFBFA" w14:textId="77777777" w:rsidR="00D6179F" w:rsidRPr="00DF313D" w:rsidRDefault="00D6179F" w:rsidP="00D6179F">
      <w:pPr>
        <w:spacing w:line="360" w:lineRule="auto"/>
        <w:jc w:val="both"/>
        <w:rPr>
          <w:rFonts w:ascii="Calibri" w:hAnsi="Calibri"/>
          <w:b/>
          <w:bCs/>
          <w:rtl/>
        </w:rPr>
      </w:pPr>
    </w:p>
    <w:p w14:paraId="6C829A08" w14:textId="77777777" w:rsidR="00D6179F" w:rsidRPr="00DF313D" w:rsidRDefault="00D6179F" w:rsidP="00D6179F">
      <w:pPr>
        <w:spacing w:line="360" w:lineRule="auto"/>
        <w:jc w:val="both"/>
        <w:rPr>
          <w:rFonts w:ascii="David" w:hAnsi="David"/>
          <w:u w:val="single"/>
        </w:rPr>
      </w:pPr>
      <w:r w:rsidRPr="00DF313D">
        <w:rPr>
          <w:rFonts w:ascii="David" w:hAnsi="David"/>
          <w:b/>
          <w:bCs/>
          <w:u w:val="single"/>
          <w:rtl/>
        </w:rPr>
        <w:t>22</w:t>
      </w:r>
      <w:r w:rsidRPr="00DF313D">
        <w:rPr>
          <w:rFonts w:ascii="David" w:hAnsi="David"/>
          <w:u w:val="single"/>
          <w:rtl/>
        </w:rPr>
        <w:t xml:space="preserve">. </w:t>
      </w:r>
      <w:r w:rsidRPr="00DF313D">
        <w:rPr>
          <w:rFonts w:ascii="David" w:hAnsi="David"/>
          <w:b/>
          <w:bCs/>
          <w:u w:val="single"/>
          <w:rtl/>
        </w:rPr>
        <w:t>אשר על כן, אני גוזרת על הנאשם את העונשים הבאים:</w:t>
      </w:r>
    </w:p>
    <w:p w14:paraId="695C1A8B" w14:textId="77777777" w:rsidR="00D6179F" w:rsidRPr="00BB6B41" w:rsidRDefault="00D6179F" w:rsidP="00D6179F">
      <w:pPr>
        <w:numPr>
          <w:ilvl w:val="0"/>
          <w:numId w:val="2"/>
        </w:numPr>
        <w:spacing w:line="360" w:lineRule="auto"/>
        <w:contextualSpacing/>
        <w:jc w:val="both"/>
        <w:rPr>
          <w:rFonts w:ascii="David" w:hAnsi="David"/>
        </w:rPr>
      </w:pPr>
      <w:r w:rsidRPr="00BB6B41">
        <w:rPr>
          <w:rFonts w:ascii="David" w:hAnsi="David" w:hint="cs"/>
          <w:rtl/>
        </w:rPr>
        <w:t>2</w:t>
      </w:r>
      <w:r w:rsidRPr="00BB6B41">
        <w:rPr>
          <w:rFonts w:ascii="David" w:hAnsi="David"/>
          <w:rtl/>
        </w:rPr>
        <w:t xml:space="preserve"> חודשי מאסר </w:t>
      </w:r>
      <w:r w:rsidRPr="00BB6B41">
        <w:rPr>
          <w:rFonts w:ascii="David" w:hAnsi="David" w:hint="cs"/>
          <w:rtl/>
        </w:rPr>
        <w:t xml:space="preserve">בפועל. </w:t>
      </w:r>
    </w:p>
    <w:p w14:paraId="0D73273B" w14:textId="77777777" w:rsidR="00D6179F" w:rsidRPr="00DF313D" w:rsidRDefault="00D6179F" w:rsidP="00D6179F">
      <w:pPr>
        <w:spacing w:line="360" w:lineRule="auto"/>
        <w:ind w:left="1176"/>
        <w:contextualSpacing/>
        <w:jc w:val="both"/>
        <w:rPr>
          <w:rFonts w:ascii="David" w:hAnsi="David"/>
        </w:rPr>
      </w:pPr>
    </w:p>
    <w:p w14:paraId="15B4C905" w14:textId="77777777" w:rsidR="00D6179F" w:rsidRPr="00DF313D" w:rsidRDefault="00D6179F" w:rsidP="00D6179F">
      <w:pPr>
        <w:numPr>
          <w:ilvl w:val="0"/>
          <w:numId w:val="2"/>
        </w:numPr>
        <w:spacing w:line="360" w:lineRule="auto"/>
        <w:contextualSpacing/>
        <w:jc w:val="both"/>
        <w:rPr>
          <w:rFonts w:ascii="David" w:hAnsi="David"/>
        </w:rPr>
      </w:pPr>
      <w:r>
        <w:rPr>
          <w:rFonts w:ascii="David" w:hAnsi="David" w:hint="cs"/>
          <w:rtl/>
        </w:rPr>
        <w:t>6</w:t>
      </w:r>
      <w:r w:rsidRPr="00DF313D">
        <w:rPr>
          <w:rFonts w:ascii="David" w:hAnsi="David"/>
          <w:rtl/>
        </w:rPr>
        <w:t xml:space="preserve"> חודשי מאסר על תנאי למשך 3 שנים מ</w:t>
      </w:r>
      <w:r>
        <w:rPr>
          <w:rFonts w:ascii="David" w:hAnsi="David" w:hint="cs"/>
          <w:rtl/>
        </w:rPr>
        <w:t>יום שחרורו מן המאסר</w:t>
      </w:r>
      <w:r w:rsidRPr="00DF313D">
        <w:rPr>
          <w:rFonts w:ascii="David" w:hAnsi="David"/>
          <w:rtl/>
        </w:rPr>
        <w:t xml:space="preserve"> שלא יעבור שוב עבירה מסוג פשע לפי </w:t>
      </w:r>
      <w:hyperlink r:id="rId40" w:history="1">
        <w:r w:rsidR="00765EBD" w:rsidRPr="00765EBD">
          <w:rPr>
            <w:rFonts w:ascii="David" w:hAnsi="David"/>
            <w:color w:val="0000FF"/>
            <w:u w:val="single"/>
            <w:rtl/>
          </w:rPr>
          <w:t>פקודת הסמים המסוכנים</w:t>
        </w:r>
      </w:hyperlink>
      <w:r w:rsidRPr="00DF313D">
        <w:rPr>
          <w:rFonts w:ascii="David" w:hAnsi="David"/>
          <w:rtl/>
        </w:rPr>
        <w:t xml:space="preserve">. </w:t>
      </w:r>
    </w:p>
    <w:p w14:paraId="53907C56" w14:textId="77777777" w:rsidR="00D6179F" w:rsidRPr="00DF313D" w:rsidRDefault="00D6179F" w:rsidP="00D6179F">
      <w:pPr>
        <w:spacing w:line="360" w:lineRule="auto"/>
        <w:ind w:left="1176"/>
        <w:contextualSpacing/>
        <w:jc w:val="both"/>
        <w:rPr>
          <w:rFonts w:ascii="David" w:hAnsi="David"/>
          <w:rtl/>
        </w:rPr>
      </w:pPr>
    </w:p>
    <w:p w14:paraId="68FEDFEF" w14:textId="77777777" w:rsidR="00D6179F" w:rsidRPr="00DF313D" w:rsidRDefault="00D6179F" w:rsidP="00D6179F">
      <w:pPr>
        <w:numPr>
          <w:ilvl w:val="0"/>
          <w:numId w:val="2"/>
        </w:numPr>
        <w:spacing w:line="360" w:lineRule="auto"/>
        <w:jc w:val="both"/>
        <w:rPr>
          <w:rFonts w:ascii="David" w:hAnsi="David"/>
        </w:rPr>
      </w:pPr>
      <w:r>
        <w:rPr>
          <w:rFonts w:ascii="Arial" w:hAnsi="Arial" w:hint="cs"/>
          <w:rtl/>
        </w:rPr>
        <w:t>2</w:t>
      </w:r>
      <w:r w:rsidRPr="00DF313D">
        <w:rPr>
          <w:rFonts w:ascii="Arial" w:hAnsi="Arial"/>
          <w:rtl/>
        </w:rPr>
        <w:t xml:space="preserve"> </w:t>
      </w:r>
      <w:r w:rsidRPr="00DF313D">
        <w:rPr>
          <w:rFonts w:ascii="David" w:hAnsi="David"/>
          <w:rtl/>
        </w:rPr>
        <w:t>חודשי מאסר על תנאי, לבל יעבור הנאשם במשך 3 שנים מ</w:t>
      </w:r>
      <w:r>
        <w:rPr>
          <w:rFonts w:ascii="David" w:hAnsi="David" w:hint="cs"/>
          <w:rtl/>
        </w:rPr>
        <w:t>יום שחרורו מן המאסר</w:t>
      </w:r>
      <w:r w:rsidRPr="00DF313D">
        <w:rPr>
          <w:rFonts w:ascii="David" w:hAnsi="David"/>
          <w:rtl/>
        </w:rPr>
        <w:t xml:space="preserve"> עבירה מסוג עוון לפי </w:t>
      </w:r>
      <w:hyperlink r:id="rId41" w:history="1">
        <w:r w:rsidR="00765EBD" w:rsidRPr="00765EBD">
          <w:rPr>
            <w:rFonts w:ascii="David" w:hAnsi="David"/>
            <w:color w:val="0000FF"/>
            <w:u w:val="single"/>
            <w:rtl/>
          </w:rPr>
          <w:t>פקודת הסמים המסוכנים</w:t>
        </w:r>
      </w:hyperlink>
      <w:r w:rsidRPr="00DF313D">
        <w:rPr>
          <w:rFonts w:ascii="David" w:hAnsi="David"/>
          <w:rtl/>
        </w:rPr>
        <w:t xml:space="preserve">. </w:t>
      </w:r>
    </w:p>
    <w:p w14:paraId="14E1B4DC" w14:textId="77777777" w:rsidR="00D6179F" w:rsidRPr="00DF313D" w:rsidRDefault="00D6179F" w:rsidP="00D6179F">
      <w:pPr>
        <w:spacing w:line="360" w:lineRule="auto"/>
        <w:ind w:left="1176"/>
        <w:jc w:val="both"/>
        <w:rPr>
          <w:rFonts w:ascii="David" w:hAnsi="David"/>
        </w:rPr>
      </w:pPr>
    </w:p>
    <w:p w14:paraId="31E41804" w14:textId="77777777" w:rsidR="00D6179F" w:rsidRPr="00DF313D" w:rsidRDefault="00D6179F" w:rsidP="00D6179F">
      <w:pPr>
        <w:numPr>
          <w:ilvl w:val="0"/>
          <w:numId w:val="2"/>
        </w:numPr>
        <w:spacing w:line="360" w:lineRule="auto"/>
        <w:jc w:val="both"/>
        <w:rPr>
          <w:rFonts w:ascii="David" w:hAnsi="David"/>
        </w:rPr>
      </w:pPr>
      <w:r w:rsidRPr="00DF313D">
        <w:rPr>
          <w:rFonts w:ascii="David" w:hAnsi="David"/>
          <w:rtl/>
        </w:rPr>
        <w:t xml:space="preserve">התחייבות כספית על סך 3,000 ₪ להימנע במשך 3 שנים מהיום מביצוע עבירת פשע לפי </w:t>
      </w:r>
      <w:hyperlink r:id="rId42" w:history="1">
        <w:r w:rsidR="00765EBD" w:rsidRPr="00765EBD">
          <w:rPr>
            <w:rFonts w:ascii="David" w:hAnsi="David"/>
            <w:color w:val="0000FF"/>
            <w:u w:val="single"/>
            <w:rtl/>
          </w:rPr>
          <w:t>פקודת הסמים המסוכנים</w:t>
        </w:r>
      </w:hyperlink>
      <w:r w:rsidRPr="00DF313D">
        <w:rPr>
          <w:rFonts w:ascii="David" w:hAnsi="David"/>
          <w:rtl/>
        </w:rPr>
        <w:t>.</w:t>
      </w:r>
    </w:p>
    <w:p w14:paraId="167A1EDB" w14:textId="77777777" w:rsidR="00D6179F" w:rsidRPr="00DF313D" w:rsidRDefault="00D6179F" w:rsidP="00D6179F">
      <w:pPr>
        <w:spacing w:line="360" w:lineRule="auto"/>
        <w:ind w:left="1176"/>
        <w:jc w:val="both"/>
        <w:rPr>
          <w:rFonts w:ascii="David" w:hAnsi="David"/>
        </w:rPr>
      </w:pPr>
    </w:p>
    <w:p w14:paraId="65FE8362" w14:textId="77777777" w:rsidR="00D6179F" w:rsidRPr="00DF313D" w:rsidRDefault="00D6179F" w:rsidP="00D6179F">
      <w:pPr>
        <w:numPr>
          <w:ilvl w:val="0"/>
          <w:numId w:val="2"/>
        </w:numPr>
        <w:spacing w:line="360" w:lineRule="auto"/>
        <w:jc w:val="both"/>
        <w:rPr>
          <w:rFonts w:ascii="David" w:hAnsi="David"/>
        </w:rPr>
      </w:pPr>
      <w:r w:rsidRPr="00DF313D">
        <w:rPr>
          <w:rFonts w:ascii="David" w:hAnsi="David"/>
          <w:rtl/>
        </w:rPr>
        <w:t>12 חודשי פסילה מלקבל או מלהחזיק רישיון נהיגה.</w:t>
      </w:r>
    </w:p>
    <w:p w14:paraId="70033FE8" w14:textId="77777777" w:rsidR="00D6179F" w:rsidRDefault="00D6179F" w:rsidP="00D6179F">
      <w:pPr>
        <w:spacing w:line="360" w:lineRule="auto"/>
        <w:ind w:left="1176"/>
        <w:jc w:val="both"/>
        <w:rPr>
          <w:rFonts w:ascii="David" w:hAnsi="David"/>
          <w:rtl/>
        </w:rPr>
      </w:pPr>
      <w:r w:rsidRPr="00DF313D">
        <w:rPr>
          <w:rFonts w:ascii="David" w:hAnsi="David"/>
          <w:rtl/>
        </w:rPr>
        <w:t>בהעדר רישיון, מניין הפסילה יחל להימנות מהיום אף ללא צורך בהפקדה.</w:t>
      </w:r>
    </w:p>
    <w:p w14:paraId="47B7AA68" w14:textId="77777777" w:rsidR="00D6179F" w:rsidRPr="00DF313D" w:rsidRDefault="00D6179F" w:rsidP="00D6179F">
      <w:pPr>
        <w:spacing w:line="360" w:lineRule="auto"/>
        <w:ind w:left="1176"/>
        <w:jc w:val="both"/>
        <w:rPr>
          <w:rFonts w:ascii="David" w:hAnsi="David"/>
        </w:rPr>
      </w:pPr>
    </w:p>
    <w:p w14:paraId="6C112CD3" w14:textId="77777777" w:rsidR="00D6179F" w:rsidRPr="00DF313D" w:rsidRDefault="00D6179F" w:rsidP="00D6179F">
      <w:pPr>
        <w:numPr>
          <w:ilvl w:val="0"/>
          <w:numId w:val="2"/>
        </w:numPr>
        <w:spacing w:line="360" w:lineRule="auto"/>
        <w:jc w:val="both"/>
        <w:rPr>
          <w:rFonts w:ascii="David" w:hAnsi="David"/>
          <w:rtl/>
        </w:rPr>
      </w:pPr>
      <w:r w:rsidRPr="00DF313D">
        <w:rPr>
          <w:rFonts w:ascii="David" w:hAnsi="David"/>
          <w:rtl/>
        </w:rPr>
        <w:t xml:space="preserve">6 חודשי פסילה על-תנאי מלקבל או מלהחזיק רישיון נהיגה, לבל יעבור הנאשם כל עבירה לפי </w:t>
      </w:r>
      <w:hyperlink r:id="rId43" w:history="1">
        <w:r w:rsidR="00765EBD" w:rsidRPr="00765EBD">
          <w:rPr>
            <w:rFonts w:ascii="David" w:hAnsi="David"/>
            <w:color w:val="0000FF"/>
            <w:u w:val="single"/>
            <w:rtl/>
          </w:rPr>
          <w:t>פקודת הסמים המסוכנים</w:t>
        </w:r>
      </w:hyperlink>
      <w:r w:rsidRPr="00DF313D">
        <w:rPr>
          <w:rFonts w:ascii="David" w:hAnsi="David"/>
          <w:rtl/>
        </w:rPr>
        <w:t>, במשך 3 שנים מהיום.</w:t>
      </w:r>
    </w:p>
    <w:p w14:paraId="69F17AB5" w14:textId="77777777" w:rsidR="00D6179F" w:rsidRDefault="00D6179F" w:rsidP="00D6179F">
      <w:pPr>
        <w:spacing w:line="360" w:lineRule="auto"/>
        <w:contextualSpacing/>
        <w:jc w:val="both"/>
        <w:rPr>
          <w:rFonts w:ascii="Arial" w:hAnsi="Arial"/>
          <w:rtl/>
        </w:rPr>
      </w:pPr>
    </w:p>
    <w:p w14:paraId="6FFD6CDC" w14:textId="77777777" w:rsidR="00D6179F" w:rsidRDefault="00D6179F" w:rsidP="00D6179F">
      <w:pPr>
        <w:spacing w:line="360" w:lineRule="auto"/>
        <w:contextualSpacing/>
        <w:jc w:val="both"/>
        <w:rPr>
          <w:rFonts w:ascii="Arial" w:hAnsi="Arial"/>
          <w:rtl/>
        </w:rPr>
      </w:pPr>
      <w:r>
        <w:rPr>
          <w:rFonts w:ascii="Arial" w:hAnsi="Arial" w:hint="cs"/>
          <w:rtl/>
        </w:rPr>
        <w:t xml:space="preserve">בשל מצבו האישי והרפואי, נמנעתי מהטלת ענישה כלכלית על הנאשם. </w:t>
      </w:r>
    </w:p>
    <w:p w14:paraId="68461E78" w14:textId="77777777" w:rsidR="00D6179F" w:rsidRPr="00DF313D" w:rsidRDefault="00D6179F" w:rsidP="00D6179F">
      <w:pPr>
        <w:spacing w:line="360" w:lineRule="auto"/>
        <w:contextualSpacing/>
        <w:jc w:val="both"/>
        <w:rPr>
          <w:rFonts w:ascii="Arial" w:hAnsi="Arial"/>
        </w:rPr>
      </w:pPr>
    </w:p>
    <w:p w14:paraId="650BC6D2" w14:textId="77777777" w:rsidR="00D6179F" w:rsidRPr="00DF313D" w:rsidRDefault="00D6179F" w:rsidP="00D6179F">
      <w:pPr>
        <w:spacing w:line="360" w:lineRule="auto"/>
        <w:jc w:val="both"/>
        <w:rPr>
          <w:rFonts w:ascii="David" w:hAnsi="David"/>
          <w:b/>
          <w:bCs/>
          <w:rtl/>
        </w:rPr>
      </w:pPr>
      <w:r w:rsidRPr="00DF313D">
        <w:rPr>
          <w:rFonts w:ascii="David" w:hAnsi="David"/>
          <w:b/>
          <w:bCs/>
          <w:rtl/>
        </w:rPr>
        <w:t xml:space="preserve">הסמים יושמדו. </w:t>
      </w:r>
    </w:p>
    <w:p w14:paraId="0FD74F57" w14:textId="77777777" w:rsidR="00D6179F" w:rsidRPr="00DF313D" w:rsidRDefault="00D6179F" w:rsidP="00D6179F">
      <w:pPr>
        <w:spacing w:line="360" w:lineRule="auto"/>
        <w:jc w:val="both"/>
        <w:rPr>
          <w:rFonts w:ascii="David" w:hAnsi="David"/>
          <w:b/>
          <w:bCs/>
          <w:rtl/>
        </w:rPr>
      </w:pPr>
    </w:p>
    <w:p w14:paraId="520B8968" w14:textId="77777777" w:rsidR="00D6179F" w:rsidRPr="00DF313D" w:rsidRDefault="00D6179F" w:rsidP="00D6179F">
      <w:pPr>
        <w:spacing w:line="360" w:lineRule="auto"/>
        <w:jc w:val="both"/>
        <w:rPr>
          <w:rFonts w:ascii="David" w:hAnsi="David"/>
          <w:b/>
          <w:bCs/>
          <w:rtl/>
        </w:rPr>
      </w:pPr>
      <w:r w:rsidRPr="00DF313D">
        <w:rPr>
          <w:rFonts w:ascii="David" w:hAnsi="David"/>
          <w:b/>
          <w:bCs/>
          <w:rtl/>
        </w:rPr>
        <w:t xml:space="preserve">זכות ערעור כחוק. </w:t>
      </w:r>
    </w:p>
    <w:p w14:paraId="1FA33B97" w14:textId="77777777" w:rsidR="00D6179F" w:rsidRPr="00B05847" w:rsidRDefault="00D6179F" w:rsidP="00D6179F">
      <w:pPr>
        <w:rPr>
          <w:rtl/>
        </w:rPr>
      </w:pPr>
    </w:p>
    <w:p w14:paraId="5431DD68" w14:textId="77777777" w:rsidR="00D6179F" w:rsidRPr="00765EBD" w:rsidRDefault="00765EBD" w:rsidP="00D6179F">
      <w:pPr>
        <w:rPr>
          <w:color w:val="FFFFFF"/>
          <w:sz w:val="2"/>
          <w:szCs w:val="2"/>
          <w:rtl/>
        </w:rPr>
      </w:pPr>
      <w:r w:rsidRPr="00765EBD">
        <w:rPr>
          <w:color w:val="FFFFFF"/>
          <w:sz w:val="2"/>
          <w:szCs w:val="2"/>
          <w:rtl/>
        </w:rPr>
        <w:t>5129371</w:t>
      </w:r>
    </w:p>
    <w:p w14:paraId="1807B88C" w14:textId="77777777" w:rsidR="00D6179F" w:rsidRDefault="00765EBD" w:rsidP="00D6179F">
      <w:pPr>
        <w:rPr>
          <w:rFonts w:cs="FrankRuehl"/>
          <w:sz w:val="28"/>
          <w:szCs w:val="28"/>
          <w:rtl/>
        </w:rPr>
      </w:pPr>
      <w:bookmarkStart w:id="8" w:name="Nitan"/>
      <w:r w:rsidRPr="00765EBD">
        <w:rPr>
          <w:rFonts w:ascii="Arial" w:hAnsi="Arial"/>
          <w:color w:val="FFFFFF"/>
          <w:sz w:val="2"/>
          <w:szCs w:val="2"/>
          <w:rtl/>
        </w:rPr>
        <w:t>54678313</w:t>
      </w:r>
      <w:r>
        <w:rPr>
          <w:rFonts w:ascii="Arial" w:hAnsi="Arial"/>
          <w:rtl/>
        </w:rPr>
        <w:t xml:space="preserve">ניתן היום,  ב' ניסן תשפ"ב, 03 אפריל 2022, בנוכחות הצדדים. </w:t>
      </w:r>
      <w:bookmarkEnd w:id="8"/>
    </w:p>
    <w:p w14:paraId="7B3F9D8F" w14:textId="77777777" w:rsidR="00D6179F" w:rsidRDefault="00D6179F" w:rsidP="00765EB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28C7AD2" w14:textId="77777777" w:rsidR="00D6179F" w:rsidRDefault="00D6179F" w:rsidP="00D6179F">
      <w:pPr>
        <w:jc w:val="center"/>
        <w:rPr>
          <w:rFonts w:ascii="Arial" w:hAnsi="Arial" w:cs="FrankRuehl"/>
          <w:sz w:val="28"/>
          <w:szCs w:val="28"/>
          <w:rtl/>
        </w:rPr>
      </w:pPr>
    </w:p>
    <w:p w14:paraId="7250BE80" w14:textId="77777777" w:rsidR="00765EBD" w:rsidRDefault="00765EBD" w:rsidP="00765EBD">
      <w:pPr>
        <w:rPr>
          <w:rtl/>
        </w:rPr>
      </w:pPr>
    </w:p>
    <w:p w14:paraId="1EA92A24" w14:textId="77777777" w:rsidR="00765EBD" w:rsidRDefault="00765EBD" w:rsidP="00765EBD">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5AC26172" w14:textId="77777777" w:rsidR="00D76ABC" w:rsidRPr="00D76ABC" w:rsidRDefault="00D76ABC" w:rsidP="00D76ABC">
      <w:pPr>
        <w:keepNext/>
        <w:rPr>
          <w:rFonts w:ascii="David" w:hAnsi="David"/>
          <w:color w:val="000000"/>
          <w:sz w:val="22"/>
          <w:szCs w:val="22"/>
          <w:rtl/>
        </w:rPr>
      </w:pPr>
    </w:p>
    <w:p w14:paraId="6E213F5B" w14:textId="77777777" w:rsidR="00D76ABC" w:rsidRPr="00D76ABC" w:rsidRDefault="00D76ABC" w:rsidP="00D76ABC">
      <w:pPr>
        <w:keepNext/>
        <w:rPr>
          <w:rFonts w:ascii="David" w:hAnsi="David"/>
          <w:color w:val="000000"/>
          <w:sz w:val="22"/>
          <w:szCs w:val="22"/>
          <w:rtl/>
        </w:rPr>
      </w:pPr>
      <w:r w:rsidRPr="00D76ABC">
        <w:rPr>
          <w:rFonts w:ascii="David" w:hAnsi="David"/>
          <w:color w:val="000000"/>
          <w:sz w:val="22"/>
          <w:szCs w:val="22"/>
          <w:rtl/>
        </w:rPr>
        <w:t>טל לחיאני שהם 54678313-/</w:t>
      </w:r>
    </w:p>
    <w:p w14:paraId="0C888A4F" w14:textId="77777777" w:rsidR="00765EBD" w:rsidRPr="00765EBD" w:rsidRDefault="00D76ABC" w:rsidP="00D76ABC">
      <w:pPr>
        <w:rPr>
          <w:color w:val="0000FF"/>
          <w:u w:val="single"/>
        </w:rPr>
      </w:pPr>
      <w:r w:rsidRPr="00D76ABC">
        <w:rPr>
          <w:color w:val="000000"/>
          <w:u w:val="single"/>
          <w:rtl/>
        </w:rPr>
        <w:t>נוסח מסמך זה כפוף לשינויי ניסוח ועריכה</w:t>
      </w:r>
    </w:p>
    <w:sectPr w:rsidR="00765EBD" w:rsidRPr="00765EBD" w:rsidSect="00D76ABC">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46009" w14:textId="77777777" w:rsidR="00CE171C" w:rsidRDefault="00CE171C" w:rsidP="005B2677">
      <w:r>
        <w:separator/>
      </w:r>
    </w:p>
  </w:endnote>
  <w:endnote w:type="continuationSeparator" w:id="0">
    <w:p w14:paraId="3A22E291" w14:textId="77777777" w:rsidR="00CE171C" w:rsidRDefault="00CE171C" w:rsidP="005B2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B9DDC" w14:textId="77777777" w:rsidR="00D76ABC" w:rsidRDefault="00D76ABC" w:rsidP="00D76AB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EC3BC0B" w14:textId="77777777" w:rsidR="00A257C7" w:rsidRPr="00D76ABC" w:rsidRDefault="00D76ABC" w:rsidP="00D76ABC">
    <w:pPr>
      <w:pStyle w:val="a5"/>
      <w:pBdr>
        <w:top w:val="single" w:sz="4" w:space="1" w:color="auto"/>
        <w:between w:val="single" w:sz="4" w:space="0" w:color="auto"/>
      </w:pBdr>
      <w:spacing w:after="60"/>
      <w:jc w:val="center"/>
      <w:rPr>
        <w:rFonts w:ascii="FrankRuehl" w:hAnsi="FrankRuehl" w:cs="FrankRuehl"/>
        <w:color w:val="000000"/>
      </w:rPr>
    </w:pPr>
    <w:r w:rsidRPr="00D76AB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4AFD0" w14:textId="77777777" w:rsidR="00D76ABC" w:rsidRDefault="00D76ABC" w:rsidP="00D76AB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37666">
      <w:rPr>
        <w:rFonts w:ascii="FrankRuehl" w:hAnsi="FrankRuehl" w:cs="FrankRuehl"/>
        <w:noProof/>
        <w:rtl/>
      </w:rPr>
      <w:t>1</w:t>
    </w:r>
    <w:r>
      <w:rPr>
        <w:rFonts w:ascii="FrankRuehl" w:hAnsi="FrankRuehl" w:cs="FrankRuehl"/>
        <w:rtl/>
      </w:rPr>
      <w:fldChar w:fldCharType="end"/>
    </w:r>
  </w:p>
  <w:p w14:paraId="6D696646" w14:textId="77777777" w:rsidR="00A257C7" w:rsidRPr="00D76ABC" w:rsidRDefault="00D76ABC" w:rsidP="00D76ABC">
    <w:pPr>
      <w:pStyle w:val="a5"/>
      <w:pBdr>
        <w:top w:val="single" w:sz="4" w:space="1" w:color="auto"/>
        <w:between w:val="single" w:sz="4" w:space="0" w:color="auto"/>
      </w:pBdr>
      <w:spacing w:after="60"/>
      <w:jc w:val="center"/>
      <w:rPr>
        <w:rFonts w:ascii="FrankRuehl" w:hAnsi="FrankRuehl" w:cs="FrankRuehl"/>
        <w:color w:val="000000"/>
      </w:rPr>
    </w:pPr>
    <w:r w:rsidRPr="00D76ABC">
      <w:rPr>
        <w:rFonts w:ascii="FrankRuehl" w:hAnsi="FrankRuehl" w:cs="FrankRuehl"/>
        <w:color w:val="000000"/>
      </w:rPr>
      <w:pict w14:anchorId="4AC7F5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FA472" w14:textId="77777777" w:rsidR="00CE171C" w:rsidRDefault="00CE171C" w:rsidP="005B2677">
      <w:r>
        <w:separator/>
      </w:r>
    </w:p>
  </w:footnote>
  <w:footnote w:type="continuationSeparator" w:id="0">
    <w:p w14:paraId="64E89E86" w14:textId="77777777" w:rsidR="00CE171C" w:rsidRDefault="00CE171C" w:rsidP="005B26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C8820" w14:textId="77777777" w:rsidR="00765EBD" w:rsidRPr="00D76ABC" w:rsidRDefault="00D76ABC" w:rsidP="00D76AB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53124-07-19</w:t>
    </w:r>
    <w:r>
      <w:rPr>
        <w:rFonts w:ascii="David" w:hAnsi="David"/>
        <w:color w:val="000000"/>
        <w:sz w:val="22"/>
        <w:szCs w:val="22"/>
        <w:rtl/>
      </w:rPr>
      <w:tab/>
      <w:t xml:space="preserve"> מדינת ישראל נ' אילן דהן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FEFEF" w14:textId="77777777" w:rsidR="00765EBD" w:rsidRPr="00D76ABC" w:rsidRDefault="00D76ABC" w:rsidP="00D76AB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53124-07-19</w:t>
    </w:r>
    <w:r>
      <w:rPr>
        <w:rFonts w:ascii="David" w:hAnsi="David"/>
        <w:color w:val="000000"/>
        <w:sz w:val="22"/>
        <w:szCs w:val="22"/>
        <w:rtl/>
      </w:rPr>
      <w:tab/>
      <w:t xml:space="preserve"> מדינת ישראל נ' אילן דהן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67CDB"/>
    <w:multiLevelType w:val="hybridMultilevel"/>
    <w:tmpl w:val="8C10E592"/>
    <w:lvl w:ilvl="0" w:tplc="B380DEDC">
      <w:start w:val="1"/>
      <w:numFmt w:val="hebrew1"/>
      <w:lvlText w:val="%1."/>
      <w:lvlJc w:val="left"/>
      <w:pPr>
        <w:ind w:left="420" w:hanging="360"/>
      </w:pPr>
      <w:rPr>
        <w:rFonts w:cs="David"/>
        <w:b/>
        <w:bCs/>
      </w:rPr>
    </w:lvl>
    <w:lvl w:ilvl="1" w:tplc="04090019">
      <w:start w:val="1"/>
      <w:numFmt w:val="lowerLetter"/>
      <w:lvlText w:val="%2."/>
      <w:lvlJc w:val="left"/>
      <w:pPr>
        <w:ind w:left="1140" w:hanging="360"/>
      </w:pPr>
      <w:rPr>
        <w:rFonts w:cs="Times New Roman"/>
      </w:rPr>
    </w:lvl>
    <w:lvl w:ilvl="2" w:tplc="0409001B">
      <w:start w:val="1"/>
      <w:numFmt w:val="lowerRoman"/>
      <w:lvlText w:val="%3."/>
      <w:lvlJc w:val="right"/>
      <w:pPr>
        <w:ind w:left="1860" w:hanging="180"/>
      </w:pPr>
      <w:rPr>
        <w:rFonts w:cs="Times New Roman"/>
      </w:rPr>
    </w:lvl>
    <w:lvl w:ilvl="3" w:tplc="0409000F">
      <w:start w:val="1"/>
      <w:numFmt w:val="decimal"/>
      <w:lvlText w:val="%4."/>
      <w:lvlJc w:val="left"/>
      <w:pPr>
        <w:ind w:left="2580" w:hanging="360"/>
      </w:pPr>
      <w:rPr>
        <w:rFonts w:cs="Times New Roman"/>
      </w:rPr>
    </w:lvl>
    <w:lvl w:ilvl="4" w:tplc="04090019">
      <w:start w:val="1"/>
      <w:numFmt w:val="lowerLetter"/>
      <w:lvlText w:val="%5."/>
      <w:lvlJc w:val="left"/>
      <w:pPr>
        <w:ind w:left="3300" w:hanging="360"/>
      </w:pPr>
      <w:rPr>
        <w:rFonts w:cs="Times New Roman"/>
      </w:rPr>
    </w:lvl>
    <w:lvl w:ilvl="5" w:tplc="0409001B">
      <w:start w:val="1"/>
      <w:numFmt w:val="lowerRoman"/>
      <w:lvlText w:val="%6."/>
      <w:lvlJc w:val="right"/>
      <w:pPr>
        <w:ind w:left="4020" w:hanging="180"/>
      </w:pPr>
      <w:rPr>
        <w:rFonts w:cs="Times New Roman"/>
      </w:rPr>
    </w:lvl>
    <w:lvl w:ilvl="6" w:tplc="0409000F">
      <w:start w:val="1"/>
      <w:numFmt w:val="decimal"/>
      <w:lvlText w:val="%7."/>
      <w:lvlJc w:val="left"/>
      <w:pPr>
        <w:ind w:left="4740" w:hanging="360"/>
      </w:pPr>
      <w:rPr>
        <w:rFonts w:cs="Times New Roman"/>
      </w:rPr>
    </w:lvl>
    <w:lvl w:ilvl="7" w:tplc="04090019">
      <w:start w:val="1"/>
      <w:numFmt w:val="lowerLetter"/>
      <w:lvlText w:val="%8."/>
      <w:lvlJc w:val="left"/>
      <w:pPr>
        <w:ind w:left="5460" w:hanging="360"/>
      </w:pPr>
      <w:rPr>
        <w:rFonts w:cs="Times New Roman"/>
      </w:rPr>
    </w:lvl>
    <w:lvl w:ilvl="8" w:tplc="0409001B">
      <w:start w:val="1"/>
      <w:numFmt w:val="lowerRoman"/>
      <w:lvlText w:val="%9."/>
      <w:lvlJc w:val="right"/>
      <w:pPr>
        <w:ind w:left="6180" w:hanging="180"/>
      </w:pPr>
      <w:rPr>
        <w:rFonts w:cs="Times New Roman"/>
      </w:rPr>
    </w:lvl>
  </w:abstractNum>
  <w:abstractNum w:abstractNumId="1" w15:restartNumberingAfterBreak="0">
    <w:nsid w:val="2F8C5838"/>
    <w:multiLevelType w:val="hybridMultilevel"/>
    <w:tmpl w:val="23ACC0BE"/>
    <w:lvl w:ilvl="0" w:tplc="E7D21300">
      <w:start w:val="1"/>
      <w:numFmt w:val="hebrew1"/>
      <w:lvlText w:val="%1."/>
      <w:lvlJc w:val="left"/>
      <w:pPr>
        <w:ind w:left="720" w:hanging="360"/>
      </w:pPr>
      <w:rPr>
        <w:rFonts w:ascii="David" w:hAnsi="David" w:cs="David" w:hint="default"/>
        <w:b/>
        <w:bC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765C0B4F"/>
    <w:multiLevelType w:val="hybridMultilevel"/>
    <w:tmpl w:val="8906162C"/>
    <w:lvl w:ilvl="0" w:tplc="788E6434">
      <w:start w:val="1"/>
      <w:numFmt w:val="decimal"/>
      <w:lvlText w:val="%1."/>
      <w:lvlJc w:val="left"/>
      <w:pPr>
        <w:ind w:left="1176" w:hanging="816"/>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557088990">
    <w:abstractNumId w:val="1"/>
  </w:num>
  <w:num w:numId="2" w16cid:durableId="1766421444">
    <w:abstractNumId w:val="2"/>
  </w:num>
  <w:num w:numId="3" w16cid:durableId="18046178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6179F"/>
    <w:rsid w:val="0004797A"/>
    <w:rsid w:val="00095BC3"/>
    <w:rsid w:val="001B5A3B"/>
    <w:rsid w:val="00364ABC"/>
    <w:rsid w:val="005958F2"/>
    <w:rsid w:val="005B2677"/>
    <w:rsid w:val="00620A56"/>
    <w:rsid w:val="00765EBD"/>
    <w:rsid w:val="00A257C7"/>
    <w:rsid w:val="00CE171C"/>
    <w:rsid w:val="00D118D0"/>
    <w:rsid w:val="00D6179F"/>
    <w:rsid w:val="00D76ABC"/>
    <w:rsid w:val="00E074A5"/>
    <w:rsid w:val="00E37666"/>
    <w:rsid w:val="00EA50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61920C"/>
  <w15:chartTrackingRefBased/>
  <w15:docId w15:val="{FD105374-5714-4948-9391-E6668EA6F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6179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6179F"/>
    <w:pPr>
      <w:tabs>
        <w:tab w:val="center" w:pos="4153"/>
        <w:tab w:val="right" w:pos="8306"/>
      </w:tabs>
    </w:pPr>
  </w:style>
  <w:style w:type="character" w:customStyle="1" w:styleId="a4">
    <w:name w:val="כותרת עליונה תו"/>
    <w:link w:val="a3"/>
    <w:rsid w:val="00D6179F"/>
    <w:rPr>
      <w:rFonts w:ascii="Times New Roman" w:eastAsia="Times New Roman" w:hAnsi="Times New Roman" w:cs="David"/>
      <w:sz w:val="24"/>
      <w:szCs w:val="24"/>
    </w:rPr>
  </w:style>
  <w:style w:type="paragraph" w:styleId="a5">
    <w:name w:val="footer"/>
    <w:basedOn w:val="a"/>
    <w:link w:val="a6"/>
    <w:rsid w:val="00D6179F"/>
    <w:pPr>
      <w:tabs>
        <w:tab w:val="center" w:pos="4153"/>
        <w:tab w:val="right" w:pos="8306"/>
      </w:tabs>
    </w:pPr>
  </w:style>
  <w:style w:type="character" w:customStyle="1" w:styleId="a6">
    <w:name w:val="כותרת תחתונה תו"/>
    <w:link w:val="a5"/>
    <w:rsid w:val="00D6179F"/>
    <w:rPr>
      <w:rFonts w:ascii="Times New Roman" w:eastAsia="Times New Roman" w:hAnsi="Times New Roman" w:cs="David"/>
      <w:sz w:val="24"/>
      <w:szCs w:val="24"/>
    </w:rPr>
  </w:style>
  <w:style w:type="table" w:styleId="a7">
    <w:name w:val="Table Grid"/>
    <w:basedOn w:val="a1"/>
    <w:rsid w:val="00D6179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6179F"/>
  </w:style>
  <w:style w:type="character" w:styleId="Hyperlink">
    <w:name w:val="Hyperlink"/>
    <w:rsid w:val="00765E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40ja" TargetMode="External"/><Relationship Id="rId21" Type="http://schemas.openxmlformats.org/officeDocument/2006/relationships/hyperlink" Target="http://www.nevo.co.il/case/24417058" TargetMode="External"/><Relationship Id="rId34" Type="http://schemas.openxmlformats.org/officeDocument/2006/relationships/hyperlink" Target="http://www.nevo.co.il/law/70301/40jc" TargetMode="External"/><Relationship Id="rId42" Type="http://schemas.openxmlformats.org/officeDocument/2006/relationships/hyperlink" Target="http://www.nevo.co.il/law/4216"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9" Type="http://schemas.openxmlformats.org/officeDocument/2006/relationships/hyperlink" Target="http://www.nevo.co.il/case/4071256" TargetMode="External"/><Relationship Id="rId11" Type="http://schemas.openxmlformats.org/officeDocument/2006/relationships/hyperlink" Target="http://www.nevo.co.il/law/70301/40i" TargetMode="External"/><Relationship Id="rId24" Type="http://schemas.openxmlformats.org/officeDocument/2006/relationships/hyperlink" Target="http://www.nevo.co.il/case/3879052" TargetMode="External"/><Relationship Id="rId32" Type="http://schemas.openxmlformats.org/officeDocument/2006/relationships/hyperlink" Target="http://www.nevo.co.il/law/70301/40i" TargetMode="External"/><Relationship Id="rId37" Type="http://schemas.openxmlformats.org/officeDocument/2006/relationships/hyperlink" Target="http://www.nevo.co.il/case/22836395" TargetMode="External"/><Relationship Id="rId40" Type="http://schemas.openxmlformats.org/officeDocument/2006/relationships/hyperlink" Target="http://www.nevo.co.il/law/4216"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11252981" TargetMode="External"/><Relationship Id="rId28" Type="http://schemas.openxmlformats.org/officeDocument/2006/relationships/hyperlink" Target="http://www.nevo.co.il/case/7787782" TargetMode="External"/><Relationship Id="rId36" Type="http://schemas.openxmlformats.org/officeDocument/2006/relationships/hyperlink" Target="http://www.nevo.co.il/case/20228235" TargetMode="External"/><Relationship Id="rId49"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21644133" TargetMode="External"/><Relationship Id="rId31" Type="http://schemas.openxmlformats.org/officeDocument/2006/relationships/hyperlink" Target="http://www.nevo.co.il/case/4914678"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5860175" TargetMode="External"/><Relationship Id="rId27" Type="http://schemas.openxmlformats.org/officeDocument/2006/relationships/hyperlink" Target="http://www.nevo.co.il/law/70301/40jc" TargetMode="External"/><Relationship Id="rId30" Type="http://schemas.openxmlformats.org/officeDocument/2006/relationships/hyperlink" Target="http://www.nevo.co.il/case/4900850" TargetMode="External"/><Relationship Id="rId35" Type="http://schemas.openxmlformats.org/officeDocument/2006/relationships/hyperlink" Target="http://www.nevo.co.il/case/20632055" TargetMode="External"/><Relationship Id="rId43" Type="http://schemas.openxmlformats.org/officeDocument/2006/relationships/hyperlink" Target="http://www.nevo.co.il/law/4216" TargetMode="External"/><Relationship Id="rId48"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i"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5547676" TargetMode="External"/><Relationship Id="rId46" Type="http://schemas.openxmlformats.org/officeDocument/2006/relationships/header" Target="header2.xml"/><Relationship Id="rId20" Type="http://schemas.openxmlformats.org/officeDocument/2006/relationships/hyperlink" Target="http://www.nevo.co.il/case/5844852" TargetMode="External"/><Relationship Id="rId41"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2692</Words>
  <Characters>13464</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16124</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8257637</vt:i4>
      </vt:variant>
      <vt:variant>
        <vt:i4>108</vt:i4>
      </vt:variant>
      <vt:variant>
        <vt:i4>0</vt:i4>
      </vt:variant>
      <vt:variant>
        <vt:i4>5</vt:i4>
      </vt:variant>
      <vt:variant>
        <vt:lpwstr>http://www.nevo.co.il/law/4216</vt:lpwstr>
      </vt:variant>
      <vt:variant>
        <vt:lpwstr/>
      </vt:variant>
      <vt:variant>
        <vt:i4>8257637</vt:i4>
      </vt:variant>
      <vt:variant>
        <vt:i4>105</vt:i4>
      </vt:variant>
      <vt:variant>
        <vt:i4>0</vt:i4>
      </vt:variant>
      <vt:variant>
        <vt:i4>5</vt:i4>
      </vt:variant>
      <vt:variant>
        <vt:lpwstr>http://www.nevo.co.il/law/4216</vt:lpwstr>
      </vt:variant>
      <vt:variant>
        <vt:lpwstr/>
      </vt:variant>
      <vt:variant>
        <vt:i4>8257637</vt:i4>
      </vt:variant>
      <vt:variant>
        <vt:i4>102</vt:i4>
      </vt:variant>
      <vt:variant>
        <vt:i4>0</vt:i4>
      </vt:variant>
      <vt:variant>
        <vt:i4>5</vt:i4>
      </vt:variant>
      <vt:variant>
        <vt:lpwstr>http://www.nevo.co.il/law/4216</vt:lpwstr>
      </vt:variant>
      <vt:variant>
        <vt:lpwstr/>
      </vt:variant>
      <vt:variant>
        <vt:i4>8257637</vt:i4>
      </vt:variant>
      <vt:variant>
        <vt:i4>99</vt:i4>
      </vt:variant>
      <vt:variant>
        <vt:i4>0</vt:i4>
      </vt:variant>
      <vt:variant>
        <vt:i4>5</vt:i4>
      </vt:variant>
      <vt:variant>
        <vt:lpwstr>http://www.nevo.co.il/law/4216</vt:lpwstr>
      </vt:variant>
      <vt:variant>
        <vt:lpwstr/>
      </vt:variant>
      <vt:variant>
        <vt:i4>262155</vt:i4>
      </vt:variant>
      <vt:variant>
        <vt:i4>96</vt:i4>
      </vt:variant>
      <vt:variant>
        <vt:i4>0</vt:i4>
      </vt:variant>
      <vt:variant>
        <vt:i4>5</vt:i4>
      </vt:variant>
      <vt:variant>
        <vt:lpwstr>http://www.nevo.co.il/law/70301/40ja</vt:lpwstr>
      </vt:variant>
      <vt:variant>
        <vt:lpwstr/>
      </vt:variant>
      <vt:variant>
        <vt:i4>3604595</vt:i4>
      </vt:variant>
      <vt:variant>
        <vt:i4>93</vt:i4>
      </vt:variant>
      <vt:variant>
        <vt:i4>0</vt:i4>
      </vt:variant>
      <vt:variant>
        <vt:i4>5</vt:i4>
      </vt:variant>
      <vt:variant>
        <vt:lpwstr>http://www.nevo.co.il/case/25547676</vt:lpwstr>
      </vt:variant>
      <vt:variant>
        <vt:lpwstr/>
      </vt:variant>
      <vt:variant>
        <vt:i4>3473526</vt:i4>
      </vt:variant>
      <vt:variant>
        <vt:i4>90</vt:i4>
      </vt:variant>
      <vt:variant>
        <vt:i4>0</vt:i4>
      </vt:variant>
      <vt:variant>
        <vt:i4>5</vt:i4>
      </vt:variant>
      <vt:variant>
        <vt:lpwstr>http://www.nevo.co.il/case/22836395</vt:lpwstr>
      </vt:variant>
      <vt:variant>
        <vt:lpwstr/>
      </vt:variant>
      <vt:variant>
        <vt:i4>3866740</vt:i4>
      </vt:variant>
      <vt:variant>
        <vt:i4>87</vt:i4>
      </vt:variant>
      <vt:variant>
        <vt:i4>0</vt:i4>
      </vt:variant>
      <vt:variant>
        <vt:i4>5</vt:i4>
      </vt:variant>
      <vt:variant>
        <vt:lpwstr>http://www.nevo.co.il/case/20228235</vt:lpwstr>
      </vt:variant>
      <vt:variant>
        <vt:lpwstr/>
      </vt:variant>
      <vt:variant>
        <vt:i4>3342455</vt:i4>
      </vt:variant>
      <vt:variant>
        <vt:i4>84</vt:i4>
      </vt:variant>
      <vt:variant>
        <vt:i4>0</vt:i4>
      </vt:variant>
      <vt:variant>
        <vt:i4>5</vt:i4>
      </vt:variant>
      <vt:variant>
        <vt:lpwstr>http://www.nevo.co.il/case/20632055</vt:lpwstr>
      </vt:variant>
      <vt:variant>
        <vt:lpwstr/>
      </vt:variant>
      <vt:variant>
        <vt:i4>393227</vt:i4>
      </vt:variant>
      <vt:variant>
        <vt:i4>81</vt:i4>
      </vt:variant>
      <vt:variant>
        <vt:i4>0</vt:i4>
      </vt:variant>
      <vt:variant>
        <vt:i4>5</vt:i4>
      </vt:variant>
      <vt:variant>
        <vt:lpwstr>http://www.nevo.co.il/law/70301/40jc</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http://www.nevo.co.il/law/70301/40i</vt:lpwstr>
      </vt:variant>
      <vt:variant>
        <vt:lpwstr/>
      </vt:variant>
      <vt:variant>
        <vt:i4>3866750</vt:i4>
      </vt:variant>
      <vt:variant>
        <vt:i4>72</vt:i4>
      </vt:variant>
      <vt:variant>
        <vt:i4>0</vt:i4>
      </vt:variant>
      <vt:variant>
        <vt:i4>5</vt:i4>
      </vt:variant>
      <vt:variant>
        <vt:lpwstr>http://www.nevo.co.il/case/4914678</vt:lpwstr>
      </vt:variant>
      <vt:variant>
        <vt:lpwstr/>
      </vt:variant>
      <vt:variant>
        <vt:i4>3932280</vt:i4>
      </vt:variant>
      <vt:variant>
        <vt:i4>69</vt:i4>
      </vt:variant>
      <vt:variant>
        <vt:i4>0</vt:i4>
      </vt:variant>
      <vt:variant>
        <vt:i4>5</vt:i4>
      </vt:variant>
      <vt:variant>
        <vt:lpwstr>http://www.nevo.co.il/case/4900850</vt:lpwstr>
      </vt:variant>
      <vt:variant>
        <vt:lpwstr/>
      </vt:variant>
      <vt:variant>
        <vt:i4>3604592</vt:i4>
      </vt:variant>
      <vt:variant>
        <vt:i4>66</vt:i4>
      </vt:variant>
      <vt:variant>
        <vt:i4>0</vt:i4>
      </vt:variant>
      <vt:variant>
        <vt:i4>5</vt:i4>
      </vt:variant>
      <vt:variant>
        <vt:lpwstr>http://www.nevo.co.il/case/4071256</vt:lpwstr>
      </vt:variant>
      <vt:variant>
        <vt:lpwstr/>
      </vt:variant>
      <vt:variant>
        <vt:i4>3801212</vt:i4>
      </vt:variant>
      <vt:variant>
        <vt:i4>63</vt:i4>
      </vt:variant>
      <vt:variant>
        <vt:i4>0</vt:i4>
      </vt:variant>
      <vt:variant>
        <vt:i4>5</vt:i4>
      </vt:variant>
      <vt:variant>
        <vt:lpwstr>http://www.nevo.co.il/case/7787782</vt:lpwstr>
      </vt:variant>
      <vt:variant>
        <vt:lpwstr/>
      </vt:variant>
      <vt:variant>
        <vt:i4>393227</vt:i4>
      </vt:variant>
      <vt:variant>
        <vt:i4>60</vt:i4>
      </vt:variant>
      <vt:variant>
        <vt:i4>0</vt:i4>
      </vt:variant>
      <vt:variant>
        <vt:i4>5</vt:i4>
      </vt:variant>
      <vt:variant>
        <vt:lpwstr>http://www.nevo.co.il/law/70301/40jc</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3539056</vt:i4>
      </vt:variant>
      <vt:variant>
        <vt:i4>51</vt:i4>
      </vt:variant>
      <vt:variant>
        <vt:i4>0</vt:i4>
      </vt:variant>
      <vt:variant>
        <vt:i4>5</vt:i4>
      </vt:variant>
      <vt:variant>
        <vt:lpwstr>http://www.nevo.co.il/case/3879052</vt:lpwstr>
      </vt:variant>
      <vt:variant>
        <vt:lpwstr/>
      </vt:variant>
      <vt:variant>
        <vt:i4>3735673</vt:i4>
      </vt:variant>
      <vt:variant>
        <vt:i4>48</vt:i4>
      </vt:variant>
      <vt:variant>
        <vt:i4>0</vt:i4>
      </vt:variant>
      <vt:variant>
        <vt:i4>5</vt:i4>
      </vt:variant>
      <vt:variant>
        <vt:lpwstr>http://www.nevo.co.il/case/11252981</vt:lpwstr>
      </vt:variant>
      <vt:variant>
        <vt:lpwstr/>
      </vt:variant>
      <vt:variant>
        <vt:i4>3604603</vt:i4>
      </vt:variant>
      <vt:variant>
        <vt:i4>45</vt:i4>
      </vt:variant>
      <vt:variant>
        <vt:i4>0</vt:i4>
      </vt:variant>
      <vt:variant>
        <vt:i4>5</vt:i4>
      </vt:variant>
      <vt:variant>
        <vt:lpwstr>http://www.nevo.co.il/case/5860175</vt:lpwstr>
      </vt:variant>
      <vt:variant>
        <vt:lpwstr/>
      </vt:variant>
      <vt:variant>
        <vt:i4>3407985</vt:i4>
      </vt:variant>
      <vt:variant>
        <vt:i4>42</vt:i4>
      </vt:variant>
      <vt:variant>
        <vt:i4>0</vt:i4>
      </vt:variant>
      <vt:variant>
        <vt:i4>5</vt:i4>
      </vt:variant>
      <vt:variant>
        <vt:lpwstr>http://www.nevo.co.il/case/24417058</vt:lpwstr>
      </vt:variant>
      <vt:variant>
        <vt:lpwstr/>
      </vt:variant>
      <vt:variant>
        <vt:i4>3866749</vt:i4>
      </vt:variant>
      <vt:variant>
        <vt:i4>39</vt:i4>
      </vt:variant>
      <vt:variant>
        <vt:i4>0</vt:i4>
      </vt:variant>
      <vt:variant>
        <vt:i4>5</vt:i4>
      </vt:variant>
      <vt:variant>
        <vt:lpwstr>http://www.nevo.co.il/case/5844852</vt:lpwstr>
      </vt:variant>
      <vt:variant>
        <vt:lpwstr/>
      </vt:variant>
      <vt:variant>
        <vt:i4>3342448</vt:i4>
      </vt:variant>
      <vt:variant>
        <vt:i4>36</vt:i4>
      </vt:variant>
      <vt:variant>
        <vt:i4>0</vt:i4>
      </vt:variant>
      <vt:variant>
        <vt:i4>5</vt:i4>
      </vt:variant>
      <vt:variant>
        <vt:lpwstr>http://www.nevo.co.il/case/21644133</vt:lpwstr>
      </vt:variant>
      <vt:variant>
        <vt:lpwstr/>
      </vt:variant>
      <vt:variant>
        <vt:i4>7995492</vt:i4>
      </vt:variant>
      <vt:variant>
        <vt:i4>33</vt:i4>
      </vt:variant>
      <vt:variant>
        <vt:i4>0</vt:i4>
      </vt:variant>
      <vt:variant>
        <vt:i4>5</vt:i4>
      </vt:variant>
      <vt:variant>
        <vt:lpwstr>http://www.nevo.co.il/law/70301</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2025-04-23T00:14:00Z</dcterms:created>
  <dcterms:modified xsi:type="dcterms:W3CDTF">2025-04-23T00:14:00Z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53124</vt:lpwstr>
  </property>
  <property fmtid="{D5CDD505-2E9C-101B-9397-08002B2CF9AE}" pid="6" name="NEWPARTB">
    <vt:lpwstr>07</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אילן דהן</vt:lpwstr>
  </property>
  <property fmtid="{D5CDD505-2E9C-101B-9397-08002B2CF9AE}" pid="10" name="LAWYER">
    <vt:lpwstr>ליברזון;וקסלר</vt:lpwstr>
  </property>
  <property fmtid="{D5CDD505-2E9C-101B-9397-08002B2CF9AE}" pid="11" name="JUDGE">
    <vt:lpwstr>טל לחיאני שהם</vt:lpwstr>
  </property>
  <property fmtid="{D5CDD505-2E9C-101B-9397-08002B2CF9AE}" pid="12" name="CITY">
    <vt:lpwstr>ק"ג</vt:lpwstr>
  </property>
  <property fmtid="{D5CDD505-2E9C-101B-9397-08002B2CF9AE}" pid="13" name="DATE">
    <vt:lpwstr>20220403</vt:lpwstr>
  </property>
  <property fmtid="{D5CDD505-2E9C-101B-9397-08002B2CF9AE}" pid="14" name="TYPE_N_DATE">
    <vt:lpwstr>38020220403</vt:lpwstr>
  </property>
  <property fmtid="{D5CDD505-2E9C-101B-9397-08002B2CF9AE}" pid="15" name="WORDNUMPAGES">
    <vt:lpwstr>8</vt:lpwstr>
  </property>
  <property fmtid="{D5CDD505-2E9C-101B-9397-08002B2CF9AE}" pid="16" name="TYPE_ABS_DATE">
    <vt:lpwstr>380020220403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21644133;5844852;24417058;5860175;11252981;3879052;7787782;4071256;4900850;4914678;20632055;20228235;22836395;25547676</vt:lpwstr>
  </property>
  <property fmtid="{D5CDD505-2E9C-101B-9397-08002B2CF9AE}" pid="36" name="LAWLISTTMP1">
    <vt:lpwstr>4216/007.a:2;007.c:2</vt:lpwstr>
  </property>
  <property fmtid="{D5CDD505-2E9C-101B-9397-08002B2CF9AE}" pid="37" name="LAWLISTTMP2">
    <vt:lpwstr>70301/040i:2;40jc:2;40ja</vt:lpwstr>
  </property>
</Properties>
</file>