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121F6B" w:rsidRPr="00AB4467" w14:paraId="5001C261" w14:textId="77777777" w:rsidTr="002C4505">
        <w:trPr>
          <w:trHeight w:hRule="exact" w:val="993"/>
          <w:jc w:val="center"/>
        </w:trPr>
        <w:tc>
          <w:tcPr>
            <w:tcW w:w="8505" w:type="dxa"/>
          </w:tcPr>
          <w:p w14:paraId="65FDADCF" w14:textId="77777777" w:rsidR="00121F6B" w:rsidRPr="00AB4467" w:rsidRDefault="00121F6B" w:rsidP="002C4505">
            <w:pPr>
              <w:pStyle w:val="a3"/>
              <w:jc w:val="center"/>
              <w:rPr>
                <w:rFonts w:ascii="Tahoma" w:hAnsi="Tahoma"/>
                <w:noProof w:val="0"/>
                <w:color w:val="000080"/>
                <w:sz w:val="32"/>
                <w:szCs w:val="32"/>
                <w:rtl/>
              </w:rPr>
            </w:pPr>
            <w:bookmarkStart w:id="0" w:name="LastJudge"/>
            <w:r w:rsidRPr="00AB4467">
              <w:rPr>
                <w:rFonts w:ascii="Tahoma" w:hAnsi="Tahoma"/>
                <w:b/>
                <w:bCs/>
                <w:color w:val="000080"/>
                <w:sz w:val="32"/>
                <w:szCs w:val="32"/>
                <w:rtl/>
              </w:rPr>
              <w:t>בית משפט השלום בתל אביב - יפו</w:t>
            </w:r>
          </w:p>
        </w:tc>
      </w:tr>
      <w:tr w:rsidR="00121F6B" w:rsidRPr="00AB4467" w14:paraId="2D5EDFDB" w14:textId="77777777" w:rsidTr="002C4505">
        <w:trPr>
          <w:trHeight w:val="337"/>
          <w:jc w:val="center"/>
        </w:trPr>
        <w:tc>
          <w:tcPr>
            <w:tcW w:w="8505" w:type="dxa"/>
          </w:tcPr>
          <w:p w14:paraId="6E8AD775" w14:textId="77777777" w:rsidR="00121F6B" w:rsidRPr="00AB4467" w:rsidRDefault="00121F6B" w:rsidP="002C4505">
            <w:pPr>
              <w:rPr>
                <w:b/>
                <w:bCs/>
                <w:noProof w:val="0"/>
                <w:sz w:val="26"/>
                <w:szCs w:val="26"/>
                <w:rtl/>
              </w:rPr>
            </w:pPr>
            <w:r w:rsidRPr="00AB4467">
              <w:rPr>
                <w:b/>
                <w:bCs/>
                <w:noProof w:val="0"/>
                <w:sz w:val="26"/>
                <w:szCs w:val="26"/>
                <w:rtl/>
              </w:rPr>
              <w:t>ת"פ 66195-07-19 מדינת ישראל נ' זועבי</w:t>
            </w:r>
          </w:p>
          <w:p w14:paraId="5F7883A3" w14:textId="77777777" w:rsidR="00121F6B" w:rsidRPr="00AB4467" w:rsidRDefault="00121F6B" w:rsidP="002C4505">
            <w:pPr>
              <w:rPr>
                <w:sz w:val="26"/>
                <w:szCs w:val="26"/>
                <w:rtl/>
              </w:rPr>
            </w:pPr>
            <w:r w:rsidRPr="00AB4467">
              <w:rPr>
                <w:rFonts w:hint="cs"/>
                <w:sz w:val="26"/>
                <w:szCs w:val="26"/>
                <w:rtl/>
              </w:rPr>
              <w:t xml:space="preserve">                                                                  </w:t>
            </w:r>
            <w:r w:rsidRPr="00AB4467">
              <w:rPr>
                <w:sz w:val="26"/>
                <w:szCs w:val="26"/>
                <w:rtl/>
              </w:rPr>
              <w:t xml:space="preserve">  </w:t>
            </w:r>
          </w:p>
        </w:tc>
      </w:tr>
    </w:tbl>
    <w:p w14:paraId="2BBE8DA8" w14:textId="77777777" w:rsidR="00121F6B" w:rsidRPr="00AB4467" w:rsidRDefault="00121F6B" w:rsidP="00121F6B">
      <w:pPr>
        <w:pStyle w:val="a3"/>
        <w:rPr>
          <w:noProof w:val="0"/>
          <w:sz w:val="26"/>
          <w:szCs w:val="26"/>
          <w:rtl/>
        </w:rPr>
      </w:pPr>
    </w:p>
    <w:p w14:paraId="484D293E" w14:textId="77777777" w:rsidR="00121F6B" w:rsidRPr="00AB4467" w:rsidRDefault="00121F6B" w:rsidP="00121F6B">
      <w:pPr>
        <w:rPr>
          <w:sz w:val="26"/>
          <w:szCs w:val="26"/>
          <w:rtl/>
        </w:rPr>
      </w:pPr>
    </w:p>
    <w:p w14:paraId="533406BD" w14:textId="77777777" w:rsidR="00121F6B" w:rsidRPr="00AB4467" w:rsidRDefault="00121F6B" w:rsidP="00121F6B">
      <w:pPr>
        <w:rPr>
          <w:sz w:val="26"/>
          <w:szCs w:val="26"/>
          <w:rtl/>
        </w:rPr>
      </w:pPr>
    </w:p>
    <w:tbl>
      <w:tblPr>
        <w:tblpPr w:leftFromText="180" w:rightFromText="180" w:vertAnchor="text" w:tblpY="-196"/>
        <w:bidiVisual/>
        <w:tblW w:w="0" w:type="auto"/>
        <w:tblLook w:val="01E0" w:firstRow="1" w:lastRow="1" w:firstColumn="1" w:lastColumn="1" w:noHBand="0" w:noVBand="0"/>
      </w:tblPr>
      <w:tblGrid>
        <w:gridCol w:w="3143"/>
        <w:gridCol w:w="5362"/>
      </w:tblGrid>
      <w:tr w:rsidR="00121F6B" w:rsidRPr="00AB4467" w14:paraId="3DBA1B52" w14:textId="77777777" w:rsidTr="00121F6B">
        <w:tc>
          <w:tcPr>
            <w:tcW w:w="8505" w:type="dxa"/>
            <w:gridSpan w:val="2"/>
            <w:shd w:val="clear" w:color="auto" w:fill="auto"/>
          </w:tcPr>
          <w:p w14:paraId="0DF36AFD" w14:textId="77777777" w:rsidR="00121F6B" w:rsidRPr="00AB4467" w:rsidRDefault="00121F6B" w:rsidP="00121F6B">
            <w:pPr>
              <w:jc w:val="both"/>
              <w:rPr>
                <w:rFonts w:ascii="Arial" w:hAnsi="Arial"/>
                <w:b/>
                <w:bCs/>
                <w:sz w:val="26"/>
                <w:szCs w:val="26"/>
                <w:rtl/>
              </w:rPr>
            </w:pPr>
            <w:r w:rsidRPr="00AB4467">
              <w:rPr>
                <w:rFonts w:ascii="Arial" w:hAnsi="Arial" w:hint="cs"/>
                <w:b/>
                <w:bCs/>
                <w:sz w:val="26"/>
                <w:szCs w:val="26"/>
                <w:rtl/>
              </w:rPr>
              <w:t>ל</w:t>
            </w:r>
            <w:r w:rsidRPr="00AB4467">
              <w:rPr>
                <w:rFonts w:ascii="Arial" w:hAnsi="Arial"/>
                <w:b/>
                <w:bCs/>
                <w:sz w:val="26"/>
                <w:szCs w:val="26"/>
                <w:rtl/>
              </w:rPr>
              <w:t>פני</w:t>
            </w:r>
            <w:r w:rsidRPr="00AB4467">
              <w:rPr>
                <w:rFonts w:ascii="Arial" w:hAnsi="Arial" w:hint="cs"/>
                <w:b/>
                <w:bCs/>
                <w:sz w:val="26"/>
                <w:szCs w:val="26"/>
                <w:rtl/>
              </w:rPr>
              <w:t xml:space="preserve"> כבוד ה</w:t>
            </w:r>
            <w:r w:rsidRPr="00AB4467">
              <w:rPr>
                <w:rFonts w:ascii="Arial" w:hAnsi="Arial"/>
                <w:b/>
                <w:bCs/>
                <w:sz w:val="26"/>
                <w:szCs w:val="26"/>
                <w:rtl/>
              </w:rPr>
              <w:t>שופט</w:t>
            </w:r>
            <w:r w:rsidRPr="00AB4467">
              <w:rPr>
                <w:rFonts w:ascii="Arial" w:hAnsi="Arial" w:hint="cs"/>
                <w:b/>
                <w:bCs/>
                <w:sz w:val="26"/>
                <w:szCs w:val="26"/>
                <w:rtl/>
              </w:rPr>
              <w:t xml:space="preserve"> </w:t>
            </w:r>
            <w:r w:rsidRPr="00AB4467">
              <w:rPr>
                <w:rFonts w:ascii="Arial" w:hAnsi="Arial"/>
                <w:b/>
                <w:bCs/>
                <w:sz w:val="26"/>
                <w:szCs w:val="26"/>
                <w:rtl/>
              </w:rPr>
              <w:t>שמואל מלמד</w:t>
            </w:r>
          </w:p>
          <w:p w14:paraId="4E5C15B8" w14:textId="77777777" w:rsidR="00121F6B" w:rsidRPr="00AB4467" w:rsidRDefault="00121F6B" w:rsidP="00121F6B">
            <w:pPr>
              <w:jc w:val="both"/>
              <w:rPr>
                <w:rFonts w:ascii="Arial" w:hAnsi="Arial"/>
                <w:b/>
                <w:bCs/>
                <w:sz w:val="26"/>
                <w:szCs w:val="26"/>
              </w:rPr>
            </w:pPr>
          </w:p>
        </w:tc>
      </w:tr>
      <w:tr w:rsidR="00121F6B" w:rsidRPr="00AB4467" w14:paraId="38FE3CEC" w14:textId="77777777" w:rsidTr="00121F6B">
        <w:tc>
          <w:tcPr>
            <w:tcW w:w="3143" w:type="dxa"/>
            <w:shd w:val="clear" w:color="auto" w:fill="auto"/>
          </w:tcPr>
          <w:p w14:paraId="27B6ECB6" w14:textId="77777777" w:rsidR="00121F6B" w:rsidRPr="00AB4467" w:rsidRDefault="00121F6B" w:rsidP="00121F6B">
            <w:pPr>
              <w:rPr>
                <w:rFonts w:ascii="Arial" w:hAnsi="Arial"/>
                <w:b/>
                <w:bCs/>
                <w:noProof w:val="0"/>
                <w:sz w:val="26"/>
                <w:szCs w:val="26"/>
                <w:rtl/>
              </w:rPr>
            </w:pPr>
            <w:bookmarkStart w:id="1" w:name="FirstAppellant"/>
            <w:r w:rsidRPr="00AB4467">
              <w:rPr>
                <w:rFonts w:hint="cs"/>
                <w:b/>
                <w:bCs/>
                <w:sz w:val="26"/>
                <w:szCs w:val="26"/>
                <w:rtl/>
              </w:rPr>
              <w:t>ה</w:t>
            </w:r>
            <w:r w:rsidRPr="00AB4467">
              <w:rPr>
                <w:rFonts w:ascii="Arial" w:hAnsi="Arial"/>
                <w:b/>
                <w:bCs/>
                <w:noProof w:val="0"/>
                <w:sz w:val="26"/>
                <w:szCs w:val="26"/>
                <w:rtl/>
              </w:rPr>
              <w:t>מאשימה</w:t>
            </w:r>
            <w:r w:rsidRPr="00AB4467">
              <w:rPr>
                <w:rFonts w:ascii="Arial" w:hAnsi="Arial" w:hint="cs"/>
                <w:b/>
                <w:bCs/>
                <w:noProof w:val="0"/>
                <w:sz w:val="26"/>
                <w:szCs w:val="26"/>
                <w:rtl/>
              </w:rPr>
              <w:t>:</w:t>
            </w:r>
          </w:p>
        </w:tc>
        <w:tc>
          <w:tcPr>
            <w:tcW w:w="5362" w:type="dxa"/>
            <w:shd w:val="clear" w:color="auto" w:fill="auto"/>
          </w:tcPr>
          <w:p w14:paraId="2FA3C661" w14:textId="77777777" w:rsidR="00121F6B" w:rsidRPr="00AB4467" w:rsidRDefault="00121F6B" w:rsidP="00121F6B">
            <w:pPr>
              <w:rPr>
                <w:sz w:val="26"/>
                <w:szCs w:val="26"/>
              </w:rPr>
            </w:pPr>
            <w:r w:rsidRPr="00AB4467">
              <w:rPr>
                <w:rFonts w:ascii="Arial" w:hAnsi="Arial"/>
                <w:b/>
                <w:bCs/>
                <w:noProof w:val="0"/>
                <w:sz w:val="26"/>
                <w:szCs w:val="26"/>
                <w:rtl/>
              </w:rPr>
              <w:t>מדינת ישראל</w:t>
            </w:r>
          </w:p>
        </w:tc>
      </w:tr>
      <w:bookmarkEnd w:id="1"/>
      <w:tr w:rsidR="00121F6B" w:rsidRPr="00AB4467" w14:paraId="10113DC5" w14:textId="77777777" w:rsidTr="00121F6B">
        <w:trPr>
          <w:trHeight w:val="601"/>
        </w:trPr>
        <w:tc>
          <w:tcPr>
            <w:tcW w:w="8505" w:type="dxa"/>
            <w:gridSpan w:val="2"/>
            <w:shd w:val="clear" w:color="auto" w:fill="auto"/>
          </w:tcPr>
          <w:p w14:paraId="0C7400BB" w14:textId="77777777" w:rsidR="00121F6B" w:rsidRPr="00AB4467" w:rsidRDefault="00121F6B" w:rsidP="00121F6B">
            <w:pPr>
              <w:rPr>
                <w:rFonts w:ascii="Arial" w:hAnsi="Arial"/>
                <w:b/>
                <w:bCs/>
                <w:noProof w:val="0"/>
                <w:sz w:val="26"/>
                <w:szCs w:val="26"/>
                <w:rtl/>
              </w:rPr>
            </w:pPr>
          </w:p>
          <w:p w14:paraId="594CB4FD" w14:textId="77777777" w:rsidR="00121F6B" w:rsidRPr="00AB4467" w:rsidRDefault="00121F6B" w:rsidP="00121F6B">
            <w:pPr>
              <w:jc w:val="center"/>
              <w:rPr>
                <w:rFonts w:ascii="Arial" w:hAnsi="Arial"/>
                <w:b/>
                <w:bCs/>
                <w:noProof w:val="0"/>
                <w:sz w:val="26"/>
                <w:szCs w:val="26"/>
                <w:rtl/>
              </w:rPr>
            </w:pPr>
            <w:r w:rsidRPr="00AB4467">
              <w:rPr>
                <w:rFonts w:ascii="Arial" w:hAnsi="Arial"/>
                <w:b/>
                <w:bCs/>
                <w:noProof w:val="0"/>
                <w:sz w:val="26"/>
                <w:szCs w:val="26"/>
                <w:rtl/>
              </w:rPr>
              <w:t>נגד</w:t>
            </w:r>
          </w:p>
          <w:p w14:paraId="6EC82A72" w14:textId="77777777" w:rsidR="00121F6B" w:rsidRPr="00AB4467" w:rsidRDefault="00121F6B" w:rsidP="00121F6B">
            <w:pPr>
              <w:rPr>
                <w:rFonts w:ascii="Arial" w:hAnsi="Arial"/>
                <w:b/>
                <w:bCs/>
                <w:noProof w:val="0"/>
                <w:sz w:val="16"/>
                <w:szCs w:val="16"/>
              </w:rPr>
            </w:pPr>
          </w:p>
        </w:tc>
      </w:tr>
      <w:tr w:rsidR="00121F6B" w:rsidRPr="00AB4467" w14:paraId="3CE61F84" w14:textId="77777777" w:rsidTr="00121F6B">
        <w:tc>
          <w:tcPr>
            <w:tcW w:w="3143" w:type="dxa"/>
            <w:shd w:val="clear" w:color="auto" w:fill="auto"/>
          </w:tcPr>
          <w:p w14:paraId="007B66D7" w14:textId="77777777" w:rsidR="00121F6B" w:rsidRPr="00AB4467" w:rsidRDefault="00121F6B" w:rsidP="00121F6B">
            <w:pPr>
              <w:rPr>
                <w:rFonts w:ascii="Arial" w:hAnsi="Arial"/>
                <w:b/>
                <w:bCs/>
                <w:noProof w:val="0"/>
                <w:sz w:val="26"/>
                <w:szCs w:val="26"/>
              </w:rPr>
            </w:pPr>
            <w:r w:rsidRPr="00AB4467">
              <w:rPr>
                <w:rFonts w:hint="cs"/>
                <w:b/>
                <w:bCs/>
                <w:sz w:val="26"/>
                <w:szCs w:val="26"/>
                <w:rtl/>
              </w:rPr>
              <w:t>ה</w:t>
            </w:r>
            <w:r w:rsidRPr="00AB4467">
              <w:rPr>
                <w:rFonts w:ascii="Arial" w:hAnsi="Arial"/>
                <w:b/>
                <w:bCs/>
                <w:noProof w:val="0"/>
                <w:sz w:val="26"/>
                <w:szCs w:val="26"/>
                <w:rtl/>
              </w:rPr>
              <w:t>נאשמים</w:t>
            </w:r>
            <w:r w:rsidRPr="00AB4467">
              <w:rPr>
                <w:rFonts w:ascii="Arial" w:hAnsi="Arial" w:hint="cs"/>
                <w:b/>
                <w:bCs/>
                <w:noProof w:val="0"/>
                <w:sz w:val="26"/>
                <w:szCs w:val="26"/>
                <w:rtl/>
              </w:rPr>
              <w:t>:</w:t>
            </w:r>
          </w:p>
        </w:tc>
        <w:tc>
          <w:tcPr>
            <w:tcW w:w="5362" w:type="dxa"/>
            <w:shd w:val="clear" w:color="auto" w:fill="auto"/>
          </w:tcPr>
          <w:p w14:paraId="19250965" w14:textId="77777777" w:rsidR="00121F6B" w:rsidRPr="00AB4467" w:rsidRDefault="00121F6B" w:rsidP="00121F6B">
            <w:pPr>
              <w:rPr>
                <w:sz w:val="26"/>
                <w:szCs w:val="26"/>
                <w:rtl/>
              </w:rPr>
            </w:pPr>
            <w:r w:rsidRPr="00AB4467">
              <w:rPr>
                <w:rFonts w:ascii="Arial" w:hAnsi="Arial"/>
                <w:b/>
                <w:bCs/>
                <w:noProof w:val="0"/>
                <w:sz w:val="26"/>
                <w:szCs w:val="26"/>
                <w:rtl/>
              </w:rPr>
              <w:t>אחמד זועבי</w:t>
            </w:r>
          </w:p>
        </w:tc>
      </w:tr>
    </w:tbl>
    <w:p w14:paraId="6353D64B" w14:textId="77777777" w:rsidR="0072543A" w:rsidRDefault="00121F6B" w:rsidP="00121F6B">
      <w:pPr>
        <w:rPr>
          <w:sz w:val="26"/>
          <w:szCs w:val="26"/>
          <w:rtl/>
        </w:rPr>
      </w:pPr>
      <w:r w:rsidRPr="00AB4467">
        <w:rPr>
          <w:sz w:val="26"/>
          <w:szCs w:val="26"/>
          <w:rtl/>
        </w:rPr>
        <w:t xml:space="preserve"> </w:t>
      </w:r>
    </w:p>
    <w:p w14:paraId="2250DA68" w14:textId="77777777" w:rsidR="0072543A" w:rsidRPr="0072543A" w:rsidRDefault="0072543A" w:rsidP="0072543A">
      <w:pPr>
        <w:spacing w:after="120" w:line="240" w:lineRule="exact"/>
        <w:ind w:left="283" w:hanging="283"/>
        <w:jc w:val="both"/>
        <w:rPr>
          <w:rFonts w:ascii="FrankRuehl" w:hAnsi="FrankRuehl" w:cs="FrankRuehl"/>
          <w:rtl/>
        </w:rPr>
      </w:pPr>
    </w:p>
    <w:p w14:paraId="12D7957C" w14:textId="77777777" w:rsidR="00887B02" w:rsidRPr="00887B02" w:rsidRDefault="00887B02" w:rsidP="00887B02">
      <w:pPr>
        <w:spacing w:before="120" w:after="120" w:line="240" w:lineRule="exact"/>
        <w:ind w:left="283" w:hanging="283"/>
        <w:jc w:val="both"/>
        <w:rPr>
          <w:rFonts w:ascii="FrankRuehl" w:hAnsi="FrankRuehl" w:cs="FrankRuehl"/>
          <w:noProof w:val="0"/>
          <w:rtl/>
        </w:rPr>
      </w:pPr>
    </w:p>
    <w:p w14:paraId="738E7762" w14:textId="77777777" w:rsidR="003A477D" w:rsidRDefault="003A477D" w:rsidP="003A477D">
      <w:pPr>
        <w:spacing w:line="360" w:lineRule="auto"/>
        <w:jc w:val="both"/>
        <w:rPr>
          <w:rFonts w:ascii="Arial" w:hAnsi="Arial"/>
          <w:noProof w:val="0"/>
          <w:rtl/>
        </w:rPr>
      </w:pPr>
      <w:bookmarkStart w:id="2" w:name="LawTable"/>
      <w:bookmarkEnd w:id="2"/>
    </w:p>
    <w:p w14:paraId="3B86D36D" w14:textId="77777777" w:rsidR="003A477D" w:rsidRPr="003A477D" w:rsidRDefault="003A477D" w:rsidP="003A477D">
      <w:pPr>
        <w:spacing w:before="120" w:after="120" w:line="240" w:lineRule="exact"/>
        <w:ind w:left="283" w:hanging="283"/>
        <w:jc w:val="both"/>
        <w:rPr>
          <w:rFonts w:ascii="FrankRuehl" w:hAnsi="FrankRuehl" w:cs="FrankRuehl"/>
          <w:noProof w:val="0"/>
          <w:rtl/>
        </w:rPr>
      </w:pPr>
    </w:p>
    <w:p w14:paraId="3E69DAEF" w14:textId="77777777" w:rsidR="003A477D" w:rsidRPr="003A477D" w:rsidRDefault="003A477D" w:rsidP="003A477D">
      <w:pPr>
        <w:spacing w:before="120" w:after="120" w:line="240" w:lineRule="exact"/>
        <w:ind w:left="283" w:hanging="283"/>
        <w:jc w:val="both"/>
        <w:rPr>
          <w:rFonts w:ascii="FrankRuehl" w:hAnsi="FrankRuehl" w:cs="FrankRuehl"/>
          <w:noProof w:val="0"/>
          <w:rtl/>
        </w:rPr>
      </w:pPr>
    </w:p>
    <w:p w14:paraId="7E00D099" w14:textId="77777777" w:rsidR="003A477D" w:rsidRPr="003A477D" w:rsidRDefault="003A477D" w:rsidP="003A477D">
      <w:pPr>
        <w:spacing w:before="120" w:after="120" w:line="240" w:lineRule="exact"/>
        <w:ind w:left="283" w:hanging="283"/>
        <w:jc w:val="both"/>
        <w:rPr>
          <w:rFonts w:ascii="FrankRuehl" w:hAnsi="FrankRuehl" w:cs="FrankRuehl"/>
          <w:noProof w:val="0"/>
          <w:rtl/>
        </w:rPr>
      </w:pPr>
      <w:r w:rsidRPr="003A477D">
        <w:rPr>
          <w:rFonts w:ascii="FrankRuehl" w:hAnsi="FrankRuehl" w:cs="FrankRuehl"/>
          <w:noProof w:val="0"/>
          <w:rtl/>
        </w:rPr>
        <w:t xml:space="preserve">חקיקה שאוזכרה: </w:t>
      </w:r>
    </w:p>
    <w:p w14:paraId="004F6C41" w14:textId="77777777" w:rsidR="003A477D" w:rsidRPr="003A477D" w:rsidRDefault="003A477D" w:rsidP="003A477D">
      <w:pPr>
        <w:spacing w:before="120" w:after="120" w:line="240" w:lineRule="exact"/>
        <w:ind w:left="283" w:hanging="283"/>
        <w:jc w:val="both"/>
        <w:rPr>
          <w:rFonts w:ascii="FrankRuehl" w:hAnsi="FrankRuehl" w:cs="FrankRuehl"/>
          <w:noProof w:val="0"/>
          <w:rtl/>
        </w:rPr>
      </w:pPr>
      <w:hyperlink r:id="rId7" w:history="1">
        <w:r w:rsidRPr="003A477D">
          <w:rPr>
            <w:rFonts w:ascii="FrankRuehl" w:hAnsi="FrankRuehl" w:cs="FrankRuehl"/>
            <w:noProof w:val="0"/>
            <w:color w:val="0000FF"/>
            <w:rtl/>
          </w:rPr>
          <w:t>חוק העונשין, תשל"ז-1977</w:t>
        </w:r>
      </w:hyperlink>
      <w:r w:rsidRPr="003A477D">
        <w:rPr>
          <w:rFonts w:ascii="FrankRuehl" w:hAnsi="FrankRuehl" w:cs="FrankRuehl"/>
          <w:noProof w:val="0"/>
          <w:rtl/>
        </w:rPr>
        <w:t xml:space="preserve">: סע'  </w:t>
      </w:r>
      <w:hyperlink r:id="rId8" w:history="1">
        <w:r w:rsidRPr="003A477D">
          <w:rPr>
            <w:rFonts w:ascii="FrankRuehl" w:hAnsi="FrankRuehl" w:cs="FrankRuehl"/>
            <w:noProof w:val="0"/>
            <w:color w:val="0000FF"/>
            <w:rtl/>
          </w:rPr>
          <w:t>40 ג(א)</w:t>
        </w:r>
      </w:hyperlink>
      <w:r w:rsidRPr="003A477D">
        <w:rPr>
          <w:rFonts w:ascii="FrankRuehl" w:hAnsi="FrankRuehl" w:cs="FrankRuehl"/>
          <w:noProof w:val="0"/>
          <w:rtl/>
        </w:rPr>
        <w:t xml:space="preserve">, </w:t>
      </w:r>
      <w:hyperlink r:id="rId9" w:history="1">
        <w:r w:rsidRPr="003A477D">
          <w:rPr>
            <w:rFonts w:ascii="FrankRuehl" w:hAnsi="FrankRuehl" w:cs="FrankRuehl"/>
            <w:noProof w:val="0"/>
            <w:color w:val="0000FF"/>
            <w:rtl/>
          </w:rPr>
          <w:t>192</w:t>
        </w:r>
      </w:hyperlink>
      <w:r w:rsidRPr="003A477D">
        <w:rPr>
          <w:rFonts w:ascii="FrankRuehl" w:hAnsi="FrankRuehl" w:cs="FrankRuehl"/>
          <w:noProof w:val="0"/>
          <w:rtl/>
        </w:rPr>
        <w:t xml:space="preserve">, </w:t>
      </w:r>
      <w:hyperlink r:id="rId10" w:history="1">
        <w:r w:rsidRPr="003A477D">
          <w:rPr>
            <w:rFonts w:ascii="FrankRuehl" w:hAnsi="FrankRuehl" w:cs="FrankRuehl"/>
            <w:noProof w:val="0"/>
            <w:color w:val="0000FF"/>
            <w:rtl/>
          </w:rPr>
          <w:t>382 (ב) (1)</w:t>
        </w:r>
      </w:hyperlink>
      <w:r w:rsidRPr="003A477D">
        <w:rPr>
          <w:rFonts w:ascii="FrankRuehl" w:hAnsi="FrankRuehl" w:cs="FrankRuehl"/>
          <w:noProof w:val="0"/>
          <w:rtl/>
        </w:rPr>
        <w:t xml:space="preserve">, </w:t>
      </w:r>
      <w:hyperlink r:id="rId11" w:history="1">
        <w:r w:rsidRPr="003A477D">
          <w:rPr>
            <w:rFonts w:ascii="FrankRuehl" w:hAnsi="FrankRuehl" w:cs="FrankRuehl"/>
            <w:noProof w:val="0"/>
            <w:color w:val="0000FF"/>
            <w:rtl/>
          </w:rPr>
          <w:t>452</w:t>
        </w:r>
      </w:hyperlink>
    </w:p>
    <w:p w14:paraId="01F8B808" w14:textId="77777777" w:rsidR="003A477D" w:rsidRPr="003A477D" w:rsidRDefault="003A477D" w:rsidP="003A477D">
      <w:pPr>
        <w:spacing w:before="120" w:after="120" w:line="240" w:lineRule="exact"/>
        <w:ind w:left="283" w:hanging="283"/>
        <w:jc w:val="both"/>
        <w:rPr>
          <w:rFonts w:ascii="FrankRuehl" w:hAnsi="FrankRuehl" w:cs="FrankRuehl"/>
          <w:noProof w:val="0"/>
          <w:rtl/>
        </w:rPr>
      </w:pPr>
      <w:hyperlink r:id="rId12" w:history="1">
        <w:r w:rsidRPr="003A477D">
          <w:rPr>
            <w:rFonts w:ascii="FrankRuehl" w:hAnsi="FrankRuehl" w:cs="FrankRuehl"/>
            <w:noProof w:val="0"/>
            <w:color w:val="0000FF"/>
            <w:rtl/>
          </w:rPr>
          <w:t>פקודת הסמים המסוכנים [נוסח חדש], תשל"ג-1973</w:t>
        </w:r>
      </w:hyperlink>
      <w:r w:rsidRPr="003A477D">
        <w:rPr>
          <w:rFonts w:ascii="FrankRuehl" w:hAnsi="FrankRuehl" w:cs="FrankRuehl"/>
          <w:noProof w:val="0"/>
          <w:rtl/>
        </w:rPr>
        <w:t xml:space="preserve">: סע'  </w:t>
      </w:r>
      <w:hyperlink r:id="rId13" w:history="1">
        <w:r w:rsidRPr="003A477D">
          <w:rPr>
            <w:rFonts w:ascii="FrankRuehl" w:hAnsi="FrankRuehl" w:cs="FrankRuehl"/>
            <w:noProof w:val="0"/>
            <w:color w:val="0000FF"/>
            <w:rtl/>
          </w:rPr>
          <w:t>7 (א)</w:t>
        </w:r>
      </w:hyperlink>
      <w:r w:rsidRPr="003A477D">
        <w:rPr>
          <w:rFonts w:ascii="FrankRuehl" w:hAnsi="FrankRuehl" w:cs="FrankRuehl"/>
          <w:noProof w:val="0"/>
          <w:rtl/>
        </w:rPr>
        <w:t xml:space="preserve">, </w:t>
      </w:r>
      <w:hyperlink r:id="rId14" w:history="1">
        <w:r w:rsidRPr="003A477D">
          <w:rPr>
            <w:rFonts w:ascii="FrankRuehl" w:hAnsi="FrankRuehl" w:cs="FrankRuehl"/>
            <w:noProof w:val="0"/>
            <w:color w:val="0000FF"/>
            <w:rtl/>
          </w:rPr>
          <w:t>7(ג)</w:t>
        </w:r>
      </w:hyperlink>
    </w:p>
    <w:p w14:paraId="3DB8CA26" w14:textId="77777777" w:rsidR="003A477D" w:rsidRPr="003A477D" w:rsidRDefault="003A477D" w:rsidP="003A477D">
      <w:pPr>
        <w:spacing w:before="120" w:after="120" w:line="240" w:lineRule="exact"/>
        <w:ind w:left="283" w:hanging="283"/>
        <w:jc w:val="both"/>
        <w:rPr>
          <w:rFonts w:ascii="FrankRuehl" w:hAnsi="FrankRuehl" w:cs="FrankRuehl"/>
          <w:noProof w:val="0"/>
          <w:rtl/>
        </w:rPr>
      </w:pPr>
      <w:hyperlink r:id="rId15" w:history="1">
        <w:r w:rsidRPr="003A477D">
          <w:rPr>
            <w:rFonts w:ascii="FrankRuehl" w:hAnsi="FrankRuehl" w:cs="FrankRuehl"/>
            <w:noProof w:val="0"/>
            <w:color w:val="0000FF"/>
            <w:rtl/>
          </w:rPr>
          <w:t>חוק התקשורת (בזק ושידורים), תשמ"ב-1982</w:t>
        </w:r>
      </w:hyperlink>
      <w:r w:rsidRPr="003A477D">
        <w:rPr>
          <w:rFonts w:ascii="FrankRuehl" w:hAnsi="FrankRuehl" w:cs="FrankRuehl"/>
          <w:noProof w:val="0"/>
          <w:rtl/>
        </w:rPr>
        <w:t xml:space="preserve">: סע'  </w:t>
      </w:r>
      <w:hyperlink r:id="rId16" w:history="1">
        <w:r w:rsidRPr="003A477D">
          <w:rPr>
            <w:rFonts w:ascii="FrankRuehl" w:hAnsi="FrankRuehl" w:cs="FrankRuehl"/>
            <w:noProof w:val="0"/>
            <w:color w:val="0000FF"/>
            <w:rtl/>
          </w:rPr>
          <w:t>30</w:t>
        </w:r>
      </w:hyperlink>
    </w:p>
    <w:p w14:paraId="752FE157" w14:textId="77777777" w:rsidR="003A477D" w:rsidRPr="003A477D" w:rsidRDefault="003A477D" w:rsidP="003A477D">
      <w:pPr>
        <w:spacing w:before="120" w:after="120" w:line="240" w:lineRule="exact"/>
        <w:ind w:left="283" w:hanging="283"/>
        <w:jc w:val="both"/>
        <w:rPr>
          <w:rFonts w:ascii="FrankRuehl" w:hAnsi="FrankRuehl" w:cs="FrankRuehl"/>
          <w:noProof w:val="0"/>
          <w:rtl/>
        </w:rPr>
      </w:pPr>
      <w:hyperlink r:id="rId17" w:history="1">
        <w:r w:rsidRPr="003A477D">
          <w:rPr>
            <w:rFonts w:ascii="FrankRuehl" w:hAnsi="FrankRuehl" w:cs="FrankRuehl"/>
            <w:noProof w:val="0"/>
            <w:color w:val="0000FF"/>
            <w:rtl/>
          </w:rPr>
          <w:t>תקנות סדר הדין הפלילי, תשל"ד-1974</w:t>
        </w:r>
      </w:hyperlink>
      <w:r w:rsidRPr="003A477D">
        <w:rPr>
          <w:rFonts w:ascii="FrankRuehl" w:hAnsi="FrankRuehl" w:cs="FrankRuehl"/>
          <w:noProof w:val="0"/>
          <w:rtl/>
        </w:rPr>
        <w:t xml:space="preserve">: סע'  </w:t>
      </w:r>
      <w:hyperlink r:id="rId18" w:history="1">
        <w:r w:rsidRPr="003A477D">
          <w:rPr>
            <w:rFonts w:ascii="FrankRuehl" w:hAnsi="FrankRuehl" w:cs="FrankRuehl"/>
            <w:noProof w:val="0"/>
            <w:color w:val="0000FF"/>
            <w:rtl/>
          </w:rPr>
          <w:t>31ב</w:t>
        </w:r>
      </w:hyperlink>
    </w:p>
    <w:p w14:paraId="48E4C6CF" w14:textId="77777777" w:rsidR="003A477D" w:rsidRPr="003A477D" w:rsidRDefault="003A477D" w:rsidP="003A477D">
      <w:pPr>
        <w:spacing w:line="360" w:lineRule="auto"/>
        <w:jc w:val="both"/>
        <w:rPr>
          <w:rFonts w:ascii="Arial" w:hAnsi="Arial"/>
          <w:noProof w:val="0"/>
          <w:rtl/>
        </w:rPr>
      </w:pPr>
      <w:bookmarkStart w:id="3" w:name="LawTable_End"/>
      <w:bookmarkEnd w:id="3"/>
    </w:p>
    <w:p w14:paraId="0BABC4F3" w14:textId="77777777" w:rsidR="00121F6B" w:rsidRPr="00887B02" w:rsidRDefault="00121F6B" w:rsidP="00887B02">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121F6B" w14:paraId="5BC436E5" w14:textId="77777777" w:rsidTr="00121F6B">
        <w:trPr>
          <w:jc w:val="center"/>
        </w:trPr>
        <w:tc>
          <w:tcPr>
            <w:tcW w:w="8820" w:type="dxa"/>
            <w:shd w:val="clear" w:color="auto" w:fill="auto"/>
          </w:tcPr>
          <w:p w14:paraId="57AF5845" w14:textId="77777777" w:rsidR="00AB4467" w:rsidRPr="00AB4467" w:rsidRDefault="00AB4467" w:rsidP="00AB4467">
            <w:pPr>
              <w:bidi w:val="0"/>
              <w:jc w:val="center"/>
              <w:rPr>
                <w:rFonts w:ascii="Arial" w:hAnsi="Arial"/>
                <w:b/>
                <w:bCs/>
                <w:noProof w:val="0"/>
                <w:sz w:val="28"/>
                <w:szCs w:val="28"/>
                <w:u w:val="single"/>
                <w:rtl/>
              </w:rPr>
            </w:pPr>
            <w:bookmarkStart w:id="4" w:name="PsakDin" w:colFirst="0" w:colLast="0"/>
            <w:bookmarkEnd w:id="0"/>
            <w:r w:rsidRPr="00AB4467">
              <w:rPr>
                <w:rFonts w:ascii="Arial" w:hAnsi="Arial"/>
                <w:b/>
                <w:bCs/>
                <w:noProof w:val="0"/>
                <w:sz w:val="28"/>
                <w:szCs w:val="28"/>
                <w:u w:val="single"/>
                <w:rtl/>
              </w:rPr>
              <w:t>גזר דין</w:t>
            </w:r>
          </w:p>
          <w:p w14:paraId="7CDA3F88" w14:textId="77777777" w:rsidR="00121F6B" w:rsidRPr="00AB4467" w:rsidRDefault="00121F6B" w:rsidP="00AB4467">
            <w:pPr>
              <w:bidi w:val="0"/>
              <w:jc w:val="center"/>
              <w:rPr>
                <w:rFonts w:ascii="Arial" w:hAnsi="Arial"/>
                <w:b/>
                <w:bCs/>
                <w:noProof w:val="0"/>
                <w:sz w:val="28"/>
                <w:szCs w:val="28"/>
                <w:u w:val="single"/>
                <w:rtl/>
              </w:rPr>
            </w:pPr>
          </w:p>
        </w:tc>
      </w:tr>
    </w:tbl>
    <w:p w14:paraId="117ADE03" w14:textId="77777777" w:rsidR="00121F6B" w:rsidRDefault="00121F6B" w:rsidP="00121F6B">
      <w:pPr>
        <w:spacing w:line="360" w:lineRule="auto"/>
        <w:jc w:val="both"/>
        <w:rPr>
          <w:rFonts w:ascii="Arial" w:hAnsi="Arial"/>
          <w:noProof w:val="0"/>
          <w:rtl/>
        </w:rPr>
      </w:pPr>
      <w:bookmarkStart w:id="5" w:name="ABSTRACT_START"/>
      <w:bookmarkEnd w:id="4"/>
      <w:bookmarkEnd w:id="5"/>
    </w:p>
    <w:p w14:paraId="31A3E55E" w14:textId="77777777" w:rsidR="00121F6B" w:rsidRDefault="00121F6B" w:rsidP="00121F6B">
      <w:pPr>
        <w:spacing w:line="360" w:lineRule="auto"/>
        <w:jc w:val="both"/>
        <w:rPr>
          <w:noProof w:val="0"/>
        </w:rPr>
      </w:pPr>
      <w:bookmarkStart w:id="6" w:name="NGCSBookmark"/>
      <w:bookmarkEnd w:id="6"/>
      <w:r>
        <w:rPr>
          <w:rFonts w:hint="cs"/>
          <w:rtl/>
        </w:rPr>
        <w:t xml:space="preserve">ביום 8.7.20 הצדדים הגיעו להסדר לפיו הנאשם הודה בעובדות כתב האישום המתוקן, הוגש כתב אישום מתוקן, הורשע ונשלח לקבלת תסקיר בטרם הטיעונים לעונש. אין הסכמה עונשית. </w:t>
      </w:r>
    </w:p>
    <w:p w14:paraId="77A31D8A" w14:textId="77777777" w:rsidR="00121F6B" w:rsidRDefault="00121F6B" w:rsidP="00121F6B">
      <w:pPr>
        <w:jc w:val="both"/>
        <w:rPr>
          <w:bCs/>
          <w:rtl/>
        </w:rPr>
      </w:pPr>
    </w:p>
    <w:p w14:paraId="47B12188" w14:textId="77777777" w:rsidR="00121F6B" w:rsidRDefault="00121F6B" w:rsidP="00121F6B">
      <w:pPr>
        <w:spacing w:line="360" w:lineRule="auto"/>
        <w:jc w:val="both"/>
        <w:rPr>
          <w:rFonts w:ascii="David" w:hAnsi="David"/>
          <w:rtl/>
        </w:rPr>
      </w:pPr>
      <w:r>
        <w:rPr>
          <w:rFonts w:hint="cs"/>
          <w:rtl/>
        </w:rPr>
        <w:t xml:space="preserve">נוכח הודאת הנאשם, הורשע במיוחס לו בכתב האישום המתוקן– בעבירה של תקיפת בת זוג, לפי סעיף </w:t>
      </w:r>
      <w:hyperlink r:id="rId19" w:history="1">
        <w:r w:rsidR="0072543A" w:rsidRPr="0072543A">
          <w:rPr>
            <w:rStyle w:val="Hyperlink"/>
            <w:rtl/>
          </w:rPr>
          <w:t>382 (ב) (1)</w:t>
        </w:r>
      </w:hyperlink>
      <w:r>
        <w:rPr>
          <w:rFonts w:hint="cs"/>
          <w:rtl/>
        </w:rPr>
        <w:t xml:space="preserve"> ל</w:t>
      </w:r>
      <w:hyperlink r:id="rId20" w:history="1">
        <w:r w:rsidR="00AB4467" w:rsidRPr="00AB4467">
          <w:rPr>
            <w:color w:val="0000FF"/>
            <w:u w:val="single"/>
            <w:rtl/>
          </w:rPr>
          <w:t>חוק העונשין</w:t>
        </w:r>
      </w:hyperlink>
      <w:r>
        <w:rPr>
          <w:rFonts w:hint="cs"/>
          <w:rtl/>
        </w:rPr>
        <w:t xml:space="preserve"> התשל"ז – 1977 (שתי עבירות); היזק לרכוש בזדון, לפי </w:t>
      </w:r>
      <w:hyperlink r:id="rId21" w:history="1">
        <w:r w:rsidR="0072543A" w:rsidRPr="0072543A">
          <w:rPr>
            <w:rStyle w:val="Hyperlink"/>
            <w:rFonts w:hint="eastAsia"/>
            <w:rtl/>
          </w:rPr>
          <w:t>סעיף</w:t>
        </w:r>
        <w:r w:rsidR="0072543A" w:rsidRPr="0072543A">
          <w:rPr>
            <w:rStyle w:val="Hyperlink"/>
            <w:rtl/>
          </w:rPr>
          <w:t xml:space="preserve"> 452</w:t>
        </w:r>
      </w:hyperlink>
      <w:r>
        <w:rPr>
          <w:rFonts w:hint="cs"/>
          <w:rtl/>
        </w:rPr>
        <w:t xml:space="preserve"> לחוק העונשין התשל"ז – 1977; איומים, לפי </w:t>
      </w:r>
      <w:hyperlink r:id="rId22" w:history="1">
        <w:r w:rsidR="0072543A" w:rsidRPr="0072543A">
          <w:rPr>
            <w:rStyle w:val="Hyperlink"/>
            <w:rFonts w:hint="eastAsia"/>
            <w:rtl/>
          </w:rPr>
          <w:t>סעיף</w:t>
        </w:r>
        <w:r w:rsidR="0072543A" w:rsidRPr="0072543A">
          <w:rPr>
            <w:rStyle w:val="Hyperlink"/>
            <w:rtl/>
          </w:rPr>
          <w:t xml:space="preserve"> 192</w:t>
        </w:r>
      </w:hyperlink>
      <w:r>
        <w:rPr>
          <w:rFonts w:hint="cs"/>
          <w:rtl/>
        </w:rPr>
        <w:t xml:space="preserve"> לחוק העונשין התשל"ז – 1977. </w:t>
      </w:r>
    </w:p>
    <w:p w14:paraId="7160358C" w14:textId="77777777" w:rsidR="00121F6B" w:rsidRDefault="00121F6B" w:rsidP="00121F6B">
      <w:pPr>
        <w:spacing w:line="360" w:lineRule="auto"/>
        <w:jc w:val="both"/>
        <w:rPr>
          <w:rFonts w:ascii="David" w:hAnsi="David"/>
          <w:rtl/>
        </w:rPr>
      </w:pPr>
    </w:p>
    <w:p w14:paraId="12F31F38" w14:textId="77777777" w:rsidR="00121F6B" w:rsidRDefault="00121F6B" w:rsidP="00121F6B">
      <w:pPr>
        <w:spacing w:line="360" w:lineRule="auto"/>
        <w:jc w:val="both"/>
        <w:rPr>
          <w:noProof w:val="0"/>
        </w:rPr>
      </w:pPr>
      <w:bookmarkStart w:id="7" w:name="ABSTRACT_END"/>
      <w:bookmarkEnd w:id="7"/>
      <w:r>
        <w:rPr>
          <w:rFonts w:ascii="Arial" w:hAnsi="Arial" w:hint="cs"/>
          <w:rtl/>
        </w:rPr>
        <w:t>כמו כן, הורשע על סמך הודאתו ב</w:t>
      </w:r>
      <w:hyperlink r:id="rId23" w:history="1">
        <w:r w:rsidR="00AB4467" w:rsidRPr="00AB4467">
          <w:rPr>
            <w:rFonts w:ascii="Arial" w:hAnsi="Arial"/>
            <w:color w:val="0000FF"/>
            <w:u w:val="single"/>
            <w:rtl/>
          </w:rPr>
          <w:t>ת.פ. 12601-12-19</w:t>
        </w:r>
      </w:hyperlink>
      <w:r>
        <w:rPr>
          <w:rFonts w:ascii="Arial" w:hAnsi="Arial" w:hint="cs"/>
          <w:rtl/>
        </w:rPr>
        <w:t xml:space="preserve"> בעבירה של </w:t>
      </w:r>
      <w:r>
        <w:rPr>
          <w:rFonts w:hint="cs"/>
          <w:rtl/>
        </w:rPr>
        <w:t xml:space="preserve">תקיפת בת זוג, לפי סעיף </w:t>
      </w:r>
      <w:hyperlink r:id="rId24" w:history="1">
        <w:r w:rsidR="0072543A" w:rsidRPr="0072543A">
          <w:rPr>
            <w:rStyle w:val="Hyperlink"/>
            <w:rtl/>
          </w:rPr>
          <w:t>382 (ב) (1)</w:t>
        </w:r>
      </w:hyperlink>
      <w:r>
        <w:rPr>
          <w:rFonts w:hint="cs"/>
          <w:rtl/>
        </w:rPr>
        <w:t xml:space="preserve"> ל</w:t>
      </w:r>
      <w:hyperlink r:id="rId25" w:history="1">
        <w:r w:rsidR="00AB4467" w:rsidRPr="00AB4467">
          <w:rPr>
            <w:color w:val="0000FF"/>
            <w:u w:val="single"/>
            <w:rtl/>
          </w:rPr>
          <w:t>חוק העונשין</w:t>
        </w:r>
      </w:hyperlink>
      <w:r>
        <w:rPr>
          <w:rFonts w:hint="cs"/>
          <w:rtl/>
        </w:rPr>
        <w:t xml:space="preserve"> התשל"ז – 1977; החזקת סם לצריכה עצמית, לפי סעיף </w:t>
      </w:r>
      <w:hyperlink r:id="rId26" w:history="1">
        <w:r w:rsidR="0072543A" w:rsidRPr="0072543A">
          <w:rPr>
            <w:rStyle w:val="Hyperlink"/>
            <w:rtl/>
          </w:rPr>
          <w:t>7 (א)</w:t>
        </w:r>
      </w:hyperlink>
      <w:r>
        <w:rPr>
          <w:rFonts w:hint="cs"/>
          <w:rtl/>
        </w:rPr>
        <w:t xml:space="preserve"> + </w:t>
      </w:r>
      <w:hyperlink r:id="rId27" w:history="1">
        <w:r w:rsidR="0072543A" w:rsidRPr="0072543A">
          <w:rPr>
            <w:rStyle w:val="Hyperlink"/>
            <w:rtl/>
          </w:rPr>
          <w:t>7(ג)</w:t>
        </w:r>
      </w:hyperlink>
      <w:r>
        <w:rPr>
          <w:rFonts w:hint="cs"/>
          <w:rtl/>
        </w:rPr>
        <w:t xml:space="preserve"> סיפא ל</w:t>
      </w:r>
      <w:hyperlink r:id="rId28" w:history="1">
        <w:r w:rsidR="00AB4467" w:rsidRPr="00AB4467">
          <w:rPr>
            <w:color w:val="0000FF"/>
            <w:u w:val="single"/>
            <w:rtl/>
          </w:rPr>
          <w:t>פקודת הסמים המסוכנים</w:t>
        </w:r>
      </w:hyperlink>
      <w:r>
        <w:rPr>
          <w:rFonts w:hint="cs"/>
          <w:rtl/>
        </w:rPr>
        <w:t xml:space="preserve"> [נוסח חדש] התשל"ג – 1973.</w:t>
      </w:r>
    </w:p>
    <w:p w14:paraId="1401556D" w14:textId="77777777" w:rsidR="00121F6B" w:rsidRDefault="00121F6B" w:rsidP="00121F6B">
      <w:pPr>
        <w:spacing w:line="360" w:lineRule="auto"/>
        <w:rPr>
          <w:rtl/>
        </w:rPr>
      </w:pPr>
    </w:p>
    <w:p w14:paraId="12370547" w14:textId="77777777" w:rsidR="00121F6B" w:rsidRDefault="00AB4467" w:rsidP="00121F6B">
      <w:pPr>
        <w:spacing w:line="360" w:lineRule="auto"/>
        <w:jc w:val="both"/>
        <w:rPr>
          <w:rFonts w:ascii="Arial" w:hAnsi="Arial"/>
          <w:noProof w:val="0"/>
          <w:rtl/>
        </w:rPr>
      </w:pPr>
      <w:hyperlink r:id="rId29" w:history="1">
        <w:r w:rsidRPr="00AB4467">
          <w:rPr>
            <w:rFonts w:ascii="Arial" w:hAnsi="Arial"/>
            <w:noProof w:val="0"/>
            <w:color w:val="0000FF"/>
            <w:u w:val="single"/>
            <w:rtl/>
          </w:rPr>
          <w:t>ת"פ 66195-07-19</w:t>
        </w:r>
      </w:hyperlink>
      <w:r w:rsidR="00121F6B">
        <w:rPr>
          <w:rFonts w:ascii="Arial" w:hAnsi="Arial" w:hint="cs"/>
          <w:noProof w:val="0"/>
          <w:rtl/>
        </w:rPr>
        <w:t xml:space="preserve"> - על פי עובדות כתב האישום המתוקן, ביום 10.6.18 בשעה 17:12 לערך, היו הנאשם והמתלוננת ברכבו של הנאשם ברחוב אלכסנדר ינאי בהרצליה. בנסיבות שלעיל, הנאשם ראה בטלפון הנייד של המתלוננת הודעות שנשלחו אליה, ביקש ממנה את הטלפון והיא סירבה. מיד חטף הנאשם את הטלפון מידה של המתלוננת ולאחר שהמתלוננת רדפה אחריו כדי לקבל את הטלפון חזרה, הרס הנאשם את הטלפון הנייד בכך שזרק אותו על הרצפה מספר פעמים, במזיד ושלא כדין וניפץ אותו. בהמשך, תקף הנאשם את המתלוננת בכך שבעט בישבנה והכה בלחיה שלא כדין וללא הסכמתה. המתלוננת התרחקה מהנאשם וסירבה להתקרב אליו. אז אמר לה  הנאשם: "בואי כבר, אני לא ארביץ לך" ואז תקף אותה בכך שאחז בידיה וגרר אותה לרכבו, הכניס אותה לרכב, נכנס אחריה לרכב, אך המתלוננת יצאה מהרכב ועוברי אורח החלו להתערב וביקשו מהנאשם שיניח למתלוננת. בשלב זה הכניס הנאשם את המתלוננת בכוח לרכב, התיישב עליה כדי שלא תצא מהרכב ומיד עבר למושב הנהג ונסע מהר מן המקום כשהוא אומר לה שבטח ראו את מספר הרכב שלו. בנוסף, בעודו נוהג ברכב אמר הנאשם למתלוננת שמה שהוא עשה מגיע לה ולכל שרמוטה ושהוא לא מתחרט, שאמא שלה שרמוטה ולכן היא נולדה שרמוטה ושאפילו לזונות בכביש יש יותר כבוד מאשר לה ושהיא לא יודעת מה זה כבוד ושגם את המילה כבוד היא למדה ממנו. עוד אמר לה שהיא לא יכולה לסבך אותו, שתלך להתלונן ותעשה מה שהיא רוצה ושהוא לא מפחד. בהמשך הוסיף ואמר לה שאם היא תגיש תלונה היא תידפק ואם לא תגיש תלונה הם יסגרו את זה יפה. בתחילת שנת 2018 במועד שלא ידוע במדויק למאשימה, בביתו של הנאשם ברחוב חייבי משה 5 בתל אביב יפו, על רקע כך שהנאשם חשב שהמתלוננת מדברת עם אדם באמצעות הפייסבוק, תקף הנאשם את המתלוננת בכך שאחז בה בכוח ולקח ממנה את הטלפון שלה שלא כדין וללא הסכמתה. מיד בהמשך, לאחר שהמתלוננת עלתה לגג ביתו של הנאשם ושוחחה עם ידיד שלה בטלפון, תקף הנאשם את המתלוננת בכך שהושיב אותה בכוח על כיסא והתיישב עליה שלא כדין וללא הסכמתה. במעשיו דלעיל איים הנאשם על המתלוננת בכוונה להפחיד או להקניט. </w:t>
      </w:r>
    </w:p>
    <w:p w14:paraId="63D21DA1" w14:textId="77777777" w:rsidR="00121F6B" w:rsidRDefault="00121F6B" w:rsidP="00121F6B">
      <w:pPr>
        <w:spacing w:line="360" w:lineRule="auto"/>
        <w:jc w:val="both"/>
        <w:rPr>
          <w:rFonts w:ascii="Arial" w:hAnsi="Arial"/>
          <w:noProof w:val="0"/>
          <w:rtl/>
        </w:rPr>
      </w:pPr>
    </w:p>
    <w:p w14:paraId="0EC7831B" w14:textId="77777777" w:rsidR="00121F6B" w:rsidRDefault="00AB4467" w:rsidP="00121F6B">
      <w:pPr>
        <w:spacing w:line="360" w:lineRule="auto"/>
        <w:jc w:val="both"/>
        <w:rPr>
          <w:rFonts w:ascii="Arial" w:hAnsi="Arial"/>
          <w:noProof w:val="0"/>
          <w:rtl/>
        </w:rPr>
      </w:pPr>
      <w:hyperlink r:id="rId30" w:history="1">
        <w:r w:rsidRPr="00AB4467">
          <w:rPr>
            <w:rFonts w:ascii="Arial" w:hAnsi="Arial"/>
            <w:noProof w:val="0"/>
            <w:color w:val="0000FF"/>
            <w:u w:val="single"/>
            <w:rtl/>
          </w:rPr>
          <w:t>ת"פ 12601-12-19</w:t>
        </w:r>
      </w:hyperlink>
      <w:r w:rsidR="00121F6B">
        <w:rPr>
          <w:rFonts w:ascii="Arial" w:hAnsi="Arial" w:hint="cs"/>
          <w:noProof w:val="0"/>
          <w:rtl/>
        </w:rPr>
        <w:t xml:space="preserve"> </w:t>
      </w:r>
      <w:r w:rsidR="00121F6B">
        <w:rPr>
          <w:rFonts w:ascii="Arial" w:hAnsi="Arial"/>
          <w:noProof w:val="0"/>
          <w:rtl/>
        </w:rPr>
        <w:t>–</w:t>
      </w:r>
      <w:r w:rsidR="00121F6B">
        <w:rPr>
          <w:rFonts w:ascii="Arial" w:hAnsi="Arial" w:hint="cs"/>
          <w:noProof w:val="0"/>
          <w:rtl/>
        </w:rPr>
        <w:t xml:space="preserve"> במועד הרלוונטי לכתב האישום היו הנאשם והמתלוננת בני זוג. בתאריך 09.06.19 בסמוך לשעה 00:04 ברחוב תרשיש בסמוך למלון סול באילת תקף הנאשם את מתלוננת בכך שתפס אותה בידה ומשך אותה לכיוון רכבו, ללא הסכמתה של המתלוננת. בהמשך לכך, בסמוך לשעה 04:34 החזיק הנאשם</w:t>
      </w:r>
      <w:r w:rsidR="00121F6B">
        <w:rPr>
          <w:rFonts w:ascii="Arial" w:hAnsi="Arial"/>
          <w:noProof w:val="0"/>
        </w:rPr>
        <w:t xml:space="preserve"> </w:t>
      </w:r>
      <w:r w:rsidR="00121F6B">
        <w:rPr>
          <w:rFonts w:ascii="Arial" w:hAnsi="Arial" w:hint="cs"/>
          <w:noProof w:val="0"/>
          <w:rtl/>
        </w:rPr>
        <w:t xml:space="preserve"> בדירה במשעול התות 1 באילת ובתוכה סם מסוכן מסוג קנבוס במשקל 4.80 גרם נטו לצריכתו העצמית וללא היתר בפקודה  או בתקנות לפיה או רישיון מאת המנהל. </w:t>
      </w:r>
    </w:p>
    <w:p w14:paraId="16FD5F94" w14:textId="77777777" w:rsidR="00121F6B" w:rsidRDefault="00121F6B" w:rsidP="00121F6B">
      <w:pPr>
        <w:spacing w:line="360" w:lineRule="auto"/>
        <w:jc w:val="both"/>
        <w:rPr>
          <w:rFonts w:ascii="Arial" w:hAnsi="Arial"/>
          <w:noProof w:val="0"/>
          <w:rtl/>
        </w:rPr>
      </w:pPr>
    </w:p>
    <w:p w14:paraId="11487028" w14:textId="77777777" w:rsidR="00121F6B" w:rsidRPr="00827E4B" w:rsidRDefault="00121F6B" w:rsidP="00121F6B">
      <w:pPr>
        <w:spacing w:line="360" w:lineRule="auto"/>
        <w:jc w:val="both"/>
      </w:pPr>
      <w:r w:rsidRPr="00827E4B">
        <w:rPr>
          <w:rFonts w:ascii="Arial" w:hAnsi="Arial" w:hint="cs"/>
          <w:noProof w:val="0"/>
          <w:rtl/>
        </w:rPr>
        <w:t xml:space="preserve">ביום 4.2.21 הנאשם צירף ת"פ 52222-2-20 </w:t>
      </w:r>
      <w:r w:rsidRPr="00827E4B">
        <w:rPr>
          <w:rFonts w:hint="cs"/>
          <w:rtl/>
        </w:rPr>
        <w:t>ונוכח הודאת הנאשם, הורשע במיוחס לו בכתב</w:t>
      </w:r>
      <w:r>
        <w:rPr>
          <w:rFonts w:hint="cs"/>
          <w:rtl/>
        </w:rPr>
        <w:t xml:space="preserve"> </w:t>
      </w:r>
      <w:r w:rsidRPr="00827E4B">
        <w:rPr>
          <w:rFonts w:hint="cs"/>
          <w:rtl/>
        </w:rPr>
        <w:t xml:space="preserve"> האישום בעבירה של </w:t>
      </w:r>
      <w:r w:rsidRPr="00827E4B">
        <w:rPr>
          <w:rtl/>
        </w:rPr>
        <w:t>הטרדה במתקן בזק</w:t>
      </w:r>
      <w:r w:rsidRPr="00827E4B">
        <w:rPr>
          <w:rFonts w:hint="cs"/>
          <w:rtl/>
        </w:rPr>
        <w:t xml:space="preserve">, לפי </w:t>
      </w:r>
      <w:hyperlink r:id="rId31" w:history="1">
        <w:r w:rsidR="0072543A" w:rsidRPr="0072543A">
          <w:rPr>
            <w:rStyle w:val="Hyperlink"/>
            <w:rFonts w:hint="eastAsia"/>
            <w:rtl/>
          </w:rPr>
          <w:t>סעיף</w:t>
        </w:r>
        <w:r w:rsidR="0072543A" w:rsidRPr="0072543A">
          <w:rPr>
            <w:rStyle w:val="Hyperlink"/>
            <w:rtl/>
          </w:rPr>
          <w:t xml:space="preserve"> 30</w:t>
        </w:r>
      </w:hyperlink>
      <w:r w:rsidRPr="00827E4B">
        <w:rPr>
          <w:rFonts w:hint="cs"/>
          <w:rtl/>
        </w:rPr>
        <w:t xml:space="preserve"> ל</w:t>
      </w:r>
      <w:r w:rsidRPr="00827E4B">
        <w:rPr>
          <w:rtl/>
        </w:rPr>
        <w:t>חוק</w:t>
      </w:r>
      <w:r w:rsidRPr="00827E4B">
        <w:t xml:space="preserve"> </w:t>
      </w:r>
      <w:r w:rsidRPr="00827E4B">
        <w:rPr>
          <w:rtl/>
        </w:rPr>
        <w:t>התקשורת</w:t>
      </w:r>
      <w:r w:rsidRPr="00827E4B">
        <w:t xml:space="preserve"> )</w:t>
      </w:r>
      <w:r w:rsidRPr="00827E4B">
        <w:rPr>
          <w:rtl/>
        </w:rPr>
        <w:t>בזק</w:t>
      </w:r>
      <w:r w:rsidRPr="00827E4B">
        <w:t xml:space="preserve"> </w:t>
      </w:r>
      <w:r w:rsidRPr="00827E4B">
        <w:rPr>
          <w:rtl/>
        </w:rPr>
        <w:t>ושידורים</w:t>
      </w:r>
      <w:r w:rsidRPr="00827E4B">
        <w:rPr>
          <w:rFonts w:hint="cs"/>
          <w:rtl/>
        </w:rPr>
        <w:t xml:space="preserve">), </w:t>
      </w:r>
      <w:r w:rsidRPr="00827E4B">
        <w:rPr>
          <w:rtl/>
        </w:rPr>
        <w:t>תשמ</w:t>
      </w:r>
      <w:r w:rsidRPr="00827E4B">
        <w:t>"</w:t>
      </w:r>
      <w:r w:rsidRPr="00827E4B">
        <w:rPr>
          <w:rFonts w:hint="cs"/>
          <w:rtl/>
        </w:rPr>
        <w:t xml:space="preserve">ב </w:t>
      </w:r>
      <w:r w:rsidRPr="00827E4B">
        <w:rPr>
          <w:rtl/>
        </w:rPr>
        <w:t>–</w:t>
      </w:r>
      <w:r w:rsidRPr="00827E4B">
        <w:rPr>
          <w:rFonts w:hint="cs"/>
          <w:rtl/>
        </w:rPr>
        <w:t xml:space="preserve"> 1982</w:t>
      </w:r>
    </w:p>
    <w:p w14:paraId="23037BA2" w14:textId="77777777" w:rsidR="00121F6B" w:rsidRPr="00827E4B" w:rsidRDefault="00121F6B" w:rsidP="00121F6B">
      <w:pPr>
        <w:spacing w:line="360" w:lineRule="auto"/>
        <w:jc w:val="both"/>
        <w:rPr>
          <w:rFonts w:ascii="Arial" w:hAnsi="Arial"/>
          <w:noProof w:val="0"/>
          <w:rtl/>
        </w:rPr>
      </w:pPr>
    </w:p>
    <w:p w14:paraId="57AACC2B" w14:textId="77777777" w:rsidR="00121F6B" w:rsidRDefault="00121F6B" w:rsidP="00121F6B">
      <w:pPr>
        <w:spacing w:line="360" w:lineRule="auto"/>
        <w:jc w:val="both"/>
        <w:rPr>
          <w:rFonts w:ascii="Arial" w:hAnsi="Arial"/>
          <w:noProof w:val="0"/>
          <w:rtl/>
        </w:rPr>
      </w:pPr>
      <w:r w:rsidRPr="00827E4B">
        <w:rPr>
          <w:rFonts w:ascii="Arial" w:hAnsi="Arial" w:hint="cs"/>
          <w:noProof w:val="0"/>
          <w:rtl/>
        </w:rPr>
        <w:t xml:space="preserve">על פי עובדות כתב האישום בת"פ 52222-2-20 בין הנאשם למתלוננת היכרות מוקדמת במסגרתה ניהלו קשר זוגי שהסתיים עובר למתואר בכתב האישום. ובבוקר יום 15.6.19 במועד שאינו ידוע למאשימה במדויק, השתמש הנאשם במיתקן בזק באופן שיש בו כדי לפגוע, להפחיד, להטריד, </w:t>
      </w:r>
      <w:r w:rsidRPr="00827E4B">
        <w:rPr>
          <w:rFonts w:ascii="Arial" w:hAnsi="Arial" w:hint="cs"/>
          <w:noProof w:val="0"/>
          <w:rtl/>
        </w:rPr>
        <w:lastRenderedPageBreak/>
        <w:t>ליצור חרדה או להרגיז שלא כדין את המתלוננת בכך ששלח תמונה שלה בעירום לבן זוגה מר מוחמד גנידי באמצעות אפליקציית "פייסבוק".</w:t>
      </w:r>
      <w:r>
        <w:rPr>
          <w:rFonts w:ascii="Arial" w:hAnsi="Arial" w:hint="cs"/>
          <w:noProof w:val="0"/>
          <w:rtl/>
        </w:rPr>
        <w:t xml:space="preserve"> </w:t>
      </w:r>
    </w:p>
    <w:p w14:paraId="4E67710D" w14:textId="77777777" w:rsidR="00121F6B" w:rsidRDefault="00121F6B" w:rsidP="00121F6B">
      <w:pPr>
        <w:spacing w:line="360" w:lineRule="auto"/>
        <w:jc w:val="both"/>
        <w:rPr>
          <w:rFonts w:ascii="Arial" w:hAnsi="Arial"/>
          <w:noProof w:val="0"/>
          <w:rtl/>
        </w:rPr>
      </w:pPr>
    </w:p>
    <w:p w14:paraId="7168DAFC" w14:textId="77777777" w:rsidR="00121F6B" w:rsidRPr="00EE2FC8" w:rsidRDefault="00121F6B" w:rsidP="00121F6B">
      <w:pPr>
        <w:spacing w:line="360" w:lineRule="auto"/>
        <w:jc w:val="both"/>
        <w:rPr>
          <w:rFonts w:ascii="Arial" w:hAnsi="Arial"/>
          <w:b/>
          <w:bCs/>
          <w:noProof w:val="0"/>
          <w:u w:val="single"/>
          <w:rtl/>
        </w:rPr>
      </w:pPr>
      <w:r w:rsidRPr="00EE2FC8">
        <w:rPr>
          <w:rFonts w:ascii="Arial" w:hAnsi="Arial" w:hint="cs"/>
          <w:b/>
          <w:bCs/>
          <w:noProof w:val="0"/>
          <w:u w:val="single"/>
          <w:rtl/>
        </w:rPr>
        <w:t>תסקירי שירות המבחן</w:t>
      </w:r>
    </w:p>
    <w:p w14:paraId="5EA5D887" w14:textId="77777777" w:rsidR="00121F6B" w:rsidRDefault="00121F6B" w:rsidP="00121F6B">
      <w:pPr>
        <w:spacing w:line="360" w:lineRule="auto"/>
        <w:jc w:val="both"/>
        <w:rPr>
          <w:rFonts w:ascii="Arial" w:hAnsi="Arial"/>
          <w:noProof w:val="0"/>
          <w:rtl/>
        </w:rPr>
      </w:pPr>
      <w:r>
        <w:rPr>
          <w:rFonts w:ascii="Arial" w:hAnsi="Arial" w:hint="cs"/>
          <w:noProof w:val="0"/>
          <w:rtl/>
        </w:rPr>
        <w:t>בעניינו של הנאשם התקיים תסקיר שירות מבחן למבוגרים מיום 6.12.20 לפיו הנאשם בן 22, רווק המתגורר ביפו עם אמו ואחיו ומסר כי מזה מספר חודשים הוצא לחל"ת מהמסעדה בה עבד בשל משבר הקורונה. הנאשם שיתף כי סיים 11 שנ"ל ונאלץ לעזוב על מנת לעבוד, על רקע חובות כספיים משמעותיים. שיתף את תולדות חיו ומצב בני משפחתו. מסר כי מגלה כיום תובנה באשר להשלכות נסיבות חייו וחוויות החיים הקשות אותן עבר, על בחירותיו והתנהלותו כיום. הנאשם שיתף את הדרך בה הכיר את המתלוננת בתיק וכן תיאר את מצב מערכת היחסים ביניהם. ושיתף כי חודש לאחר סיום מערכת היחסים עם המתלוננת הכיר בת זוגו הנוכחית, לה התארס לאחר מספר שבועות של הכרות. שרות מבחן התרשם תחילה מבחור צעיר, אשר מגיל צעיר מתמודד עם מורכבות במישורי חייו. במהלך תקופת הדחיה הנאשם התקשה לשתף פעולה באופן רציף עם ההליך הטיפולי ביחידה להתמכרויות, כאשר התקשה בכוחות עצמו להפסיק את השימוש בסמים, ניתק קשר לפרקים עם גורמי הטיפול ולא נענה להתרשמות הצוות הטיפולי מנזקקותו למסגרת סגורה של קהילה טיפולית לנפגעי סמים. להתרשמותם יש היעדר מוטיבציה לשינוי. כמו גם בהמשך נבחנה התאמתו לבדיקת התאמה לבית משפט קהילתי, בשל התרשמותם כי יתקשה לעמוד בדרישות התוכנית לא הומלץ לשלבו בתוכנית.</w:t>
      </w:r>
    </w:p>
    <w:p w14:paraId="1B708AF0" w14:textId="77777777" w:rsidR="00121F6B" w:rsidRDefault="00121F6B" w:rsidP="00121F6B">
      <w:pPr>
        <w:spacing w:line="360" w:lineRule="auto"/>
        <w:jc w:val="both"/>
        <w:rPr>
          <w:rFonts w:ascii="Arial" w:hAnsi="Arial"/>
          <w:noProof w:val="0"/>
          <w:rtl/>
        </w:rPr>
      </w:pPr>
      <w:r>
        <w:rPr>
          <w:rFonts w:ascii="Arial" w:hAnsi="Arial" w:hint="cs"/>
          <w:noProof w:val="0"/>
          <w:rtl/>
        </w:rPr>
        <w:t xml:space="preserve">בהתייחסותו לעבירות הנאשם לקח אחריות מילולית על ביצוען והביע צער וחרטה על התנהלותו. תאר כי התנהל בצורה תוקפנית ואף אלימה כלפי המתלוננת מאחר וחשד כי מנהלת מערכת יחסים עם גבר אחר. כתוצאה מכך התקשה לווסת את רגשותיו והתנהגותו. בפגישה עם שרות מבחן הנאשם ביטא צער וחרטה על מעשיו וכן תיאר קשייו לשקול השלכות מעשיו בעת ביצוע העבירות. התקשה לבחון באופן ביקורתי את בחירותיו והביע עמדות מקלות כלפי התנהגותו המתוארת. ציין כי מזה כ 4 חודשים לא מתקיים קשר כלשהו עם המתלוננת ושלל כעס או עויינות כלפיה. </w:t>
      </w:r>
    </w:p>
    <w:p w14:paraId="478ECF23" w14:textId="77777777" w:rsidR="00121F6B" w:rsidRDefault="00121F6B" w:rsidP="00121F6B">
      <w:pPr>
        <w:spacing w:line="360" w:lineRule="auto"/>
        <w:jc w:val="both"/>
        <w:rPr>
          <w:rFonts w:ascii="Arial" w:hAnsi="Arial"/>
          <w:noProof w:val="0"/>
          <w:rtl/>
        </w:rPr>
      </w:pPr>
      <w:r>
        <w:rPr>
          <w:rFonts w:ascii="Arial" w:hAnsi="Arial" w:hint="cs"/>
          <w:noProof w:val="0"/>
          <w:rtl/>
        </w:rPr>
        <w:t>שרות מבחן העריך כי עשוי להיתרם מטיפול בתחום אלימות זוגית אך הנאשם הביע אמביוולנטיות לגבי השתלבות בטיפול זה. באשר לשימושו בחומרים פסיכו אקטיביים, תיאר כי בעבר נהג לצרוך אלכוהול אך נמנע מזה כשנה. יחד עם זאת תיאר שימוש בסם מסוג קנאביס מגיל צעיר ובאופן יומיומי, על רקע הצורך באמצעי נוסף להרגעה, כאשר מתקשה לווסת את רגשותיו, לדבריו אינו זקוק לסיוע בגמילה מסם מאחר ולתפיסתו יוכל להפסיק אם ירצה בכך. שרות מבחן ציין כי הנאשם לא הגיע לבדיקת שתן אליה זומן. שרות מבחן ציין בתסקיר אודות שיחתם עם המתלוננת שתיארה בין השאר כי אינה חשה איום או פחד מפניו. שרות מבחן ביצע הערכת סיכון לעבריינות וסיכויי לשיקום ולהתרשמותם לאור הערכתם כמפורטת בהרחבה בתסקיר, קיימת חשיבות גבוהה להשתלבות הנאשם טיפול ייעודי התואם את מצבו וצרכיו. בהתייחסותם לפרמטרים השונים הקשורים לאישיותו, תפקודו, דפוסי ניהול קשרים בינאישיים, מאפייני העבירות הנוכחיות וההיסטוריה העבריינית וכן בהתייחסות לעברו של הנאשם וכן הסביבה החברתית בה מצוי וחרף התרשמותם ממיעוט בגורמי סיכוי, שרות מבחן לקח בחשבון את יציבותו התעסוקתית טרם משבר הקורונה וכי הצליח למשך מספר חודשים להתמיד בטיפול ביחידה להתמכרויות ביפו ואף הצליח לפרקים להימנע משימוש בסמים. אך בהיעדר בשלותו לבדיקה עצמית ולעריכת שינוי בדפוסיו, כאשר כאמור ממשיך לצרוך סמים. לפיכך אין בידם לבוא בהמלצה שיקומית טיפולית בעניינו.</w:t>
      </w:r>
    </w:p>
    <w:p w14:paraId="4CAD4329" w14:textId="77777777" w:rsidR="00121F6B" w:rsidRDefault="00121F6B" w:rsidP="00121F6B">
      <w:pPr>
        <w:spacing w:line="360" w:lineRule="auto"/>
        <w:jc w:val="both"/>
        <w:rPr>
          <w:rFonts w:ascii="Arial" w:hAnsi="Arial"/>
          <w:noProof w:val="0"/>
          <w:rtl/>
        </w:rPr>
      </w:pPr>
    </w:p>
    <w:p w14:paraId="2DF666BE" w14:textId="77777777" w:rsidR="00121F6B" w:rsidRDefault="00121F6B" w:rsidP="00121F6B">
      <w:pPr>
        <w:spacing w:line="360" w:lineRule="auto"/>
        <w:jc w:val="both"/>
        <w:rPr>
          <w:b/>
          <w:bCs/>
          <w:u w:val="single"/>
          <w:rtl/>
        </w:rPr>
      </w:pPr>
      <w:r w:rsidRPr="0000151A">
        <w:rPr>
          <w:rFonts w:hint="cs"/>
          <w:b/>
          <w:bCs/>
          <w:u w:val="single"/>
          <w:rtl/>
        </w:rPr>
        <w:t>טיעוני הצדדים לעונש</w:t>
      </w:r>
    </w:p>
    <w:p w14:paraId="60D0619C" w14:textId="77777777" w:rsidR="00121F6B" w:rsidRDefault="00121F6B" w:rsidP="00121F6B">
      <w:pPr>
        <w:spacing w:line="360" w:lineRule="auto"/>
        <w:jc w:val="both"/>
        <w:rPr>
          <w:b/>
          <w:bCs/>
          <w:u w:val="single"/>
          <w:rtl/>
        </w:rPr>
      </w:pPr>
      <w:r>
        <w:rPr>
          <w:rFonts w:hint="cs"/>
          <w:b/>
          <w:bCs/>
          <w:u w:val="single"/>
          <w:rtl/>
        </w:rPr>
        <w:t xml:space="preserve">ב"כ המאשימה: </w:t>
      </w:r>
      <w:r w:rsidRPr="00D97392">
        <w:rPr>
          <w:rFonts w:hint="cs"/>
          <w:rtl/>
        </w:rPr>
        <w:t>אין לנאשם הרשעות קודמות, התייחסה לעבירות אותן ביצע הנאשם, הפנתה לנסיבות של המתלוננת. הפגיעה בערך המוגן, פגיעה בשלוות רוחה של המתלוננת וכן פגיעה בגופה. המתחם נע בתיק האלימות בין 8-18 חודשי מאסר ובתיק הסמים מע"ת ועד 6 חודשי מאסר בעבודות שירות. הפנתה לאמור בתסקיר שירות המבחן, בבדיקת השתן יצאו מלוכלכות, בהיעדר הליך טיפולי יש הגברה של המסוכנות. בנסיבות אלו התביעה סבורה כי התנהלות הנאשם היא בעייתית. לאור חומרת העבירות ונוכח העובדה כי מדובר ב-3 כתבי אישום עתרה המאשימה לעונש מאסר, מע"ת וקנס.</w:t>
      </w:r>
      <w:r>
        <w:rPr>
          <w:rFonts w:hint="cs"/>
          <w:b/>
          <w:bCs/>
          <w:u w:val="single"/>
          <w:rtl/>
        </w:rPr>
        <w:t xml:space="preserve"> </w:t>
      </w:r>
    </w:p>
    <w:p w14:paraId="353D8EAA" w14:textId="77777777" w:rsidR="00121F6B" w:rsidRDefault="00121F6B" w:rsidP="00121F6B">
      <w:pPr>
        <w:spacing w:line="360" w:lineRule="auto"/>
        <w:jc w:val="both"/>
        <w:rPr>
          <w:b/>
          <w:bCs/>
          <w:u w:val="single"/>
          <w:rtl/>
        </w:rPr>
      </w:pPr>
      <w:r>
        <w:rPr>
          <w:rFonts w:hint="cs"/>
          <w:b/>
          <w:bCs/>
          <w:u w:val="single"/>
          <w:rtl/>
        </w:rPr>
        <w:t xml:space="preserve">ב"כ הנאשם: </w:t>
      </w:r>
      <w:r w:rsidRPr="00D97392">
        <w:rPr>
          <w:rFonts w:hint="cs"/>
          <w:rtl/>
        </w:rPr>
        <w:t>טענה כי הנאשם צירף כל תיקיו, חסך זמן שיפוטי, הפנתה לחלוף הזמן מאז ביצוע העבירות. נוכח העובדה כי מדובר במתלוננת אחת מדובר במקשה אחת של אירועים. הנאשם בזמן ביצוע העבירה היה צעיר. הפנתה לנסיבות האישיות של הנאשם. שירות המבחן ציין כי הנאשם עשה מאמצים לשמור על יציבות תעסוקתית. הנאשם מאז התארס לאישה אחרת וניתק את הקשר עם המתלוננת כך שאין סיכון יותר למתלוננת. נמנע משימוש בסם או אלכוהול. שירות המבחן לא בא בהמלצה אולם עונש מאסר לאדם צעיר יכול לפגוע בו.</w:t>
      </w:r>
      <w:r>
        <w:rPr>
          <w:rFonts w:hint="cs"/>
          <w:b/>
          <w:bCs/>
          <w:u w:val="single"/>
          <w:rtl/>
        </w:rPr>
        <w:t xml:space="preserve"> </w:t>
      </w:r>
    </w:p>
    <w:p w14:paraId="1596E64E" w14:textId="77777777" w:rsidR="00121F6B" w:rsidRDefault="00121F6B" w:rsidP="00121F6B">
      <w:pPr>
        <w:spacing w:line="360" w:lineRule="auto"/>
        <w:jc w:val="both"/>
        <w:rPr>
          <w:b/>
          <w:bCs/>
          <w:u w:val="single"/>
          <w:rtl/>
        </w:rPr>
      </w:pPr>
    </w:p>
    <w:p w14:paraId="590DE9F1" w14:textId="77777777" w:rsidR="00121F6B" w:rsidRPr="0000151A" w:rsidRDefault="00121F6B" w:rsidP="00121F6B">
      <w:pPr>
        <w:spacing w:line="360" w:lineRule="auto"/>
        <w:jc w:val="both"/>
        <w:rPr>
          <w:b/>
          <w:bCs/>
          <w:u w:val="single"/>
          <w:rtl/>
        </w:rPr>
      </w:pPr>
      <w:r>
        <w:rPr>
          <w:rFonts w:hint="cs"/>
          <w:b/>
          <w:bCs/>
          <w:u w:val="single"/>
          <w:rtl/>
        </w:rPr>
        <w:t>דיון והכרעה</w:t>
      </w:r>
    </w:p>
    <w:p w14:paraId="05D4B7D1" w14:textId="77777777" w:rsidR="00121F6B" w:rsidRPr="00BD29ED" w:rsidRDefault="00121F6B" w:rsidP="00121F6B">
      <w:pPr>
        <w:spacing w:line="360" w:lineRule="auto"/>
        <w:jc w:val="both"/>
      </w:pPr>
      <w:r>
        <w:rPr>
          <w:rFonts w:hint="cs"/>
          <w:rtl/>
        </w:rPr>
        <w:t xml:space="preserve">הערך המוגן פגיעה בגופו, רכושו שלוות נפשו של המתלוננת. </w:t>
      </w:r>
      <w:r w:rsidRPr="00BD29ED">
        <w:rPr>
          <w:rFonts w:hint="cs"/>
          <w:rtl/>
        </w:rPr>
        <w:t xml:space="preserve">בהתאם לסעיף </w:t>
      </w:r>
      <w:hyperlink r:id="rId32" w:history="1">
        <w:r w:rsidR="0072543A" w:rsidRPr="0072543A">
          <w:rPr>
            <w:rStyle w:val="Hyperlink"/>
            <w:rtl/>
          </w:rPr>
          <w:t>40 ג(א)</w:t>
        </w:r>
      </w:hyperlink>
      <w:r w:rsidRPr="00BD29ED">
        <w:rPr>
          <w:rFonts w:hint="cs"/>
          <w:rtl/>
        </w:rPr>
        <w:t xml:space="preserve"> ל</w:t>
      </w:r>
      <w:hyperlink r:id="rId33" w:history="1">
        <w:r w:rsidR="00AB4467" w:rsidRPr="00AB4467">
          <w:rPr>
            <w:color w:val="0000FF"/>
            <w:u w:val="single"/>
            <w:rtl/>
          </w:rPr>
          <w:t>חוק העונשין</w:t>
        </w:r>
      </w:hyperlink>
      <w:r w:rsidRPr="00BD29ED">
        <w:rPr>
          <w:rFonts w:hint="cs"/>
          <w:rt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סבורני כי מתחם העונש ההולם בגין הארוע</w:t>
      </w:r>
      <w:r>
        <w:rPr>
          <w:rFonts w:hint="cs"/>
          <w:rtl/>
        </w:rPr>
        <w:t xml:space="preserve"> בתיק העיקרי</w:t>
      </w:r>
      <w:r w:rsidRPr="00BD29ED">
        <w:rPr>
          <w:rFonts w:hint="cs"/>
          <w:rtl/>
        </w:rPr>
        <w:t xml:space="preserve"> הוא </w:t>
      </w:r>
      <w:r>
        <w:rPr>
          <w:rFonts w:hint="cs"/>
          <w:rtl/>
        </w:rPr>
        <w:t>מאסר על תנאי ועד 12 חודשי מאסר</w:t>
      </w:r>
      <w:r w:rsidRPr="00BD29ED">
        <w:rPr>
          <w:rFonts w:hint="cs"/>
          <w:rtl/>
        </w:rPr>
        <w:t>.</w:t>
      </w:r>
      <w:r>
        <w:rPr>
          <w:rFonts w:hint="cs"/>
          <w:rtl/>
        </w:rPr>
        <w:t xml:space="preserve"> בגין כל אחד מהאירועים בתיקים המצורפים הוא מאסר על תנאי ועד 9 חודשי מאסר.</w:t>
      </w:r>
    </w:p>
    <w:p w14:paraId="4C9C8AAB" w14:textId="77777777" w:rsidR="00121F6B" w:rsidRPr="00E85976" w:rsidRDefault="00121F6B" w:rsidP="00121F6B">
      <w:pPr>
        <w:spacing w:line="360" w:lineRule="auto"/>
        <w:jc w:val="both"/>
        <w:rPr>
          <w:rtl/>
        </w:rPr>
      </w:pPr>
    </w:p>
    <w:p w14:paraId="2C808F60" w14:textId="77777777" w:rsidR="00121F6B" w:rsidRPr="005E0C8D" w:rsidRDefault="00121F6B" w:rsidP="00121F6B">
      <w:pPr>
        <w:spacing w:line="360" w:lineRule="auto"/>
        <w:jc w:val="both"/>
        <w:rPr>
          <w:rtl/>
        </w:rPr>
      </w:pPr>
      <w:r>
        <w:rPr>
          <w:rFonts w:hint="cs"/>
          <w:rtl/>
        </w:rPr>
        <w:t xml:space="preserve">מדובר בנאשם נעדר עבר פלילי שלא שיתף פעולה עם שירות המבחן. הנאשם לא הגיע לשירות המבחן לצורך מתן דגימות שתן לאיתור סמים. העבירות אותן ביצע הנאשם אינן מצויות ברף חומרה גבוה מבחינת התוצאה. אולם, רף הביזוי וההשפלה כלפי המתלוננת בתיק העיקרי הוא ברמה גבוה נוכח מקום ביצוע העבירה והתנהגות הנאשם כלפי המתלוננת. בית המשפט סבר כי העונש הראוי הוא עונש של עבודות שירות בתיק זה. אולם, הנאשם למרות שנשלח מספר פעמים לא הגיע לממונה על עבודות השירות לראיון ב- 11.04.21 לא הגיע לממונה כיוון שלא יהיו בידו המסמכים הדרושים. ל- 21.07.21 לא הגיע לא נמסר לבית המשפט הסבר לאי הגעתו של המשיב לממונה. ל- 16.08.21 לא הגיע לממונה על עבודות השירות כיוון שהיה בבדיקות רופואיות. ב"כ הנאשם הודיעה כי תצרף אישור רפואי אולם הדבר לא נעשה. לזימון ליום 19.09.21 שוב הנאשם לא התייצב לממונה. בית המשפט סבור כי הוא נהג בנאשם באורך רוח דבר שלא הועיל להגעת הנאשם לממונה על עבודות השירות. בנסיבות אלו אין מנוס מגזירת הדין. </w:t>
      </w:r>
      <w:r w:rsidRPr="005E0C8D">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w:t>
      </w:r>
      <w:r>
        <w:rPr>
          <w:rFonts w:hint="cs"/>
          <w:rtl/>
        </w:rPr>
        <w:t>ות</w:t>
      </w:r>
      <w:r w:rsidRPr="005E0C8D">
        <w:rPr>
          <w:rtl/>
        </w:rPr>
        <w:t xml:space="preserve"> וחומרת</w:t>
      </w:r>
      <w:r>
        <w:rPr>
          <w:rFonts w:hint="cs"/>
          <w:rtl/>
        </w:rPr>
        <w:t>ן</w:t>
      </w:r>
      <w:r w:rsidRPr="005E0C8D">
        <w:rPr>
          <w:rtl/>
        </w:rPr>
        <w:t>; מידת הפגיעה בערך המוגן; גילו של הנאשם; הנסיבות עליהן עמד</w:t>
      </w:r>
      <w:r>
        <w:rPr>
          <w:rFonts w:hint="cs"/>
          <w:rtl/>
        </w:rPr>
        <w:t xml:space="preserve">ו </w:t>
      </w:r>
      <w:r w:rsidRPr="005E0C8D">
        <w:rPr>
          <w:rtl/>
        </w:rPr>
        <w:t>ה</w:t>
      </w:r>
      <w:r>
        <w:rPr>
          <w:rFonts w:hint="cs"/>
          <w:rtl/>
        </w:rPr>
        <w:t xml:space="preserve">צדדים </w:t>
      </w:r>
      <w:r w:rsidRPr="005E0C8D">
        <w:rPr>
          <w:rtl/>
        </w:rPr>
        <w:t>בטיעוניה</w:t>
      </w:r>
      <w:r>
        <w:rPr>
          <w:rFonts w:hint="cs"/>
          <w:rtl/>
        </w:rPr>
        <w:t>ם</w:t>
      </w:r>
      <w:r w:rsidRPr="005E0C8D">
        <w:rPr>
          <w:rtl/>
        </w:rPr>
        <w:t>; הודאתו המצביעה על נטילת אחריות; היותו נעדר עבר פלילי</w:t>
      </w:r>
      <w:r>
        <w:rPr>
          <w:rFonts w:hint="cs"/>
          <w:rtl/>
        </w:rPr>
        <w:t>; העובדה כי הנאשם נדון בריבוי אישומים מסוגים שונים</w:t>
      </w:r>
      <w:r w:rsidRPr="005E0C8D">
        <w:rPr>
          <w:rtl/>
        </w:rPr>
        <w:t>.</w:t>
      </w:r>
      <w:r>
        <w:rPr>
          <w:rFonts w:hint="cs"/>
          <w:rtl/>
        </w:rPr>
        <w:t xml:space="preserve"> נוכח העובדה כי נגזר על הנאשם עונש מאסר ממש ולא בעבודות שירות מצאתי להטיל על הנאשם תקופה קצרה יותר מהתקופה שהייתה מוטלת על הנאשם לו היה נדון לעבודות שירות. </w:t>
      </w:r>
    </w:p>
    <w:p w14:paraId="5B0913C4" w14:textId="77777777" w:rsidR="00121F6B" w:rsidRPr="005E0C8D" w:rsidRDefault="00121F6B" w:rsidP="00121F6B">
      <w:pPr>
        <w:spacing w:line="360" w:lineRule="auto"/>
        <w:jc w:val="both"/>
        <w:rPr>
          <w:b/>
          <w:rtl/>
        </w:rPr>
      </w:pPr>
    </w:p>
    <w:p w14:paraId="06482165" w14:textId="77777777" w:rsidR="00121F6B" w:rsidRPr="005E0C8D" w:rsidRDefault="00121F6B" w:rsidP="00121F6B">
      <w:pPr>
        <w:spacing w:line="360" w:lineRule="auto"/>
        <w:jc w:val="both"/>
        <w:rPr>
          <w:b/>
        </w:rPr>
      </w:pPr>
      <w:r w:rsidRPr="005E0C8D">
        <w:rPr>
          <w:b/>
          <w:rtl/>
        </w:rPr>
        <w:t xml:space="preserve">לאחר ששמעתי את הצדדים בהתחשב בטיעוניהם, </w:t>
      </w:r>
      <w:r>
        <w:rPr>
          <w:rFonts w:hint="cs"/>
          <w:b/>
          <w:rtl/>
        </w:rPr>
        <w:t xml:space="preserve">בנסיבות המקרה והעניין ועל </w:t>
      </w:r>
      <w:r w:rsidRPr="005E0C8D">
        <w:rPr>
          <w:b/>
          <w:rtl/>
        </w:rPr>
        <w:t>פי כל השיקולים הצריכים לגזר הדין אני קובע כי אלה העונשים שאני משית על הנאשם:</w:t>
      </w:r>
    </w:p>
    <w:p w14:paraId="1835D558" w14:textId="77777777" w:rsidR="00121F6B" w:rsidRPr="005E0C8D" w:rsidRDefault="00121F6B" w:rsidP="00121F6B">
      <w:pPr>
        <w:spacing w:line="360" w:lineRule="auto"/>
        <w:jc w:val="both"/>
        <w:rPr>
          <w:b/>
          <w:bCs/>
          <w:rtl/>
        </w:rPr>
      </w:pPr>
    </w:p>
    <w:p w14:paraId="6446468A" w14:textId="77777777" w:rsidR="00121F6B" w:rsidRPr="005E0C8D" w:rsidRDefault="00121F6B" w:rsidP="00121F6B">
      <w:pPr>
        <w:pStyle w:val="a9"/>
        <w:numPr>
          <w:ilvl w:val="0"/>
          <w:numId w:val="1"/>
        </w:numPr>
        <w:spacing w:line="360" w:lineRule="auto"/>
        <w:jc w:val="both"/>
        <w:rPr>
          <w:sz w:val="24"/>
        </w:rPr>
      </w:pPr>
      <w:r w:rsidRPr="005E0C8D">
        <w:rPr>
          <w:rFonts w:hint="cs"/>
          <w:sz w:val="24"/>
          <w:rtl/>
        </w:rPr>
        <w:t>אני דן את הנאשם לעונש מאסר למשך חודש</w:t>
      </w:r>
      <w:r>
        <w:rPr>
          <w:rFonts w:hint="cs"/>
          <w:sz w:val="24"/>
          <w:rtl/>
        </w:rPr>
        <w:t>י</w:t>
      </w:r>
      <w:r w:rsidRPr="005E0C8D">
        <w:rPr>
          <w:rFonts w:hint="cs"/>
          <w:sz w:val="24"/>
          <w:rtl/>
        </w:rPr>
        <w:t>ים.</w:t>
      </w:r>
    </w:p>
    <w:p w14:paraId="770D1776" w14:textId="77777777" w:rsidR="00121F6B" w:rsidRPr="005E0C8D" w:rsidRDefault="00121F6B" w:rsidP="00121F6B">
      <w:pPr>
        <w:spacing w:line="360" w:lineRule="auto"/>
        <w:jc w:val="both"/>
      </w:pPr>
    </w:p>
    <w:p w14:paraId="4C4A0952" w14:textId="77777777" w:rsidR="00121F6B" w:rsidRDefault="00121F6B" w:rsidP="00121F6B">
      <w:pPr>
        <w:pStyle w:val="a9"/>
        <w:numPr>
          <w:ilvl w:val="0"/>
          <w:numId w:val="1"/>
        </w:numPr>
        <w:spacing w:line="360" w:lineRule="auto"/>
        <w:jc w:val="both"/>
      </w:pPr>
      <w:r w:rsidRPr="005E0C8D">
        <w:rPr>
          <w:rFonts w:hint="cs"/>
          <w:sz w:val="24"/>
          <w:rtl/>
        </w:rPr>
        <w:t xml:space="preserve">אני דן את הנאשם למאסר למשך </w:t>
      </w:r>
      <w:r>
        <w:rPr>
          <w:rFonts w:hint="cs"/>
          <w:sz w:val="24"/>
          <w:rtl/>
        </w:rPr>
        <w:t>6</w:t>
      </w:r>
      <w:r w:rsidRPr="00F31105">
        <w:rPr>
          <w:rFonts w:hint="cs"/>
          <w:b/>
          <w:bCs/>
          <w:sz w:val="24"/>
          <w:rtl/>
        </w:rPr>
        <w:t xml:space="preserve"> </w:t>
      </w:r>
      <w:r w:rsidRPr="005E0C8D">
        <w:rPr>
          <w:rFonts w:hint="cs"/>
          <w:sz w:val="24"/>
          <w:rtl/>
        </w:rPr>
        <w:t>חודשים וזאת על תנאי למשך שלוש שנים. התנאי הוא שלא יעבור עביר</w:t>
      </w:r>
      <w:r>
        <w:rPr>
          <w:rFonts w:hint="cs"/>
          <w:sz w:val="24"/>
          <w:rtl/>
        </w:rPr>
        <w:t xml:space="preserve">ות אלימות מסוג פשע. </w:t>
      </w:r>
    </w:p>
    <w:p w14:paraId="4F546794" w14:textId="77777777" w:rsidR="00121F6B" w:rsidRPr="005E0C8D" w:rsidRDefault="00121F6B" w:rsidP="00121F6B">
      <w:pPr>
        <w:spacing w:line="360" w:lineRule="auto"/>
        <w:jc w:val="both"/>
      </w:pPr>
    </w:p>
    <w:p w14:paraId="74167BF8" w14:textId="77777777" w:rsidR="00121F6B" w:rsidRPr="005E0C8D" w:rsidRDefault="00121F6B" w:rsidP="00121F6B">
      <w:pPr>
        <w:pStyle w:val="a9"/>
        <w:numPr>
          <w:ilvl w:val="0"/>
          <w:numId w:val="1"/>
        </w:numPr>
        <w:spacing w:line="360" w:lineRule="auto"/>
        <w:jc w:val="both"/>
        <w:rPr>
          <w:sz w:val="24"/>
        </w:rPr>
      </w:pPr>
      <w:r w:rsidRPr="005E0C8D">
        <w:rPr>
          <w:rFonts w:hint="cs"/>
          <w:sz w:val="24"/>
          <w:rtl/>
        </w:rPr>
        <w:t xml:space="preserve">אני דן את הנאשם למאסר למשך </w:t>
      </w:r>
      <w:r>
        <w:rPr>
          <w:rFonts w:hint="cs"/>
          <w:sz w:val="24"/>
          <w:rtl/>
        </w:rPr>
        <w:t>3</w:t>
      </w:r>
      <w:r w:rsidRPr="005E0C8D">
        <w:rPr>
          <w:rFonts w:hint="cs"/>
          <w:b/>
          <w:bCs/>
          <w:sz w:val="24"/>
          <w:rtl/>
        </w:rPr>
        <w:t xml:space="preserve"> </w:t>
      </w:r>
      <w:r w:rsidRPr="005E0C8D">
        <w:rPr>
          <w:rFonts w:hint="cs"/>
          <w:sz w:val="24"/>
          <w:rtl/>
        </w:rPr>
        <w:t xml:space="preserve">חודשים וזאת על תנאי למשך שלוש שנים. התנאי הוא שלא יעבור </w:t>
      </w:r>
      <w:r>
        <w:rPr>
          <w:rFonts w:hint="cs"/>
          <w:sz w:val="24"/>
          <w:rtl/>
        </w:rPr>
        <w:t xml:space="preserve">עבירה על פי </w:t>
      </w:r>
      <w:r w:rsidRPr="005E0C8D">
        <w:rPr>
          <w:rFonts w:hint="cs"/>
          <w:sz w:val="24"/>
          <w:rtl/>
        </w:rPr>
        <w:t xml:space="preserve">הוראות </w:t>
      </w:r>
      <w:hyperlink r:id="rId34" w:history="1">
        <w:r w:rsidR="00AB4467" w:rsidRPr="00AB4467">
          <w:rPr>
            <w:color w:val="0000FF"/>
            <w:sz w:val="24"/>
            <w:u w:val="single"/>
            <w:rtl/>
          </w:rPr>
          <w:t>פקודת הסמים המסוכנים</w:t>
        </w:r>
      </w:hyperlink>
      <w:r>
        <w:rPr>
          <w:rFonts w:hint="cs"/>
          <w:sz w:val="24"/>
          <w:rtl/>
        </w:rPr>
        <w:t xml:space="preserve">. </w:t>
      </w:r>
      <w:r w:rsidRPr="005E0C8D">
        <w:rPr>
          <w:rFonts w:hint="cs"/>
          <w:sz w:val="24"/>
          <w:rtl/>
        </w:rPr>
        <w:t>או עבירת אלימות מסוג עוון</w:t>
      </w:r>
      <w:r>
        <w:rPr>
          <w:rFonts w:hint="cs"/>
          <w:sz w:val="24"/>
          <w:rtl/>
        </w:rPr>
        <w:t xml:space="preserve"> או עבירה של הטרדה במתקן בזק</w:t>
      </w:r>
      <w:r w:rsidRPr="005E0C8D">
        <w:rPr>
          <w:rFonts w:hint="cs"/>
          <w:sz w:val="24"/>
          <w:rtl/>
        </w:rPr>
        <w:t xml:space="preserve">. </w:t>
      </w:r>
    </w:p>
    <w:p w14:paraId="1D9EC5D1" w14:textId="77777777" w:rsidR="00121F6B" w:rsidRPr="005E0C8D" w:rsidRDefault="00121F6B" w:rsidP="00121F6B">
      <w:pPr>
        <w:spacing w:line="360" w:lineRule="auto"/>
        <w:jc w:val="both"/>
      </w:pPr>
    </w:p>
    <w:p w14:paraId="6F17ABFA" w14:textId="77777777" w:rsidR="00121F6B" w:rsidRDefault="00121F6B" w:rsidP="00121F6B">
      <w:pPr>
        <w:pStyle w:val="a9"/>
        <w:numPr>
          <w:ilvl w:val="0"/>
          <w:numId w:val="1"/>
        </w:numPr>
        <w:spacing w:line="360" w:lineRule="auto"/>
        <w:jc w:val="both"/>
        <w:rPr>
          <w:sz w:val="24"/>
        </w:rPr>
      </w:pPr>
      <w:r w:rsidRPr="005E0C8D">
        <w:rPr>
          <w:rFonts w:hint="cs"/>
          <w:sz w:val="24"/>
          <w:rtl/>
        </w:rPr>
        <w:t xml:space="preserve">הנאשם </w:t>
      </w:r>
      <w:r>
        <w:rPr>
          <w:rFonts w:hint="cs"/>
          <w:sz w:val="24"/>
          <w:rtl/>
        </w:rPr>
        <w:t>יתחייב ב</w:t>
      </w:r>
      <w:r w:rsidRPr="005E0C8D">
        <w:rPr>
          <w:rFonts w:hint="cs"/>
          <w:sz w:val="24"/>
          <w:rtl/>
        </w:rPr>
        <w:t xml:space="preserve">התחייבות כספית על סך </w:t>
      </w:r>
      <w:r>
        <w:rPr>
          <w:rFonts w:hint="cs"/>
          <w:sz w:val="24"/>
          <w:rtl/>
        </w:rPr>
        <w:t xml:space="preserve">1,000 </w:t>
      </w:r>
      <w:r w:rsidRPr="005E0C8D">
        <w:rPr>
          <w:rFonts w:hint="cs"/>
          <w:b/>
          <w:bCs/>
          <w:sz w:val="24"/>
          <w:rtl/>
        </w:rPr>
        <w:t>₪</w:t>
      </w:r>
      <w:r w:rsidRPr="005E0C8D">
        <w:rPr>
          <w:rFonts w:hint="cs"/>
          <w:sz w:val="24"/>
          <w:rtl/>
        </w:rPr>
        <w:t xml:space="preserve"> שלא יעבור עבירה דומה לעבירה בה הורשע והתנאי הוא למשך 3 שנים מהיום</w:t>
      </w:r>
      <w:r>
        <w:rPr>
          <w:rFonts w:hint="cs"/>
          <w:sz w:val="24"/>
          <w:rtl/>
        </w:rPr>
        <w:t xml:space="preserve">, </w:t>
      </w:r>
      <w:r w:rsidRPr="002102D8">
        <w:rPr>
          <w:sz w:val="24"/>
          <w:rtl/>
        </w:rPr>
        <w:t>לא יתחייב יאסר למשך 7 ימים.</w:t>
      </w:r>
    </w:p>
    <w:p w14:paraId="7A2D99D7" w14:textId="77777777" w:rsidR="00121F6B" w:rsidRPr="00E567DA" w:rsidRDefault="00121F6B" w:rsidP="00121F6B">
      <w:pPr>
        <w:spacing w:line="360" w:lineRule="auto"/>
        <w:jc w:val="both"/>
      </w:pPr>
    </w:p>
    <w:p w14:paraId="4273CF68" w14:textId="77777777" w:rsidR="00121F6B" w:rsidRDefault="00121F6B" w:rsidP="00121F6B">
      <w:pPr>
        <w:pStyle w:val="a9"/>
        <w:numPr>
          <w:ilvl w:val="0"/>
          <w:numId w:val="1"/>
        </w:numPr>
        <w:spacing w:line="360" w:lineRule="auto"/>
        <w:jc w:val="both"/>
        <w:rPr>
          <w:sz w:val="24"/>
        </w:rPr>
      </w:pPr>
      <w:r w:rsidRPr="005E0C8D">
        <w:rPr>
          <w:rFonts w:hint="cs"/>
          <w:sz w:val="24"/>
          <w:rtl/>
        </w:rPr>
        <w:t xml:space="preserve">אני מחייב את הנאשם לשלם למתלוננת </w:t>
      </w:r>
      <w:r>
        <w:rPr>
          <w:rFonts w:hint="cs"/>
          <w:sz w:val="24"/>
          <w:rtl/>
        </w:rPr>
        <w:t xml:space="preserve">דנה נוריאלי </w:t>
      </w:r>
      <w:r w:rsidRPr="005E0C8D">
        <w:rPr>
          <w:rFonts w:hint="cs"/>
          <w:sz w:val="24"/>
          <w:rtl/>
        </w:rPr>
        <w:t xml:space="preserve">פיצוי על סך </w:t>
      </w:r>
      <w:r>
        <w:rPr>
          <w:rFonts w:hint="cs"/>
          <w:sz w:val="24"/>
          <w:rtl/>
        </w:rPr>
        <w:t xml:space="preserve">1,500 </w:t>
      </w:r>
      <w:r w:rsidRPr="005E0C8D">
        <w:rPr>
          <w:rFonts w:hint="cs"/>
          <w:sz w:val="24"/>
          <w:rtl/>
        </w:rPr>
        <w:t xml:space="preserve">₪. הפיצוי יופקד בקופת בית המשפט תוך </w:t>
      </w:r>
      <w:r>
        <w:rPr>
          <w:rFonts w:hint="cs"/>
          <w:sz w:val="24"/>
          <w:rtl/>
        </w:rPr>
        <w:t>90</w:t>
      </w:r>
      <w:r w:rsidRPr="005E0C8D">
        <w:rPr>
          <w:rFonts w:hint="cs"/>
          <w:sz w:val="24"/>
          <w:rtl/>
        </w:rPr>
        <w:t xml:space="preserve"> יום מהיום. </w:t>
      </w:r>
      <w:r>
        <w:rPr>
          <w:rFonts w:hint="cs"/>
          <w:sz w:val="24"/>
          <w:rtl/>
        </w:rPr>
        <w:t xml:space="preserve">המאשימה תעביר למזכירות בית המשפט טופס 6א לפי </w:t>
      </w:r>
      <w:hyperlink r:id="rId35" w:history="1">
        <w:r w:rsidR="0072543A" w:rsidRPr="0072543A">
          <w:rPr>
            <w:rStyle w:val="Hyperlink"/>
            <w:rFonts w:hint="eastAsia"/>
            <w:sz w:val="24"/>
            <w:rtl/>
          </w:rPr>
          <w:t>סעיף</w:t>
        </w:r>
        <w:r w:rsidR="0072543A" w:rsidRPr="0072543A">
          <w:rPr>
            <w:rStyle w:val="Hyperlink"/>
            <w:sz w:val="24"/>
            <w:rtl/>
          </w:rPr>
          <w:t xml:space="preserve"> 31ב</w:t>
        </w:r>
      </w:hyperlink>
      <w:r>
        <w:rPr>
          <w:rFonts w:hint="cs"/>
          <w:sz w:val="24"/>
          <w:rtl/>
        </w:rPr>
        <w:t xml:space="preserve"> ל</w:t>
      </w:r>
      <w:hyperlink r:id="rId36" w:history="1">
        <w:r w:rsidR="00AB4467" w:rsidRPr="00AB4467">
          <w:rPr>
            <w:color w:val="0000FF"/>
            <w:sz w:val="24"/>
            <w:u w:val="single"/>
            <w:rtl/>
            <w:lang w:eastAsia="en-US"/>
          </w:rPr>
          <w:t>תקנות סדר הדין הפלילי</w:t>
        </w:r>
      </w:hyperlink>
      <w:r w:rsidRPr="00DB3951">
        <w:rPr>
          <w:rFonts w:hint="cs"/>
          <w:sz w:val="24"/>
          <w:rtl/>
          <w:lang w:eastAsia="en-US"/>
        </w:rPr>
        <w:t xml:space="preserve">, </w:t>
      </w:r>
      <w:r w:rsidRPr="00DB3951">
        <w:rPr>
          <w:sz w:val="24"/>
          <w:rtl/>
          <w:lang w:eastAsia="en-US"/>
        </w:rPr>
        <w:t>תשל</w:t>
      </w:r>
      <w:r w:rsidRPr="00DB3951">
        <w:rPr>
          <w:rFonts w:hint="cs"/>
          <w:sz w:val="24"/>
          <w:rtl/>
          <w:lang w:eastAsia="en-US"/>
        </w:rPr>
        <w:t>"</w:t>
      </w:r>
      <w:r w:rsidRPr="00DB3951">
        <w:rPr>
          <w:sz w:val="24"/>
          <w:rtl/>
          <w:lang w:eastAsia="en-US"/>
        </w:rPr>
        <w:t>ד</w:t>
      </w:r>
      <w:r w:rsidRPr="00DB3951">
        <w:rPr>
          <w:rFonts w:hint="cs"/>
          <w:sz w:val="24"/>
          <w:rtl/>
          <w:lang w:eastAsia="en-US"/>
        </w:rPr>
        <w:t xml:space="preserve"> </w:t>
      </w:r>
      <w:r w:rsidRPr="00DB3951">
        <w:rPr>
          <w:sz w:val="24"/>
          <w:rtl/>
          <w:lang w:eastAsia="en-US"/>
        </w:rPr>
        <w:t>–</w:t>
      </w:r>
      <w:r w:rsidRPr="00DB3951">
        <w:rPr>
          <w:rFonts w:hint="cs"/>
          <w:sz w:val="24"/>
          <w:rtl/>
          <w:lang w:eastAsia="en-US"/>
        </w:rPr>
        <w:t xml:space="preserve"> 1974</w:t>
      </w:r>
      <w:r>
        <w:rPr>
          <w:rFonts w:hint="cs"/>
          <w:sz w:val="24"/>
          <w:rtl/>
        </w:rPr>
        <w:t xml:space="preserve"> בתוך 7 ימים מהיום.  </w:t>
      </w:r>
    </w:p>
    <w:p w14:paraId="6FE89DD2" w14:textId="77777777" w:rsidR="00121F6B" w:rsidRPr="00B04849" w:rsidRDefault="00121F6B" w:rsidP="00121F6B">
      <w:pPr>
        <w:spacing w:line="360" w:lineRule="auto"/>
        <w:jc w:val="both"/>
      </w:pPr>
    </w:p>
    <w:p w14:paraId="49FB87B6" w14:textId="77777777" w:rsidR="00121F6B" w:rsidRPr="005E0C8D" w:rsidRDefault="00121F6B" w:rsidP="00121F6B">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519225DC" w14:textId="77777777" w:rsidR="00121F6B" w:rsidRPr="005E0C8D" w:rsidRDefault="00121F6B" w:rsidP="00121F6B">
      <w:pPr>
        <w:spacing w:line="360" w:lineRule="auto"/>
        <w:ind w:left="720" w:hanging="720"/>
        <w:jc w:val="both"/>
        <w:rPr>
          <w:b/>
          <w:bCs/>
          <w:u w:val="single"/>
          <w:rtl/>
        </w:rPr>
      </w:pPr>
    </w:p>
    <w:p w14:paraId="6EC35378" w14:textId="77777777" w:rsidR="00121F6B" w:rsidRPr="005E0C8D" w:rsidRDefault="00121F6B" w:rsidP="00121F6B">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566607AC" w14:textId="77777777" w:rsidR="00121F6B" w:rsidRPr="005E0C8D" w:rsidRDefault="00121F6B" w:rsidP="00121F6B">
      <w:pPr>
        <w:spacing w:line="360" w:lineRule="auto"/>
        <w:rPr>
          <w:rtl/>
        </w:rPr>
      </w:pPr>
    </w:p>
    <w:p w14:paraId="23412CAD" w14:textId="77777777" w:rsidR="00121F6B" w:rsidRPr="004845BF" w:rsidRDefault="00121F6B" w:rsidP="00121F6B">
      <w:pPr>
        <w:spacing w:line="360" w:lineRule="auto"/>
        <w:jc w:val="both"/>
        <w:rPr>
          <w:b/>
          <w:bCs/>
          <w:u w:val="single"/>
          <w:rtl/>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Pr>
          <w:rFonts w:hint="cs"/>
          <w:b/>
          <w:bCs/>
          <w:u w:val="single"/>
          <w:rtl/>
        </w:rPr>
        <w:t xml:space="preserve">זה או בתיקים קשורים </w:t>
      </w:r>
      <w:r w:rsidRPr="00741D65">
        <w:rPr>
          <w:rFonts w:hint="cs"/>
          <w:b/>
          <w:bCs/>
          <w:u w:val="single"/>
          <w:rtl/>
        </w:rPr>
        <w:t>על-ידי</w:t>
      </w:r>
      <w:r w:rsidRPr="00741D65">
        <w:rPr>
          <w:rFonts w:hint="cs"/>
          <w:b/>
          <w:bCs/>
          <w:u w:val="single"/>
        </w:rPr>
        <w:t xml:space="preserve"> </w:t>
      </w:r>
      <w:r w:rsidRPr="00741D65">
        <w:rPr>
          <w:rFonts w:hint="cs"/>
          <w:b/>
          <w:bCs/>
          <w:u w:val="single"/>
          <w:rtl/>
        </w:rPr>
        <w:t xml:space="preserve">הנאשם, </w:t>
      </w:r>
      <w:r>
        <w:rPr>
          <w:rFonts w:hint="cs"/>
          <w:b/>
          <w:bCs/>
          <w:u w:val="single"/>
          <w:rtl/>
        </w:rPr>
        <w:t>הפיצוי</w:t>
      </w:r>
      <w:r w:rsidRPr="00741D65">
        <w:rPr>
          <w:rFonts w:hint="cs"/>
          <w:b/>
          <w:bCs/>
          <w:u w:val="single"/>
          <w:rtl/>
        </w:rPr>
        <w:t xml:space="preserve"> יקוזז מהפיקדון ואת היתרה יש</w:t>
      </w:r>
      <w:r w:rsidRPr="00741D65">
        <w:rPr>
          <w:rFonts w:hint="cs"/>
          <w:b/>
          <w:bCs/>
          <w:u w:val="single"/>
        </w:rPr>
        <w:t xml:space="preserve"> </w:t>
      </w:r>
      <w:r w:rsidRPr="00741D65">
        <w:rPr>
          <w:rFonts w:hint="cs"/>
          <w:b/>
          <w:bCs/>
          <w:u w:val="single"/>
          <w:rtl/>
        </w:rPr>
        <w:t>להחזיר</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r>
        <w:rPr>
          <w:rFonts w:hint="cs"/>
          <w:b/>
          <w:bCs/>
          <w:u w:val="single"/>
          <w:rtl/>
        </w:rPr>
        <w:t xml:space="preserve"> </w:t>
      </w:r>
      <w:r w:rsidRPr="004845BF">
        <w:rPr>
          <w:rFonts w:hint="cs"/>
          <w:b/>
          <w:bCs/>
          <w:u w:val="single"/>
          <w:rtl/>
        </w:rPr>
        <w:t>וזאת לאחר הצגת אישור על התייצבות למאסר</w:t>
      </w:r>
      <w:r>
        <w:rPr>
          <w:rFonts w:hint="cs"/>
          <w:b/>
          <w:bCs/>
          <w:u w:val="single"/>
          <w:rtl/>
        </w:rPr>
        <w:t>.</w:t>
      </w:r>
    </w:p>
    <w:p w14:paraId="165B9E80" w14:textId="77777777" w:rsidR="00121F6B" w:rsidRDefault="00121F6B" w:rsidP="00121F6B">
      <w:pPr>
        <w:spacing w:line="360" w:lineRule="auto"/>
      </w:pPr>
    </w:p>
    <w:p w14:paraId="53DC4A13" w14:textId="77777777" w:rsidR="00121F6B" w:rsidRPr="005E0C8D" w:rsidRDefault="00AB4467" w:rsidP="00121F6B">
      <w:pPr>
        <w:spacing w:line="360" w:lineRule="auto"/>
        <w:jc w:val="both"/>
      </w:pPr>
      <w:r w:rsidRPr="00AB4467">
        <w:rPr>
          <w:color w:val="FFFFFF"/>
          <w:sz w:val="2"/>
          <w:szCs w:val="2"/>
          <w:rtl/>
        </w:rPr>
        <w:t>5129371</w:t>
      </w:r>
      <w:r w:rsidR="00121F6B" w:rsidRPr="005E0C8D">
        <w:rPr>
          <w:rFonts w:hint="cs"/>
          <w:rtl/>
        </w:rPr>
        <w:t xml:space="preserve">הנאשם יפנה למזכירות ביהמ"ש לקבלת שובר תשלום </w:t>
      </w:r>
      <w:r w:rsidR="00121F6B">
        <w:rPr>
          <w:rFonts w:hint="cs"/>
          <w:rtl/>
        </w:rPr>
        <w:t>פיצוי</w:t>
      </w:r>
      <w:r w:rsidR="00121F6B" w:rsidRPr="005E0C8D">
        <w:rPr>
          <w:rFonts w:hint="cs"/>
          <w:rtl/>
        </w:rPr>
        <w:t xml:space="preserve">. </w:t>
      </w:r>
    </w:p>
    <w:p w14:paraId="45128FDF" w14:textId="77777777" w:rsidR="00121F6B" w:rsidRPr="00AB4467" w:rsidRDefault="00AB4467" w:rsidP="00121F6B">
      <w:pPr>
        <w:jc w:val="both"/>
        <w:rPr>
          <w:color w:val="FFFFFF"/>
          <w:sz w:val="2"/>
          <w:szCs w:val="2"/>
          <w:rtl/>
        </w:rPr>
      </w:pPr>
      <w:r w:rsidRPr="00AB4467">
        <w:rPr>
          <w:color w:val="FFFFFF"/>
          <w:sz w:val="2"/>
          <w:szCs w:val="2"/>
          <w:rtl/>
        </w:rPr>
        <w:t>54678313</w:t>
      </w:r>
    </w:p>
    <w:p w14:paraId="74263719" w14:textId="77777777" w:rsidR="00121F6B" w:rsidRDefault="00121F6B" w:rsidP="00121F6B">
      <w:pPr>
        <w:spacing w:line="360" w:lineRule="auto"/>
        <w:jc w:val="both"/>
        <w:rPr>
          <w:rFonts w:ascii="Arial" w:hAnsi="Arial"/>
          <w:noProof w:val="0"/>
          <w:rtl/>
        </w:rPr>
      </w:pPr>
    </w:p>
    <w:p w14:paraId="791CB928" w14:textId="77777777" w:rsidR="00121F6B" w:rsidRDefault="00AB4467" w:rsidP="00121F6B">
      <w:pPr>
        <w:tabs>
          <w:tab w:val="left" w:pos="2553"/>
        </w:tabs>
        <w:ind w:left="5040"/>
        <w:rPr>
          <w:rtl/>
        </w:rPr>
      </w:pPr>
      <w:bookmarkStart w:id="8" w:name="Nitan"/>
      <w:r>
        <w:rPr>
          <w:rFonts w:ascii="Arial" w:hAnsi="Arial"/>
          <w:noProof w:val="0"/>
          <w:rtl/>
        </w:rPr>
        <w:t xml:space="preserve">ניתנה היום, א' חשוון תשפ"ב, 07 אוקטובר 2021, בנוכחות הצדדים. </w:t>
      </w:r>
      <w:bookmarkEnd w:id="8"/>
      <w:r w:rsidR="00121F6B">
        <w:rPr>
          <w:rFonts w:hint="cs"/>
          <w:rtl/>
        </w:rPr>
        <w:t xml:space="preserve">     </w:t>
      </w:r>
    </w:p>
    <w:p w14:paraId="5DF83621" w14:textId="77777777" w:rsidR="00121F6B" w:rsidRDefault="00121F6B" w:rsidP="00AB4467">
      <w:pPr>
        <w:tabs>
          <w:tab w:val="left" w:pos="2553"/>
        </w:tabs>
      </w:pPr>
      <w:r>
        <w:rPr>
          <w:rFonts w:hint="cs"/>
          <w:rtl/>
        </w:rPr>
        <w:tab/>
      </w:r>
      <w:r>
        <w:rPr>
          <w:rFonts w:hint="cs"/>
          <w:rtl/>
        </w:rPr>
        <w:tab/>
      </w:r>
      <w:r>
        <w:rPr>
          <w:rFonts w:hint="cs"/>
          <w:rtl/>
        </w:rPr>
        <w:tab/>
      </w:r>
      <w:r>
        <w:rPr>
          <w:rFonts w:hint="cs"/>
          <w:rtl/>
        </w:rPr>
        <w:tab/>
        <w:t xml:space="preserve">        </w:t>
      </w:r>
    </w:p>
    <w:p w14:paraId="164180E8" w14:textId="77777777" w:rsidR="00121F6B" w:rsidRDefault="00121F6B" w:rsidP="00121F6B">
      <w:pPr>
        <w:tabs>
          <w:tab w:val="left" w:pos="2553"/>
        </w:tabs>
        <w:rPr>
          <w:rFonts w:ascii="Arial" w:hAnsi="Arial"/>
          <w:noProof w:val="0"/>
          <w:rtl/>
        </w:rPr>
      </w:pPr>
    </w:p>
    <w:p w14:paraId="69FB13DA" w14:textId="77777777" w:rsidR="00204695" w:rsidRPr="00AB4467" w:rsidRDefault="00204695" w:rsidP="00AB4467">
      <w:pPr>
        <w:keepNext/>
        <w:rPr>
          <w:rFonts w:ascii="David" w:hAnsi="David" w:hint="cs"/>
          <w:color w:val="000000"/>
          <w:sz w:val="22"/>
          <w:szCs w:val="22"/>
          <w:rtl/>
        </w:rPr>
      </w:pPr>
    </w:p>
    <w:p w14:paraId="60358EA6" w14:textId="77777777" w:rsidR="00AB4467" w:rsidRPr="00AB4467" w:rsidRDefault="00AB4467" w:rsidP="00AB4467">
      <w:pPr>
        <w:keepNext/>
        <w:rPr>
          <w:rFonts w:ascii="David" w:hAnsi="David"/>
          <w:color w:val="000000"/>
          <w:sz w:val="22"/>
          <w:szCs w:val="22"/>
          <w:rtl/>
        </w:rPr>
      </w:pPr>
      <w:r w:rsidRPr="00AB4467">
        <w:rPr>
          <w:rFonts w:ascii="David" w:hAnsi="David"/>
          <w:color w:val="000000"/>
          <w:sz w:val="22"/>
          <w:szCs w:val="22"/>
          <w:rtl/>
        </w:rPr>
        <w:t>שמואל מלמד 54678313</w:t>
      </w:r>
    </w:p>
    <w:p w14:paraId="01AE6B32" w14:textId="77777777" w:rsidR="00AB4467" w:rsidRDefault="00AB4467" w:rsidP="00AB4467">
      <w:r w:rsidRPr="00AB4467">
        <w:rPr>
          <w:color w:val="000000"/>
          <w:rtl/>
        </w:rPr>
        <w:t>נוסח מסמך זה כפוף לשינויי ניסוח ועריכה</w:t>
      </w:r>
    </w:p>
    <w:p w14:paraId="1B531E6E" w14:textId="77777777" w:rsidR="00AB4467" w:rsidRDefault="00AB4467" w:rsidP="00AB4467">
      <w:pPr>
        <w:rPr>
          <w:rtl/>
        </w:rPr>
      </w:pPr>
    </w:p>
    <w:p w14:paraId="5EC31D74" w14:textId="77777777" w:rsidR="00AB4467" w:rsidRDefault="00AB4467" w:rsidP="00AB4467">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E4DE485" w14:textId="77777777" w:rsidR="00AB4467" w:rsidRPr="00AB4467" w:rsidRDefault="00AB4467" w:rsidP="00AB4467">
      <w:pPr>
        <w:jc w:val="center"/>
        <w:rPr>
          <w:rFonts w:hint="cs"/>
          <w:color w:val="0000FF"/>
          <w:u w:val="single"/>
        </w:rPr>
      </w:pPr>
    </w:p>
    <w:sectPr w:rsidR="00AB4467" w:rsidRPr="00AB4467" w:rsidSect="00AB4467">
      <w:headerReference w:type="even" r:id="rId38"/>
      <w:headerReference w:type="default" r:id="rId39"/>
      <w:footerReference w:type="even" r:id="rId40"/>
      <w:footerReference w:type="default" r:id="rId41"/>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F0D27" w14:textId="77777777" w:rsidR="00DB5B2A" w:rsidRDefault="00DB5B2A" w:rsidP="00514024">
      <w:r>
        <w:separator/>
      </w:r>
    </w:p>
  </w:endnote>
  <w:endnote w:type="continuationSeparator" w:id="0">
    <w:p w14:paraId="6AB78FB1" w14:textId="77777777" w:rsidR="00DB5B2A" w:rsidRDefault="00DB5B2A" w:rsidP="0051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B515F" w14:textId="77777777" w:rsidR="00AB4467" w:rsidRDefault="00AB4467" w:rsidP="00AB446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0DD9BED" w14:textId="77777777" w:rsidR="00AB4467" w:rsidRPr="00AB4467" w:rsidRDefault="00AB4467" w:rsidP="00AB446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7CCAC" w14:textId="77777777" w:rsidR="00AB4467" w:rsidRDefault="00AB4467" w:rsidP="00AB446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80FB1">
      <w:rPr>
        <w:rStyle w:val="a8"/>
        <w:rFonts w:ascii="FrankRuehl" w:hAnsi="FrankRuehl" w:cs="FrankRuehl"/>
        <w:rtl/>
      </w:rPr>
      <w:t>1</w:t>
    </w:r>
    <w:r>
      <w:rPr>
        <w:rStyle w:val="a8"/>
        <w:rFonts w:ascii="FrankRuehl" w:hAnsi="FrankRuehl" w:cs="FrankRuehl"/>
        <w:rtl/>
      </w:rPr>
      <w:fldChar w:fldCharType="end"/>
    </w:r>
  </w:p>
  <w:p w14:paraId="7E13DEDD" w14:textId="77777777" w:rsidR="002C4505" w:rsidRPr="00AB4467" w:rsidRDefault="00AB4467" w:rsidP="00AB4467">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4890E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2A8FF" w14:textId="77777777" w:rsidR="00DB5B2A" w:rsidRDefault="00DB5B2A" w:rsidP="00514024">
      <w:r>
        <w:separator/>
      </w:r>
    </w:p>
  </w:footnote>
  <w:footnote w:type="continuationSeparator" w:id="0">
    <w:p w14:paraId="01BBB4DC" w14:textId="77777777" w:rsidR="00DB5B2A" w:rsidRDefault="00DB5B2A" w:rsidP="0051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4344F" w14:textId="77777777" w:rsidR="00AB4467" w:rsidRPr="00AB4467" w:rsidRDefault="00AB4467" w:rsidP="00AB44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66195-07-19</w:t>
    </w:r>
    <w:r>
      <w:rPr>
        <w:rFonts w:ascii="David" w:hAnsi="David"/>
        <w:color w:val="000000"/>
        <w:sz w:val="22"/>
        <w:szCs w:val="22"/>
        <w:rtl/>
      </w:rPr>
      <w:tab/>
      <w:t xml:space="preserve"> מדינת ישראל נ' אחמד זועבי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1DA1B" w14:textId="77777777" w:rsidR="00AB4467" w:rsidRPr="00AB4467" w:rsidRDefault="00AB4467" w:rsidP="00AB44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66195-07-19</w:t>
    </w:r>
    <w:r>
      <w:rPr>
        <w:rFonts w:ascii="David" w:hAnsi="David"/>
        <w:color w:val="000000"/>
        <w:sz w:val="22"/>
        <w:szCs w:val="22"/>
        <w:rtl/>
      </w:rPr>
      <w:tab/>
      <w:t xml:space="preserve"> מדינת ישראל נ' אחמד זועבי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9F46ABE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22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1F6B"/>
    <w:rsid w:val="000E1903"/>
    <w:rsid w:val="00121F6B"/>
    <w:rsid w:val="001B5A3B"/>
    <w:rsid w:val="00204695"/>
    <w:rsid w:val="002C4505"/>
    <w:rsid w:val="003A477D"/>
    <w:rsid w:val="004F279B"/>
    <w:rsid w:val="00514024"/>
    <w:rsid w:val="0072543A"/>
    <w:rsid w:val="007B06A9"/>
    <w:rsid w:val="00872D92"/>
    <w:rsid w:val="00887B02"/>
    <w:rsid w:val="00992A09"/>
    <w:rsid w:val="00AB4467"/>
    <w:rsid w:val="00B80FB1"/>
    <w:rsid w:val="00DB5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CB0DEC"/>
  <w15:chartTrackingRefBased/>
  <w15:docId w15:val="{3894B1DE-6366-4818-A9AF-032698F3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1F6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1F6B"/>
    <w:pPr>
      <w:tabs>
        <w:tab w:val="center" w:pos="4153"/>
        <w:tab w:val="right" w:pos="8306"/>
      </w:tabs>
    </w:pPr>
  </w:style>
  <w:style w:type="character" w:customStyle="1" w:styleId="a4">
    <w:name w:val="כותרת עליונה תו"/>
    <w:link w:val="a3"/>
    <w:rsid w:val="00121F6B"/>
    <w:rPr>
      <w:rFonts w:ascii="Times New Roman" w:eastAsia="Times New Roman" w:hAnsi="Times New Roman" w:cs="David"/>
      <w:noProof/>
      <w:sz w:val="24"/>
      <w:szCs w:val="24"/>
    </w:rPr>
  </w:style>
  <w:style w:type="paragraph" w:styleId="a5">
    <w:name w:val="footer"/>
    <w:basedOn w:val="a"/>
    <w:link w:val="a6"/>
    <w:rsid w:val="00121F6B"/>
    <w:pPr>
      <w:tabs>
        <w:tab w:val="center" w:pos="4153"/>
        <w:tab w:val="right" w:pos="8306"/>
      </w:tabs>
    </w:pPr>
  </w:style>
  <w:style w:type="character" w:customStyle="1" w:styleId="a6">
    <w:name w:val="כותרת תחתונה תו"/>
    <w:link w:val="a5"/>
    <w:rsid w:val="00121F6B"/>
    <w:rPr>
      <w:rFonts w:ascii="Times New Roman" w:eastAsia="Times New Roman" w:hAnsi="Times New Roman" w:cs="David"/>
      <w:noProof/>
      <w:sz w:val="24"/>
      <w:szCs w:val="24"/>
    </w:rPr>
  </w:style>
  <w:style w:type="table" w:styleId="a7">
    <w:name w:val="Table Grid"/>
    <w:basedOn w:val="a1"/>
    <w:rsid w:val="00121F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1F6B"/>
  </w:style>
  <w:style w:type="paragraph" w:styleId="a9">
    <w:name w:val="List Paragraph"/>
    <w:basedOn w:val="a"/>
    <w:qFormat/>
    <w:rsid w:val="00121F6B"/>
    <w:pPr>
      <w:snapToGrid w:val="0"/>
      <w:ind w:left="720"/>
      <w:contextualSpacing/>
    </w:pPr>
    <w:rPr>
      <w:noProof w:val="0"/>
      <w:sz w:val="20"/>
      <w:lang w:eastAsia="he-IL"/>
    </w:rPr>
  </w:style>
  <w:style w:type="character" w:styleId="Hyperlink">
    <w:name w:val="Hyperlink"/>
    <w:rsid w:val="00AB4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4912/31b" TargetMode="External"/><Relationship Id="rId26" Type="http://schemas.openxmlformats.org/officeDocument/2006/relationships/hyperlink" Target="http://www.nevo.co.il/law/4216/7.a" TargetMode="External"/><Relationship Id="rId39" Type="http://schemas.openxmlformats.org/officeDocument/2006/relationships/header" Target="header2.xml"/><Relationship Id="rId21" Type="http://schemas.openxmlformats.org/officeDocument/2006/relationships/hyperlink" Target="http://www.nevo.co.il/law/70301/452"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420/30"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5904302"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52" TargetMode="External"/><Relationship Id="rId24" Type="http://schemas.openxmlformats.org/officeDocument/2006/relationships/hyperlink" Target="http://www.nevo.co.il/law/70301/382.b.1"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4420" TargetMode="External"/><Relationship Id="rId23" Type="http://schemas.openxmlformats.org/officeDocument/2006/relationships/hyperlink" Target="http://www.nevo.co.il/case/26244992" TargetMode="External"/><Relationship Id="rId28" Type="http://schemas.openxmlformats.org/officeDocument/2006/relationships/hyperlink" Target="http://www.nevo.co.il/law/4216" TargetMode="External"/><Relationship Id="rId36" Type="http://schemas.openxmlformats.org/officeDocument/2006/relationships/hyperlink" Target="http://www.nevo.co.il/law/74912" TargetMode="External"/><Relationship Id="rId10" Type="http://schemas.openxmlformats.org/officeDocument/2006/relationships/hyperlink" Target="http://www.nevo.co.il/law/70301/382.b.1" TargetMode="External"/><Relationship Id="rId19" Type="http://schemas.openxmlformats.org/officeDocument/2006/relationships/hyperlink" Target="http://www.nevo.co.il/law/70301/382.b.1" TargetMode="External"/><Relationship Id="rId31" Type="http://schemas.openxmlformats.org/officeDocument/2006/relationships/hyperlink" Target="http://www.nevo.co.il/law/74420/30"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4216/7.c" TargetMode="External"/><Relationship Id="rId30" Type="http://schemas.openxmlformats.org/officeDocument/2006/relationships/hyperlink" Target="http://www.nevo.co.il/case/26244992" TargetMode="External"/><Relationship Id="rId35" Type="http://schemas.openxmlformats.org/officeDocument/2006/relationships/hyperlink" Target="http://www.nevo.co.il/law/74912/31b" TargetMode="External"/><Relationship Id="rId43" Type="http://schemas.openxmlformats.org/officeDocument/2006/relationships/theme" Target="theme/theme1.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491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2101</Words>
  <Characters>10509</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12585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8323182</vt:i4>
      </vt:variant>
      <vt:variant>
        <vt:i4>87</vt:i4>
      </vt:variant>
      <vt:variant>
        <vt:i4>0</vt:i4>
      </vt:variant>
      <vt:variant>
        <vt:i4>5</vt:i4>
      </vt:variant>
      <vt:variant>
        <vt:lpwstr>http://www.nevo.co.il/law/74912</vt:lpwstr>
      </vt:variant>
      <vt:variant>
        <vt:lpwstr/>
      </vt:variant>
      <vt:variant>
        <vt:i4>6357103</vt:i4>
      </vt:variant>
      <vt:variant>
        <vt:i4>84</vt:i4>
      </vt:variant>
      <vt:variant>
        <vt:i4>0</vt:i4>
      </vt:variant>
      <vt:variant>
        <vt:i4>5</vt:i4>
      </vt:variant>
      <vt:variant>
        <vt:lpwstr>http://www.nevo.co.il/law/74912/31b</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6488160</vt:i4>
      </vt:variant>
      <vt:variant>
        <vt:i4>72</vt:i4>
      </vt:variant>
      <vt:variant>
        <vt:i4>0</vt:i4>
      </vt:variant>
      <vt:variant>
        <vt:i4>5</vt:i4>
      </vt:variant>
      <vt:variant>
        <vt:lpwstr>http://www.nevo.co.il/law/74420/30</vt:lpwstr>
      </vt:variant>
      <vt:variant>
        <vt:lpwstr/>
      </vt:variant>
      <vt:variant>
        <vt:i4>3997823</vt:i4>
      </vt:variant>
      <vt:variant>
        <vt:i4>69</vt:i4>
      </vt:variant>
      <vt:variant>
        <vt:i4>0</vt:i4>
      </vt:variant>
      <vt:variant>
        <vt:i4>5</vt:i4>
      </vt:variant>
      <vt:variant>
        <vt:lpwstr>http://www.nevo.co.il/case/26244992</vt:lpwstr>
      </vt:variant>
      <vt:variant>
        <vt:lpwstr/>
      </vt:variant>
      <vt:variant>
        <vt:i4>4128882</vt:i4>
      </vt:variant>
      <vt:variant>
        <vt:i4>66</vt:i4>
      </vt:variant>
      <vt:variant>
        <vt:i4>0</vt:i4>
      </vt:variant>
      <vt:variant>
        <vt:i4>5</vt:i4>
      </vt:variant>
      <vt:variant>
        <vt:lpwstr>http://www.nevo.co.il/case/25904302</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7143478</vt:i4>
      </vt:variant>
      <vt:variant>
        <vt:i4>51</vt:i4>
      </vt:variant>
      <vt:variant>
        <vt:i4>0</vt:i4>
      </vt:variant>
      <vt:variant>
        <vt:i4>5</vt:i4>
      </vt:variant>
      <vt:variant>
        <vt:lpwstr>http://www.nevo.co.il/law/70301/382.b.1</vt:lpwstr>
      </vt:variant>
      <vt:variant>
        <vt:lpwstr/>
      </vt:variant>
      <vt:variant>
        <vt:i4>3997823</vt:i4>
      </vt:variant>
      <vt:variant>
        <vt:i4>48</vt:i4>
      </vt:variant>
      <vt:variant>
        <vt:i4>0</vt:i4>
      </vt:variant>
      <vt:variant>
        <vt:i4>5</vt:i4>
      </vt:variant>
      <vt:variant>
        <vt:lpwstr>http://www.nevo.co.il/case/26244992</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7995492</vt:i4>
      </vt:variant>
      <vt:variant>
        <vt:i4>39</vt:i4>
      </vt:variant>
      <vt:variant>
        <vt:i4>0</vt:i4>
      </vt:variant>
      <vt:variant>
        <vt:i4>5</vt:i4>
      </vt:variant>
      <vt:variant>
        <vt:lpwstr>http://www.nevo.co.il/law/70301</vt:lpwstr>
      </vt:variant>
      <vt:variant>
        <vt:lpwstr/>
      </vt:variant>
      <vt:variant>
        <vt:i4>7143478</vt:i4>
      </vt:variant>
      <vt:variant>
        <vt:i4>36</vt:i4>
      </vt:variant>
      <vt:variant>
        <vt:i4>0</vt:i4>
      </vt:variant>
      <vt:variant>
        <vt:i4>5</vt:i4>
      </vt:variant>
      <vt:variant>
        <vt:lpwstr>http://www.nevo.co.il/law/70301/382.b.1</vt:lpwstr>
      </vt:variant>
      <vt:variant>
        <vt:lpwstr/>
      </vt:variant>
      <vt:variant>
        <vt:i4>6357103</vt:i4>
      </vt:variant>
      <vt:variant>
        <vt:i4>33</vt:i4>
      </vt:variant>
      <vt:variant>
        <vt:i4>0</vt:i4>
      </vt:variant>
      <vt:variant>
        <vt:i4>5</vt:i4>
      </vt:variant>
      <vt:variant>
        <vt:lpwstr>http://www.nevo.co.il/law/74912/31b</vt:lpwstr>
      </vt:variant>
      <vt:variant>
        <vt:lpwstr/>
      </vt:variant>
      <vt:variant>
        <vt:i4>8323182</vt:i4>
      </vt:variant>
      <vt:variant>
        <vt:i4>30</vt:i4>
      </vt:variant>
      <vt:variant>
        <vt:i4>0</vt:i4>
      </vt:variant>
      <vt:variant>
        <vt:i4>5</vt:i4>
      </vt:variant>
      <vt:variant>
        <vt:lpwstr>http://www.nevo.co.il/law/74912</vt:lpwstr>
      </vt:variant>
      <vt:variant>
        <vt:lpwstr/>
      </vt:variant>
      <vt:variant>
        <vt:i4>6488160</vt:i4>
      </vt:variant>
      <vt:variant>
        <vt:i4>27</vt:i4>
      </vt:variant>
      <vt:variant>
        <vt:i4>0</vt:i4>
      </vt:variant>
      <vt:variant>
        <vt:i4>5</vt:i4>
      </vt:variant>
      <vt:variant>
        <vt:lpwstr>http://www.nevo.co.il/law/74420/30</vt:lpwstr>
      </vt:variant>
      <vt:variant>
        <vt:lpwstr/>
      </vt:variant>
      <vt:variant>
        <vt:i4>8126563</vt:i4>
      </vt:variant>
      <vt:variant>
        <vt:i4>24</vt:i4>
      </vt:variant>
      <vt:variant>
        <vt:i4>0</vt:i4>
      </vt:variant>
      <vt:variant>
        <vt:i4>5</vt:i4>
      </vt:variant>
      <vt:variant>
        <vt:lpwstr>http://www.nevo.co.il/law/74420</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6291553</vt:i4>
      </vt:variant>
      <vt:variant>
        <vt:i4>12</vt:i4>
      </vt:variant>
      <vt:variant>
        <vt:i4>0</vt:i4>
      </vt:variant>
      <vt:variant>
        <vt:i4>5</vt:i4>
      </vt:variant>
      <vt:variant>
        <vt:lpwstr>http://www.nevo.co.il/law/70301/452</vt:lpwstr>
      </vt:variant>
      <vt:variant>
        <vt:lpwstr/>
      </vt:variant>
      <vt:variant>
        <vt:i4>7143478</vt:i4>
      </vt:variant>
      <vt:variant>
        <vt:i4>9</vt:i4>
      </vt:variant>
      <vt:variant>
        <vt:i4>0</vt:i4>
      </vt:variant>
      <vt:variant>
        <vt:i4>5</vt:i4>
      </vt:variant>
      <vt:variant>
        <vt:lpwstr>http://www.nevo.co.il/law/70301/382.b.1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66195</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זועבי</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20211007</vt:lpwstr>
  </property>
  <property fmtid="{D5CDD505-2E9C-101B-9397-08002B2CF9AE}" pid="13" name="TYPE_N_DATE">
    <vt:lpwstr>38020211007</vt:lpwstr>
  </property>
  <property fmtid="{D5CDD505-2E9C-101B-9397-08002B2CF9AE}" pid="14" name="WORDNUMPAGES">
    <vt:lpwstr>6</vt:lpwstr>
  </property>
  <property fmtid="{D5CDD505-2E9C-101B-9397-08002B2CF9AE}" pid="15" name="TYPE_ABS_DATE">
    <vt:lpwstr>380020211007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26244992:2;25904302</vt:lpwstr>
  </property>
  <property fmtid="{D5CDD505-2E9C-101B-9397-08002B2CF9AE}" pid="36" name="LAWLISTTMP1">
    <vt:lpwstr>70301/382.b.1:2;452;192;040c.a</vt:lpwstr>
  </property>
  <property fmtid="{D5CDD505-2E9C-101B-9397-08002B2CF9AE}" pid="37" name="LAWLISTTMP2">
    <vt:lpwstr>4216/007.a;007.c</vt:lpwstr>
  </property>
  <property fmtid="{D5CDD505-2E9C-101B-9397-08002B2CF9AE}" pid="38" name="LAWLISTTMP3">
    <vt:lpwstr>74420/030</vt:lpwstr>
  </property>
  <property fmtid="{D5CDD505-2E9C-101B-9397-08002B2CF9AE}" pid="39" name="LAWLISTTMP4">
    <vt:lpwstr>74912/031b</vt:lpwstr>
  </property>
</Properties>
</file>