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FE5DA8" w:rsidRPr="00D859C0" w14:paraId="5991B463" w14:textId="77777777" w:rsidTr="005B30EB">
        <w:trPr>
          <w:trHeight w:hRule="exact" w:val="418"/>
          <w:jc w:val="center"/>
        </w:trPr>
        <w:tc>
          <w:tcPr>
            <w:tcW w:w="8721" w:type="dxa"/>
            <w:gridSpan w:val="2"/>
          </w:tcPr>
          <w:p w14:paraId="072CB7BE" w14:textId="77777777" w:rsidR="00FE5DA8" w:rsidRPr="00D859C0" w:rsidRDefault="00FE5DA8" w:rsidP="004C1171">
            <w:pPr>
              <w:pStyle w:val="a3"/>
              <w:jc w:val="center"/>
              <w:rPr>
                <w:rFonts w:ascii="Tahoma" w:hAnsi="Tahoma" w:cs="Tahoma"/>
                <w:color w:val="000080"/>
                <w:rtl/>
              </w:rPr>
            </w:pPr>
            <w:r w:rsidRPr="00D859C0">
              <w:rPr>
                <w:rFonts w:ascii="Tahoma" w:hAnsi="Tahoma" w:cs="Tahoma"/>
                <w:b/>
                <w:bCs/>
                <w:color w:val="000080"/>
                <w:rtl/>
              </w:rPr>
              <w:t>בית משפט השלום באשקלון</w:t>
            </w:r>
          </w:p>
        </w:tc>
      </w:tr>
      <w:tr w:rsidR="00FE5DA8" w:rsidRPr="00D859C0" w14:paraId="7EB341A9" w14:textId="77777777" w:rsidTr="005B30EB">
        <w:trPr>
          <w:trHeight w:val="337"/>
          <w:jc w:val="center"/>
        </w:trPr>
        <w:tc>
          <w:tcPr>
            <w:tcW w:w="5054" w:type="dxa"/>
          </w:tcPr>
          <w:p w14:paraId="45C214EE" w14:textId="77777777" w:rsidR="00FE5DA8" w:rsidRPr="00D859C0" w:rsidRDefault="00FE5DA8" w:rsidP="004C1171">
            <w:pPr>
              <w:rPr>
                <w:rFonts w:cs="FrankRuehl"/>
                <w:sz w:val="28"/>
                <w:szCs w:val="28"/>
                <w:rtl/>
              </w:rPr>
            </w:pPr>
            <w:r w:rsidRPr="00D859C0">
              <w:rPr>
                <w:rFonts w:cs="FrankRuehl"/>
                <w:sz w:val="28"/>
                <w:szCs w:val="28"/>
                <w:rtl/>
              </w:rPr>
              <w:t>ת"פ</w:t>
            </w:r>
            <w:r w:rsidRPr="00D859C0">
              <w:rPr>
                <w:rFonts w:cs="FrankRuehl" w:hint="cs"/>
                <w:sz w:val="28"/>
                <w:szCs w:val="28"/>
                <w:rtl/>
              </w:rPr>
              <w:t xml:space="preserve"> </w:t>
            </w:r>
            <w:r w:rsidRPr="00D859C0">
              <w:rPr>
                <w:rFonts w:cs="FrankRuehl"/>
                <w:sz w:val="28"/>
                <w:szCs w:val="28"/>
                <w:rtl/>
              </w:rPr>
              <w:t>76327-07-19</w:t>
            </w:r>
            <w:r w:rsidRPr="00D859C0">
              <w:rPr>
                <w:rFonts w:cs="FrankRuehl" w:hint="cs"/>
                <w:sz w:val="28"/>
                <w:szCs w:val="28"/>
                <w:rtl/>
              </w:rPr>
              <w:t xml:space="preserve"> </w:t>
            </w:r>
            <w:r w:rsidRPr="00D859C0">
              <w:rPr>
                <w:rFonts w:cs="FrankRuehl"/>
                <w:sz w:val="28"/>
                <w:szCs w:val="28"/>
                <w:rtl/>
              </w:rPr>
              <w:t>מדינת ישראל נ' קדורין</w:t>
            </w:r>
          </w:p>
          <w:p w14:paraId="41A9B591" w14:textId="77777777" w:rsidR="00FE5DA8" w:rsidRPr="00D859C0" w:rsidRDefault="00FE5DA8" w:rsidP="004C1171">
            <w:pPr>
              <w:pStyle w:val="a3"/>
              <w:rPr>
                <w:rFonts w:cs="FrankRuehl"/>
                <w:sz w:val="28"/>
                <w:szCs w:val="28"/>
                <w:rtl/>
              </w:rPr>
            </w:pPr>
          </w:p>
        </w:tc>
        <w:tc>
          <w:tcPr>
            <w:tcW w:w="3667" w:type="dxa"/>
          </w:tcPr>
          <w:p w14:paraId="26A763FA" w14:textId="77777777" w:rsidR="00FE5DA8" w:rsidRPr="00D859C0" w:rsidRDefault="00FE5DA8" w:rsidP="004C1171">
            <w:pPr>
              <w:pStyle w:val="a3"/>
              <w:jc w:val="right"/>
              <w:rPr>
                <w:rFonts w:cs="FrankRuehl"/>
                <w:sz w:val="28"/>
                <w:szCs w:val="28"/>
                <w:rtl/>
              </w:rPr>
            </w:pPr>
          </w:p>
        </w:tc>
      </w:tr>
    </w:tbl>
    <w:p w14:paraId="3DEAFA6A" w14:textId="77777777" w:rsidR="00FE5DA8" w:rsidRPr="00D859C0" w:rsidRDefault="00FE5DA8" w:rsidP="00FE5DA8">
      <w:pPr>
        <w:pStyle w:val="a3"/>
        <w:rPr>
          <w:rtl/>
        </w:rPr>
      </w:pPr>
      <w:r w:rsidRPr="00D859C0">
        <w:rPr>
          <w:rFonts w:hint="cs"/>
          <w:rtl/>
        </w:rPr>
        <w:t xml:space="preserve"> </w:t>
      </w:r>
    </w:p>
    <w:p w14:paraId="7A957E75" w14:textId="77777777" w:rsidR="00FE5DA8" w:rsidRPr="00D859C0" w:rsidRDefault="00FE5DA8" w:rsidP="00FE5DA8">
      <w:pPr>
        <w:rPr>
          <w:rtl/>
        </w:rPr>
      </w:pPr>
    </w:p>
    <w:p w14:paraId="5421596C" w14:textId="77777777" w:rsidR="00FE5DA8" w:rsidRPr="00D859C0" w:rsidRDefault="00FE5DA8" w:rsidP="00FE5DA8">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FE5DA8" w:rsidRPr="00D859C0" w14:paraId="2865CCEF" w14:textId="77777777" w:rsidTr="00FE5DA8">
        <w:trPr>
          <w:trHeight w:val="295"/>
          <w:jc w:val="center"/>
        </w:trPr>
        <w:tc>
          <w:tcPr>
            <w:tcW w:w="923" w:type="dxa"/>
            <w:tcBorders>
              <w:top w:val="nil"/>
              <w:left w:val="nil"/>
              <w:bottom w:val="nil"/>
              <w:right w:val="nil"/>
            </w:tcBorders>
            <w:shd w:val="clear" w:color="auto" w:fill="auto"/>
          </w:tcPr>
          <w:p w14:paraId="1E705516" w14:textId="77777777" w:rsidR="00FE5DA8" w:rsidRPr="00D859C0" w:rsidRDefault="00FE5DA8" w:rsidP="00FE5DA8">
            <w:pPr>
              <w:jc w:val="both"/>
              <w:rPr>
                <w:rFonts w:ascii="Arial" w:hAnsi="Arial" w:cs="FrankRuehl"/>
                <w:sz w:val="28"/>
                <w:szCs w:val="28"/>
              </w:rPr>
            </w:pPr>
            <w:r w:rsidRPr="00D859C0">
              <w:rPr>
                <w:rFonts w:ascii="Arial" w:hAnsi="Arial" w:cs="FrankRuehl" w:hint="cs"/>
                <w:sz w:val="28"/>
                <w:szCs w:val="28"/>
                <w:rtl/>
              </w:rPr>
              <w:t>ב</w:t>
            </w:r>
            <w:r w:rsidRPr="00D859C0">
              <w:rPr>
                <w:rFonts w:ascii="Arial" w:hAnsi="Arial" w:cs="FrankRuehl"/>
                <w:sz w:val="28"/>
                <w:szCs w:val="28"/>
                <w:rtl/>
              </w:rPr>
              <w:t xml:space="preserve">פני </w:t>
            </w:r>
          </w:p>
        </w:tc>
        <w:tc>
          <w:tcPr>
            <w:tcW w:w="7897" w:type="dxa"/>
            <w:gridSpan w:val="2"/>
            <w:tcBorders>
              <w:top w:val="nil"/>
              <w:left w:val="nil"/>
              <w:bottom w:val="nil"/>
              <w:right w:val="nil"/>
            </w:tcBorders>
            <w:shd w:val="clear" w:color="auto" w:fill="auto"/>
          </w:tcPr>
          <w:p w14:paraId="567CE018" w14:textId="77777777" w:rsidR="00FE5DA8" w:rsidRPr="00D859C0" w:rsidRDefault="00FE5DA8" w:rsidP="004C1171">
            <w:pPr>
              <w:rPr>
                <w:rFonts w:ascii="Arial" w:hAnsi="Arial"/>
                <w:b/>
                <w:bCs/>
                <w:rtl/>
              </w:rPr>
            </w:pPr>
            <w:r w:rsidRPr="00D859C0">
              <w:rPr>
                <w:rFonts w:ascii="Arial" w:hAnsi="Arial" w:hint="cs"/>
                <w:b/>
                <w:bCs/>
                <w:rtl/>
              </w:rPr>
              <w:t>כבוד ה</w:t>
            </w:r>
            <w:r w:rsidRPr="00D859C0">
              <w:rPr>
                <w:rFonts w:ascii="Arial" w:hAnsi="Arial"/>
                <w:b/>
                <w:bCs/>
                <w:rtl/>
              </w:rPr>
              <w:t>שופטת, סגנית הנשיא</w:t>
            </w:r>
            <w:r w:rsidRPr="00D859C0">
              <w:rPr>
                <w:rFonts w:ascii="Arial" w:hAnsi="Arial" w:hint="cs"/>
                <w:b/>
                <w:bCs/>
                <w:rtl/>
              </w:rPr>
              <w:t xml:space="preserve">  </w:t>
            </w:r>
            <w:r w:rsidRPr="00D859C0">
              <w:rPr>
                <w:rFonts w:ascii="Arial" w:hAnsi="Arial"/>
                <w:b/>
                <w:bCs/>
                <w:rtl/>
              </w:rPr>
              <w:t>נועה חקלאי</w:t>
            </w:r>
          </w:p>
          <w:p w14:paraId="0FADCDEA" w14:textId="77777777" w:rsidR="00FE5DA8" w:rsidRPr="00D859C0" w:rsidRDefault="00FE5DA8" w:rsidP="004C1171">
            <w:pPr>
              <w:rPr>
                <w:rtl/>
              </w:rPr>
            </w:pPr>
          </w:p>
          <w:p w14:paraId="19C151A4" w14:textId="77777777" w:rsidR="00FE5DA8" w:rsidRPr="00D859C0" w:rsidRDefault="00FE5DA8" w:rsidP="00FE5DA8">
            <w:pPr>
              <w:jc w:val="both"/>
              <w:rPr>
                <w:rFonts w:ascii="Arial" w:hAnsi="Arial" w:cs="FrankRuehl"/>
                <w:sz w:val="28"/>
                <w:szCs w:val="28"/>
              </w:rPr>
            </w:pPr>
          </w:p>
        </w:tc>
      </w:tr>
      <w:tr w:rsidR="00FE5DA8" w:rsidRPr="00D859C0" w14:paraId="78253EA2" w14:textId="77777777" w:rsidTr="00FE5DA8">
        <w:trPr>
          <w:trHeight w:val="355"/>
          <w:jc w:val="center"/>
        </w:trPr>
        <w:tc>
          <w:tcPr>
            <w:tcW w:w="923" w:type="dxa"/>
            <w:tcBorders>
              <w:top w:val="nil"/>
              <w:left w:val="nil"/>
              <w:bottom w:val="nil"/>
              <w:right w:val="nil"/>
            </w:tcBorders>
            <w:shd w:val="clear" w:color="auto" w:fill="auto"/>
          </w:tcPr>
          <w:p w14:paraId="6473A3D2" w14:textId="77777777" w:rsidR="00FE5DA8" w:rsidRPr="00D859C0" w:rsidRDefault="00FE5DA8" w:rsidP="00FE5DA8">
            <w:pPr>
              <w:jc w:val="both"/>
              <w:rPr>
                <w:rFonts w:ascii="Arial" w:hAnsi="Arial" w:cs="FrankRuehl"/>
                <w:sz w:val="28"/>
                <w:szCs w:val="28"/>
              </w:rPr>
            </w:pPr>
            <w:bookmarkStart w:id="0" w:name="FirstAppellant"/>
            <w:bookmarkStart w:id="1" w:name="LastJudge"/>
            <w:bookmarkEnd w:id="1"/>
            <w:r w:rsidRPr="00D859C0">
              <w:rPr>
                <w:rFonts w:ascii="Arial" w:hAnsi="Arial" w:cs="FrankRuehl" w:hint="cs"/>
                <w:sz w:val="28"/>
                <w:szCs w:val="28"/>
                <w:rtl/>
              </w:rPr>
              <w:t>בעניין:</w:t>
            </w:r>
          </w:p>
        </w:tc>
        <w:tc>
          <w:tcPr>
            <w:tcW w:w="4126" w:type="dxa"/>
            <w:tcBorders>
              <w:top w:val="nil"/>
              <w:left w:val="nil"/>
              <w:bottom w:val="nil"/>
              <w:right w:val="nil"/>
            </w:tcBorders>
            <w:shd w:val="clear" w:color="auto" w:fill="auto"/>
          </w:tcPr>
          <w:p w14:paraId="43609591" w14:textId="77777777" w:rsidR="00FE5DA8" w:rsidRPr="00D859C0" w:rsidRDefault="00FE5DA8" w:rsidP="004C1171">
            <w:r w:rsidRPr="00D859C0">
              <w:rPr>
                <w:rFonts w:ascii="Arial" w:hAnsi="Arial" w:cs="FrankRuehl"/>
                <w:sz w:val="28"/>
                <w:szCs w:val="28"/>
                <w:rtl/>
              </w:rPr>
              <w:t>מדינת ישראל</w:t>
            </w:r>
          </w:p>
        </w:tc>
        <w:tc>
          <w:tcPr>
            <w:tcW w:w="3771" w:type="dxa"/>
            <w:tcBorders>
              <w:top w:val="nil"/>
              <w:left w:val="nil"/>
              <w:bottom w:val="nil"/>
              <w:right w:val="nil"/>
            </w:tcBorders>
            <w:shd w:val="clear" w:color="auto" w:fill="auto"/>
          </w:tcPr>
          <w:p w14:paraId="6B56B331" w14:textId="77777777" w:rsidR="00FE5DA8" w:rsidRPr="00D859C0" w:rsidRDefault="00FE5DA8" w:rsidP="00FE5DA8">
            <w:pPr>
              <w:jc w:val="both"/>
              <w:rPr>
                <w:rFonts w:ascii="Arial" w:hAnsi="Arial" w:cs="FrankRuehl"/>
                <w:sz w:val="28"/>
                <w:szCs w:val="28"/>
              </w:rPr>
            </w:pPr>
          </w:p>
        </w:tc>
      </w:tr>
      <w:bookmarkEnd w:id="0"/>
      <w:tr w:rsidR="00FE5DA8" w:rsidRPr="00D859C0" w14:paraId="7AD79033" w14:textId="77777777" w:rsidTr="00FE5DA8">
        <w:trPr>
          <w:trHeight w:val="355"/>
          <w:jc w:val="center"/>
        </w:trPr>
        <w:tc>
          <w:tcPr>
            <w:tcW w:w="923" w:type="dxa"/>
            <w:tcBorders>
              <w:top w:val="nil"/>
              <w:left w:val="nil"/>
              <w:bottom w:val="nil"/>
              <w:right w:val="nil"/>
            </w:tcBorders>
            <w:shd w:val="clear" w:color="auto" w:fill="auto"/>
          </w:tcPr>
          <w:p w14:paraId="47E0B2FB" w14:textId="77777777" w:rsidR="00FE5DA8" w:rsidRPr="00D859C0" w:rsidRDefault="00FE5DA8" w:rsidP="00FE5DA8">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123F10D7" w14:textId="77777777" w:rsidR="00FE5DA8" w:rsidRPr="00D859C0" w:rsidRDefault="00FE5DA8" w:rsidP="00FE5DA8">
            <w:pPr>
              <w:jc w:val="both"/>
              <w:rPr>
                <w:rtl/>
              </w:rPr>
            </w:pPr>
          </w:p>
        </w:tc>
        <w:tc>
          <w:tcPr>
            <w:tcW w:w="3771" w:type="dxa"/>
            <w:tcBorders>
              <w:top w:val="nil"/>
              <w:left w:val="nil"/>
              <w:bottom w:val="nil"/>
              <w:right w:val="nil"/>
            </w:tcBorders>
            <w:shd w:val="clear" w:color="auto" w:fill="auto"/>
          </w:tcPr>
          <w:p w14:paraId="1875D0CA" w14:textId="77777777" w:rsidR="00FE5DA8" w:rsidRPr="00D859C0" w:rsidRDefault="00FE5DA8" w:rsidP="00FE5DA8">
            <w:pPr>
              <w:jc w:val="right"/>
              <w:rPr>
                <w:rFonts w:ascii="Arial" w:hAnsi="Arial" w:cs="FrankRuehl"/>
                <w:sz w:val="28"/>
                <w:szCs w:val="28"/>
                <w:rtl/>
              </w:rPr>
            </w:pPr>
            <w:r w:rsidRPr="00D859C0">
              <w:rPr>
                <w:rFonts w:ascii="Arial" w:hAnsi="Arial" w:cs="FrankRuehl" w:hint="cs"/>
                <w:sz w:val="28"/>
                <w:szCs w:val="28"/>
                <w:rtl/>
              </w:rPr>
              <w:t>ה</w:t>
            </w:r>
            <w:r w:rsidRPr="00D859C0">
              <w:rPr>
                <w:rFonts w:ascii="Arial" w:hAnsi="Arial" w:cs="FrankRuehl"/>
                <w:sz w:val="28"/>
                <w:szCs w:val="28"/>
                <w:rtl/>
              </w:rPr>
              <w:t>מאשימה</w:t>
            </w:r>
          </w:p>
        </w:tc>
      </w:tr>
      <w:tr w:rsidR="00FE5DA8" w:rsidRPr="00D859C0" w14:paraId="7814D594" w14:textId="77777777" w:rsidTr="00FE5DA8">
        <w:trPr>
          <w:trHeight w:val="355"/>
          <w:jc w:val="center"/>
        </w:trPr>
        <w:tc>
          <w:tcPr>
            <w:tcW w:w="923" w:type="dxa"/>
            <w:tcBorders>
              <w:top w:val="nil"/>
              <w:left w:val="nil"/>
              <w:bottom w:val="nil"/>
              <w:right w:val="nil"/>
            </w:tcBorders>
            <w:shd w:val="clear" w:color="auto" w:fill="auto"/>
          </w:tcPr>
          <w:p w14:paraId="3AC3E4EC" w14:textId="77777777" w:rsidR="00FE5DA8" w:rsidRPr="00D859C0" w:rsidRDefault="00FE5DA8" w:rsidP="00FE5DA8">
            <w:pPr>
              <w:jc w:val="both"/>
              <w:rPr>
                <w:rFonts w:ascii="Arial" w:hAnsi="Arial" w:cs="FrankRuehl"/>
                <w:sz w:val="28"/>
                <w:szCs w:val="28"/>
                <w:rtl/>
              </w:rPr>
            </w:pPr>
          </w:p>
        </w:tc>
        <w:tc>
          <w:tcPr>
            <w:tcW w:w="7897" w:type="dxa"/>
            <w:gridSpan w:val="2"/>
            <w:tcBorders>
              <w:top w:val="nil"/>
              <w:left w:val="nil"/>
              <w:bottom w:val="nil"/>
              <w:right w:val="nil"/>
            </w:tcBorders>
            <w:shd w:val="clear" w:color="auto" w:fill="auto"/>
          </w:tcPr>
          <w:p w14:paraId="0831F6E6" w14:textId="77777777" w:rsidR="00FE5DA8" w:rsidRPr="00D859C0" w:rsidRDefault="00FE5DA8" w:rsidP="00FE5DA8">
            <w:pPr>
              <w:jc w:val="center"/>
              <w:rPr>
                <w:rFonts w:ascii="Arial" w:hAnsi="Arial" w:cs="FrankRuehl"/>
                <w:b/>
                <w:bCs/>
                <w:sz w:val="28"/>
                <w:szCs w:val="28"/>
                <w:rtl/>
              </w:rPr>
            </w:pPr>
          </w:p>
          <w:p w14:paraId="7FD97BC4" w14:textId="77777777" w:rsidR="00FE5DA8" w:rsidRPr="00D859C0" w:rsidRDefault="00FE5DA8" w:rsidP="00FE5DA8">
            <w:pPr>
              <w:jc w:val="center"/>
              <w:rPr>
                <w:rFonts w:ascii="Arial" w:hAnsi="Arial" w:cs="FrankRuehl"/>
                <w:b/>
                <w:bCs/>
                <w:sz w:val="28"/>
                <w:szCs w:val="28"/>
                <w:rtl/>
              </w:rPr>
            </w:pPr>
            <w:r w:rsidRPr="00D859C0">
              <w:rPr>
                <w:rFonts w:ascii="Arial" w:hAnsi="Arial" w:cs="FrankRuehl"/>
                <w:b/>
                <w:bCs/>
                <w:sz w:val="28"/>
                <w:szCs w:val="28"/>
                <w:rtl/>
              </w:rPr>
              <w:t>נגד</w:t>
            </w:r>
          </w:p>
          <w:p w14:paraId="556E0078" w14:textId="77777777" w:rsidR="00FE5DA8" w:rsidRPr="00D859C0" w:rsidRDefault="00FE5DA8" w:rsidP="00FE5DA8">
            <w:pPr>
              <w:jc w:val="both"/>
              <w:rPr>
                <w:rFonts w:ascii="Arial" w:hAnsi="Arial" w:cs="FrankRuehl"/>
                <w:sz w:val="28"/>
                <w:szCs w:val="28"/>
              </w:rPr>
            </w:pPr>
          </w:p>
        </w:tc>
      </w:tr>
      <w:tr w:rsidR="00FE5DA8" w:rsidRPr="00D859C0" w14:paraId="65D7E60E" w14:textId="77777777" w:rsidTr="00FE5DA8">
        <w:trPr>
          <w:trHeight w:val="355"/>
          <w:jc w:val="center"/>
        </w:trPr>
        <w:tc>
          <w:tcPr>
            <w:tcW w:w="923" w:type="dxa"/>
            <w:tcBorders>
              <w:top w:val="nil"/>
              <w:left w:val="nil"/>
              <w:bottom w:val="nil"/>
              <w:right w:val="nil"/>
            </w:tcBorders>
            <w:shd w:val="clear" w:color="auto" w:fill="auto"/>
          </w:tcPr>
          <w:p w14:paraId="525294BD" w14:textId="77777777" w:rsidR="00FE5DA8" w:rsidRPr="00D859C0" w:rsidRDefault="00FE5DA8" w:rsidP="004C1171">
            <w:pPr>
              <w:rPr>
                <w:rFonts w:ascii="Arial" w:hAnsi="Arial" w:cs="FrankRuehl"/>
                <w:sz w:val="28"/>
                <w:szCs w:val="28"/>
                <w:rtl/>
              </w:rPr>
            </w:pPr>
          </w:p>
        </w:tc>
        <w:tc>
          <w:tcPr>
            <w:tcW w:w="4126" w:type="dxa"/>
            <w:tcBorders>
              <w:top w:val="nil"/>
              <w:left w:val="nil"/>
              <w:bottom w:val="nil"/>
              <w:right w:val="nil"/>
            </w:tcBorders>
            <w:shd w:val="clear" w:color="auto" w:fill="auto"/>
          </w:tcPr>
          <w:p w14:paraId="4520E7CF" w14:textId="77777777" w:rsidR="00FE5DA8" w:rsidRPr="00D859C0" w:rsidRDefault="00FE5DA8" w:rsidP="004C1171">
            <w:pPr>
              <w:rPr>
                <w:rtl/>
              </w:rPr>
            </w:pPr>
            <w:r w:rsidRPr="00D859C0">
              <w:rPr>
                <w:rFonts w:ascii="Arial" w:hAnsi="Arial" w:cs="FrankRuehl"/>
                <w:sz w:val="28"/>
                <w:szCs w:val="28"/>
                <w:rtl/>
              </w:rPr>
              <w:t>דגיגורי קדורין</w:t>
            </w:r>
          </w:p>
        </w:tc>
        <w:tc>
          <w:tcPr>
            <w:tcW w:w="3771" w:type="dxa"/>
            <w:tcBorders>
              <w:top w:val="nil"/>
              <w:left w:val="nil"/>
              <w:bottom w:val="nil"/>
              <w:right w:val="nil"/>
            </w:tcBorders>
            <w:shd w:val="clear" w:color="auto" w:fill="auto"/>
          </w:tcPr>
          <w:p w14:paraId="1A69BF2D" w14:textId="77777777" w:rsidR="00FE5DA8" w:rsidRPr="00D859C0" w:rsidRDefault="00FE5DA8" w:rsidP="00FE5DA8">
            <w:pPr>
              <w:jc w:val="right"/>
              <w:rPr>
                <w:rFonts w:ascii="Arial" w:hAnsi="Arial" w:cs="FrankRuehl"/>
                <w:sz w:val="28"/>
                <w:szCs w:val="28"/>
              </w:rPr>
            </w:pPr>
          </w:p>
        </w:tc>
      </w:tr>
      <w:tr w:rsidR="00FE5DA8" w:rsidRPr="00D859C0" w14:paraId="5C8B72D4" w14:textId="77777777" w:rsidTr="00FE5DA8">
        <w:trPr>
          <w:trHeight w:val="355"/>
          <w:jc w:val="center"/>
        </w:trPr>
        <w:tc>
          <w:tcPr>
            <w:tcW w:w="923" w:type="dxa"/>
            <w:tcBorders>
              <w:top w:val="nil"/>
              <w:left w:val="nil"/>
              <w:bottom w:val="nil"/>
              <w:right w:val="nil"/>
            </w:tcBorders>
            <w:shd w:val="clear" w:color="auto" w:fill="auto"/>
          </w:tcPr>
          <w:p w14:paraId="26A19695" w14:textId="77777777" w:rsidR="00FE5DA8" w:rsidRPr="00D859C0" w:rsidRDefault="00FE5DA8" w:rsidP="00FE5DA8">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201A9066" w14:textId="77777777" w:rsidR="00FE5DA8" w:rsidRPr="00D859C0" w:rsidRDefault="00FE5DA8" w:rsidP="00FE5DA8">
            <w:pPr>
              <w:jc w:val="both"/>
              <w:rPr>
                <w:rtl/>
              </w:rPr>
            </w:pPr>
          </w:p>
        </w:tc>
        <w:tc>
          <w:tcPr>
            <w:tcW w:w="3771" w:type="dxa"/>
            <w:tcBorders>
              <w:top w:val="nil"/>
              <w:left w:val="nil"/>
              <w:bottom w:val="nil"/>
              <w:right w:val="nil"/>
            </w:tcBorders>
            <w:shd w:val="clear" w:color="auto" w:fill="auto"/>
          </w:tcPr>
          <w:p w14:paraId="36224A5C" w14:textId="77777777" w:rsidR="00FE5DA8" w:rsidRPr="00D859C0" w:rsidRDefault="00FE5DA8" w:rsidP="00FE5DA8">
            <w:pPr>
              <w:jc w:val="right"/>
              <w:rPr>
                <w:rFonts w:ascii="Arial" w:hAnsi="Arial" w:cs="FrankRuehl"/>
                <w:sz w:val="28"/>
                <w:szCs w:val="28"/>
              </w:rPr>
            </w:pPr>
            <w:r w:rsidRPr="00D859C0">
              <w:rPr>
                <w:rFonts w:ascii="Arial" w:hAnsi="Arial" w:cs="FrankRuehl" w:hint="cs"/>
                <w:sz w:val="28"/>
                <w:szCs w:val="28"/>
                <w:rtl/>
              </w:rPr>
              <w:t>ה</w:t>
            </w:r>
            <w:r w:rsidRPr="00D859C0">
              <w:rPr>
                <w:rFonts w:ascii="Arial" w:hAnsi="Arial" w:cs="FrankRuehl"/>
                <w:sz w:val="28"/>
                <w:szCs w:val="28"/>
                <w:rtl/>
              </w:rPr>
              <w:t>נאשמים</w:t>
            </w:r>
          </w:p>
        </w:tc>
      </w:tr>
    </w:tbl>
    <w:p w14:paraId="6CC10CD3" w14:textId="77777777" w:rsidR="00FE5DA8" w:rsidRPr="00D859C0" w:rsidRDefault="00FE5DA8" w:rsidP="00FE5DA8">
      <w:pPr>
        <w:rPr>
          <w:rtl/>
        </w:rPr>
      </w:pPr>
      <w:r w:rsidRPr="00D859C0">
        <w:rPr>
          <w:rFonts w:hint="cs"/>
          <w:rtl/>
        </w:rPr>
        <w:t>נוכחים:</w:t>
      </w:r>
    </w:p>
    <w:p w14:paraId="4515E460" w14:textId="77777777" w:rsidR="00FE5DA8" w:rsidRPr="00D859C0" w:rsidRDefault="00FE5DA8" w:rsidP="00FE5DA8">
      <w:pPr>
        <w:rPr>
          <w:rtl/>
        </w:rPr>
      </w:pPr>
      <w:bookmarkStart w:id="2" w:name="FirstLawyer"/>
      <w:r w:rsidRPr="00D859C0">
        <w:rPr>
          <w:rFonts w:hint="cs"/>
          <w:rtl/>
        </w:rPr>
        <w:t>ב"כ</w:t>
      </w:r>
      <w:bookmarkEnd w:id="2"/>
      <w:r w:rsidRPr="00D859C0">
        <w:rPr>
          <w:rFonts w:hint="cs"/>
          <w:rtl/>
        </w:rPr>
        <w:t xml:space="preserve"> המאשימה עו"ד ענבל אביב</w:t>
      </w:r>
    </w:p>
    <w:p w14:paraId="73E71C1A" w14:textId="77777777" w:rsidR="00FE5DA8" w:rsidRPr="00D859C0" w:rsidRDefault="00FE5DA8" w:rsidP="00FE5DA8">
      <w:pPr>
        <w:rPr>
          <w:rtl/>
        </w:rPr>
      </w:pPr>
      <w:r w:rsidRPr="00D859C0">
        <w:rPr>
          <w:rFonts w:hint="cs"/>
          <w:rtl/>
        </w:rPr>
        <w:t>הנאשם בעצמו</w:t>
      </w:r>
    </w:p>
    <w:p w14:paraId="042DFA80" w14:textId="77777777" w:rsidR="00FE5DA8" w:rsidRPr="00D859C0" w:rsidRDefault="00FE5DA8" w:rsidP="00FE5DA8">
      <w:pPr>
        <w:rPr>
          <w:rtl/>
        </w:rPr>
      </w:pPr>
      <w:r w:rsidRPr="00D859C0">
        <w:rPr>
          <w:rFonts w:hint="cs"/>
          <w:rtl/>
        </w:rPr>
        <w:t>ב"כ הנאשם עו"ד צקלובסקי</w:t>
      </w:r>
    </w:p>
    <w:p w14:paraId="72EFA716" w14:textId="77777777" w:rsidR="00FE5DA8" w:rsidRPr="00D859C0" w:rsidRDefault="00FE5DA8" w:rsidP="00FE5DA8">
      <w:pPr>
        <w:rPr>
          <w:rtl/>
        </w:rPr>
      </w:pPr>
      <w:r w:rsidRPr="00D859C0">
        <w:rPr>
          <w:rFonts w:hint="cs"/>
          <w:rtl/>
        </w:rPr>
        <w:t xml:space="preserve">מתורגמנית </w:t>
      </w:r>
      <w:r w:rsidRPr="00D859C0">
        <w:rPr>
          <w:rtl/>
        </w:rPr>
        <w:t>–</w:t>
      </w:r>
      <w:r w:rsidRPr="00D859C0">
        <w:rPr>
          <w:rFonts w:hint="cs"/>
          <w:rtl/>
        </w:rPr>
        <w:t xml:space="preserve"> סבינה פדידה</w:t>
      </w:r>
    </w:p>
    <w:p w14:paraId="6EE9E5BC" w14:textId="77777777" w:rsidR="00FE5DA8" w:rsidRPr="00D859C0" w:rsidRDefault="00FE5DA8" w:rsidP="00FE5DA8">
      <w:pPr>
        <w:rPr>
          <w:rtl/>
        </w:rPr>
      </w:pPr>
    </w:p>
    <w:p w14:paraId="1E1F491F" w14:textId="77777777" w:rsidR="00FE5DA8" w:rsidRPr="00D859C0" w:rsidRDefault="00FE5DA8" w:rsidP="00FE5DA8">
      <w:pPr>
        <w:rPr>
          <w:rtl/>
        </w:rPr>
      </w:pPr>
    </w:p>
    <w:p w14:paraId="3144EC6D" w14:textId="77777777" w:rsidR="00FE5DA8" w:rsidRPr="00D859C0" w:rsidRDefault="00FE5DA8" w:rsidP="00FE5DA8">
      <w:pPr>
        <w:rPr>
          <w:b/>
          <w:bCs/>
          <w:rtl/>
        </w:rPr>
      </w:pPr>
      <w:r w:rsidRPr="00D859C0">
        <w:rPr>
          <w:rFonts w:hint="cs"/>
          <w:b/>
          <w:bCs/>
          <w:rtl/>
        </w:rPr>
        <w:t>הנאשם:</w:t>
      </w:r>
    </w:p>
    <w:p w14:paraId="3C2ED3FC" w14:textId="77777777" w:rsidR="00FE5DA8" w:rsidRPr="00D859C0" w:rsidRDefault="00FE5DA8" w:rsidP="00FE5DA8">
      <w:pPr>
        <w:rPr>
          <w:rtl/>
        </w:rPr>
      </w:pPr>
      <w:r w:rsidRPr="00D859C0">
        <w:rPr>
          <w:rFonts w:hint="cs"/>
          <w:rtl/>
        </w:rPr>
        <w:t>רישיון הנהיגה שלי לא בתוקף, אין לי רישיון להפקדה.</w:t>
      </w:r>
    </w:p>
    <w:p w14:paraId="6B8741D6" w14:textId="77777777" w:rsidR="005B30EB" w:rsidRDefault="005B30EB" w:rsidP="00FE5DA8">
      <w:pPr>
        <w:rPr>
          <w:rtl/>
        </w:rPr>
      </w:pPr>
    </w:p>
    <w:p w14:paraId="3EF5A009" w14:textId="77777777" w:rsidR="005B30EB" w:rsidRPr="005B30EB" w:rsidRDefault="005B30EB" w:rsidP="005B30EB">
      <w:pPr>
        <w:spacing w:after="120" w:line="240" w:lineRule="exact"/>
        <w:ind w:left="283" w:hanging="283"/>
        <w:jc w:val="both"/>
        <w:rPr>
          <w:rFonts w:ascii="FrankRuehl" w:hAnsi="FrankRuehl" w:cs="FrankRuehl"/>
          <w:rtl/>
        </w:rPr>
      </w:pPr>
    </w:p>
    <w:p w14:paraId="70094552" w14:textId="77777777" w:rsidR="00E001CF" w:rsidRPr="00E001CF" w:rsidRDefault="00E001CF" w:rsidP="00E001CF">
      <w:pPr>
        <w:rPr>
          <w:rtl/>
        </w:rPr>
      </w:pPr>
      <w:bookmarkStart w:id="3" w:name="LawTable"/>
      <w:bookmarkEnd w:id="3"/>
    </w:p>
    <w:p w14:paraId="2EB542A4" w14:textId="77777777" w:rsidR="00E001CF" w:rsidRPr="00E001CF" w:rsidRDefault="00E001CF" w:rsidP="00E001CF">
      <w:pPr>
        <w:spacing w:before="120" w:after="120" w:line="240" w:lineRule="exact"/>
        <w:ind w:left="283" w:hanging="283"/>
        <w:jc w:val="both"/>
        <w:rPr>
          <w:rFonts w:ascii="FrankRuehl" w:hAnsi="FrankRuehl" w:cs="FrankRuehl"/>
          <w:rtl/>
        </w:rPr>
      </w:pPr>
    </w:p>
    <w:p w14:paraId="7ACA5E1F" w14:textId="77777777" w:rsidR="00E001CF" w:rsidRPr="00E001CF" w:rsidRDefault="00E001CF" w:rsidP="00E001CF">
      <w:pPr>
        <w:spacing w:before="120" w:after="120" w:line="240" w:lineRule="exact"/>
        <w:ind w:left="283" w:hanging="283"/>
        <w:jc w:val="both"/>
        <w:rPr>
          <w:rFonts w:ascii="FrankRuehl" w:hAnsi="FrankRuehl" w:cs="FrankRuehl"/>
          <w:rtl/>
        </w:rPr>
      </w:pPr>
      <w:r w:rsidRPr="00E001CF">
        <w:rPr>
          <w:rFonts w:ascii="FrankRuehl" w:hAnsi="FrankRuehl" w:cs="FrankRuehl"/>
          <w:rtl/>
        </w:rPr>
        <w:t xml:space="preserve">חקיקה שאוזכרה: </w:t>
      </w:r>
    </w:p>
    <w:p w14:paraId="4089D594" w14:textId="77777777" w:rsidR="00E001CF" w:rsidRPr="00E001CF" w:rsidRDefault="00E001CF" w:rsidP="00E001CF">
      <w:pPr>
        <w:spacing w:before="120" w:after="120" w:line="240" w:lineRule="exact"/>
        <w:ind w:left="283" w:hanging="283"/>
        <w:jc w:val="both"/>
        <w:rPr>
          <w:rFonts w:ascii="FrankRuehl" w:hAnsi="FrankRuehl" w:cs="FrankRuehl"/>
          <w:rtl/>
        </w:rPr>
      </w:pPr>
      <w:hyperlink r:id="rId7" w:history="1">
        <w:r w:rsidRPr="00E001CF">
          <w:rPr>
            <w:rFonts w:ascii="FrankRuehl" w:hAnsi="FrankRuehl" w:cs="FrankRuehl"/>
            <w:color w:val="0000FF"/>
            <w:rtl/>
          </w:rPr>
          <w:t>פקודת הסמים המסוכנים [נוסח חדש], תשל"ג-1973</w:t>
        </w:r>
      </w:hyperlink>
      <w:r w:rsidRPr="00E001CF">
        <w:rPr>
          <w:rFonts w:ascii="FrankRuehl" w:hAnsi="FrankRuehl" w:cs="FrankRuehl"/>
          <w:rtl/>
        </w:rPr>
        <w:t xml:space="preserve">: סע'  </w:t>
      </w:r>
      <w:hyperlink r:id="rId8" w:history="1">
        <w:r w:rsidRPr="00E001CF">
          <w:rPr>
            <w:rFonts w:ascii="FrankRuehl" w:hAnsi="FrankRuehl" w:cs="FrankRuehl"/>
            <w:color w:val="0000FF"/>
            <w:rtl/>
          </w:rPr>
          <w:t>6</w:t>
        </w:r>
      </w:hyperlink>
    </w:p>
    <w:p w14:paraId="02D37499" w14:textId="77777777" w:rsidR="00E001CF" w:rsidRPr="00E001CF" w:rsidRDefault="00E001CF" w:rsidP="00E001CF">
      <w:pPr>
        <w:spacing w:before="120" w:after="120" w:line="240" w:lineRule="exact"/>
        <w:ind w:left="283" w:hanging="283"/>
        <w:jc w:val="both"/>
        <w:rPr>
          <w:rFonts w:ascii="FrankRuehl" w:hAnsi="FrankRuehl" w:cs="FrankRuehl"/>
          <w:rtl/>
        </w:rPr>
      </w:pPr>
      <w:hyperlink r:id="rId9" w:history="1">
        <w:r w:rsidRPr="00E001CF">
          <w:rPr>
            <w:rFonts w:ascii="FrankRuehl" w:hAnsi="FrankRuehl" w:cs="FrankRuehl"/>
            <w:color w:val="0000FF"/>
            <w:rtl/>
          </w:rPr>
          <w:t>חוק העונשין, תשל"ז-1977</w:t>
        </w:r>
      </w:hyperlink>
      <w:r w:rsidRPr="00E001CF">
        <w:rPr>
          <w:rFonts w:ascii="FrankRuehl" w:hAnsi="FrankRuehl" w:cs="FrankRuehl"/>
          <w:rtl/>
        </w:rPr>
        <w:t xml:space="preserve">: סע'  </w:t>
      </w:r>
      <w:hyperlink r:id="rId10" w:history="1">
        <w:r w:rsidRPr="00E001CF">
          <w:rPr>
            <w:rFonts w:ascii="FrankRuehl" w:hAnsi="FrankRuehl" w:cs="FrankRuehl"/>
            <w:color w:val="0000FF"/>
            <w:rtl/>
          </w:rPr>
          <w:t>40ד</w:t>
        </w:r>
      </w:hyperlink>
    </w:p>
    <w:p w14:paraId="052CBF4B" w14:textId="77777777" w:rsidR="00E001CF" w:rsidRPr="00E001CF" w:rsidRDefault="00E001CF" w:rsidP="00E001CF">
      <w:pPr>
        <w:rPr>
          <w:rtl/>
        </w:rPr>
      </w:pPr>
      <w:bookmarkStart w:id="4" w:name="LawTable_End"/>
      <w:bookmarkEnd w:id="4"/>
    </w:p>
    <w:p w14:paraId="20B34C15" w14:textId="77777777" w:rsidR="00FE5DA8" w:rsidRPr="00D859C0" w:rsidRDefault="00FE5DA8" w:rsidP="00FE5DA8"/>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FE5DA8" w14:paraId="20D1FCB7" w14:textId="77777777" w:rsidTr="00FE5DA8">
        <w:trPr>
          <w:trHeight w:val="355"/>
          <w:jc w:val="center"/>
        </w:trPr>
        <w:tc>
          <w:tcPr>
            <w:tcW w:w="8820" w:type="dxa"/>
            <w:tcBorders>
              <w:top w:val="nil"/>
              <w:left w:val="nil"/>
              <w:bottom w:val="nil"/>
              <w:right w:val="nil"/>
            </w:tcBorders>
            <w:shd w:val="clear" w:color="auto" w:fill="auto"/>
          </w:tcPr>
          <w:p w14:paraId="197A9611" w14:textId="77777777" w:rsidR="00D859C0" w:rsidRPr="00D859C0" w:rsidRDefault="00D859C0" w:rsidP="00D859C0">
            <w:pPr>
              <w:jc w:val="center"/>
              <w:rPr>
                <w:rFonts w:ascii="Arial" w:hAnsi="Arial" w:cs="FrankRuehl"/>
                <w:b/>
                <w:bCs/>
                <w:sz w:val="32"/>
                <w:szCs w:val="32"/>
                <w:u w:val="single"/>
                <w:rtl/>
              </w:rPr>
            </w:pPr>
            <w:bookmarkStart w:id="5" w:name="PsakDin" w:colFirst="0" w:colLast="0"/>
            <w:r w:rsidRPr="00D859C0">
              <w:rPr>
                <w:rFonts w:ascii="Arial" w:hAnsi="Arial" w:cs="FrankRuehl"/>
                <w:b/>
                <w:bCs/>
                <w:sz w:val="32"/>
                <w:szCs w:val="32"/>
                <w:u w:val="single"/>
                <w:rtl/>
              </w:rPr>
              <w:t>גזר דין</w:t>
            </w:r>
          </w:p>
          <w:p w14:paraId="0EDBC99B" w14:textId="77777777" w:rsidR="00FE5DA8" w:rsidRPr="00D859C0" w:rsidRDefault="00FE5DA8" w:rsidP="00D859C0">
            <w:pPr>
              <w:jc w:val="center"/>
              <w:rPr>
                <w:rFonts w:ascii="Arial" w:hAnsi="Arial" w:cs="FrankRuehl"/>
                <w:bCs/>
                <w:sz w:val="32"/>
                <w:szCs w:val="32"/>
                <w:u w:val="single"/>
                <w:rtl/>
              </w:rPr>
            </w:pPr>
          </w:p>
        </w:tc>
      </w:tr>
      <w:bookmarkEnd w:id="5"/>
    </w:tbl>
    <w:p w14:paraId="32D8B98F" w14:textId="77777777" w:rsidR="00FE5DA8" w:rsidRPr="00B05847" w:rsidRDefault="00FE5DA8" w:rsidP="00FE5DA8">
      <w:pPr>
        <w:rPr>
          <w:rFonts w:ascii="Arial" w:hAnsi="Arial"/>
          <w:rtl/>
        </w:rPr>
      </w:pPr>
    </w:p>
    <w:p w14:paraId="3F536034" w14:textId="77777777" w:rsidR="00FE5DA8" w:rsidRPr="000F2B90" w:rsidRDefault="00FE5DA8" w:rsidP="00FE5DA8">
      <w:pPr>
        <w:spacing w:before="100" w:beforeAutospacing="1" w:after="100" w:afterAutospacing="1" w:line="300" w:lineRule="exact"/>
        <w:jc w:val="both"/>
        <w:rPr>
          <w:bCs/>
          <w:u w:val="single"/>
          <w:rtl/>
          <w:lang w:eastAsia="he-IL"/>
        </w:rPr>
      </w:pPr>
      <w:r w:rsidRPr="000F2B90">
        <w:rPr>
          <w:bCs/>
          <w:u w:val="single"/>
          <w:rtl/>
          <w:lang w:eastAsia="he-IL"/>
        </w:rPr>
        <w:t>רקע</w:t>
      </w:r>
    </w:p>
    <w:p w14:paraId="7C9E8464" w14:textId="77777777" w:rsidR="00FE5DA8" w:rsidRPr="000F2B90" w:rsidRDefault="00FE5DA8" w:rsidP="00FE5DA8">
      <w:pPr>
        <w:numPr>
          <w:ilvl w:val="0"/>
          <w:numId w:val="1"/>
        </w:numPr>
        <w:spacing w:before="100" w:beforeAutospacing="1" w:after="100" w:afterAutospacing="1" w:line="300" w:lineRule="exact"/>
        <w:ind w:left="360"/>
        <w:contextualSpacing/>
        <w:jc w:val="both"/>
        <w:rPr>
          <w:rFonts w:ascii="David" w:hAnsi="David"/>
          <w:color w:val="000000"/>
        </w:rPr>
      </w:pPr>
      <w:bookmarkStart w:id="6" w:name="ABSTRACT_START"/>
      <w:bookmarkEnd w:id="6"/>
      <w:r w:rsidRPr="000F2B90">
        <w:rPr>
          <w:rFonts w:ascii="David" w:hAnsi="David"/>
          <w:color w:val="000000"/>
          <w:rtl/>
        </w:rPr>
        <w:t xml:space="preserve">הנאשם הורשע על פי הודאתו בעבירה של גידול סמים מסוכנים בניגוד </w:t>
      </w:r>
      <w:hyperlink r:id="rId11" w:history="1">
        <w:r w:rsidR="005B30EB" w:rsidRPr="005B30EB">
          <w:rPr>
            <w:rStyle w:val="Hyperlink"/>
            <w:rFonts w:ascii="David" w:hAnsi="David"/>
            <w:rtl/>
          </w:rPr>
          <w:t>לסעיף 6</w:t>
        </w:r>
      </w:hyperlink>
      <w:r w:rsidRPr="000F2B90">
        <w:rPr>
          <w:rFonts w:ascii="David" w:hAnsi="David"/>
          <w:color w:val="000000"/>
          <w:rtl/>
        </w:rPr>
        <w:t xml:space="preserve"> ל</w:t>
      </w:r>
      <w:hyperlink r:id="rId12" w:history="1">
        <w:r w:rsidR="00D859C0" w:rsidRPr="00D859C0">
          <w:rPr>
            <w:rFonts w:ascii="David" w:hAnsi="David"/>
            <w:color w:val="0000FF"/>
            <w:u w:val="single"/>
            <w:rtl/>
          </w:rPr>
          <w:t>פקודת הסמים המסוכנים</w:t>
        </w:r>
      </w:hyperlink>
      <w:r w:rsidRPr="000F2B90">
        <w:rPr>
          <w:rFonts w:ascii="David" w:hAnsi="David"/>
          <w:color w:val="000000"/>
          <w:rtl/>
        </w:rPr>
        <w:t xml:space="preserve">, (נוסח חדש) התשל"ג-1973. </w:t>
      </w:r>
    </w:p>
    <w:p w14:paraId="6849DC39" w14:textId="77777777" w:rsidR="00FE5DA8" w:rsidRPr="000F2B90" w:rsidRDefault="00FE5DA8" w:rsidP="00FE5DA8">
      <w:pPr>
        <w:spacing w:before="100" w:beforeAutospacing="1" w:after="100" w:afterAutospacing="1" w:line="300" w:lineRule="exact"/>
        <w:ind w:left="360"/>
        <w:contextualSpacing/>
        <w:jc w:val="both"/>
        <w:rPr>
          <w:rFonts w:ascii="David" w:hAnsi="David"/>
          <w:color w:val="000000"/>
          <w:highlight w:val="yellow"/>
          <w:rtl/>
        </w:rPr>
      </w:pPr>
      <w:bookmarkStart w:id="7" w:name="ABSTRACT_END"/>
      <w:bookmarkEnd w:id="7"/>
    </w:p>
    <w:p w14:paraId="7492661F" w14:textId="77777777" w:rsidR="00FE5DA8" w:rsidRPr="000F2B90" w:rsidRDefault="00FE5DA8" w:rsidP="00FE5DA8">
      <w:pPr>
        <w:spacing w:before="100" w:beforeAutospacing="1" w:after="100" w:afterAutospacing="1" w:line="300" w:lineRule="exact"/>
        <w:ind w:left="360"/>
        <w:contextualSpacing/>
        <w:jc w:val="both"/>
        <w:rPr>
          <w:rFonts w:ascii="David" w:hAnsi="David"/>
          <w:color w:val="000000"/>
          <w:rtl/>
        </w:rPr>
      </w:pPr>
      <w:r w:rsidRPr="000F2B90">
        <w:rPr>
          <w:rFonts w:ascii="David" w:hAnsi="David"/>
          <w:color w:val="000000"/>
          <w:rtl/>
        </w:rPr>
        <w:lastRenderedPageBreak/>
        <w:t>על פי עובדות כתב האישום המתוקן, לנאשם רישיון להחזיק ולהשתמש בסם מסוכן מסוג קנביס במשקל של 40 גרם נטו מדי חודש. ביום 29.7.19 גידל הנאשם בגינת ביתו באשקלון עשרות שתילי קנבוס במשקל כולל של 3.35 ק"ג וזאת ללא היתר כדין או רישיון מאת המנהל.</w:t>
      </w:r>
    </w:p>
    <w:p w14:paraId="2F64B749" w14:textId="77777777" w:rsidR="00FE5DA8" w:rsidRPr="000F2B90" w:rsidRDefault="00FE5DA8" w:rsidP="00FE5DA8">
      <w:pPr>
        <w:spacing w:before="100" w:beforeAutospacing="1" w:after="100" w:afterAutospacing="1" w:line="300" w:lineRule="exact"/>
        <w:ind w:left="360"/>
        <w:contextualSpacing/>
        <w:jc w:val="both"/>
        <w:rPr>
          <w:rFonts w:ascii="David" w:hAnsi="David"/>
          <w:color w:val="000000"/>
          <w:highlight w:val="yellow"/>
          <w:rtl/>
        </w:rPr>
      </w:pPr>
    </w:p>
    <w:p w14:paraId="45D84775" w14:textId="77777777" w:rsidR="00FE5DA8" w:rsidRPr="000F2B90" w:rsidRDefault="00FE5DA8" w:rsidP="00FE5DA8">
      <w:pPr>
        <w:spacing w:before="100" w:beforeAutospacing="1" w:after="100" w:afterAutospacing="1" w:line="300" w:lineRule="exact"/>
        <w:jc w:val="both"/>
        <w:rPr>
          <w:bCs/>
          <w:u w:val="single"/>
          <w:rtl/>
          <w:lang w:eastAsia="he-IL"/>
        </w:rPr>
      </w:pPr>
      <w:r w:rsidRPr="000F2B90">
        <w:rPr>
          <w:bCs/>
          <w:u w:val="single"/>
          <w:rtl/>
          <w:lang w:eastAsia="he-IL"/>
        </w:rPr>
        <w:t>הסדר הטיעון</w:t>
      </w:r>
    </w:p>
    <w:p w14:paraId="153A287A" w14:textId="77777777" w:rsidR="00FE5DA8" w:rsidRPr="000F2B90" w:rsidRDefault="00FE5DA8" w:rsidP="00FE5DA8">
      <w:pPr>
        <w:numPr>
          <w:ilvl w:val="0"/>
          <w:numId w:val="1"/>
        </w:numPr>
        <w:spacing w:before="100" w:beforeAutospacing="1" w:after="100" w:afterAutospacing="1" w:line="300" w:lineRule="exact"/>
        <w:ind w:left="360"/>
        <w:contextualSpacing/>
        <w:jc w:val="both"/>
        <w:rPr>
          <w:b/>
          <w:lang w:eastAsia="he-IL"/>
        </w:rPr>
      </w:pPr>
      <w:r w:rsidRPr="000F2B90">
        <w:rPr>
          <w:b/>
          <w:rtl/>
          <w:lang w:eastAsia="he-IL"/>
        </w:rPr>
        <w:t>ביום 25.2.20 הציגו הצדדים הסדר טיעון על פיו הנאשם יודה בכתב האישום המתוקן, יורשע ויופנה לשירות המבחן לקבלת תסקיר. המאשימה הודיעה כי עמדתה למאסר ואינה מחוייבת לאמץ את המלצות התסקיר.</w:t>
      </w:r>
    </w:p>
    <w:p w14:paraId="732F830B" w14:textId="77777777" w:rsidR="00FE5DA8" w:rsidRDefault="00FE5DA8" w:rsidP="00FE5DA8">
      <w:pPr>
        <w:spacing w:before="100" w:beforeAutospacing="1" w:after="100" w:afterAutospacing="1" w:line="300" w:lineRule="exact"/>
        <w:jc w:val="both"/>
        <w:rPr>
          <w:bCs/>
          <w:u w:val="single"/>
          <w:rtl/>
          <w:lang w:eastAsia="he-IL"/>
        </w:rPr>
      </w:pPr>
    </w:p>
    <w:p w14:paraId="00C33C14" w14:textId="77777777" w:rsidR="00FE5DA8" w:rsidRDefault="00FE5DA8" w:rsidP="00FE5DA8">
      <w:pPr>
        <w:spacing w:before="100" w:beforeAutospacing="1" w:after="100" w:afterAutospacing="1" w:line="300" w:lineRule="exact"/>
        <w:jc w:val="both"/>
        <w:rPr>
          <w:bCs/>
          <w:u w:val="single"/>
          <w:rtl/>
          <w:lang w:eastAsia="he-IL"/>
        </w:rPr>
      </w:pPr>
    </w:p>
    <w:p w14:paraId="5CE48123" w14:textId="77777777" w:rsidR="00FE5DA8" w:rsidRPr="000F2B90" w:rsidRDefault="00FE5DA8" w:rsidP="00FE5DA8">
      <w:pPr>
        <w:spacing w:before="100" w:beforeAutospacing="1" w:after="100" w:afterAutospacing="1" w:line="300" w:lineRule="exact"/>
        <w:jc w:val="both"/>
        <w:rPr>
          <w:bCs/>
          <w:u w:val="single"/>
          <w:rtl/>
          <w:lang w:eastAsia="he-IL"/>
        </w:rPr>
      </w:pPr>
      <w:r w:rsidRPr="000F2B90">
        <w:rPr>
          <w:bCs/>
          <w:u w:val="single"/>
          <w:rtl/>
          <w:lang w:eastAsia="he-IL"/>
        </w:rPr>
        <w:t xml:space="preserve">תסקיר שירות המבחן </w:t>
      </w:r>
    </w:p>
    <w:p w14:paraId="453B0C8F" w14:textId="77777777" w:rsidR="00FE5DA8" w:rsidRDefault="00FE5DA8" w:rsidP="00FE5DA8">
      <w:pPr>
        <w:numPr>
          <w:ilvl w:val="0"/>
          <w:numId w:val="1"/>
        </w:numPr>
        <w:spacing w:before="100" w:beforeAutospacing="1" w:after="100" w:afterAutospacing="1" w:line="300" w:lineRule="exact"/>
        <w:ind w:left="360"/>
        <w:contextualSpacing/>
        <w:jc w:val="both"/>
        <w:rPr>
          <w:b/>
          <w:lang w:eastAsia="he-IL"/>
        </w:rPr>
      </w:pPr>
      <w:r w:rsidRPr="000F2B90">
        <w:rPr>
          <w:b/>
          <w:rtl/>
          <w:lang w:eastAsia="he-IL"/>
        </w:rPr>
        <w:t xml:space="preserve">בתסקיר מיום 25.6.20 סקר  </w:t>
      </w:r>
      <w:r w:rsidRPr="000F2B90">
        <w:rPr>
          <w:rFonts w:ascii="Calibri" w:hAnsi="Calibri" w:hint="eastAsia"/>
          <w:rtl/>
        </w:rPr>
        <w:t>ש</w:t>
      </w:r>
      <w:r w:rsidRPr="000F2B90">
        <w:rPr>
          <w:rFonts w:ascii="David" w:hAnsi="David"/>
          <w:rtl/>
        </w:rPr>
        <w:t>ירות המבחן את הרקע האישי והמשפחתי של הנאשם. הנאשם בן 61, עלה בגפו ארצה בשנת 1992, עבד שני כטבח עד שבשנת 2007 נאלץ להפסיק לעבוד עקב בעיות בריאות.</w:t>
      </w:r>
      <w:r w:rsidRPr="000F2B90">
        <w:rPr>
          <w:b/>
          <w:rtl/>
          <w:lang w:eastAsia="he-IL"/>
        </w:rPr>
        <w:t xml:space="preserve"> אוחז ברשיון כדין לקנביס רפואי, עקב בעיות בריאות.  לדברי הנאשם העבירה בוצעה על רקע הכאבים העזים עימם התמודד, והעיכוב בקבלת האישום הרפואי לשימוש בקנביס, כמו גם העליות הגבוהות של הקנביס. לדבריו גידל השתילים לשימושו העצמי. שירות המבחן התרשם כי הנאשם גילה תובנה לחומרת מעשיו, ההליך המשפטי היה גורם מרתיע והנאשם הפיק את הלקחים המתאימים. </w:t>
      </w:r>
    </w:p>
    <w:p w14:paraId="055D9E06" w14:textId="77777777" w:rsidR="00FE5DA8" w:rsidRPr="000F2B90" w:rsidRDefault="00FE5DA8" w:rsidP="00FE5DA8">
      <w:pPr>
        <w:spacing w:before="100" w:beforeAutospacing="1" w:after="100" w:afterAutospacing="1" w:line="300" w:lineRule="exact"/>
        <w:ind w:left="360"/>
        <w:contextualSpacing/>
        <w:jc w:val="both"/>
        <w:rPr>
          <w:b/>
          <w:lang w:eastAsia="he-IL"/>
        </w:rPr>
      </w:pPr>
    </w:p>
    <w:p w14:paraId="7383F803" w14:textId="77777777" w:rsidR="00FE5DA8" w:rsidRDefault="00FE5DA8" w:rsidP="00FE5DA8">
      <w:pPr>
        <w:spacing w:before="100" w:beforeAutospacing="1" w:after="100" w:afterAutospacing="1" w:line="300" w:lineRule="exact"/>
        <w:ind w:left="360"/>
        <w:contextualSpacing/>
        <w:jc w:val="both"/>
        <w:rPr>
          <w:b/>
          <w:rtl/>
          <w:lang w:eastAsia="he-IL"/>
        </w:rPr>
      </w:pPr>
      <w:r w:rsidRPr="000F2B90">
        <w:rPr>
          <w:b/>
          <w:rtl/>
          <w:lang w:eastAsia="he-IL"/>
        </w:rPr>
        <w:t>שירות המבחן התרשם כי יש צורך בהליך טיפולי כדי לסייע לנאשם לבחון דרכי פעולה אלטרנטיביות ועל כן המליץ על העמדת הנאשם במבחן.</w:t>
      </w:r>
    </w:p>
    <w:p w14:paraId="28CE6EE5" w14:textId="77777777" w:rsidR="00FE5DA8" w:rsidRPr="000F2B90" w:rsidRDefault="00FE5DA8" w:rsidP="00FE5DA8">
      <w:pPr>
        <w:spacing w:before="100" w:beforeAutospacing="1" w:after="100" w:afterAutospacing="1" w:line="300" w:lineRule="exact"/>
        <w:ind w:left="360"/>
        <w:contextualSpacing/>
        <w:jc w:val="both"/>
        <w:rPr>
          <w:b/>
          <w:lang w:eastAsia="he-IL"/>
        </w:rPr>
      </w:pPr>
    </w:p>
    <w:p w14:paraId="12811EEF" w14:textId="77777777" w:rsidR="00FE5DA8" w:rsidRDefault="00FE5DA8" w:rsidP="00FE5DA8">
      <w:pPr>
        <w:spacing w:before="100" w:beforeAutospacing="1" w:after="100" w:afterAutospacing="1" w:line="300" w:lineRule="exact"/>
        <w:ind w:left="360"/>
        <w:contextualSpacing/>
        <w:jc w:val="both"/>
        <w:rPr>
          <w:b/>
          <w:rtl/>
          <w:lang w:eastAsia="he-IL"/>
        </w:rPr>
      </w:pPr>
      <w:r w:rsidRPr="000F2B90">
        <w:rPr>
          <w:b/>
          <w:rtl/>
          <w:lang w:eastAsia="he-IL"/>
        </w:rPr>
        <w:t xml:space="preserve">לאור מצבו הבריאותי של הנאשם, ומגבלות הניידות בשל מצבו, נמנע שירות המבחן מלהמליץ על ענישה בדמות של"צ או מאסר בדרך של עבודות שירות. שירות המבחן התרשם כי מאסר מותנה יהיה בו די כדי להרתיע הנאשם. </w:t>
      </w:r>
    </w:p>
    <w:p w14:paraId="7E8C8532" w14:textId="77777777" w:rsidR="00FE5DA8" w:rsidRPr="000F2B90" w:rsidRDefault="00FE5DA8" w:rsidP="00FE5DA8">
      <w:pPr>
        <w:spacing w:before="100" w:beforeAutospacing="1" w:after="100" w:afterAutospacing="1" w:line="300" w:lineRule="exact"/>
        <w:ind w:left="360"/>
        <w:contextualSpacing/>
        <w:jc w:val="both"/>
        <w:rPr>
          <w:b/>
          <w:lang w:eastAsia="he-IL"/>
        </w:rPr>
      </w:pPr>
    </w:p>
    <w:p w14:paraId="6FDECF37" w14:textId="77777777" w:rsidR="00FE5DA8" w:rsidRPr="000F2B90" w:rsidRDefault="00FE5DA8" w:rsidP="00FE5DA8">
      <w:pPr>
        <w:spacing w:before="100" w:beforeAutospacing="1" w:after="100" w:afterAutospacing="1" w:line="300" w:lineRule="exact"/>
        <w:jc w:val="both"/>
        <w:rPr>
          <w:bCs/>
          <w:color w:val="FF0000"/>
          <w:u w:val="single"/>
          <w:lang w:eastAsia="he-IL"/>
        </w:rPr>
      </w:pPr>
      <w:r w:rsidRPr="000F2B90">
        <w:rPr>
          <w:bCs/>
          <w:u w:val="single"/>
          <w:rtl/>
          <w:lang w:eastAsia="he-IL"/>
        </w:rPr>
        <w:t>טיעוני הצדדים</w:t>
      </w:r>
    </w:p>
    <w:p w14:paraId="51C05B27" w14:textId="77777777" w:rsidR="00FE5DA8" w:rsidRDefault="00FE5DA8" w:rsidP="00FE5DA8">
      <w:pPr>
        <w:numPr>
          <w:ilvl w:val="0"/>
          <w:numId w:val="1"/>
        </w:numPr>
        <w:spacing w:before="100" w:beforeAutospacing="1" w:after="100" w:afterAutospacing="1" w:line="300" w:lineRule="exact"/>
        <w:ind w:left="360"/>
        <w:contextualSpacing/>
        <w:jc w:val="both"/>
        <w:rPr>
          <w:lang w:eastAsia="he-IL"/>
        </w:rPr>
      </w:pPr>
      <w:r w:rsidRPr="000F2B90">
        <w:rPr>
          <w:rFonts w:ascii="David" w:hAnsi="David"/>
          <w:color w:val="000000"/>
          <w:rtl/>
        </w:rPr>
        <w:t>ב"כ המאשימה הפנתה לחומרת העבירה, לערכים החברתיים שנפגעו, לשיטתה מתחם העונש ההולם נע בין 8-18 חודשי מאסר, לדבריו אין הצדקה לאמץ את המלצת שירות המבחן ולחרוג מהמתחם. ב"כ המאשימה עתרה להטיל על הנאשם עונש מאסר  ברף הנמוך-בינוני של המתחם וענישה נלווית.</w:t>
      </w:r>
    </w:p>
    <w:p w14:paraId="5B75CFD7" w14:textId="77777777" w:rsidR="00FE5DA8" w:rsidRPr="000F2B90" w:rsidRDefault="00FE5DA8" w:rsidP="00FE5DA8">
      <w:pPr>
        <w:spacing w:before="100" w:beforeAutospacing="1" w:after="100" w:afterAutospacing="1" w:line="300" w:lineRule="exact"/>
        <w:ind w:left="360"/>
        <w:contextualSpacing/>
        <w:jc w:val="both"/>
        <w:rPr>
          <w:lang w:eastAsia="he-IL"/>
        </w:rPr>
      </w:pPr>
    </w:p>
    <w:p w14:paraId="51B361CB" w14:textId="77777777" w:rsidR="00FE5DA8" w:rsidRPr="000F2B90" w:rsidRDefault="00FE5DA8" w:rsidP="00FE5DA8">
      <w:pPr>
        <w:numPr>
          <w:ilvl w:val="0"/>
          <w:numId w:val="1"/>
        </w:numPr>
        <w:spacing w:before="100" w:beforeAutospacing="1" w:after="100" w:afterAutospacing="1" w:line="300" w:lineRule="exact"/>
        <w:ind w:left="360"/>
        <w:contextualSpacing/>
        <w:jc w:val="both"/>
        <w:rPr>
          <w:lang w:eastAsia="he-IL"/>
        </w:rPr>
      </w:pPr>
      <w:r w:rsidRPr="00FE5DA8">
        <w:rPr>
          <w:rFonts w:ascii="Calibri" w:hAnsi="Calibri" w:hint="eastAsia"/>
          <w:color w:val="000000"/>
          <w:rtl/>
        </w:rPr>
        <w:t>ב</w:t>
      </w:r>
      <w:r w:rsidRPr="000F2B90">
        <w:rPr>
          <w:rFonts w:ascii="David" w:hAnsi="David"/>
          <w:color w:val="000000"/>
          <w:rtl/>
        </w:rPr>
        <w:t xml:space="preserve">"כ הנאשם הפנה לנסיבות ביצוע העבירה, לכך שאין עסקינן בגידול בתנאי מעבדה, ללא אמצעים מיוחדים, אלא מי שגידל בגינת ביתו לשימושו העצמי בשל מצבו הרפואי, ב"כ הנאשם הציג מסמכים רפואיים המלמדים על מצבו של הנאשם, ועל כך שהנאשם אוחז ברישיון כדין להשתמש בקנביס ואף הגיש בקשה להגדלת הכמויות. לדבריו משקל הסם שנתפס גדול מאופן משמעותי מהמשקל של החומר הפעיל שבסם, </w:t>
      </w:r>
      <w:r w:rsidRPr="000F2B90">
        <w:rPr>
          <w:rtl/>
          <w:lang w:eastAsia="he-IL"/>
        </w:rPr>
        <w:t>לדבריו</w:t>
      </w:r>
      <w:r w:rsidRPr="000F2B90">
        <w:rPr>
          <w:rFonts w:ascii="David" w:hAnsi="David"/>
          <w:color w:val="000000"/>
          <w:rtl/>
        </w:rPr>
        <w:t xml:space="preserve"> מתחם העונש ההולם נע ממאסר מותנה </w:t>
      </w:r>
      <w:r w:rsidRPr="000F2B90">
        <w:rPr>
          <w:rFonts w:ascii="David" w:hAnsi="David"/>
          <w:color w:val="000000"/>
          <w:rtl/>
        </w:rPr>
        <w:lastRenderedPageBreak/>
        <w:t xml:space="preserve">ועד שנת מאסר, הפנה לפסיקה רלוונטית.  הפנה לכך שהנאשם לקח אחריות, הביע חרטה, הפנים את חומרת העבירה, הפיק את הלקחים הנדרשים. שירות המבחן התרשם שפחתה המסוכנות. לפיכך עתר ב"כ הנאשם לאמץ את המלצתו העונשית של שירות המבחן. </w:t>
      </w:r>
    </w:p>
    <w:p w14:paraId="69BB77CB" w14:textId="77777777" w:rsidR="00FE5DA8" w:rsidRPr="000F2B90" w:rsidRDefault="00FE5DA8" w:rsidP="00FE5DA8">
      <w:pPr>
        <w:bidi w:val="0"/>
        <w:spacing w:line="360" w:lineRule="auto"/>
        <w:ind w:left="720"/>
        <w:contextualSpacing/>
        <w:rPr>
          <w:rtl/>
          <w:lang w:eastAsia="he-IL"/>
        </w:rPr>
      </w:pPr>
    </w:p>
    <w:p w14:paraId="57EF98C9" w14:textId="77777777" w:rsidR="00FE5DA8" w:rsidRPr="000F2B90" w:rsidRDefault="00FE5DA8" w:rsidP="00FE5DA8">
      <w:pPr>
        <w:numPr>
          <w:ilvl w:val="0"/>
          <w:numId w:val="1"/>
        </w:numPr>
        <w:spacing w:before="100" w:beforeAutospacing="1" w:after="100" w:afterAutospacing="1" w:line="300" w:lineRule="exact"/>
        <w:ind w:left="360"/>
        <w:contextualSpacing/>
        <w:jc w:val="both"/>
        <w:rPr>
          <w:lang w:eastAsia="he-IL"/>
        </w:rPr>
      </w:pPr>
      <w:r w:rsidRPr="000F2B90">
        <w:rPr>
          <w:rtl/>
          <w:lang w:eastAsia="he-IL"/>
        </w:rPr>
        <w:t>הנאשם בדבריו האחרונים ציין שלמד את הלקח ומעתה יקפיד לצרוך הסם על פי תנאי הרישיון ולא ישוב לגדל את הסם.</w:t>
      </w:r>
    </w:p>
    <w:p w14:paraId="1DC54265" w14:textId="77777777" w:rsidR="00FE5DA8" w:rsidRDefault="00FE5DA8" w:rsidP="00FE5DA8">
      <w:pPr>
        <w:bidi w:val="0"/>
        <w:spacing w:line="360" w:lineRule="auto"/>
        <w:ind w:left="720"/>
        <w:contextualSpacing/>
        <w:rPr>
          <w:rFonts w:ascii="David" w:hAnsi="David"/>
          <w:color w:val="000000"/>
        </w:rPr>
      </w:pPr>
    </w:p>
    <w:p w14:paraId="3390DB55" w14:textId="77777777" w:rsidR="00FE5DA8" w:rsidRDefault="00FE5DA8" w:rsidP="00FE5DA8">
      <w:pPr>
        <w:bidi w:val="0"/>
        <w:spacing w:line="360" w:lineRule="auto"/>
        <w:ind w:left="720"/>
        <w:contextualSpacing/>
        <w:rPr>
          <w:rFonts w:ascii="David" w:hAnsi="David"/>
          <w:color w:val="000000"/>
        </w:rPr>
      </w:pPr>
    </w:p>
    <w:p w14:paraId="573B2006" w14:textId="77777777" w:rsidR="00FE5DA8" w:rsidRDefault="00FE5DA8" w:rsidP="00FE5DA8">
      <w:pPr>
        <w:bidi w:val="0"/>
        <w:spacing w:line="360" w:lineRule="auto"/>
        <w:ind w:left="720"/>
        <w:contextualSpacing/>
        <w:rPr>
          <w:rFonts w:ascii="David" w:hAnsi="David"/>
          <w:color w:val="000000"/>
        </w:rPr>
      </w:pPr>
    </w:p>
    <w:p w14:paraId="12485F59" w14:textId="77777777" w:rsidR="00FE5DA8" w:rsidRPr="000F2B90" w:rsidRDefault="00FE5DA8" w:rsidP="00FE5DA8">
      <w:pPr>
        <w:bidi w:val="0"/>
        <w:spacing w:line="360" w:lineRule="auto"/>
        <w:ind w:left="720"/>
        <w:contextualSpacing/>
        <w:rPr>
          <w:rFonts w:ascii="David" w:hAnsi="David"/>
          <w:color w:val="000000"/>
          <w:rtl/>
        </w:rPr>
      </w:pPr>
    </w:p>
    <w:p w14:paraId="7D7E92A6" w14:textId="77777777" w:rsidR="00FE5DA8" w:rsidRPr="000F2B90" w:rsidRDefault="00FE5DA8" w:rsidP="00FE5DA8">
      <w:pPr>
        <w:spacing w:before="100" w:beforeAutospacing="1" w:after="100" w:afterAutospacing="1" w:line="300" w:lineRule="exact"/>
        <w:jc w:val="both"/>
        <w:rPr>
          <w:bCs/>
          <w:sz w:val="32"/>
          <w:szCs w:val="32"/>
          <w:u w:val="single"/>
          <w:rtl/>
          <w:lang w:eastAsia="he-IL"/>
        </w:rPr>
      </w:pPr>
      <w:r w:rsidRPr="000F2B90">
        <w:rPr>
          <w:bCs/>
          <w:sz w:val="32"/>
          <w:szCs w:val="32"/>
          <w:u w:val="single"/>
          <w:rtl/>
          <w:lang w:eastAsia="he-IL"/>
        </w:rPr>
        <w:t xml:space="preserve">דיון </w:t>
      </w:r>
    </w:p>
    <w:p w14:paraId="7BCCE8C8" w14:textId="77777777" w:rsidR="00FE5DA8" w:rsidRPr="000F2B90" w:rsidRDefault="00FE5DA8" w:rsidP="00FE5DA8">
      <w:pPr>
        <w:spacing w:before="100" w:beforeAutospacing="1" w:after="100" w:afterAutospacing="1" w:line="300" w:lineRule="exact"/>
        <w:jc w:val="both"/>
        <w:rPr>
          <w:bCs/>
          <w:u w:val="single"/>
          <w:rtl/>
          <w:lang w:eastAsia="he-IL"/>
        </w:rPr>
      </w:pPr>
      <w:r w:rsidRPr="000F2B90">
        <w:rPr>
          <w:bCs/>
          <w:u w:val="single"/>
          <w:rtl/>
          <w:lang w:eastAsia="he-IL"/>
        </w:rPr>
        <w:t>מתחם העונש ההולם</w:t>
      </w:r>
    </w:p>
    <w:p w14:paraId="7F0B31DF" w14:textId="77777777" w:rsidR="00FE5DA8" w:rsidRPr="000F2B90" w:rsidRDefault="00FE5DA8" w:rsidP="00FE5DA8">
      <w:pPr>
        <w:numPr>
          <w:ilvl w:val="0"/>
          <w:numId w:val="1"/>
        </w:numPr>
        <w:spacing w:before="100" w:beforeAutospacing="1" w:after="100" w:afterAutospacing="1" w:line="240" w:lineRule="exact"/>
        <w:ind w:left="360"/>
        <w:contextualSpacing/>
        <w:jc w:val="both"/>
        <w:rPr>
          <w:rFonts w:ascii="David" w:hAnsi="David"/>
        </w:rPr>
      </w:pPr>
      <w:r w:rsidRPr="000F2B90">
        <w:rPr>
          <w:bCs/>
          <w:rtl/>
          <w:lang w:eastAsia="he-IL"/>
        </w:rPr>
        <w:t>הערך החברתי</w:t>
      </w:r>
      <w:r w:rsidRPr="000F2B90">
        <w:rPr>
          <w:b/>
          <w:rtl/>
          <w:lang w:eastAsia="he-IL"/>
        </w:rPr>
        <w:t xml:space="preserve"> אשר נפגע בעבירת גידול הסמים הינו ההגנה מפני הנזקים הישירים והעקיפים אשר נגרמים עקב הגידול והשימוש בסמים. </w:t>
      </w:r>
    </w:p>
    <w:p w14:paraId="6B852388" w14:textId="77777777" w:rsidR="00FE5DA8" w:rsidRPr="000F2B90" w:rsidRDefault="00FE5DA8" w:rsidP="00FE5DA8">
      <w:pPr>
        <w:bidi w:val="0"/>
        <w:spacing w:line="360" w:lineRule="auto"/>
        <w:ind w:left="720"/>
        <w:contextualSpacing/>
        <w:rPr>
          <w:b/>
          <w:highlight w:val="yellow"/>
          <w:rtl/>
          <w:lang w:eastAsia="he-IL"/>
        </w:rPr>
      </w:pPr>
    </w:p>
    <w:p w14:paraId="6DB10B6B" w14:textId="77777777" w:rsidR="00FE5DA8" w:rsidRPr="000F2B90" w:rsidRDefault="00FE5DA8" w:rsidP="00FE5DA8">
      <w:pPr>
        <w:spacing w:before="100" w:beforeAutospacing="1" w:after="100" w:afterAutospacing="1" w:line="240" w:lineRule="exact"/>
        <w:ind w:left="360"/>
        <w:contextualSpacing/>
        <w:jc w:val="both"/>
        <w:rPr>
          <w:b/>
          <w:rtl/>
          <w:lang w:eastAsia="he-IL"/>
        </w:rPr>
      </w:pPr>
      <w:r w:rsidRPr="000F2B90">
        <w:rPr>
          <w:b/>
          <w:rtl/>
          <w:lang w:eastAsia="he-IL"/>
        </w:rPr>
        <w:t xml:space="preserve">על חומרת העבירה של גידול סמים ראו </w:t>
      </w:r>
      <w:hyperlink r:id="rId13" w:history="1">
        <w:r w:rsidR="00843BD9" w:rsidRPr="00843BD9">
          <w:rPr>
            <w:b/>
            <w:color w:val="0000FF"/>
            <w:u w:val="single"/>
            <w:rtl/>
            <w:lang w:eastAsia="he-IL"/>
          </w:rPr>
          <w:t xml:space="preserve">ע"פ(חיפה) 42358-10-14 </w:t>
        </w:r>
      </w:hyperlink>
      <w:r w:rsidRPr="000F2B90">
        <w:rPr>
          <w:b/>
          <w:rtl/>
          <w:lang w:eastAsia="he-IL"/>
        </w:rPr>
        <w:t xml:space="preserve"> </w:t>
      </w:r>
      <w:r w:rsidRPr="000F2B90">
        <w:rPr>
          <w:bCs/>
          <w:rtl/>
          <w:lang w:eastAsia="he-IL"/>
        </w:rPr>
        <w:t>גיא נ' מדינת ישראל</w:t>
      </w:r>
      <w:r w:rsidRPr="000F2B90">
        <w:rPr>
          <w:b/>
          <w:rtl/>
          <w:lang w:eastAsia="he-IL"/>
        </w:rPr>
        <w:t>:</w:t>
      </w:r>
    </w:p>
    <w:p w14:paraId="3C10012E" w14:textId="77777777" w:rsidR="00FE5DA8" w:rsidRPr="000F2B90" w:rsidRDefault="00FE5DA8" w:rsidP="00FE5DA8">
      <w:pPr>
        <w:spacing w:before="100" w:beforeAutospacing="1" w:after="100" w:afterAutospacing="1" w:line="240" w:lineRule="exact"/>
        <w:ind w:left="360"/>
        <w:contextualSpacing/>
        <w:jc w:val="both"/>
        <w:rPr>
          <w:b/>
          <w:rtl/>
          <w:lang w:eastAsia="he-IL"/>
        </w:rPr>
      </w:pPr>
    </w:p>
    <w:p w14:paraId="4D0A1E8C" w14:textId="77777777" w:rsidR="00FE5DA8" w:rsidRPr="000F2B90" w:rsidRDefault="00FE5DA8" w:rsidP="00FE5DA8">
      <w:pPr>
        <w:spacing w:before="100" w:beforeAutospacing="1" w:after="100" w:afterAutospacing="1" w:line="240" w:lineRule="exact"/>
        <w:ind w:left="360"/>
        <w:contextualSpacing/>
        <w:jc w:val="both"/>
        <w:rPr>
          <w:b/>
          <w:rtl/>
          <w:lang w:eastAsia="he-IL"/>
        </w:rPr>
      </w:pPr>
      <w:r w:rsidRPr="000F2B90">
        <w:rPr>
          <w:b/>
          <w:rtl/>
          <w:lang w:eastAsia="he-IL"/>
        </w:rPr>
        <w:t>"דומה שמעבדות הסם הפכו למכת מדינה. נראה שהקלות שבגידול הסם, הביטחון היחסי באי חשיפת העבירה כאשר מדובר בפעילות בתוך תחומי הבית והפוטנציאל הגלום בה, משמשים קרקע נוחה להפיכתה לנפוצה. נפיצות העבירה מחייבת אמירה ברורה ונורמטיבית של בתי משפט העוסקים בתחום זה".</w:t>
      </w:r>
    </w:p>
    <w:p w14:paraId="1842BCB9" w14:textId="77777777" w:rsidR="00FE5DA8" w:rsidRPr="000F2B90" w:rsidRDefault="00FE5DA8" w:rsidP="00FE5DA8">
      <w:pPr>
        <w:spacing w:before="100" w:beforeAutospacing="1" w:after="100" w:afterAutospacing="1" w:line="240" w:lineRule="exact"/>
        <w:ind w:left="360"/>
        <w:contextualSpacing/>
        <w:jc w:val="both"/>
        <w:rPr>
          <w:b/>
          <w:rtl/>
          <w:lang w:eastAsia="he-IL"/>
        </w:rPr>
      </w:pPr>
    </w:p>
    <w:p w14:paraId="534ED335" w14:textId="77777777" w:rsidR="00FE5DA8" w:rsidRPr="000F2B90" w:rsidRDefault="00FE5DA8" w:rsidP="00FE5DA8">
      <w:pPr>
        <w:spacing w:before="100" w:beforeAutospacing="1" w:after="100" w:afterAutospacing="1" w:line="240" w:lineRule="exact"/>
        <w:ind w:left="360"/>
        <w:contextualSpacing/>
        <w:jc w:val="both"/>
        <w:rPr>
          <w:rFonts w:ascii="David" w:hAnsi="David"/>
          <w:rtl/>
        </w:rPr>
      </w:pPr>
      <w:r w:rsidRPr="000F2B90">
        <w:rPr>
          <w:rFonts w:ascii="David" w:hAnsi="David"/>
          <w:rtl/>
        </w:rPr>
        <w:t>הרציונל העומד מאחורי העבירה של איסור גידול סמים מסוכנים הוא למנוע הכנסת סם חדש למערכת ההפצה הכוללת, שכן אין לדעת לאן יגיע הסם ומה ייעודו. מטעם זה, לא הבחין המחוקק בין גידול סם לצריכה עצמית לבין גידול סם שלא לצריכה עצמית, בניגוד להבחנה הקיימת בשימוש והחזקה של סמים.</w:t>
      </w:r>
    </w:p>
    <w:p w14:paraId="12097578" w14:textId="77777777" w:rsidR="00FE5DA8" w:rsidRPr="000F2B90" w:rsidRDefault="00FE5DA8" w:rsidP="00FE5DA8">
      <w:pPr>
        <w:spacing w:before="100" w:beforeAutospacing="1" w:after="100" w:afterAutospacing="1" w:line="240" w:lineRule="exact"/>
        <w:ind w:left="360"/>
        <w:contextualSpacing/>
        <w:jc w:val="both"/>
        <w:rPr>
          <w:rFonts w:ascii="David" w:hAnsi="David"/>
          <w:highlight w:val="yellow"/>
          <w:rtl/>
        </w:rPr>
      </w:pPr>
    </w:p>
    <w:p w14:paraId="0FEC2E93" w14:textId="77777777" w:rsidR="00FE5DA8" w:rsidRPr="000F2B90" w:rsidRDefault="00FE5DA8" w:rsidP="00FE5DA8">
      <w:pPr>
        <w:numPr>
          <w:ilvl w:val="0"/>
          <w:numId w:val="1"/>
        </w:numPr>
        <w:spacing w:before="100" w:beforeAutospacing="1" w:after="100" w:afterAutospacing="1" w:line="240" w:lineRule="exact"/>
        <w:ind w:left="360"/>
        <w:contextualSpacing/>
        <w:jc w:val="both"/>
        <w:rPr>
          <w:rFonts w:ascii="David" w:hAnsi="David"/>
        </w:rPr>
      </w:pPr>
      <w:r w:rsidRPr="000F2B90">
        <w:rPr>
          <w:bCs/>
          <w:rtl/>
          <w:lang w:eastAsia="he-IL"/>
        </w:rPr>
        <w:t>מידת הפגיעה בערך המוגן</w:t>
      </w:r>
      <w:r w:rsidRPr="000F2B90">
        <w:rPr>
          <w:b/>
          <w:rtl/>
          <w:lang w:eastAsia="he-IL"/>
        </w:rPr>
        <w:t xml:space="preserve"> בעבירת גידול הסמים הינה ברף הבינוני-גבוה, בשים לב לכמות הסם שגידל הנאשם: עשרות שתילים במשקל כולל של </w:t>
      </w:r>
      <w:r w:rsidRPr="000F2B90">
        <w:rPr>
          <w:rFonts w:ascii="David" w:hAnsi="David"/>
          <w:color w:val="000000"/>
          <w:rtl/>
        </w:rPr>
        <w:t>3.35 ק"ג</w:t>
      </w:r>
      <w:r w:rsidRPr="000F2B90">
        <w:rPr>
          <w:rFonts w:ascii="David" w:hAnsi="David"/>
          <w:rtl/>
        </w:rPr>
        <w:t>.</w:t>
      </w:r>
    </w:p>
    <w:p w14:paraId="72C376CB" w14:textId="77777777" w:rsidR="00FE5DA8" w:rsidRPr="000F2B90" w:rsidRDefault="00FE5DA8" w:rsidP="00FE5DA8">
      <w:pPr>
        <w:spacing w:before="100" w:beforeAutospacing="1" w:after="100" w:afterAutospacing="1" w:line="240" w:lineRule="exact"/>
        <w:ind w:left="360"/>
        <w:contextualSpacing/>
        <w:jc w:val="both"/>
        <w:rPr>
          <w:rFonts w:ascii="David" w:hAnsi="David"/>
        </w:rPr>
      </w:pPr>
    </w:p>
    <w:p w14:paraId="4FB14F31" w14:textId="77777777" w:rsidR="00FE5DA8" w:rsidRPr="000F2B90" w:rsidRDefault="00FE5DA8" w:rsidP="00FE5DA8">
      <w:pPr>
        <w:numPr>
          <w:ilvl w:val="0"/>
          <w:numId w:val="1"/>
        </w:numPr>
        <w:spacing w:before="100" w:beforeAutospacing="1" w:after="100" w:afterAutospacing="1" w:line="240" w:lineRule="exact"/>
        <w:ind w:left="360"/>
        <w:contextualSpacing/>
        <w:jc w:val="both"/>
        <w:rPr>
          <w:b/>
          <w:lang w:eastAsia="he-IL"/>
        </w:rPr>
      </w:pPr>
      <w:r w:rsidRPr="000F2B90">
        <w:rPr>
          <w:rFonts w:ascii="Calibri" w:hAnsi="Calibri" w:hint="eastAsia"/>
          <w:b/>
          <w:bCs/>
          <w:rtl/>
        </w:rPr>
        <w:t>באשר</w:t>
      </w:r>
      <w:r w:rsidRPr="000F2B90">
        <w:rPr>
          <w:rFonts w:ascii="Calibri" w:hAnsi="Calibri"/>
          <w:b/>
          <w:bCs/>
          <w:rtl/>
        </w:rPr>
        <w:t xml:space="preserve"> </w:t>
      </w:r>
      <w:r w:rsidRPr="000F2B90">
        <w:rPr>
          <w:rFonts w:ascii="Calibri" w:hAnsi="Calibri" w:hint="eastAsia"/>
          <w:b/>
          <w:bCs/>
          <w:rtl/>
        </w:rPr>
        <w:t>לנסיבות</w:t>
      </w:r>
      <w:r w:rsidRPr="000F2B90">
        <w:rPr>
          <w:rFonts w:ascii="Calibri" w:hAnsi="Calibri"/>
          <w:b/>
          <w:bCs/>
          <w:rtl/>
        </w:rPr>
        <w:t xml:space="preserve"> </w:t>
      </w:r>
      <w:r w:rsidRPr="000F2B90">
        <w:rPr>
          <w:rFonts w:ascii="Calibri" w:hAnsi="Calibri" w:hint="eastAsia"/>
          <w:b/>
          <w:bCs/>
          <w:rtl/>
        </w:rPr>
        <w:t>ביצוע</w:t>
      </w:r>
      <w:r w:rsidRPr="000F2B90">
        <w:rPr>
          <w:rFonts w:ascii="Calibri" w:hAnsi="Calibri"/>
          <w:b/>
          <w:bCs/>
          <w:rtl/>
        </w:rPr>
        <w:t xml:space="preserve"> </w:t>
      </w:r>
      <w:r w:rsidRPr="000F2B90">
        <w:rPr>
          <w:rFonts w:ascii="Calibri" w:hAnsi="Calibri" w:hint="eastAsia"/>
          <w:b/>
          <w:bCs/>
          <w:rtl/>
        </w:rPr>
        <w:t>העבירה</w:t>
      </w:r>
      <w:r w:rsidRPr="000F2B90">
        <w:rPr>
          <w:rFonts w:ascii="Calibri" w:hAnsi="Calibri"/>
          <w:b/>
          <w:bCs/>
          <w:rtl/>
        </w:rPr>
        <w:t xml:space="preserve">, </w:t>
      </w:r>
      <w:r w:rsidRPr="000F2B90">
        <w:rPr>
          <w:rFonts w:ascii="Calibri" w:hAnsi="Calibri" w:hint="eastAsia"/>
          <w:rtl/>
        </w:rPr>
        <w:t>לקחתי</w:t>
      </w:r>
      <w:r w:rsidRPr="000F2B90">
        <w:rPr>
          <w:rFonts w:ascii="Calibri" w:hAnsi="Calibri"/>
          <w:rtl/>
        </w:rPr>
        <w:t xml:space="preserve"> </w:t>
      </w:r>
      <w:r w:rsidRPr="000F2B90">
        <w:rPr>
          <w:rFonts w:ascii="Calibri" w:hAnsi="Calibri" w:hint="eastAsia"/>
          <w:rtl/>
        </w:rPr>
        <w:t>בחשבון</w:t>
      </w:r>
      <w:r w:rsidRPr="000F2B90">
        <w:rPr>
          <w:rFonts w:ascii="Calibri" w:hAnsi="Calibri"/>
          <w:rtl/>
        </w:rPr>
        <w:t xml:space="preserve"> </w:t>
      </w:r>
      <w:r w:rsidRPr="000F2B90">
        <w:rPr>
          <w:rFonts w:ascii="Calibri" w:hAnsi="Calibri" w:hint="eastAsia"/>
          <w:rtl/>
        </w:rPr>
        <w:t>את</w:t>
      </w:r>
      <w:r w:rsidRPr="000F2B90">
        <w:rPr>
          <w:rFonts w:ascii="Calibri" w:hAnsi="Calibri"/>
          <w:rtl/>
        </w:rPr>
        <w:t xml:space="preserve"> </w:t>
      </w:r>
      <w:r w:rsidRPr="000F2B90">
        <w:rPr>
          <w:rFonts w:ascii="Calibri" w:hAnsi="Calibri" w:hint="eastAsia"/>
          <w:rtl/>
        </w:rPr>
        <w:t>דברי</w:t>
      </w:r>
      <w:r w:rsidRPr="000F2B90">
        <w:rPr>
          <w:rFonts w:ascii="Calibri" w:hAnsi="Calibri"/>
          <w:rtl/>
        </w:rPr>
        <w:t xml:space="preserve"> </w:t>
      </w:r>
      <w:r w:rsidRPr="000F2B90">
        <w:rPr>
          <w:rFonts w:ascii="Calibri" w:hAnsi="Calibri" w:hint="eastAsia"/>
          <w:rtl/>
        </w:rPr>
        <w:t>הנאשם</w:t>
      </w:r>
      <w:r w:rsidRPr="000F2B90">
        <w:rPr>
          <w:rFonts w:ascii="Calibri" w:hAnsi="Calibri"/>
          <w:rtl/>
        </w:rPr>
        <w:t xml:space="preserve"> </w:t>
      </w:r>
      <w:r w:rsidRPr="000F2B90">
        <w:rPr>
          <w:rFonts w:ascii="Calibri" w:hAnsi="Calibri" w:hint="eastAsia"/>
          <w:rtl/>
        </w:rPr>
        <w:t>כי</w:t>
      </w:r>
      <w:r w:rsidRPr="000F2B90">
        <w:rPr>
          <w:rFonts w:ascii="Calibri" w:hAnsi="Calibri"/>
          <w:rtl/>
        </w:rPr>
        <w:t xml:space="preserve"> </w:t>
      </w:r>
      <w:r w:rsidRPr="000F2B90">
        <w:rPr>
          <w:rFonts w:ascii="Calibri" w:hAnsi="Calibri" w:hint="eastAsia"/>
          <w:rtl/>
        </w:rPr>
        <w:t>גידל</w:t>
      </w:r>
      <w:r w:rsidRPr="000F2B90">
        <w:rPr>
          <w:rFonts w:ascii="Calibri" w:hAnsi="Calibri"/>
          <w:rtl/>
        </w:rPr>
        <w:t xml:space="preserve"> </w:t>
      </w:r>
      <w:r w:rsidRPr="000F2B90">
        <w:rPr>
          <w:rFonts w:ascii="Calibri" w:hAnsi="Calibri" w:hint="eastAsia"/>
          <w:rtl/>
        </w:rPr>
        <w:t>הסם</w:t>
      </w:r>
      <w:r w:rsidRPr="000F2B90">
        <w:rPr>
          <w:rFonts w:ascii="Calibri" w:hAnsi="Calibri"/>
          <w:rtl/>
        </w:rPr>
        <w:t xml:space="preserve"> </w:t>
      </w:r>
      <w:r w:rsidRPr="000F2B90">
        <w:rPr>
          <w:rFonts w:ascii="Calibri" w:hAnsi="Calibri" w:hint="eastAsia"/>
          <w:rtl/>
        </w:rPr>
        <w:t>לשימושו</w:t>
      </w:r>
      <w:r w:rsidRPr="000F2B90">
        <w:rPr>
          <w:rFonts w:ascii="Calibri" w:hAnsi="Calibri"/>
          <w:rtl/>
        </w:rPr>
        <w:t xml:space="preserve"> </w:t>
      </w:r>
      <w:r w:rsidRPr="000F2B90">
        <w:rPr>
          <w:rFonts w:ascii="Calibri" w:hAnsi="Calibri" w:hint="eastAsia"/>
          <w:rtl/>
        </w:rPr>
        <w:t>העצמי</w:t>
      </w:r>
      <w:r w:rsidRPr="000F2B90">
        <w:rPr>
          <w:rFonts w:ascii="Calibri" w:hAnsi="Calibri"/>
          <w:rtl/>
        </w:rPr>
        <w:t xml:space="preserve"> </w:t>
      </w:r>
      <w:r w:rsidRPr="000F2B90">
        <w:rPr>
          <w:rFonts w:ascii="Calibri" w:hAnsi="Calibri" w:hint="eastAsia"/>
          <w:rtl/>
        </w:rPr>
        <w:t>לאור</w:t>
      </w:r>
      <w:r w:rsidRPr="000F2B90">
        <w:rPr>
          <w:rFonts w:ascii="Calibri" w:hAnsi="Calibri"/>
          <w:rtl/>
        </w:rPr>
        <w:t xml:space="preserve"> </w:t>
      </w:r>
      <w:r w:rsidRPr="000F2B90">
        <w:rPr>
          <w:rFonts w:ascii="Calibri" w:hAnsi="Calibri" w:hint="eastAsia"/>
          <w:rtl/>
        </w:rPr>
        <w:t>מצבו</w:t>
      </w:r>
      <w:r w:rsidRPr="000F2B90">
        <w:rPr>
          <w:rFonts w:ascii="Calibri" w:hAnsi="Calibri"/>
          <w:rtl/>
        </w:rPr>
        <w:t xml:space="preserve"> </w:t>
      </w:r>
      <w:r w:rsidRPr="000F2B90">
        <w:rPr>
          <w:rFonts w:ascii="Calibri" w:hAnsi="Calibri" w:hint="eastAsia"/>
          <w:rtl/>
        </w:rPr>
        <w:t>הרפואי</w:t>
      </w:r>
      <w:r w:rsidRPr="000F2B90">
        <w:rPr>
          <w:rFonts w:ascii="Calibri" w:hAnsi="Calibri"/>
          <w:rtl/>
        </w:rPr>
        <w:t xml:space="preserve"> </w:t>
      </w:r>
      <w:r w:rsidRPr="000F2B90">
        <w:rPr>
          <w:rFonts w:ascii="Calibri" w:hAnsi="Calibri" w:hint="eastAsia"/>
          <w:rtl/>
        </w:rPr>
        <w:t>שהוכח</w:t>
      </w:r>
      <w:r w:rsidRPr="000F2B90">
        <w:rPr>
          <w:rFonts w:ascii="Calibri" w:hAnsi="Calibri"/>
          <w:rtl/>
        </w:rPr>
        <w:t xml:space="preserve"> </w:t>
      </w:r>
      <w:r w:rsidRPr="000F2B90">
        <w:rPr>
          <w:rFonts w:ascii="Calibri" w:hAnsi="Calibri" w:hint="eastAsia"/>
          <w:rtl/>
        </w:rPr>
        <w:t>במסמכים</w:t>
      </w:r>
      <w:r w:rsidRPr="000F2B90">
        <w:rPr>
          <w:rFonts w:ascii="Calibri" w:hAnsi="Calibri"/>
          <w:rtl/>
        </w:rPr>
        <w:t xml:space="preserve">. </w:t>
      </w:r>
      <w:r w:rsidRPr="000F2B90">
        <w:rPr>
          <w:rFonts w:ascii="Calibri" w:hAnsi="Calibri" w:hint="eastAsia"/>
          <w:rtl/>
        </w:rPr>
        <w:t>נתתי</w:t>
      </w:r>
      <w:r w:rsidRPr="000F2B90">
        <w:rPr>
          <w:rFonts w:ascii="Calibri" w:hAnsi="Calibri"/>
          <w:rtl/>
        </w:rPr>
        <w:t xml:space="preserve"> </w:t>
      </w:r>
      <w:r w:rsidRPr="000F2B90">
        <w:rPr>
          <w:rFonts w:ascii="Calibri" w:hAnsi="Calibri" w:hint="eastAsia"/>
          <w:rtl/>
        </w:rPr>
        <w:t>דעתי</w:t>
      </w:r>
      <w:r w:rsidRPr="000F2B90">
        <w:rPr>
          <w:rFonts w:ascii="Calibri" w:hAnsi="Calibri"/>
          <w:rtl/>
        </w:rPr>
        <w:t xml:space="preserve"> </w:t>
      </w:r>
      <w:r w:rsidRPr="000F2B90">
        <w:rPr>
          <w:rFonts w:ascii="Calibri" w:hAnsi="Calibri" w:hint="eastAsia"/>
          <w:rtl/>
        </w:rPr>
        <w:t>לכך</w:t>
      </w:r>
      <w:r w:rsidRPr="000F2B90">
        <w:rPr>
          <w:rFonts w:ascii="Calibri" w:hAnsi="Calibri"/>
          <w:rtl/>
        </w:rPr>
        <w:t xml:space="preserve"> </w:t>
      </w:r>
      <w:r w:rsidRPr="000F2B90">
        <w:rPr>
          <w:rFonts w:ascii="Calibri" w:hAnsi="Calibri" w:hint="eastAsia"/>
          <w:rtl/>
        </w:rPr>
        <w:t>שהגידול</w:t>
      </w:r>
      <w:r w:rsidRPr="000F2B90">
        <w:rPr>
          <w:rFonts w:ascii="Calibri" w:hAnsi="Calibri"/>
          <w:rtl/>
        </w:rPr>
        <w:t xml:space="preserve"> </w:t>
      </w:r>
      <w:r w:rsidRPr="000F2B90">
        <w:rPr>
          <w:rFonts w:ascii="Calibri" w:hAnsi="Calibri" w:hint="eastAsia"/>
          <w:rtl/>
        </w:rPr>
        <w:t>נעשה</w:t>
      </w:r>
      <w:r w:rsidRPr="000F2B90">
        <w:rPr>
          <w:rFonts w:ascii="Calibri" w:hAnsi="Calibri"/>
          <w:rtl/>
        </w:rPr>
        <w:t xml:space="preserve"> </w:t>
      </w:r>
      <w:r w:rsidRPr="000F2B90">
        <w:rPr>
          <w:rFonts w:ascii="Calibri" w:hAnsi="Calibri" w:hint="eastAsia"/>
          <w:rtl/>
        </w:rPr>
        <w:t>בביתו</w:t>
      </w:r>
      <w:r w:rsidRPr="000F2B90">
        <w:rPr>
          <w:rFonts w:ascii="Calibri" w:hAnsi="Calibri"/>
          <w:rtl/>
        </w:rPr>
        <w:t xml:space="preserve">, </w:t>
      </w:r>
      <w:r w:rsidRPr="000F2B90">
        <w:rPr>
          <w:rFonts w:ascii="Calibri" w:hAnsi="Calibri" w:hint="eastAsia"/>
          <w:rtl/>
        </w:rPr>
        <w:t>ללא</w:t>
      </w:r>
      <w:r w:rsidRPr="000F2B90">
        <w:rPr>
          <w:rFonts w:ascii="Calibri" w:hAnsi="Calibri"/>
          <w:rtl/>
        </w:rPr>
        <w:t xml:space="preserve"> </w:t>
      </w:r>
      <w:r w:rsidRPr="000F2B90">
        <w:rPr>
          <w:rFonts w:ascii="Calibri" w:hAnsi="Calibri" w:hint="eastAsia"/>
          <w:rtl/>
        </w:rPr>
        <w:t>תחכום</w:t>
      </w:r>
      <w:r w:rsidRPr="000F2B90">
        <w:rPr>
          <w:rFonts w:ascii="Calibri" w:hAnsi="Calibri"/>
          <w:rtl/>
        </w:rPr>
        <w:t xml:space="preserve">, </w:t>
      </w:r>
      <w:r w:rsidRPr="000F2B90">
        <w:rPr>
          <w:rFonts w:ascii="Calibri" w:hAnsi="Calibri" w:hint="eastAsia"/>
          <w:rtl/>
        </w:rPr>
        <w:t>שלא</w:t>
      </w:r>
      <w:r w:rsidRPr="000F2B90">
        <w:rPr>
          <w:rFonts w:ascii="Calibri" w:hAnsi="Calibri"/>
          <w:rtl/>
        </w:rPr>
        <w:t xml:space="preserve"> </w:t>
      </w:r>
      <w:r w:rsidRPr="000F2B90">
        <w:rPr>
          <w:rFonts w:ascii="Calibri" w:hAnsi="Calibri" w:hint="eastAsia"/>
          <w:rtl/>
        </w:rPr>
        <w:t>בתנאי</w:t>
      </w:r>
      <w:r w:rsidRPr="000F2B90">
        <w:rPr>
          <w:rFonts w:ascii="Calibri" w:hAnsi="Calibri"/>
          <w:rtl/>
        </w:rPr>
        <w:t xml:space="preserve"> </w:t>
      </w:r>
      <w:r w:rsidRPr="000F2B90">
        <w:rPr>
          <w:rFonts w:ascii="Calibri" w:hAnsi="Calibri" w:hint="eastAsia"/>
          <w:rtl/>
        </w:rPr>
        <w:t>מעבדה</w:t>
      </w:r>
      <w:r w:rsidRPr="000F2B90">
        <w:rPr>
          <w:rFonts w:ascii="Calibri" w:hAnsi="Calibri"/>
          <w:rtl/>
        </w:rPr>
        <w:t xml:space="preserve">. </w:t>
      </w:r>
      <w:r w:rsidRPr="000F2B90">
        <w:rPr>
          <w:rFonts w:ascii="Calibri" w:hAnsi="Calibri" w:hint="eastAsia"/>
          <w:rtl/>
        </w:rPr>
        <w:t>אין</w:t>
      </w:r>
      <w:r w:rsidRPr="000F2B90">
        <w:rPr>
          <w:rFonts w:ascii="Calibri" w:hAnsi="Calibri"/>
          <w:rtl/>
        </w:rPr>
        <w:t xml:space="preserve"> </w:t>
      </w:r>
      <w:r w:rsidRPr="000F2B90">
        <w:rPr>
          <w:rFonts w:ascii="Calibri" w:hAnsi="Calibri" w:hint="eastAsia"/>
          <w:rtl/>
        </w:rPr>
        <w:t>כל</w:t>
      </w:r>
      <w:r w:rsidRPr="000F2B90">
        <w:rPr>
          <w:rFonts w:ascii="Calibri" w:hAnsi="Calibri"/>
          <w:rtl/>
        </w:rPr>
        <w:t xml:space="preserve"> </w:t>
      </w:r>
      <w:r w:rsidRPr="000F2B90">
        <w:rPr>
          <w:rFonts w:ascii="Calibri" w:hAnsi="Calibri" w:hint="eastAsia"/>
          <w:rtl/>
        </w:rPr>
        <w:t>אינדיקציה</w:t>
      </w:r>
      <w:r w:rsidRPr="000F2B90">
        <w:rPr>
          <w:rFonts w:ascii="Calibri" w:hAnsi="Calibri"/>
          <w:rtl/>
        </w:rPr>
        <w:t xml:space="preserve"> </w:t>
      </w:r>
      <w:r w:rsidRPr="000F2B90">
        <w:rPr>
          <w:rFonts w:ascii="Calibri" w:hAnsi="Calibri" w:hint="eastAsia"/>
          <w:rtl/>
        </w:rPr>
        <w:t>לכך</w:t>
      </w:r>
      <w:r w:rsidRPr="000F2B90">
        <w:rPr>
          <w:rFonts w:ascii="Calibri" w:hAnsi="Calibri"/>
          <w:rtl/>
        </w:rPr>
        <w:t xml:space="preserve"> </w:t>
      </w:r>
      <w:r w:rsidRPr="000F2B90">
        <w:rPr>
          <w:rFonts w:ascii="Calibri" w:hAnsi="Calibri" w:hint="eastAsia"/>
          <w:rtl/>
        </w:rPr>
        <w:t>שהגידול</w:t>
      </w:r>
      <w:r w:rsidRPr="000F2B90">
        <w:rPr>
          <w:rFonts w:ascii="Calibri" w:hAnsi="Calibri"/>
          <w:rtl/>
        </w:rPr>
        <w:t xml:space="preserve"> </w:t>
      </w:r>
      <w:r w:rsidRPr="000F2B90">
        <w:rPr>
          <w:rFonts w:ascii="Calibri" w:hAnsi="Calibri" w:hint="eastAsia"/>
          <w:rtl/>
        </w:rPr>
        <w:t>נעשה</w:t>
      </w:r>
      <w:r w:rsidRPr="000F2B90">
        <w:rPr>
          <w:rFonts w:ascii="Calibri" w:hAnsi="Calibri"/>
          <w:rtl/>
        </w:rPr>
        <w:t xml:space="preserve"> </w:t>
      </w:r>
      <w:r w:rsidRPr="000F2B90">
        <w:rPr>
          <w:rFonts w:ascii="Calibri" w:hAnsi="Calibri" w:hint="eastAsia"/>
          <w:rtl/>
        </w:rPr>
        <w:t>למטרות</w:t>
      </w:r>
      <w:r w:rsidRPr="000F2B90">
        <w:rPr>
          <w:rFonts w:ascii="Calibri" w:hAnsi="Calibri"/>
          <w:rtl/>
        </w:rPr>
        <w:t xml:space="preserve"> </w:t>
      </w:r>
      <w:r w:rsidRPr="000F2B90">
        <w:rPr>
          <w:rFonts w:ascii="Calibri" w:hAnsi="Calibri" w:hint="eastAsia"/>
          <w:rtl/>
        </w:rPr>
        <w:t>רווח</w:t>
      </w:r>
      <w:r w:rsidRPr="000F2B90">
        <w:rPr>
          <w:rFonts w:ascii="Calibri" w:hAnsi="Calibri"/>
          <w:rtl/>
        </w:rPr>
        <w:t xml:space="preserve">. </w:t>
      </w:r>
      <w:r w:rsidRPr="000F2B90">
        <w:rPr>
          <w:rFonts w:ascii="Calibri" w:hAnsi="Calibri" w:hint="eastAsia"/>
          <w:rtl/>
        </w:rPr>
        <w:t>נתתי</w:t>
      </w:r>
      <w:r w:rsidRPr="000F2B90">
        <w:rPr>
          <w:rFonts w:ascii="Calibri" w:hAnsi="Calibri"/>
          <w:rtl/>
        </w:rPr>
        <w:t xml:space="preserve"> </w:t>
      </w:r>
      <w:r w:rsidRPr="000F2B90">
        <w:rPr>
          <w:rFonts w:ascii="Calibri" w:hAnsi="Calibri" w:hint="eastAsia"/>
          <w:rtl/>
        </w:rPr>
        <w:t>דעתי</w:t>
      </w:r>
      <w:r w:rsidRPr="000F2B90">
        <w:rPr>
          <w:rFonts w:ascii="Calibri" w:hAnsi="Calibri"/>
          <w:rtl/>
        </w:rPr>
        <w:t xml:space="preserve"> </w:t>
      </w:r>
      <w:r w:rsidRPr="000F2B90">
        <w:rPr>
          <w:rFonts w:ascii="Calibri" w:hAnsi="Calibri" w:hint="eastAsia"/>
          <w:rtl/>
        </w:rPr>
        <w:t>לכך</w:t>
      </w:r>
      <w:r w:rsidRPr="000F2B90">
        <w:rPr>
          <w:rFonts w:ascii="Calibri" w:hAnsi="Calibri"/>
          <w:rtl/>
        </w:rPr>
        <w:t xml:space="preserve"> </w:t>
      </w:r>
      <w:r w:rsidRPr="000F2B90">
        <w:rPr>
          <w:rFonts w:ascii="Calibri" w:hAnsi="Calibri" w:hint="eastAsia"/>
          <w:rtl/>
        </w:rPr>
        <w:t>שהנאשם</w:t>
      </w:r>
      <w:r w:rsidRPr="000F2B90">
        <w:rPr>
          <w:rFonts w:ascii="Calibri" w:hAnsi="Calibri"/>
          <w:rtl/>
        </w:rPr>
        <w:t xml:space="preserve"> </w:t>
      </w:r>
      <w:r w:rsidRPr="000F2B90">
        <w:rPr>
          <w:rFonts w:ascii="Calibri" w:hAnsi="Calibri" w:hint="eastAsia"/>
          <w:rtl/>
        </w:rPr>
        <w:t>אוחז</w:t>
      </w:r>
      <w:r w:rsidRPr="000F2B90">
        <w:rPr>
          <w:rFonts w:ascii="Calibri" w:hAnsi="Calibri"/>
          <w:rtl/>
        </w:rPr>
        <w:t xml:space="preserve"> </w:t>
      </w:r>
      <w:r w:rsidRPr="000F2B90">
        <w:rPr>
          <w:rFonts w:ascii="Calibri" w:hAnsi="Calibri" w:hint="eastAsia"/>
          <w:rtl/>
        </w:rPr>
        <w:t>ברישיון</w:t>
      </w:r>
      <w:r w:rsidRPr="000F2B90">
        <w:rPr>
          <w:rFonts w:ascii="Calibri" w:hAnsi="Calibri"/>
          <w:rtl/>
        </w:rPr>
        <w:t xml:space="preserve"> </w:t>
      </w:r>
      <w:r w:rsidRPr="000F2B90">
        <w:rPr>
          <w:rFonts w:ascii="Calibri" w:hAnsi="Calibri" w:hint="eastAsia"/>
          <w:rtl/>
        </w:rPr>
        <w:t>כדין</w:t>
      </w:r>
      <w:r w:rsidRPr="000F2B90">
        <w:rPr>
          <w:rFonts w:ascii="Calibri" w:hAnsi="Calibri"/>
          <w:rtl/>
        </w:rPr>
        <w:t xml:space="preserve"> </w:t>
      </w:r>
      <w:r w:rsidRPr="000F2B90">
        <w:rPr>
          <w:rFonts w:ascii="Calibri" w:hAnsi="Calibri" w:hint="eastAsia"/>
          <w:rtl/>
        </w:rPr>
        <w:t>לשימוש</w:t>
      </w:r>
      <w:r w:rsidRPr="000F2B90">
        <w:rPr>
          <w:rFonts w:ascii="Calibri" w:hAnsi="Calibri"/>
          <w:rtl/>
        </w:rPr>
        <w:t xml:space="preserve"> </w:t>
      </w:r>
      <w:r w:rsidRPr="000F2B90">
        <w:rPr>
          <w:rFonts w:ascii="Calibri" w:hAnsi="Calibri" w:hint="eastAsia"/>
          <w:rtl/>
        </w:rPr>
        <w:t>בקנביס</w:t>
      </w:r>
      <w:r w:rsidRPr="000F2B90">
        <w:rPr>
          <w:rFonts w:ascii="Calibri" w:hAnsi="Calibri"/>
          <w:rtl/>
        </w:rPr>
        <w:t>.</w:t>
      </w:r>
    </w:p>
    <w:p w14:paraId="6037F7F8" w14:textId="77777777" w:rsidR="00FE5DA8" w:rsidRPr="000F2B90" w:rsidRDefault="00FE5DA8" w:rsidP="00FE5DA8">
      <w:pPr>
        <w:bidi w:val="0"/>
        <w:spacing w:line="360" w:lineRule="auto"/>
        <w:ind w:left="720"/>
        <w:contextualSpacing/>
        <w:rPr>
          <w:rFonts w:ascii="Calibri" w:hAnsi="Calibri"/>
          <w:rtl/>
        </w:rPr>
      </w:pPr>
    </w:p>
    <w:p w14:paraId="5E30D7E2" w14:textId="77777777" w:rsidR="00FE5DA8" w:rsidRPr="000F2B90" w:rsidRDefault="00FE5DA8" w:rsidP="00FE5DA8">
      <w:pPr>
        <w:numPr>
          <w:ilvl w:val="0"/>
          <w:numId w:val="1"/>
        </w:numPr>
        <w:spacing w:before="100" w:beforeAutospacing="1" w:after="100" w:afterAutospacing="1" w:line="240" w:lineRule="exact"/>
        <w:ind w:left="360"/>
        <w:contextualSpacing/>
        <w:jc w:val="both"/>
        <w:rPr>
          <w:b/>
          <w:lang w:eastAsia="he-IL"/>
        </w:rPr>
      </w:pPr>
      <w:r w:rsidRPr="000F2B90">
        <w:rPr>
          <w:b/>
          <w:rtl/>
          <w:lang w:eastAsia="he-IL"/>
        </w:rPr>
        <w:t xml:space="preserve">בחינת </w:t>
      </w:r>
      <w:r w:rsidRPr="000F2B90">
        <w:rPr>
          <w:bCs/>
          <w:rtl/>
          <w:lang w:eastAsia="he-IL"/>
        </w:rPr>
        <w:t>מדיניות הענישה הנוהגת</w:t>
      </w:r>
      <w:r w:rsidRPr="000F2B90">
        <w:rPr>
          <w:b/>
          <w:rtl/>
          <w:lang w:eastAsia="he-IL"/>
        </w:rPr>
        <w:t xml:space="preserve"> מעלה כי מידת הענישה משתנה בהתאם לכמות הסם, כמות השתילים, דרך הגידול, שלב הגידול, נסיבות אישיות ועוד. במקרים דומים (מבחינת היקף גידול הסם) הוטלו על נאשמים עונשים הנעים ממאסר שיכול וירוצה בעבודות שירות ועד למאסרים ממושכים. </w:t>
      </w:r>
    </w:p>
    <w:p w14:paraId="12D6DD6F" w14:textId="77777777" w:rsidR="00FE5DA8" w:rsidRDefault="00FE5DA8" w:rsidP="00FE5DA8">
      <w:pPr>
        <w:spacing w:before="100" w:beforeAutospacing="1" w:after="100" w:afterAutospacing="1" w:line="240" w:lineRule="exact"/>
        <w:ind w:firstLine="360"/>
        <w:jc w:val="both"/>
        <w:rPr>
          <w:b/>
          <w:rtl/>
          <w:lang w:eastAsia="he-IL"/>
        </w:rPr>
      </w:pPr>
    </w:p>
    <w:p w14:paraId="57F9A71E" w14:textId="77777777" w:rsidR="00FE5DA8" w:rsidRPr="000F2B90" w:rsidRDefault="00FE5DA8" w:rsidP="00FE5DA8">
      <w:pPr>
        <w:spacing w:before="100" w:beforeAutospacing="1" w:after="100" w:afterAutospacing="1" w:line="240" w:lineRule="exact"/>
        <w:ind w:firstLine="360"/>
        <w:jc w:val="both"/>
        <w:rPr>
          <w:b/>
          <w:rtl/>
          <w:lang w:eastAsia="he-IL"/>
        </w:rPr>
      </w:pPr>
      <w:r w:rsidRPr="000F2B90">
        <w:rPr>
          <w:b/>
          <w:rtl/>
          <w:lang w:eastAsia="he-IL"/>
        </w:rPr>
        <w:t>למקר</w:t>
      </w:r>
      <w:r>
        <w:rPr>
          <w:rFonts w:hint="cs"/>
          <w:b/>
          <w:rtl/>
          <w:lang w:eastAsia="he-IL"/>
        </w:rPr>
        <w:t>י</w:t>
      </w:r>
      <w:r w:rsidRPr="000F2B90">
        <w:rPr>
          <w:b/>
          <w:rtl/>
          <w:lang w:eastAsia="he-IL"/>
        </w:rPr>
        <w:t>ם דומים ראו:</w:t>
      </w:r>
    </w:p>
    <w:p w14:paraId="1F8D01CB" w14:textId="77777777" w:rsidR="00FE5DA8" w:rsidRDefault="00D859C0" w:rsidP="00FE5DA8">
      <w:pPr>
        <w:numPr>
          <w:ilvl w:val="0"/>
          <w:numId w:val="3"/>
        </w:numPr>
        <w:shd w:val="clear" w:color="auto" w:fill="FFFFFF"/>
        <w:contextualSpacing/>
        <w:jc w:val="both"/>
        <w:rPr>
          <w:rFonts w:ascii="David" w:hAnsi="David"/>
        </w:rPr>
      </w:pPr>
      <w:hyperlink r:id="rId14" w:history="1">
        <w:r w:rsidRPr="00D859C0">
          <w:rPr>
            <w:rFonts w:ascii="David" w:hAnsi="David"/>
            <w:color w:val="0000FF"/>
            <w:u w:val="single"/>
            <w:rtl/>
          </w:rPr>
          <w:t>רע"פ 314/16</w:t>
        </w:r>
      </w:hyperlink>
      <w:r w:rsidR="00FE5DA8" w:rsidRPr="000F2B90">
        <w:rPr>
          <w:rFonts w:ascii="David" w:hAnsi="David"/>
          <w:rtl/>
        </w:rPr>
        <w:t xml:space="preserve"> </w:t>
      </w:r>
      <w:r w:rsidR="00FE5DA8" w:rsidRPr="000F2B90">
        <w:rPr>
          <w:rFonts w:ascii="David" w:hAnsi="David"/>
          <w:b/>
          <w:bCs/>
          <w:rtl/>
        </w:rPr>
        <w:t>בן צבי נ' מדינת ישראל</w:t>
      </w:r>
      <w:r w:rsidR="00FE5DA8" w:rsidRPr="000F2B90">
        <w:rPr>
          <w:rFonts w:ascii="David" w:hAnsi="David"/>
          <w:rtl/>
        </w:rPr>
        <w:t xml:space="preserve">  (22.2.16). המבקש הורשע בעבירה של גידול סם מסוכן מסוג קנביס. המבקש רכש זרעים, ציוד לגידול, 3 משקלים דיגיטליים, למעלה מ-200 אדניות וכן ציוד רב נוסף. המבקש שתל זרעי סם במעבדה שהקים במרפסת הדירה, וגידל אותם, שלא למטרת צריכתו העצמית. כתוצאה מגידול זרעי הסם, החזיק המבקש בסם מסוג קנבוס במשקל העולה על 2.5 ק"ג. בית משפט קמא גזר על המערער 6 חודשי  מאסר, לריצוי על דרך של עבודות שירות לצד עונשים נוספים. בית המשפט המחוזי קיבל את ערעור המדינה והחמיר עונשו ל- 10 חודשי מאסר. בקשת רשות ערעור נדחתה.</w:t>
      </w:r>
    </w:p>
    <w:p w14:paraId="7F8A7EB1" w14:textId="77777777" w:rsidR="00FE5DA8" w:rsidRPr="000F2B90" w:rsidRDefault="00414C90" w:rsidP="00FE5DA8">
      <w:pPr>
        <w:numPr>
          <w:ilvl w:val="0"/>
          <w:numId w:val="3"/>
        </w:numPr>
        <w:contextualSpacing/>
        <w:jc w:val="both"/>
      </w:pPr>
      <w:hyperlink r:id="rId15" w:history="1">
        <w:r w:rsidR="00FE5DA8" w:rsidRPr="000F2B90">
          <w:rPr>
            <w:rtl/>
          </w:rPr>
          <w:t xml:space="preserve">רע"פ 8237/15 </w:t>
        </w:r>
      </w:hyperlink>
      <w:r w:rsidR="00FE5DA8" w:rsidRPr="000F2B90">
        <w:rPr>
          <w:b/>
          <w:bCs/>
          <w:rtl/>
        </w:rPr>
        <w:t xml:space="preserve"> בן זקן נ' מדינת ישראל</w:t>
      </w:r>
      <w:r w:rsidR="00FE5DA8" w:rsidRPr="000F2B90">
        <w:rPr>
          <w:rtl/>
        </w:rPr>
        <w:t xml:space="preserve"> (פורסם בנבו, 2.12.15), המבקש גידל בחורשה שבעיר יבנה כ- 26 שתילי</w:t>
      </w:r>
      <w:r w:rsidR="00FE5DA8" w:rsidRPr="000F2B90">
        <w:rPr>
          <w:b/>
          <w:bCs/>
          <w:rtl/>
        </w:rPr>
        <w:t xml:space="preserve"> </w:t>
      </w:r>
      <w:r w:rsidR="00FE5DA8" w:rsidRPr="000F2B90">
        <w:rPr>
          <w:rtl/>
        </w:rPr>
        <w:t>קנבוס במשקל 8.4 ק"ג. נדון ל- 7 חוד' מאסר בפועל, מאסר על תנאי וענישה נלווית. ערעור בבית המשפט המחוזי נדחה. בקשת רשות ערעור נדחתה.</w:t>
      </w:r>
    </w:p>
    <w:p w14:paraId="7F2B441C" w14:textId="77777777" w:rsidR="00FE5DA8" w:rsidRPr="000F2B90" w:rsidRDefault="00D859C0" w:rsidP="00FE5DA8">
      <w:pPr>
        <w:numPr>
          <w:ilvl w:val="0"/>
          <w:numId w:val="3"/>
        </w:numPr>
        <w:contextualSpacing/>
        <w:jc w:val="both"/>
      </w:pPr>
      <w:hyperlink r:id="rId16" w:history="1">
        <w:r w:rsidRPr="00D859C0">
          <w:rPr>
            <w:rFonts w:ascii="Calibri" w:hAnsi="Calibri" w:hint="eastAsia"/>
            <w:color w:val="0000FF"/>
            <w:u w:val="single"/>
            <w:rtl/>
          </w:rPr>
          <w:t>רע</w:t>
        </w:r>
        <w:r w:rsidRPr="00D859C0">
          <w:rPr>
            <w:rFonts w:ascii="Calibri" w:hAnsi="Calibri"/>
            <w:color w:val="0000FF"/>
            <w:u w:val="single"/>
            <w:rtl/>
          </w:rPr>
          <w:t>"</w:t>
        </w:r>
        <w:r w:rsidRPr="00D859C0">
          <w:rPr>
            <w:rFonts w:ascii="Calibri" w:hAnsi="Calibri" w:hint="eastAsia"/>
            <w:color w:val="0000FF"/>
            <w:u w:val="single"/>
            <w:rtl/>
          </w:rPr>
          <w:t>פ</w:t>
        </w:r>
        <w:r w:rsidRPr="00D859C0">
          <w:rPr>
            <w:rFonts w:ascii="Calibri" w:hAnsi="Calibri"/>
            <w:color w:val="0000FF"/>
            <w:u w:val="single"/>
            <w:rtl/>
          </w:rPr>
          <w:t xml:space="preserve"> 1787/15</w:t>
        </w:r>
      </w:hyperlink>
      <w:r w:rsidR="00FE5DA8" w:rsidRPr="000F2B90">
        <w:rPr>
          <w:rFonts w:ascii="Calibri" w:hAnsi="Calibri"/>
          <w:rtl/>
        </w:rPr>
        <w:t xml:space="preserve"> </w:t>
      </w:r>
      <w:r w:rsidR="00FE5DA8" w:rsidRPr="000F2B90">
        <w:rPr>
          <w:rFonts w:ascii="David" w:hAnsi="David"/>
          <w:rtl/>
        </w:rPr>
        <w:t xml:space="preserve"> </w:t>
      </w:r>
      <w:r w:rsidR="00FE5DA8" w:rsidRPr="000F2B90">
        <w:rPr>
          <w:rFonts w:ascii="David" w:hAnsi="David"/>
          <w:b/>
          <w:bCs/>
          <w:rtl/>
        </w:rPr>
        <w:t>אדי עמר נ' מדינת ישראל</w:t>
      </w:r>
      <w:r w:rsidR="00FE5DA8" w:rsidRPr="000F2B90">
        <w:rPr>
          <w:rFonts w:ascii="David" w:hAnsi="David"/>
          <w:rtl/>
        </w:rPr>
        <w:t xml:space="preserve">  (24.3.15) המבקש הורשע על סמך הודאתו בעבירה של גידול וייצור של סמים מסוכנים, החזקה ושימוש בסם שלא לצריכה עצמית וכן החזקת כלים להכנת סם שלא לצריכה עצמית המערער גידל בדירה שתילי קנביס במשקל 4.380 גרם והחזיק במחסן על גג הבית קרוב ל- 2 ק"ג נוספים של קנביס. הגידול נעשה במעבדת סם משוכללת ומצויידת. בית המשפט קמא קבע כי מתחם העונש ההולם נע בין 8-20 חודשי מאסר וגזר על המערער  8 חודשי מאסר  וענישה נלווית. ערעור במחוזי נדחה. בקשת רשות ערעור נדחתה.</w:t>
      </w:r>
    </w:p>
    <w:p w14:paraId="39E0D118" w14:textId="77777777" w:rsidR="00FE5DA8" w:rsidRPr="000F2B90" w:rsidRDefault="00D859C0" w:rsidP="00FE5DA8">
      <w:pPr>
        <w:numPr>
          <w:ilvl w:val="0"/>
          <w:numId w:val="3"/>
        </w:numPr>
        <w:contextualSpacing/>
        <w:jc w:val="both"/>
      </w:pPr>
      <w:hyperlink r:id="rId17" w:history="1">
        <w:r w:rsidRPr="00D859C0">
          <w:rPr>
            <w:rFonts w:ascii="David" w:hAnsi="David"/>
            <w:color w:val="0000FF"/>
            <w:u w:val="single"/>
            <w:rtl/>
          </w:rPr>
          <w:t>רע"פ 6987/13</w:t>
        </w:r>
      </w:hyperlink>
      <w:r w:rsidR="00FE5DA8" w:rsidRPr="000F2B90">
        <w:rPr>
          <w:rFonts w:ascii="David" w:hAnsi="David"/>
          <w:rtl/>
        </w:rPr>
        <w:t xml:space="preserve"> </w:t>
      </w:r>
      <w:r w:rsidR="00FE5DA8" w:rsidRPr="000F2B90">
        <w:rPr>
          <w:rFonts w:ascii="David" w:hAnsi="David"/>
          <w:b/>
          <w:bCs/>
          <w:rtl/>
        </w:rPr>
        <w:t>אברמוב נ' מדינת ישראל</w:t>
      </w:r>
      <w:r w:rsidR="00FE5DA8" w:rsidRPr="000F2B90">
        <w:rPr>
          <w:rFonts w:ascii="David" w:hAnsi="David"/>
          <w:rtl/>
        </w:rPr>
        <w:t xml:space="preserve"> (21.10.13) המבקש הורשע על פי הודאתו בעבירות של גידול, ייצור והכנת סמים מסוכנים, החזקת כלים להכנת סם לא לצריכה עצמית, החזקת סמים שלא לצריכה עצמית ונהיגה בזמן פסילה, ללא רישיון נהיגה תקף וללא ביטוח. על פי עובדות כתב האישום נמצאה מעבדה לגידול סמים ובה שתילי קנבוס במשקל (נטו) של כעשרה ק"ג ואביזרים ששימשו לגידול או לצריכת סמים. בית משפט קמא קבע כי מתחם העונש ההולם נע בין 6-24 חודשי מאסר וגזר על המבקש שנת מאסר וענישה נלווית. בית המשפט המחוזי דחה את הערעור. בקשת רשות ערעור נדחתה.</w:t>
      </w:r>
    </w:p>
    <w:p w14:paraId="00C2675B" w14:textId="77777777" w:rsidR="00FE5DA8" w:rsidRPr="000F2B90" w:rsidRDefault="00D859C0" w:rsidP="00FE5DA8">
      <w:pPr>
        <w:numPr>
          <w:ilvl w:val="0"/>
          <w:numId w:val="3"/>
        </w:numPr>
        <w:contextualSpacing/>
        <w:jc w:val="both"/>
        <w:rPr>
          <w:rFonts w:ascii="David" w:hAnsi="David"/>
        </w:rPr>
      </w:pPr>
      <w:hyperlink r:id="rId18" w:history="1">
        <w:r w:rsidRPr="00D859C0">
          <w:rPr>
            <w:rFonts w:ascii="David" w:hAnsi="David"/>
            <w:color w:val="0000FF"/>
            <w:u w:val="single"/>
            <w:rtl/>
          </w:rPr>
          <w:t>עפ"ג (ת"א) 68799-11-17</w:t>
        </w:r>
      </w:hyperlink>
      <w:r w:rsidR="00FE5DA8" w:rsidRPr="000F2B90">
        <w:rPr>
          <w:rFonts w:ascii="David" w:hAnsi="David"/>
          <w:rtl/>
        </w:rPr>
        <w:t xml:space="preserve"> </w:t>
      </w:r>
      <w:r w:rsidR="00FE5DA8" w:rsidRPr="000F2B90">
        <w:rPr>
          <w:rFonts w:ascii="David" w:hAnsi="David"/>
          <w:b/>
          <w:bCs/>
          <w:rtl/>
        </w:rPr>
        <w:t>מדינת ישראל נגד ויצמן</w:t>
      </w:r>
      <w:r w:rsidR="00FE5DA8" w:rsidRPr="000F2B90">
        <w:rPr>
          <w:rFonts w:ascii="David" w:hAnsi="David"/>
          <w:rtl/>
        </w:rPr>
        <w:t>. (3.6.19). המשיב גידל במעבדה בדירתו 46 שתילי קנבוס במשקל כולל של 1720 גרם. בדירה נתפס ציוד מעבדה לרבות מנורת הלוגן, מפוח, מד לחות ועוד ונתפסו 1052 גרם קנביס ו- 15.24 גרם חשיש שלא לצריכה עצמית. עניינו בבית משפט קמא הסתיים ללא הרשעה, של"צ בהיקף של 300 שעות, צו מבחן והתחייבות. בית המשפט המחוזי קיבל את ערעור המדינה, הרשיע הנאשם וגזר עליו 4 חודשי מאסר לריצוי בעבודות שירות ומאסר מותנה במקום צו המבחן וצו השל"צ.</w:t>
      </w:r>
    </w:p>
    <w:p w14:paraId="3D03B52C" w14:textId="77777777" w:rsidR="00FE5DA8" w:rsidRPr="000F2B90" w:rsidRDefault="00D859C0" w:rsidP="00FE5DA8">
      <w:pPr>
        <w:numPr>
          <w:ilvl w:val="0"/>
          <w:numId w:val="3"/>
        </w:numPr>
        <w:contextualSpacing/>
        <w:jc w:val="both"/>
        <w:rPr>
          <w:rtl/>
        </w:rPr>
      </w:pPr>
      <w:hyperlink r:id="rId19" w:history="1">
        <w:r w:rsidRPr="00D859C0">
          <w:rPr>
            <w:color w:val="0000FF"/>
            <w:u w:val="single"/>
            <w:rtl/>
          </w:rPr>
          <w:t>עפ"ג (חיפה)  49266-02-17</w:t>
        </w:r>
      </w:hyperlink>
      <w:r w:rsidR="00FE5DA8" w:rsidRPr="000F2B90">
        <w:rPr>
          <w:rtl/>
        </w:rPr>
        <w:t xml:space="preserve"> </w:t>
      </w:r>
      <w:r w:rsidR="00FE5DA8" w:rsidRPr="000F2B90">
        <w:rPr>
          <w:b/>
          <w:bCs/>
          <w:rtl/>
        </w:rPr>
        <w:t>מדינת ישראל נ' אוחיון</w:t>
      </w:r>
      <w:r w:rsidR="00FE5DA8" w:rsidRPr="000F2B90">
        <w:rPr>
          <w:rtl/>
        </w:rPr>
        <w:t xml:space="preserve"> (16.3.17). המשיב גידל בדירתו שתילי קנביס במשקל 12.85 ק"ג. בית משפט קמא קבע  כי מתחם העונש ההולם נע בין מאסר שיכול וירוצה בעבודות שירות ועד שנת מאסר. משיקולי שיקום הטיל בית המשפט קמא צו מבחן וענישה מותנית. ערעור המדינה נדחה.</w:t>
      </w:r>
    </w:p>
    <w:p w14:paraId="524A2BC8" w14:textId="77777777" w:rsidR="00FE5DA8" w:rsidRPr="000F2B90" w:rsidRDefault="00D859C0" w:rsidP="00FE5DA8">
      <w:pPr>
        <w:numPr>
          <w:ilvl w:val="0"/>
          <w:numId w:val="3"/>
        </w:numPr>
        <w:shd w:val="clear" w:color="auto" w:fill="FFFFFF"/>
        <w:overflowPunct w:val="0"/>
        <w:autoSpaceDE w:val="0"/>
        <w:autoSpaceDN w:val="0"/>
        <w:jc w:val="both"/>
        <w:rPr>
          <w:rFonts w:ascii="David" w:hAnsi="David"/>
          <w:spacing w:val="10"/>
          <w:rtl/>
        </w:rPr>
      </w:pPr>
      <w:hyperlink r:id="rId20" w:history="1">
        <w:r w:rsidRPr="00D859C0">
          <w:rPr>
            <w:rFonts w:ascii="David" w:hAnsi="David"/>
            <w:color w:val="0000FF"/>
            <w:spacing w:val="10"/>
            <w:u w:val="single"/>
            <w:rtl/>
          </w:rPr>
          <w:t>עפ"ג (חיפה) 28110-10-15</w:t>
        </w:r>
      </w:hyperlink>
      <w:r w:rsidR="00FE5DA8" w:rsidRPr="000F2B90">
        <w:rPr>
          <w:rFonts w:ascii="David" w:hAnsi="David"/>
          <w:spacing w:val="10"/>
          <w:rtl/>
        </w:rPr>
        <w:t xml:space="preserve">  </w:t>
      </w:r>
      <w:r w:rsidR="00FE5DA8" w:rsidRPr="000F2B90">
        <w:rPr>
          <w:rFonts w:ascii="David" w:hAnsi="David"/>
          <w:b/>
          <w:bCs/>
          <w:spacing w:val="10"/>
          <w:rtl/>
        </w:rPr>
        <w:t>מדינת ישראל נ' דוד</w:t>
      </w:r>
      <w:r w:rsidR="00FE5DA8" w:rsidRPr="000F2B90">
        <w:rPr>
          <w:rFonts w:ascii="David" w:hAnsi="David"/>
          <w:spacing w:val="10"/>
          <w:rtl/>
        </w:rPr>
        <w:t xml:space="preserve"> (17.12.2015) למשיב ולנאשם נוסף יוחסו עבירות של גידול בצוותא, ייצור והכנת סמים מסוכנים מסוג קנאביס במשקל נטו של 3,600 גרם. בית משפט קמא החליט לאחר הודאת המשיב בעובדות כתב האישום המתוקן להימנע מהרשעת המשיב לאחר ששוכנע כי קיימים שיקולי שיקום המצדיקים אי הרשעה. ערעור שהגישה המערערת נדחה.</w:t>
      </w:r>
    </w:p>
    <w:p w14:paraId="027E71F3" w14:textId="77777777" w:rsidR="00FE5DA8" w:rsidRPr="000F2B90" w:rsidRDefault="00D859C0" w:rsidP="00FE5DA8">
      <w:pPr>
        <w:numPr>
          <w:ilvl w:val="0"/>
          <w:numId w:val="3"/>
        </w:numPr>
        <w:contextualSpacing/>
        <w:jc w:val="both"/>
      </w:pPr>
      <w:hyperlink r:id="rId21" w:history="1">
        <w:r w:rsidRPr="00D859C0">
          <w:rPr>
            <w:rFonts w:ascii="David" w:hAnsi="David"/>
            <w:color w:val="0000FF"/>
            <w:u w:val="single"/>
            <w:rtl/>
          </w:rPr>
          <w:t>עפ"ג (מרכז)  8650-04-15</w:t>
        </w:r>
      </w:hyperlink>
      <w:r w:rsidR="00FE5DA8" w:rsidRPr="000F2B90">
        <w:rPr>
          <w:rFonts w:ascii="David" w:hAnsi="David"/>
          <w:rtl/>
        </w:rPr>
        <w:t xml:space="preserve"> </w:t>
      </w:r>
      <w:r w:rsidR="00FE5DA8" w:rsidRPr="000F2B90">
        <w:rPr>
          <w:rFonts w:ascii="David" w:hAnsi="David"/>
          <w:b/>
          <w:bCs/>
          <w:rtl/>
        </w:rPr>
        <w:t>שורץ נ' מדינת ישראל</w:t>
      </w:r>
      <w:r w:rsidR="00FE5DA8" w:rsidRPr="000F2B90">
        <w:rPr>
          <w:rFonts w:ascii="David" w:hAnsi="David"/>
          <w:rtl/>
        </w:rPr>
        <w:t xml:space="preserve"> 22.12.15 המערער הורשע על פי הודאתו בגידול סם מסוכן : 146 שתילים של מריחואנה במשקל 2.69 ק"ג נטו בתנאי מעבדה. בית המשפט קמא קבע מתחם עונש הולם בין 6-24 וגזר  9 חודשי מאסר לריצוי בפועל וענישה נלווית. הערעור נדחה.</w:t>
      </w:r>
    </w:p>
    <w:p w14:paraId="47E62608" w14:textId="77777777" w:rsidR="00FE5DA8" w:rsidRPr="000F2B90" w:rsidRDefault="00414C90" w:rsidP="00FE5DA8">
      <w:pPr>
        <w:numPr>
          <w:ilvl w:val="0"/>
          <w:numId w:val="2"/>
        </w:numPr>
        <w:spacing w:before="100" w:beforeAutospacing="1" w:after="100" w:afterAutospacing="1"/>
        <w:ind w:left="720"/>
        <w:contextualSpacing/>
        <w:jc w:val="both"/>
        <w:rPr>
          <w:lang w:eastAsia="he-IL"/>
        </w:rPr>
      </w:pPr>
      <w:hyperlink r:id="rId22" w:history="1">
        <w:r w:rsidR="00FE5DA8" w:rsidRPr="000F2B90">
          <w:rPr>
            <w:rtl/>
          </w:rPr>
          <w:t>עפ"ג (ת"א) 42358-10-14</w:t>
        </w:r>
        <w:r w:rsidR="00FE5DA8" w:rsidRPr="000F2B90">
          <w:rPr>
            <w:b/>
            <w:bCs/>
            <w:rtl/>
          </w:rPr>
          <w:t xml:space="preserve"> גיא נ' מדינת ישראל</w:t>
        </w:r>
        <w:r w:rsidR="00FE5DA8" w:rsidRPr="000F2B90">
          <w:rPr>
            <w:rtl/>
          </w:rPr>
          <w:t xml:space="preserve"> </w:t>
        </w:r>
      </w:hyperlink>
      <w:r w:rsidR="00FE5DA8" w:rsidRPr="000F2B90">
        <w:rPr>
          <w:rtl/>
        </w:rPr>
        <w:t>(פורסם בנבו, 18.2.15), הנאשם גידל בביתו קנבוס במשקל 5.5 ק"ג וחשיש במשקל 1.4 גר' ונמצאו כלי מעבדה. נגזרו 8 חוד' מאסר בפועל, מאסר על תנאי וענישה נלווית. ערעור בבית המשפט המחוזי נדחה.</w:t>
      </w:r>
    </w:p>
    <w:p w14:paraId="634DE7EF" w14:textId="77777777" w:rsidR="00FE5DA8" w:rsidRDefault="00FE5DA8" w:rsidP="00FE5DA8">
      <w:pPr>
        <w:spacing w:after="200"/>
        <w:ind w:left="360"/>
        <w:jc w:val="both"/>
        <w:rPr>
          <w:rFonts w:ascii="David" w:hAnsi="David"/>
          <w:rtl/>
        </w:rPr>
      </w:pPr>
    </w:p>
    <w:p w14:paraId="3EC7A34D" w14:textId="77777777" w:rsidR="00FE5DA8" w:rsidRPr="000F2B90" w:rsidRDefault="00FE5DA8" w:rsidP="00FE5DA8">
      <w:pPr>
        <w:spacing w:after="200"/>
        <w:ind w:left="360" w:firstLine="360"/>
        <w:jc w:val="both"/>
        <w:rPr>
          <w:rFonts w:ascii="David" w:hAnsi="David"/>
        </w:rPr>
      </w:pPr>
      <w:r w:rsidRPr="000F2B90">
        <w:rPr>
          <w:rFonts w:ascii="David" w:hAnsi="David"/>
          <w:rtl/>
        </w:rPr>
        <w:t>למקרים דומים שהסתיימו ללא הרשעה,  ראו למשל:</w:t>
      </w:r>
    </w:p>
    <w:p w14:paraId="0BD094E5" w14:textId="77777777" w:rsidR="00FE5DA8" w:rsidRPr="000F2B90" w:rsidRDefault="00D859C0" w:rsidP="00FE5DA8">
      <w:pPr>
        <w:numPr>
          <w:ilvl w:val="0"/>
          <w:numId w:val="3"/>
        </w:numPr>
        <w:contextualSpacing/>
        <w:jc w:val="both"/>
        <w:rPr>
          <w:rFonts w:ascii="David" w:hAnsi="David"/>
        </w:rPr>
      </w:pPr>
      <w:hyperlink r:id="rId23" w:history="1">
        <w:r w:rsidRPr="00D859C0">
          <w:rPr>
            <w:rFonts w:ascii="David" w:hAnsi="David"/>
            <w:color w:val="0000FF"/>
            <w:u w:val="single"/>
            <w:rtl/>
          </w:rPr>
          <w:t>עפ"ג (חיפה) 28110-10-15</w:t>
        </w:r>
      </w:hyperlink>
      <w:r w:rsidR="00FE5DA8" w:rsidRPr="000F2B90">
        <w:rPr>
          <w:rFonts w:ascii="David" w:hAnsi="David"/>
          <w:rtl/>
        </w:rPr>
        <w:t xml:space="preserve"> מדינת ישראל נ' עידן דוד (17.12.15) [פורסם בנבו], גידול, יצור והכנת סם. המשיב גידל בדירה קנבוס במשקל 3.6 ק"ג, 21 שתילים ב-3 חדרים מאולתרים ובהם ציוד מעבדה. בית משפט קמא נמנע מהרשיעו והטיל עליו של"צ, מבחן וענישה נלווית. ערעור המדינה בבית המשפט המחוזי נדחה.</w:t>
      </w:r>
    </w:p>
    <w:p w14:paraId="5BECD973" w14:textId="77777777" w:rsidR="00FE5DA8" w:rsidRPr="000F2B90" w:rsidRDefault="00D859C0" w:rsidP="00FE5DA8">
      <w:pPr>
        <w:numPr>
          <w:ilvl w:val="0"/>
          <w:numId w:val="3"/>
        </w:numPr>
        <w:contextualSpacing/>
        <w:jc w:val="both"/>
        <w:rPr>
          <w:rFonts w:ascii="David" w:hAnsi="David"/>
        </w:rPr>
      </w:pPr>
      <w:hyperlink r:id="rId24" w:history="1">
        <w:r w:rsidRPr="00D859C0">
          <w:rPr>
            <w:rFonts w:ascii="David" w:hAnsi="David"/>
            <w:color w:val="0000FF"/>
            <w:u w:val="single"/>
            <w:rtl/>
          </w:rPr>
          <w:t>ת"פ (קג"ת) 7786-05-16</w:t>
        </w:r>
      </w:hyperlink>
      <w:r w:rsidR="00FE5DA8" w:rsidRPr="000F2B90">
        <w:rPr>
          <w:rFonts w:ascii="David" w:hAnsi="David"/>
          <w:rtl/>
        </w:rPr>
        <w:t xml:space="preserve"> </w:t>
      </w:r>
      <w:r w:rsidR="00FE5DA8" w:rsidRPr="000F2B90">
        <w:rPr>
          <w:rFonts w:ascii="David" w:hAnsi="David"/>
          <w:b/>
          <w:bCs/>
          <w:rtl/>
        </w:rPr>
        <w:t>מדינת ישראל נ' תומר מערב</w:t>
      </w:r>
      <w:r w:rsidR="00FE5DA8" w:rsidRPr="000F2B90">
        <w:rPr>
          <w:rFonts w:ascii="David" w:hAnsi="David"/>
          <w:rtl/>
        </w:rPr>
        <w:t xml:space="preserve"> (16.4.18)., הנאשם גידל 4 שתילים קנביס במשקל 900 גרם, והחזיק 2 גרם קנביס לצריכה עצמית ללא היתר כדין.  עניינו הסתים ללא הרשעה, צו מבחן, של"צ וענישה נלווית.</w:t>
      </w:r>
    </w:p>
    <w:p w14:paraId="285EFCD3" w14:textId="77777777" w:rsidR="00FE5DA8" w:rsidRPr="000F2B90" w:rsidRDefault="00D859C0" w:rsidP="00FE5DA8">
      <w:pPr>
        <w:numPr>
          <w:ilvl w:val="0"/>
          <w:numId w:val="3"/>
        </w:numPr>
        <w:contextualSpacing/>
        <w:jc w:val="both"/>
        <w:rPr>
          <w:rFonts w:ascii="David" w:hAnsi="David"/>
        </w:rPr>
      </w:pPr>
      <w:hyperlink r:id="rId25" w:history="1">
        <w:r w:rsidRPr="00D859C0">
          <w:rPr>
            <w:rFonts w:ascii="David" w:hAnsi="David"/>
            <w:color w:val="0000FF"/>
            <w:u w:val="single"/>
            <w:rtl/>
          </w:rPr>
          <w:t>ת"פ (י-ם) 48512-04-15</w:t>
        </w:r>
      </w:hyperlink>
      <w:r w:rsidR="00FE5DA8" w:rsidRPr="000F2B90">
        <w:rPr>
          <w:rFonts w:ascii="David" w:hAnsi="David"/>
          <w:rtl/>
        </w:rPr>
        <w:t xml:space="preserve"> </w:t>
      </w:r>
      <w:r w:rsidR="00FE5DA8" w:rsidRPr="000F2B90">
        <w:rPr>
          <w:rFonts w:ascii="David" w:hAnsi="David"/>
          <w:b/>
          <w:bCs/>
          <w:rtl/>
        </w:rPr>
        <w:t>מדינת ישראל נ' קלנר ליבל</w:t>
      </w:r>
      <w:r w:rsidR="00FE5DA8" w:rsidRPr="000F2B90">
        <w:rPr>
          <w:rFonts w:ascii="David" w:hAnsi="David"/>
          <w:rtl/>
        </w:rPr>
        <w:t xml:space="preserve"> (7.3.18). הנאשם גידל 12 שתילי קנבוס במשקל 2234.93 גרם. לשם הגידול בנה מעבדה שכללה אוהל, מאווררים,  מנורה גדולה, כבלי חשמל, מחשב נייד, שעון שבת, מנועים חשמליים, חומרים כימיים מד חום דיגיטלי ועוד. כמו כן החזיק בסם מסוכן מסוג קנבוס במשקל 5.51 גר נטו. עניינו הסתיים ללא הרשעה, צו מבחן, צו של"צ בהיקף 250 שעות והתחייבות כספית.</w:t>
      </w:r>
    </w:p>
    <w:p w14:paraId="5F1601A4" w14:textId="77777777" w:rsidR="00FE5DA8" w:rsidRPr="000F2B90" w:rsidRDefault="00D859C0" w:rsidP="00FE5DA8">
      <w:pPr>
        <w:numPr>
          <w:ilvl w:val="0"/>
          <w:numId w:val="3"/>
        </w:numPr>
        <w:contextualSpacing/>
        <w:jc w:val="both"/>
        <w:rPr>
          <w:rFonts w:ascii="David" w:hAnsi="David"/>
        </w:rPr>
      </w:pPr>
      <w:hyperlink r:id="rId26" w:history="1">
        <w:r w:rsidRPr="00D859C0">
          <w:rPr>
            <w:rFonts w:ascii="David" w:hAnsi="David"/>
            <w:color w:val="0000FF"/>
            <w:u w:val="single"/>
            <w:rtl/>
          </w:rPr>
          <w:t>ת"פ (ק"ג) 53716-03-15</w:t>
        </w:r>
      </w:hyperlink>
      <w:r w:rsidR="00FE5DA8" w:rsidRPr="000F2B90">
        <w:rPr>
          <w:rFonts w:ascii="David" w:hAnsi="David"/>
          <w:rtl/>
        </w:rPr>
        <w:t xml:space="preserve"> </w:t>
      </w:r>
      <w:r w:rsidR="00FE5DA8" w:rsidRPr="000F2B90">
        <w:rPr>
          <w:rFonts w:ascii="David" w:hAnsi="David"/>
          <w:b/>
          <w:bCs/>
          <w:rtl/>
        </w:rPr>
        <w:t>מדינת ישראל  נ' ירון זגורי</w:t>
      </w:r>
      <w:r w:rsidR="00FE5DA8" w:rsidRPr="000F2B90">
        <w:rPr>
          <w:rFonts w:ascii="David" w:hAnsi="David"/>
          <w:rtl/>
        </w:rPr>
        <w:t xml:space="preserve"> (05.04.16) [פורסם בנבו], גידול, ייצור, הכנת סמים והחזקת כלים. הנאשם, גידל בביתו קנבוס במשקל 355.4 גר' בתוך 21 שתילים והחזיק קנבוס במשקל 236.85 גר' שלא לצריכה עצמית וכן נמצאו כלים להכנת סם. עניינו הסתיים ללא הרשעה– של"צ, צו מבחן וענישה נלווית. </w:t>
      </w:r>
    </w:p>
    <w:p w14:paraId="6A49EC5B" w14:textId="77777777" w:rsidR="00FE5DA8" w:rsidRPr="000F2B90" w:rsidRDefault="00D859C0" w:rsidP="00FE5DA8">
      <w:pPr>
        <w:numPr>
          <w:ilvl w:val="0"/>
          <w:numId w:val="3"/>
        </w:numPr>
        <w:contextualSpacing/>
        <w:jc w:val="both"/>
        <w:rPr>
          <w:rFonts w:ascii="David" w:hAnsi="David"/>
        </w:rPr>
      </w:pPr>
      <w:hyperlink r:id="rId27" w:history="1">
        <w:r w:rsidRPr="00D859C0">
          <w:rPr>
            <w:rFonts w:ascii="David" w:hAnsi="David"/>
            <w:color w:val="0000FF"/>
            <w:u w:val="single"/>
            <w:rtl/>
          </w:rPr>
          <w:t>ת"פ (ת"א) 23797-03-14</w:t>
        </w:r>
      </w:hyperlink>
      <w:r w:rsidR="00FE5DA8" w:rsidRPr="000F2B90">
        <w:rPr>
          <w:rFonts w:ascii="David" w:hAnsi="David"/>
          <w:rtl/>
        </w:rPr>
        <w:t xml:space="preserve"> מדינת ישראל נ' רן אביב (01.12.15) [פורסם בנבו], גידול סם והחזקת כלים שלא לצריכה עצמית. הנאשם החזיק בדירתו קנבוס במשקל 48.31 גר' נטו, חשיש במשקל 9.1 גר' נטו ושתילי קנבוס (לא מצוינת כמות) שסך משקלם 923.62 גר' נטו וכן כלי מעבדה. עניינו הסתיים ללא  הרשעה – של"צ וענישה נלווית.</w:t>
      </w:r>
    </w:p>
    <w:p w14:paraId="30FD61F6" w14:textId="77777777" w:rsidR="00FE5DA8" w:rsidRPr="000F2B90" w:rsidRDefault="00FE5DA8" w:rsidP="00FE5DA8">
      <w:pPr>
        <w:ind w:left="720"/>
        <w:contextualSpacing/>
        <w:jc w:val="both"/>
        <w:rPr>
          <w:rFonts w:ascii="David" w:hAnsi="David"/>
        </w:rPr>
      </w:pPr>
    </w:p>
    <w:p w14:paraId="03A3DA5C" w14:textId="77777777" w:rsidR="00FE5DA8" w:rsidRDefault="00FE5DA8" w:rsidP="00FE5DA8">
      <w:pPr>
        <w:numPr>
          <w:ilvl w:val="0"/>
          <w:numId w:val="1"/>
        </w:numPr>
        <w:spacing w:before="100" w:beforeAutospacing="1" w:after="100" w:afterAutospacing="1" w:line="300" w:lineRule="exact"/>
        <w:ind w:left="418" w:hanging="425"/>
        <w:contextualSpacing/>
        <w:jc w:val="both"/>
      </w:pPr>
      <w:r w:rsidRPr="000F2B90">
        <w:rPr>
          <w:rtl/>
        </w:rPr>
        <w:t xml:space="preserve">לאור כל המפורט לעיל  אני קובעת כי </w:t>
      </w:r>
      <w:r w:rsidRPr="000F2B90">
        <w:rPr>
          <w:b/>
          <w:bCs/>
          <w:rtl/>
        </w:rPr>
        <w:t xml:space="preserve">מתחם העונש ההולם לעבירה </w:t>
      </w:r>
      <w:r w:rsidRPr="000F2B90">
        <w:rPr>
          <w:rtl/>
        </w:rPr>
        <w:t>בנסיבות שלפני, בשים לב שהנאשם גידל סם במשקל  3.35. ק"ג, בגינת ביתו, ללא אמצעים מיוחדים וכי אין אינדיקציה למטרות רווח,  נע ממאסר קצר ועד לשנת מאסר.</w:t>
      </w:r>
    </w:p>
    <w:p w14:paraId="3FFCB38B" w14:textId="77777777" w:rsidR="00FE5DA8" w:rsidRPr="000F2B90" w:rsidRDefault="00FE5DA8" w:rsidP="00FE5DA8">
      <w:pPr>
        <w:spacing w:before="100" w:beforeAutospacing="1" w:after="100" w:afterAutospacing="1" w:line="300" w:lineRule="exact"/>
        <w:ind w:left="418"/>
        <w:contextualSpacing/>
        <w:jc w:val="both"/>
      </w:pPr>
    </w:p>
    <w:p w14:paraId="5C80B735" w14:textId="77777777" w:rsidR="00FE5DA8" w:rsidRPr="000F2B90" w:rsidRDefault="00FE5DA8" w:rsidP="00FE5DA8">
      <w:pPr>
        <w:spacing w:before="100" w:beforeAutospacing="1" w:after="100" w:afterAutospacing="1" w:line="300" w:lineRule="exact"/>
        <w:ind w:left="-7"/>
        <w:jc w:val="both"/>
      </w:pPr>
      <w:r w:rsidRPr="00FE5DA8">
        <w:rPr>
          <w:rFonts w:ascii="Calibri" w:hAnsi="Calibri" w:hint="eastAsia"/>
          <w:b/>
          <w:bCs/>
          <w:u w:val="single"/>
          <w:rtl/>
        </w:rPr>
        <w:t>חריגה</w:t>
      </w:r>
      <w:r w:rsidRPr="00FE5DA8">
        <w:rPr>
          <w:rFonts w:ascii="Calibri" w:hAnsi="Calibri"/>
          <w:b/>
          <w:bCs/>
          <w:u w:val="single"/>
          <w:rtl/>
        </w:rPr>
        <w:t xml:space="preserve"> </w:t>
      </w:r>
      <w:r w:rsidRPr="00FE5DA8">
        <w:rPr>
          <w:rFonts w:ascii="Calibri" w:hAnsi="Calibri" w:hint="eastAsia"/>
          <w:b/>
          <w:bCs/>
          <w:u w:val="single"/>
          <w:rtl/>
        </w:rPr>
        <w:t>מהמתחם</w:t>
      </w:r>
      <w:r w:rsidRPr="00FE5DA8">
        <w:rPr>
          <w:rFonts w:ascii="Calibri" w:hAnsi="Calibri"/>
          <w:b/>
          <w:bCs/>
          <w:u w:val="single"/>
          <w:rtl/>
        </w:rPr>
        <w:t xml:space="preserve"> </w:t>
      </w:r>
      <w:r w:rsidRPr="00FE5DA8">
        <w:rPr>
          <w:rFonts w:ascii="Calibri" w:hAnsi="Calibri" w:hint="eastAsia"/>
          <w:b/>
          <w:bCs/>
          <w:u w:val="single"/>
          <w:rtl/>
        </w:rPr>
        <w:t>משיקולי</w:t>
      </w:r>
      <w:r w:rsidRPr="00FE5DA8">
        <w:rPr>
          <w:rFonts w:ascii="Calibri" w:hAnsi="Calibri"/>
          <w:b/>
          <w:bCs/>
          <w:u w:val="single"/>
          <w:rtl/>
        </w:rPr>
        <w:t xml:space="preserve"> </w:t>
      </w:r>
      <w:r w:rsidRPr="00FE5DA8">
        <w:rPr>
          <w:rFonts w:ascii="Calibri" w:hAnsi="Calibri" w:hint="eastAsia"/>
          <w:b/>
          <w:bCs/>
          <w:u w:val="single"/>
          <w:rtl/>
        </w:rPr>
        <w:t>שיקום</w:t>
      </w:r>
    </w:p>
    <w:p w14:paraId="510152AE" w14:textId="77777777" w:rsidR="00FE5DA8" w:rsidRPr="000F2B90" w:rsidRDefault="005B30EB" w:rsidP="00FE5DA8">
      <w:pPr>
        <w:numPr>
          <w:ilvl w:val="0"/>
          <w:numId w:val="1"/>
        </w:numPr>
        <w:spacing w:before="100" w:beforeAutospacing="1" w:after="100" w:afterAutospacing="1" w:line="300" w:lineRule="exact"/>
        <w:ind w:left="418" w:hanging="425"/>
        <w:contextualSpacing/>
        <w:jc w:val="both"/>
      </w:pPr>
      <w:hyperlink r:id="rId28" w:history="1">
        <w:r w:rsidRPr="005B30EB">
          <w:rPr>
            <w:rStyle w:val="Hyperlink"/>
            <w:rFonts w:ascii="David" w:hAnsi="David"/>
            <w:rtl/>
          </w:rPr>
          <w:t>סעיף 40ד</w:t>
        </w:r>
      </w:hyperlink>
      <w:r w:rsidR="00FE5DA8" w:rsidRPr="000F2B90">
        <w:rPr>
          <w:rFonts w:ascii="David" w:hAnsi="David"/>
          <w:rtl/>
        </w:rPr>
        <w:t xml:space="preserve"> ל</w:t>
      </w:r>
      <w:hyperlink r:id="rId29" w:history="1">
        <w:r w:rsidR="00D859C0" w:rsidRPr="00D859C0">
          <w:rPr>
            <w:rFonts w:ascii="David" w:hAnsi="David"/>
            <w:color w:val="0000FF"/>
            <w:u w:val="single"/>
            <w:rtl/>
          </w:rPr>
          <w:t>חוק העונשין</w:t>
        </w:r>
      </w:hyperlink>
      <w:r w:rsidR="00FE5DA8" w:rsidRPr="000F2B90">
        <w:rPr>
          <w:rFonts w:ascii="David" w:hAnsi="David"/>
          <w:rtl/>
        </w:rPr>
        <w:t xml:space="preserve">, התשל"ז 1977 קובע כי בית המשפט רשאי לחרוג ממתחם העונש ההולם ולקבוע את עונשו של הנאשם לפי שיקולי שיקומו, זאת אם בית המשפט מצא כי הנאשם "השתקם" או כי יש "סיכוי של ממש" שישתקם.  </w:t>
      </w:r>
    </w:p>
    <w:p w14:paraId="3ACDC2AA" w14:textId="77777777" w:rsidR="00FE5DA8" w:rsidRPr="000F2B90" w:rsidRDefault="00FE5DA8" w:rsidP="00FE5DA8">
      <w:pPr>
        <w:spacing w:before="100" w:beforeAutospacing="1" w:after="100" w:afterAutospacing="1" w:line="300" w:lineRule="exact"/>
        <w:ind w:left="418"/>
        <w:contextualSpacing/>
        <w:jc w:val="both"/>
      </w:pPr>
    </w:p>
    <w:p w14:paraId="02B1CB5A" w14:textId="77777777" w:rsidR="00FE5DA8" w:rsidRPr="000F2B90" w:rsidRDefault="00FE5DA8" w:rsidP="00FE5DA8">
      <w:pPr>
        <w:numPr>
          <w:ilvl w:val="0"/>
          <w:numId w:val="1"/>
        </w:numPr>
        <w:spacing w:before="100" w:beforeAutospacing="1" w:after="100" w:afterAutospacing="1" w:line="300" w:lineRule="exact"/>
        <w:ind w:left="418" w:hanging="425"/>
        <w:contextualSpacing/>
        <w:jc w:val="both"/>
      </w:pPr>
      <w:r w:rsidRPr="000F2B90">
        <w:rPr>
          <w:rFonts w:ascii="David" w:hAnsi="David"/>
          <w:rtl/>
        </w:rPr>
        <w:t>לעניין חשיבות שיקולי השיקום ראו דברי בית המשפט העליון ב</w:t>
      </w:r>
      <w:hyperlink r:id="rId30" w:history="1">
        <w:r w:rsidR="00D859C0" w:rsidRPr="00D859C0">
          <w:rPr>
            <w:rFonts w:ascii="David" w:hAnsi="David"/>
            <w:color w:val="0000FF"/>
            <w:u w:val="single"/>
            <w:rtl/>
          </w:rPr>
          <w:t>רע"פ 262/14</w:t>
        </w:r>
      </w:hyperlink>
      <w:r w:rsidRPr="000F2B90">
        <w:rPr>
          <w:rFonts w:ascii="David" w:hAnsi="David"/>
          <w:rtl/>
        </w:rPr>
        <w:t xml:space="preserve"> </w:t>
      </w:r>
      <w:r w:rsidRPr="000F2B90">
        <w:rPr>
          <w:rFonts w:ascii="David" w:hAnsi="David"/>
          <w:b/>
          <w:bCs/>
          <w:rtl/>
        </w:rPr>
        <w:t>מוחמד נאזף נ' מדינת ישראל</w:t>
      </w:r>
      <w:r w:rsidRPr="000F2B90">
        <w:rPr>
          <w:rFonts w:ascii="David" w:hAnsi="David"/>
          <w:rtl/>
        </w:rPr>
        <w:t xml:space="preserve"> (22/01/14).</w:t>
      </w:r>
    </w:p>
    <w:p w14:paraId="79D2FC21" w14:textId="77777777" w:rsidR="00FE5DA8" w:rsidRPr="000F2B90" w:rsidRDefault="00FE5DA8" w:rsidP="00FE5DA8">
      <w:pPr>
        <w:spacing w:before="100" w:beforeAutospacing="1" w:after="100" w:afterAutospacing="1" w:line="300" w:lineRule="exact"/>
        <w:ind w:left="418"/>
        <w:contextualSpacing/>
        <w:jc w:val="both"/>
      </w:pPr>
    </w:p>
    <w:p w14:paraId="2E1F8649" w14:textId="77777777" w:rsidR="00FE5DA8" w:rsidRPr="000F2B90" w:rsidRDefault="00FE5DA8" w:rsidP="00FE5DA8">
      <w:pPr>
        <w:spacing w:before="100" w:beforeAutospacing="1" w:after="100" w:afterAutospacing="1" w:line="300" w:lineRule="exact"/>
        <w:ind w:left="1022"/>
        <w:contextualSpacing/>
        <w:jc w:val="both"/>
      </w:pPr>
      <w:r w:rsidRPr="000F2B90">
        <w:rPr>
          <w:rFonts w:ascii="David" w:hAnsi="David"/>
          <w:rtl/>
        </w:rPr>
        <w:t>"בהקשר זה אני מוצא לנכון להעיר עוד כי שיקולי שיקום הם, אמנם, בעלי מעמד חשוב עת מאזן בית המשפט בין שיקולי הענישה, הגמול וההרתעה, במלאכת גזירת הדין. במקרים שבהם נרתם הנאשם להליך שיקומי, או מראה נכונות כנה לעשות כן – עשויים שיקולי השיקום אף לגבור על שיקולי ההרתעה והגמול (ראו: דברי חברי, השופט א' שהם, ב-</w:t>
      </w:r>
      <w:hyperlink r:id="rId31" w:history="1">
        <w:r w:rsidR="00D859C0" w:rsidRPr="00D859C0">
          <w:rPr>
            <w:rFonts w:ascii="David" w:hAnsi="David"/>
            <w:color w:val="0000FF"/>
            <w:u w:val="single"/>
            <w:rtl/>
          </w:rPr>
          <w:t>רע"פ 3711/13</w:t>
        </w:r>
      </w:hyperlink>
      <w:r w:rsidRPr="000F2B90">
        <w:rPr>
          <w:rFonts w:ascii="David" w:hAnsi="David"/>
          <w:rtl/>
        </w:rPr>
        <w:t xml:space="preserve"> הושיאר נ' מדינת ישראל [פורסם בנבו] (16.7.2013) (להלן: עניין הושיאר))... בית המשפט יטה לבכר את שיקולי שיקומו של הנאשם על פני שיקולים אחרים כאשר הוא משתכנע כי הנאשם השתקם ושינה את דרכיו, או כי קיים סיכויי ממשי לשיקומו, וכך הוא "במקום שבו נראה כעקבי הליך השיקום שבו מצוי המבקש-המערער" (ראו: </w:t>
      </w:r>
      <w:hyperlink r:id="rId32" w:history="1">
        <w:r w:rsidR="00D859C0" w:rsidRPr="00D859C0">
          <w:rPr>
            <w:rFonts w:ascii="David" w:hAnsi="David"/>
            <w:color w:val="0000FF"/>
            <w:u w:val="single"/>
            <w:rtl/>
          </w:rPr>
          <w:t>רע"פ 8665/12</w:t>
        </w:r>
      </w:hyperlink>
      <w:r w:rsidRPr="000F2B90">
        <w:rPr>
          <w:rFonts w:ascii="David" w:hAnsi="David"/>
          <w:rtl/>
        </w:rPr>
        <w:t xml:space="preserve"> ברהנה נ' מדינת ישראל [פורסם בנבו] (2.5.2013)) – ואילו השמתו של הנידון מאחורי סורג ובריח עלולה לאיין את ההליך השיקומי, או לפגוע בו באופן ניכר. </w:t>
      </w:r>
    </w:p>
    <w:p w14:paraId="0A6F7883" w14:textId="77777777" w:rsidR="00FE5DA8" w:rsidRPr="000F2B90" w:rsidRDefault="00FE5DA8" w:rsidP="00FE5DA8">
      <w:pPr>
        <w:spacing w:before="100" w:beforeAutospacing="1" w:after="100" w:afterAutospacing="1" w:line="300" w:lineRule="exact"/>
        <w:ind w:left="418"/>
        <w:contextualSpacing/>
        <w:jc w:val="both"/>
        <w:rPr>
          <w:rFonts w:ascii="David" w:hAnsi="David"/>
          <w:rtl/>
        </w:rPr>
      </w:pPr>
    </w:p>
    <w:p w14:paraId="716EF2D5" w14:textId="77777777" w:rsidR="00FE5DA8" w:rsidRPr="000F2B90" w:rsidRDefault="00FE5DA8" w:rsidP="00FE5DA8">
      <w:pPr>
        <w:spacing w:before="100" w:beforeAutospacing="1" w:after="100" w:afterAutospacing="1" w:line="300" w:lineRule="exact"/>
        <w:ind w:left="418"/>
        <w:contextualSpacing/>
        <w:jc w:val="both"/>
      </w:pPr>
      <w:r w:rsidRPr="000F2B90">
        <w:rPr>
          <w:rFonts w:ascii="David" w:hAnsi="David"/>
          <w:rtl/>
        </w:rPr>
        <w:t xml:space="preserve">ראו גם </w:t>
      </w:r>
      <w:hyperlink r:id="rId33" w:history="1">
        <w:r w:rsidR="00D859C0" w:rsidRPr="00D859C0">
          <w:rPr>
            <w:rFonts w:ascii="David" w:hAnsi="David"/>
            <w:color w:val="0000FF"/>
            <w:u w:val="single"/>
            <w:rtl/>
          </w:rPr>
          <w:t>רע"פ 189/15</w:t>
        </w:r>
      </w:hyperlink>
      <w:r w:rsidRPr="000F2B90">
        <w:rPr>
          <w:rFonts w:ascii="David" w:hAnsi="David"/>
          <w:rtl/>
        </w:rPr>
        <w:t xml:space="preserve"> </w:t>
      </w:r>
      <w:r w:rsidRPr="000F2B90">
        <w:rPr>
          <w:rFonts w:ascii="David" w:hAnsi="David"/>
          <w:b/>
          <w:bCs/>
          <w:rtl/>
        </w:rPr>
        <w:t>עומר</w:t>
      </w:r>
      <w:r w:rsidRPr="000F2B90">
        <w:rPr>
          <w:rFonts w:ascii="David" w:hAnsi="David"/>
          <w:b/>
          <w:bCs/>
        </w:rPr>
        <w:t xml:space="preserve"> </w:t>
      </w:r>
      <w:r w:rsidRPr="000F2B90">
        <w:rPr>
          <w:rFonts w:ascii="David" w:hAnsi="David"/>
          <w:b/>
          <w:bCs/>
          <w:rtl/>
        </w:rPr>
        <w:t>כהן</w:t>
      </w:r>
      <w:r w:rsidRPr="000F2B90">
        <w:rPr>
          <w:rFonts w:ascii="David" w:hAnsi="David"/>
          <w:b/>
          <w:bCs/>
        </w:rPr>
        <w:t xml:space="preserve"> </w:t>
      </w:r>
      <w:r w:rsidRPr="000F2B90">
        <w:rPr>
          <w:rFonts w:ascii="David" w:hAnsi="David"/>
          <w:b/>
          <w:bCs/>
          <w:rtl/>
        </w:rPr>
        <w:t>נ' מדינת</w:t>
      </w:r>
      <w:r w:rsidRPr="000F2B90">
        <w:rPr>
          <w:rFonts w:ascii="David" w:hAnsi="David"/>
          <w:b/>
          <w:bCs/>
        </w:rPr>
        <w:t xml:space="preserve"> </w:t>
      </w:r>
      <w:r w:rsidRPr="000F2B90">
        <w:rPr>
          <w:rFonts w:ascii="David" w:hAnsi="David"/>
          <w:b/>
          <w:bCs/>
          <w:rtl/>
        </w:rPr>
        <w:t>ישראל</w:t>
      </w:r>
      <w:r w:rsidRPr="000F2B90">
        <w:rPr>
          <w:rFonts w:ascii="David" w:hAnsi="David"/>
          <w:rtl/>
        </w:rPr>
        <w:t xml:space="preserve"> (21.01.15) </w:t>
      </w:r>
    </w:p>
    <w:p w14:paraId="4866CCE4" w14:textId="77777777" w:rsidR="00FE5DA8" w:rsidRPr="000F2B90" w:rsidRDefault="00FE5DA8" w:rsidP="00FE5DA8">
      <w:pPr>
        <w:spacing w:before="100" w:beforeAutospacing="1" w:after="100" w:afterAutospacing="1" w:line="300" w:lineRule="exact"/>
        <w:ind w:left="418"/>
        <w:contextualSpacing/>
        <w:jc w:val="both"/>
        <w:rPr>
          <w:rFonts w:ascii="David" w:hAnsi="David"/>
          <w:rtl/>
        </w:rPr>
      </w:pPr>
    </w:p>
    <w:p w14:paraId="2ACF15E1" w14:textId="77777777" w:rsidR="00FE5DA8" w:rsidRPr="000F2B90" w:rsidRDefault="00FE5DA8" w:rsidP="00FE5DA8">
      <w:pPr>
        <w:spacing w:before="100" w:beforeAutospacing="1" w:after="100" w:afterAutospacing="1" w:line="300" w:lineRule="exact"/>
        <w:ind w:left="1022"/>
        <w:contextualSpacing/>
        <w:jc w:val="both"/>
      </w:pPr>
      <w:r w:rsidRPr="000F2B90">
        <w:rPr>
          <w:rFonts w:ascii="David" w:hAnsi="David"/>
          <w:rtl/>
        </w:rPr>
        <w:t>"האינטרס</w:t>
      </w:r>
      <w:r w:rsidRPr="000F2B90">
        <w:rPr>
          <w:rFonts w:ascii="David" w:hAnsi="David"/>
        </w:rPr>
        <w:t xml:space="preserve"> </w:t>
      </w:r>
      <w:r w:rsidRPr="000F2B90">
        <w:rPr>
          <w:rFonts w:ascii="David" w:hAnsi="David"/>
          <w:rtl/>
        </w:rPr>
        <w:t>השיקומי</w:t>
      </w:r>
      <w:r w:rsidRPr="000F2B90">
        <w:rPr>
          <w:rFonts w:ascii="David" w:hAnsi="David"/>
        </w:rPr>
        <w:t xml:space="preserve"> </w:t>
      </w:r>
      <w:r w:rsidRPr="000F2B90">
        <w:rPr>
          <w:rFonts w:ascii="David" w:hAnsi="David"/>
          <w:rtl/>
        </w:rPr>
        <w:t>הוא</w:t>
      </w:r>
      <w:r w:rsidRPr="000F2B90">
        <w:rPr>
          <w:rFonts w:ascii="David" w:hAnsi="David"/>
        </w:rPr>
        <w:t xml:space="preserve"> </w:t>
      </w:r>
      <w:r w:rsidRPr="000F2B90">
        <w:rPr>
          <w:rFonts w:ascii="David" w:hAnsi="David"/>
          <w:rtl/>
        </w:rPr>
        <w:t>רב</w:t>
      </w:r>
      <w:r w:rsidRPr="000F2B90">
        <w:rPr>
          <w:rFonts w:ascii="David" w:hAnsi="David"/>
        </w:rPr>
        <w:t xml:space="preserve"> </w:t>
      </w:r>
      <w:r w:rsidRPr="000F2B90">
        <w:rPr>
          <w:rFonts w:ascii="David" w:hAnsi="David"/>
          <w:rtl/>
        </w:rPr>
        <w:t>ערך, ותורם</w:t>
      </w:r>
      <w:r w:rsidRPr="000F2B90">
        <w:rPr>
          <w:rFonts w:ascii="David" w:hAnsi="David"/>
        </w:rPr>
        <w:t xml:space="preserve"> </w:t>
      </w:r>
      <w:r w:rsidRPr="000F2B90">
        <w:rPr>
          <w:rFonts w:ascii="David" w:hAnsi="David"/>
          <w:rtl/>
        </w:rPr>
        <w:t>רבות</w:t>
      </w:r>
      <w:r w:rsidRPr="000F2B90">
        <w:rPr>
          <w:rFonts w:ascii="David" w:hAnsi="David"/>
        </w:rPr>
        <w:t xml:space="preserve"> </w:t>
      </w:r>
      <w:r w:rsidRPr="000F2B90">
        <w:rPr>
          <w:rFonts w:ascii="David" w:hAnsi="David"/>
          <w:rtl/>
        </w:rPr>
        <w:t>לנאשם, כמו</w:t>
      </w:r>
      <w:r w:rsidRPr="000F2B90">
        <w:rPr>
          <w:rFonts w:ascii="David" w:hAnsi="David"/>
        </w:rPr>
        <w:t xml:space="preserve"> </w:t>
      </w:r>
      <w:r w:rsidRPr="000F2B90">
        <w:rPr>
          <w:rFonts w:ascii="David" w:hAnsi="David"/>
          <w:rtl/>
        </w:rPr>
        <w:t>גם</w:t>
      </w:r>
      <w:r w:rsidRPr="000F2B90">
        <w:rPr>
          <w:rFonts w:ascii="David" w:hAnsi="David"/>
        </w:rPr>
        <w:t xml:space="preserve"> </w:t>
      </w:r>
      <w:r w:rsidRPr="000F2B90">
        <w:rPr>
          <w:rFonts w:ascii="David" w:hAnsi="David"/>
          <w:rtl/>
        </w:rPr>
        <w:t>לחברה</w:t>
      </w:r>
      <w:r w:rsidRPr="000F2B90">
        <w:rPr>
          <w:rFonts w:ascii="David" w:hAnsi="David"/>
        </w:rPr>
        <w:t xml:space="preserve"> </w:t>
      </w:r>
      <w:r w:rsidRPr="000F2B90">
        <w:rPr>
          <w:rFonts w:ascii="David" w:hAnsi="David"/>
          <w:rtl/>
        </w:rPr>
        <w:t>בכללותה, ועם</w:t>
      </w:r>
      <w:r w:rsidRPr="000F2B90">
        <w:rPr>
          <w:rFonts w:ascii="David" w:hAnsi="David"/>
        </w:rPr>
        <w:t xml:space="preserve"> </w:t>
      </w:r>
      <w:r w:rsidRPr="000F2B90">
        <w:rPr>
          <w:rFonts w:ascii="David" w:hAnsi="David"/>
          <w:rtl/>
        </w:rPr>
        <w:t>זאת, מדובר</w:t>
      </w:r>
      <w:r w:rsidRPr="000F2B90">
        <w:rPr>
          <w:rFonts w:ascii="David" w:hAnsi="David"/>
        </w:rPr>
        <w:t xml:space="preserve"> </w:t>
      </w:r>
      <w:r w:rsidRPr="000F2B90">
        <w:rPr>
          <w:rFonts w:ascii="David" w:hAnsi="David"/>
          <w:rtl/>
        </w:rPr>
        <w:t>בשיקול</w:t>
      </w:r>
      <w:r w:rsidRPr="000F2B90">
        <w:rPr>
          <w:rFonts w:ascii="David" w:hAnsi="David"/>
        </w:rPr>
        <w:t xml:space="preserve"> </w:t>
      </w:r>
      <w:r w:rsidRPr="000F2B90">
        <w:rPr>
          <w:rFonts w:ascii="David" w:hAnsi="David"/>
          <w:rtl/>
        </w:rPr>
        <w:t>אחד</w:t>
      </w:r>
      <w:r w:rsidRPr="000F2B90">
        <w:rPr>
          <w:rFonts w:ascii="David" w:hAnsi="David"/>
        </w:rPr>
        <w:t xml:space="preserve"> </w:t>
      </w:r>
      <w:r w:rsidRPr="000F2B90">
        <w:rPr>
          <w:rFonts w:ascii="David" w:hAnsi="David"/>
          <w:rtl/>
        </w:rPr>
        <w:t>מתוך</w:t>
      </w:r>
      <w:r w:rsidRPr="000F2B90">
        <w:rPr>
          <w:rFonts w:ascii="David" w:hAnsi="David"/>
        </w:rPr>
        <w:t xml:space="preserve"> </w:t>
      </w:r>
      <w:r w:rsidRPr="000F2B90">
        <w:rPr>
          <w:rFonts w:ascii="David" w:hAnsi="David"/>
          <w:rtl/>
        </w:rPr>
        <w:t>מכלול</w:t>
      </w:r>
      <w:r w:rsidRPr="000F2B90">
        <w:rPr>
          <w:rFonts w:ascii="David" w:hAnsi="David"/>
        </w:rPr>
        <w:t xml:space="preserve"> </w:t>
      </w:r>
      <w:r w:rsidRPr="000F2B90">
        <w:rPr>
          <w:rFonts w:ascii="David" w:hAnsi="David"/>
          <w:rtl/>
        </w:rPr>
        <w:t>שיקולי</w:t>
      </w:r>
      <w:r w:rsidRPr="000F2B90">
        <w:rPr>
          <w:rFonts w:ascii="David" w:hAnsi="David"/>
        </w:rPr>
        <w:t xml:space="preserve"> </w:t>
      </w:r>
      <w:r w:rsidRPr="000F2B90">
        <w:rPr>
          <w:rFonts w:ascii="David" w:hAnsi="David"/>
          <w:rtl/>
        </w:rPr>
        <w:t>הענישה. כפי</w:t>
      </w:r>
      <w:r w:rsidRPr="000F2B90">
        <w:rPr>
          <w:rFonts w:ascii="David" w:hAnsi="David"/>
        </w:rPr>
        <w:t xml:space="preserve"> </w:t>
      </w:r>
      <w:r w:rsidRPr="000F2B90">
        <w:rPr>
          <w:rFonts w:ascii="David" w:hAnsi="David"/>
          <w:rtl/>
        </w:rPr>
        <w:t>שנאמר</w:t>
      </w:r>
      <w:r w:rsidRPr="000F2B90">
        <w:rPr>
          <w:rFonts w:ascii="David" w:hAnsi="David"/>
        </w:rPr>
        <w:t xml:space="preserve"> </w:t>
      </w:r>
      <w:r w:rsidRPr="000F2B90">
        <w:rPr>
          <w:rFonts w:ascii="David" w:hAnsi="David"/>
          <w:rtl/>
        </w:rPr>
        <w:t>בעניין</w:t>
      </w:r>
      <w:r w:rsidRPr="000F2B90">
        <w:rPr>
          <w:rFonts w:ascii="David" w:hAnsi="David"/>
        </w:rPr>
        <w:t xml:space="preserve"> </w:t>
      </w:r>
      <w:r w:rsidRPr="000F2B90">
        <w:rPr>
          <w:rFonts w:ascii="David" w:hAnsi="David"/>
          <w:rtl/>
        </w:rPr>
        <w:t>יוסף (</w:t>
      </w:r>
      <w:hyperlink r:id="rId34" w:history="1">
        <w:r w:rsidR="00D859C0" w:rsidRPr="00D859C0">
          <w:rPr>
            <w:rFonts w:ascii="David" w:hAnsi="David"/>
            <w:color w:val="0000FF"/>
            <w:u w:val="single"/>
            <w:rtl/>
          </w:rPr>
          <w:t>רע"פ 7996/12</w:t>
        </w:r>
      </w:hyperlink>
      <w:r w:rsidRPr="00D859C0">
        <w:rPr>
          <w:rFonts w:ascii="David" w:hAnsi="David"/>
          <w:color w:val="000000"/>
          <w:rtl/>
        </w:rPr>
        <w:t xml:space="preserve"> </w:t>
      </w:r>
      <w:r w:rsidRPr="000F2B90">
        <w:rPr>
          <w:rFonts w:ascii="David" w:hAnsi="David"/>
          <w:rtl/>
        </w:rPr>
        <w:t>יוסף</w:t>
      </w:r>
      <w:r w:rsidRPr="000F2B90">
        <w:rPr>
          <w:rFonts w:ascii="David" w:hAnsi="David"/>
        </w:rPr>
        <w:t xml:space="preserve"> </w:t>
      </w:r>
      <w:r w:rsidRPr="000F2B90">
        <w:rPr>
          <w:rFonts w:ascii="David" w:hAnsi="David"/>
          <w:rtl/>
        </w:rPr>
        <w:t xml:space="preserve">נ' </w:t>
      </w:r>
      <w:r w:rsidRPr="000F2B90">
        <w:rPr>
          <w:rFonts w:ascii="David" w:hAnsi="David"/>
        </w:rPr>
        <w:t xml:space="preserve"> </w:t>
      </w:r>
      <w:r w:rsidRPr="000F2B90">
        <w:rPr>
          <w:rFonts w:ascii="David" w:hAnsi="David"/>
          <w:rtl/>
        </w:rPr>
        <w:t>מדינת</w:t>
      </w:r>
      <w:r w:rsidRPr="000F2B90">
        <w:rPr>
          <w:rFonts w:ascii="David" w:hAnsi="David"/>
        </w:rPr>
        <w:t xml:space="preserve"> </w:t>
      </w:r>
      <w:r w:rsidRPr="000F2B90">
        <w:rPr>
          <w:rFonts w:ascii="David" w:hAnsi="David"/>
          <w:rtl/>
        </w:rPr>
        <w:t>ישראל</w:t>
      </w:r>
      <w:r w:rsidRPr="000F2B90">
        <w:rPr>
          <w:rFonts w:ascii="David" w:hAnsi="David"/>
        </w:rPr>
        <w:t xml:space="preserve"> </w:t>
      </w:r>
      <w:r w:rsidRPr="000F2B90">
        <w:rPr>
          <w:rFonts w:ascii="David" w:hAnsi="David"/>
          <w:rtl/>
        </w:rPr>
        <w:t xml:space="preserve"> (23.01.13)): </w:t>
      </w:r>
      <w:r w:rsidRPr="000F2B90">
        <w:rPr>
          <w:rFonts w:ascii="David" w:hAnsi="David"/>
        </w:rPr>
        <w:t xml:space="preserve"> </w:t>
      </w:r>
      <w:r w:rsidRPr="000F2B90">
        <w:rPr>
          <w:rFonts w:ascii="David" w:hAnsi="David"/>
          <w:rtl/>
        </w:rPr>
        <w:t>"מחד</w:t>
      </w:r>
      <w:r w:rsidRPr="000F2B90">
        <w:rPr>
          <w:rFonts w:ascii="David" w:hAnsi="David"/>
        </w:rPr>
        <w:t xml:space="preserve"> </w:t>
      </w:r>
      <w:r w:rsidRPr="000F2B90">
        <w:rPr>
          <w:rFonts w:ascii="David" w:hAnsi="David"/>
          <w:rtl/>
        </w:rPr>
        <w:t>גיסא, האינטרס</w:t>
      </w:r>
      <w:r w:rsidRPr="000F2B90">
        <w:rPr>
          <w:rFonts w:ascii="David" w:hAnsi="David"/>
        </w:rPr>
        <w:t xml:space="preserve"> </w:t>
      </w:r>
      <w:r w:rsidRPr="000F2B90">
        <w:rPr>
          <w:rFonts w:ascii="David" w:hAnsi="David"/>
          <w:rtl/>
        </w:rPr>
        <w:t>השיקומי</w:t>
      </w:r>
      <w:r w:rsidRPr="000F2B90">
        <w:rPr>
          <w:rFonts w:ascii="David" w:hAnsi="David"/>
        </w:rPr>
        <w:t xml:space="preserve"> </w:t>
      </w:r>
      <w:r w:rsidRPr="000F2B90">
        <w:rPr>
          <w:rFonts w:ascii="David" w:hAnsi="David"/>
          <w:rtl/>
        </w:rPr>
        <w:t>בעל</w:t>
      </w:r>
      <w:r w:rsidRPr="000F2B90">
        <w:rPr>
          <w:rFonts w:ascii="David" w:hAnsi="David"/>
        </w:rPr>
        <w:t xml:space="preserve"> </w:t>
      </w:r>
      <w:r w:rsidRPr="000F2B90">
        <w:rPr>
          <w:rFonts w:ascii="David" w:hAnsi="David"/>
          <w:rtl/>
        </w:rPr>
        <w:t>ערך</w:t>
      </w:r>
      <w:r w:rsidRPr="000F2B90">
        <w:rPr>
          <w:rFonts w:ascii="David" w:hAnsi="David"/>
        </w:rPr>
        <w:t xml:space="preserve"> </w:t>
      </w:r>
      <w:r w:rsidRPr="000F2B90">
        <w:rPr>
          <w:rFonts w:ascii="David" w:hAnsi="David"/>
          <w:rtl/>
        </w:rPr>
        <w:t>חשוב</w:t>
      </w:r>
      <w:r w:rsidRPr="000F2B90">
        <w:rPr>
          <w:rFonts w:ascii="David" w:hAnsi="David"/>
        </w:rPr>
        <w:t xml:space="preserve"> </w:t>
      </w:r>
      <w:r w:rsidRPr="000F2B90">
        <w:rPr>
          <w:rFonts w:ascii="David" w:hAnsi="David"/>
          <w:rtl/>
        </w:rPr>
        <w:t>בגזירת</w:t>
      </w:r>
      <w:r w:rsidRPr="000F2B90">
        <w:rPr>
          <w:rFonts w:ascii="David" w:hAnsi="David"/>
        </w:rPr>
        <w:t xml:space="preserve"> </w:t>
      </w:r>
      <w:r w:rsidRPr="000F2B90">
        <w:rPr>
          <w:rFonts w:ascii="David" w:hAnsi="David"/>
          <w:rtl/>
        </w:rPr>
        <w:t>העונש. מאידך</w:t>
      </w:r>
      <w:r w:rsidRPr="000F2B90">
        <w:rPr>
          <w:rFonts w:ascii="David" w:hAnsi="David"/>
        </w:rPr>
        <w:t xml:space="preserve"> </w:t>
      </w:r>
      <w:r w:rsidRPr="000F2B90">
        <w:rPr>
          <w:rFonts w:ascii="David" w:hAnsi="David"/>
          <w:rtl/>
        </w:rPr>
        <w:t>גיסא, עונשו</w:t>
      </w:r>
      <w:r w:rsidRPr="000F2B90">
        <w:rPr>
          <w:rFonts w:ascii="David" w:hAnsi="David"/>
        </w:rPr>
        <w:t xml:space="preserve"> </w:t>
      </w:r>
      <w:r w:rsidRPr="000F2B90">
        <w:rPr>
          <w:rFonts w:ascii="David" w:hAnsi="David"/>
          <w:rtl/>
        </w:rPr>
        <w:t>של</w:t>
      </w:r>
      <w:r w:rsidRPr="000F2B90">
        <w:rPr>
          <w:rFonts w:ascii="David" w:hAnsi="David"/>
        </w:rPr>
        <w:t xml:space="preserve"> </w:t>
      </w:r>
      <w:r w:rsidRPr="000F2B90">
        <w:rPr>
          <w:rFonts w:ascii="David" w:hAnsi="David"/>
          <w:rtl/>
        </w:rPr>
        <w:t>אדם</w:t>
      </w:r>
      <w:r w:rsidRPr="000F2B90">
        <w:rPr>
          <w:rFonts w:ascii="David" w:hAnsi="David"/>
        </w:rPr>
        <w:t xml:space="preserve"> </w:t>
      </w:r>
      <w:r w:rsidRPr="000F2B90">
        <w:rPr>
          <w:rFonts w:ascii="David" w:hAnsi="David"/>
          <w:rtl/>
        </w:rPr>
        <w:t>חייב</w:t>
      </w:r>
      <w:r w:rsidRPr="000F2B90">
        <w:rPr>
          <w:rFonts w:ascii="David" w:hAnsi="David"/>
        </w:rPr>
        <w:t xml:space="preserve"> </w:t>
      </w:r>
      <w:r w:rsidRPr="000F2B90">
        <w:rPr>
          <w:rFonts w:ascii="David" w:hAnsi="David"/>
          <w:rtl/>
        </w:rPr>
        <w:t>לשמש</w:t>
      </w:r>
      <w:r w:rsidRPr="000F2B90">
        <w:rPr>
          <w:rFonts w:ascii="David" w:hAnsi="David"/>
        </w:rPr>
        <w:t xml:space="preserve"> </w:t>
      </w:r>
      <w:r w:rsidRPr="000F2B90">
        <w:rPr>
          <w:rFonts w:ascii="David" w:hAnsi="David"/>
          <w:rtl/>
        </w:rPr>
        <w:t>תגובה</w:t>
      </w:r>
      <w:r w:rsidRPr="000F2B90">
        <w:rPr>
          <w:rFonts w:ascii="David" w:hAnsi="David"/>
        </w:rPr>
        <w:t xml:space="preserve"> </w:t>
      </w:r>
      <w:r w:rsidRPr="000F2B90">
        <w:rPr>
          <w:rFonts w:ascii="David" w:hAnsi="David"/>
          <w:rtl/>
        </w:rPr>
        <w:t>הולמת</w:t>
      </w:r>
      <w:r w:rsidRPr="000F2B90">
        <w:rPr>
          <w:rFonts w:ascii="David" w:hAnsi="David"/>
        </w:rPr>
        <w:t xml:space="preserve"> </w:t>
      </w:r>
      <w:r w:rsidRPr="000F2B90">
        <w:rPr>
          <w:rFonts w:ascii="David" w:hAnsi="David"/>
          <w:rtl/>
        </w:rPr>
        <w:t>למעשים</w:t>
      </w:r>
      <w:r w:rsidRPr="000F2B90">
        <w:rPr>
          <w:rFonts w:ascii="David" w:hAnsi="David"/>
        </w:rPr>
        <w:t xml:space="preserve"> </w:t>
      </w:r>
      <w:r w:rsidRPr="000F2B90">
        <w:rPr>
          <w:rFonts w:ascii="David" w:hAnsi="David"/>
          <w:rtl/>
        </w:rPr>
        <w:t>בהם</w:t>
      </w:r>
      <w:r w:rsidRPr="000F2B90">
        <w:rPr>
          <w:rFonts w:ascii="David" w:hAnsi="David"/>
        </w:rPr>
        <w:t xml:space="preserve"> </w:t>
      </w:r>
      <w:r w:rsidRPr="000F2B90">
        <w:rPr>
          <w:rFonts w:ascii="David" w:hAnsi="David"/>
          <w:rtl/>
        </w:rPr>
        <w:t>הואשם</w:t>
      </w:r>
      <w:r w:rsidRPr="000F2B90">
        <w:rPr>
          <w:rFonts w:ascii="David" w:hAnsi="David"/>
        </w:rPr>
        <w:t xml:space="preserve"> </w:t>
      </w:r>
      <w:r w:rsidRPr="000F2B90">
        <w:rPr>
          <w:rFonts w:ascii="David" w:hAnsi="David"/>
          <w:rtl/>
        </w:rPr>
        <w:t>והורשע</w:t>
      </w:r>
      <w:r w:rsidRPr="000F2B90">
        <w:rPr>
          <w:rFonts w:ascii="David" w:hAnsi="David"/>
        </w:rPr>
        <w:t xml:space="preserve"> [...] </w:t>
      </w:r>
      <w:r w:rsidRPr="000F2B90">
        <w:rPr>
          <w:rFonts w:ascii="David" w:hAnsi="David"/>
          <w:rtl/>
        </w:rPr>
        <w:t>בהקשר</w:t>
      </w:r>
      <w:r w:rsidRPr="000F2B90">
        <w:rPr>
          <w:rFonts w:ascii="David" w:hAnsi="David"/>
        </w:rPr>
        <w:t xml:space="preserve"> </w:t>
      </w:r>
      <w:r w:rsidRPr="000F2B90">
        <w:rPr>
          <w:rFonts w:ascii="David" w:hAnsi="David"/>
          <w:rtl/>
        </w:rPr>
        <w:t>זה, אף</w:t>
      </w:r>
      <w:r w:rsidRPr="000F2B90">
        <w:rPr>
          <w:rFonts w:ascii="David" w:hAnsi="David"/>
        </w:rPr>
        <w:t xml:space="preserve"> </w:t>
      </w:r>
      <w:r w:rsidRPr="000F2B90">
        <w:rPr>
          <w:rFonts w:ascii="David" w:hAnsi="David"/>
          <w:rtl/>
        </w:rPr>
        <w:t>אם</w:t>
      </w:r>
      <w:r w:rsidRPr="000F2B90">
        <w:rPr>
          <w:rFonts w:ascii="David" w:hAnsi="David"/>
        </w:rPr>
        <w:t xml:space="preserve"> </w:t>
      </w:r>
      <w:r w:rsidRPr="000F2B90">
        <w:rPr>
          <w:rFonts w:ascii="David" w:hAnsi="David"/>
          <w:rtl/>
        </w:rPr>
        <w:t>תסקיר</w:t>
      </w:r>
      <w:r w:rsidRPr="000F2B90">
        <w:rPr>
          <w:rFonts w:ascii="David" w:hAnsi="David"/>
        </w:rPr>
        <w:t xml:space="preserve"> </w:t>
      </w:r>
      <w:r w:rsidRPr="000F2B90">
        <w:rPr>
          <w:rFonts w:ascii="David" w:hAnsi="David"/>
          <w:rtl/>
        </w:rPr>
        <w:t>שירות</w:t>
      </w:r>
      <w:r w:rsidRPr="000F2B90">
        <w:rPr>
          <w:rFonts w:ascii="David" w:hAnsi="David"/>
        </w:rPr>
        <w:t xml:space="preserve"> </w:t>
      </w:r>
      <w:r w:rsidRPr="000F2B90">
        <w:rPr>
          <w:rFonts w:ascii="David" w:hAnsi="David"/>
          <w:rtl/>
        </w:rPr>
        <w:t>המבחן</w:t>
      </w:r>
      <w:r w:rsidRPr="000F2B90">
        <w:rPr>
          <w:rFonts w:ascii="David" w:hAnsi="David"/>
        </w:rPr>
        <w:t xml:space="preserve"> </w:t>
      </w:r>
      <w:r w:rsidRPr="000F2B90">
        <w:rPr>
          <w:rFonts w:ascii="David" w:hAnsi="David"/>
          <w:rtl/>
        </w:rPr>
        <w:t>המליץ</w:t>
      </w:r>
      <w:r w:rsidRPr="000F2B90">
        <w:rPr>
          <w:rFonts w:ascii="David" w:hAnsi="David"/>
        </w:rPr>
        <w:t xml:space="preserve"> </w:t>
      </w:r>
      <w:r w:rsidRPr="000F2B90">
        <w:rPr>
          <w:rFonts w:ascii="David" w:hAnsi="David"/>
          <w:rtl/>
        </w:rPr>
        <w:t>שלא</w:t>
      </w:r>
      <w:r w:rsidRPr="000F2B90">
        <w:rPr>
          <w:rFonts w:ascii="David" w:hAnsi="David"/>
        </w:rPr>
        <w:t xml:space="preserve"> </w:t>
      </w:r>
      <w:r w:rsidRPr="000F2B90">
        <w:rPr>
          <w:rFonts w:ascii="David" w:hAnsi="David"/>
          <w:rtl/>
        </w:rPr>
        <w:t>להטיל</w:t>
      </w:r>
      <w:r w:rsidRPr="000F2B90">
        <w:rPr>
          <w:rFonts w:ascii="David" w:hAnsi="David"/>
        </w:rPr>
        <w:t xml:space="preserve"> </w:t>
      </w:r>
      <w:r w:rsidRPr="000F2B90">
        <w:rPr>
          <w:rFonts w:ascii="David" w:hAnsi="David"/>
          <w:rtl/>
        </w:rPr>
        <w:t>על</w:t>
      </w:r>
      <w:r w:rsidRPr="000F2B90">
        <w:rPr>
          <w:rFonts w:ascii="David" w:hAnsi="David"/>
        </w:rPr>
        <w:t xml:space="preserve"> </w:t>
      </w:r>
      <w:r w:rsidRPr="000F2B90">
        <w:rPr>
          <w:rFonts w:ascii="David" w:hAnsi="David"/>
          <w:rtl/>
        </w:rPr>
        <w:t>המבקש</w:t>
      </w:r>
      <w:r w:rsidRPr="000F2B90">
        <w:rPr>
          <w:rFonts w:ascii="David" w:hAnsi="David"/>
        </w:rPr>
        <w:t xml:space="preserve"> </w:t>
      </w:r>
      <w:r w:rsidRPr="000F2B90">
        <w:rPr>
          <w:rFonts w:ascii="David" w:hAnsi="David"/>
          <w:rtl/>
        </w:rPr>
        <w:t>עונש</w:t>
      </w:r>
      <w:r w:rsidRPr="000F2B90">
        <w:rPr>
          <w:rFonts w:ascii="David" w:hAnsi="David"/>
        </w:rPr>
        <w:t xml:space="preserve"> </w:t>
      </w:r>
      <w:r w:rsidRPr="000F2B90">
        <w:rPr>
          <w:rFonts w:ascii="David" w:hAnsi="David"/>
          <w:rtl/>
        </w:rPr>
        <w:t>מאסר</w:t>
      </w:r>
      <w:r w:rsidRPr="000F2B90">
        <w:rPr>
          <w:rFonts w:ascii="David" w:hAnsi="David"/>
        </w:rPr>
        <w:t xml:space="preserve"> </w:t>
      </w:r>
      <w:r w:rsidRPr="000F2B90">
        <w:rPr>
          <w:rFonts w:ascii="David" w:hAnsi="David"/>
          <w:rtl/>
        </w:rPr>
        <w:t>בפועל, מתוך</w:t>
      </w:r>
      <w:r w:rsidRPr="000F2B90">
        <w:rPr>
          <w:rFonts w:ascii="David" w:hAnsi="David"/>
        </w:rPr>
        <w:t xml:space="preserve"> </w:t>
      </w:r>
      <w:r w:rsidRPr="000F2B90">
        <w:rPr>
          <w:rFonts w:ascii="David" w:hAnsi="David"/>
          <w:rtl/>
        </w:rPr>
        <w:t>דגש</w:t>
      </w:r>
      <w:r w:rsidRPr="000F2B90">
        <w:rPr>
          <w:rFonts w:ascii="David" w:hAnsi="David"/>
        </w:rPr>
        <w:t xml:space="preserve"> </w:t>
      </w:r>
      <w:r w:rsidRPr="000F2B90">
        <w:rPr>
          <w:rFonts w:ascii="David" w:hAnsi="David"/>
          <w:rtl/>
        </w:rPr>
        <w:t>על</w:t>
      </w:r>
      <w:r w:rsidRPr="000F2B90">
        <w:rPr>
          <w:rFonts w:ascii="David" w:hAnsi="David"/>
        </w:rPr>
        <w:t xml:space="preserve"> </w:t>
      </w:r>
      <w:r w:rsidRPr="000F2B90">
        <w:rPr>
          <w:rFonts w:ascii="David" w:hAnsi="David"/>
          <w:rtl/>
        </w:rPr>
        <w:t>האינטרס</w:t>
      </w:r>
      <w:r w:rsidRPr="000F2B90">
        <w:rPr>
          <w:rFonts w:ascii="David" w:hAnsi="David"/>
        </w:rPr>
        <w:t xml:space="preserve"> </w:t>
      </w:r>
      <w:r w:rsidRPr="000F2B90">
        <w:rPr>
          <w:rFonts w:ascii="David" w:hAnsi="David"/>
          <w:rtl/>
        </w:rPr>
        <w:t>השיקומי, אין</w:t>
      </w:r>
      <w:r w:rsidRPr="000F2B90">
        <w:rPr>
          <w:rFonts w:ascii="David" w:hAnsi="David"/>
        </w:rPr>
        <w:t xml:space="preserve"> </w:t>
      </w:r>
      <w:r w:rsidRPr="000F2B90">
        <w:rPr>
          <w:rFonts w:ascii="David" w:hAnsi="David"/>
          <w:rtl/>
        </w:rPr>
        <w:t>לשכוח</w:t>
      </w:r>
      <w:r w:rsidRPr="000F2B90">
        <w:rPr>
          <w:rFonts w:ascii="David" w:hAnsi="David"/>
        </w:rPr>
        <w:t xml:space="preserve"> </w:t>
      </w:r>
      <w:r w:rsidRPr="000F2B90">
        <w:rPr>
          <w:rFonts w:ascii="David" w:hAnsi="David"/>
          <w:rtl/>
        </w:rPr>
        <w:t>כי</w:t>
      </w:r>
      <w:r w:rsidRPr="000F2B90">
        <w:rPr>
          <w:rFonts w:ascii="David" w:hAnsi="David"/>
        </w:rPr>
        <w:t xml:space="preserve"> </w:t>
      </w:r>
      <w:r w:rsidRPr="000F2B90">
        <w:rPr>
          <w:rFonts w:ascii="David" w:hAnsi="David"/>
          <w:rtl/>
        </w:rPr>
        <w:t>הוא</w:t>
      </w:r>
      <w:r w:rsidRPr="000F2B90">
        <w:rPr>
          <w:rFonts w:ascii="David" w:hAnsi="David"/>
        </w:rPr>
        <w:t xml:space="preserve"> </w:t>
      </w:r>
      <w:r w:rsidRPr="000F2B90">
        <w:rPr>
          <w:rFonts w:ascii="David" w:hAnsi="David"/>
          <w:rtl/>
        </w:rPr>
        <w:t>מהווה</w:t>
      </w:r>
      <w:r w:rsidRPr="000F2B90">
        <w:rPr>
          <w:rFonts w:ascii="David" w:hAnsi="David"/>
        </w:rPr>
        <w:t xml:space="preserve"> </w:t>
      </w:r>
      <w:r w:rsidRPr="000F2B90">
        <w:rPr>
          <w:rFonts w:ascii="David" w:hAnsi="David"/>
          <w:rtl/>
        </w:rPr>
        <w:t>אך</w:t>
      </w:r>
      <w:r w:rsidRPr="000F2B90">
        <w:rPr>
          <w:rFonts w:ascii="David" w:hAnsi="David"/>
        </w:rPr>
        <w:t xml:space="preserve"> </w:t>
      </w:r>
      <w:r w:rsidRPr="000F2B90">
        <w:rPr>
          <w:rFonts w:ascii="David" w:hAnsi="David"/>
          <w:rtl/>
        </w:rPr>
        <w:t>חלק</w:t>
      </w:r>
      <w:r w:rsidRPr="000F2B90">
        <w:rPr>
          <w:rFonts w:ascii="David" w:hAnsi="David"/>
        </w:rPr>
        <w:t xml:space="preserve"> </w:t>
      </w:r>
      <w:r w:rsidRPr="000F2B90">
        <w:rPr>
          <w:rFonts w:ascii="David" w:hAnsi="David"/>
          <w:rtl/>
        </w:rPr>
        <w:t>אחד</w:t>
      </w:r>
      <w:r w:rsidRPr="000F2B90">
        <w:rPr>
          <w:rFonts w:ascii="David" w:hAnsi="David"/>
        </w:rPr>
        <w:t xml:space="preserve"> </w:t>
      </w:r>
      <w:r w:rsidRPr="000F2B90">
        <w:rPr>
          <w:rFonts w:ascii="David" w:hAnsi="David"/>
          <w:rtl/>
        </w:rPr>
        <w:t>ממארג</w:t>
      </w:r>
      <w:r w:rsidRPr="000F2B90">
        <w:rPr>
          <w:rFonts w:ascii="David" w:hAnsi="David"/>
        </w:rPr>
        <w:t xml:space="preserve"> </w:t>
      </w:r>
      <w:r w:rsidRPr="000F2B90">
        <w:rPr>
          <w:rFonts w:ascii="David" w:hAnsi="David"/>
          <w:rtl/>
        </w:rPr>
        <w:t>השיקולים</w:t>
      </w:r>
      <w:r w:rsidRPr="000F2B90">
        <w:rPr>
          <w:rFonts w:ascii="David" w:hAnsi="David"/>
        </w:rPr>
        <w:t xml:space="preserve"> </w:t>
      </w:r>
      <w:r w:rsidRPr="000F2B90">
        <w:rPr>
          <w:rFonts w:ascii="David" w:hAnsi="David"/>
          <w:rtl/>
        </w:rPr>
        <w:t>העומדים</w:t>
      </w:r>
      <w:r w:rsidRPr="000F2B90">
        <w:rPr>
          <w:rFonts w:ascii="David" w:hAnsi="David"/>
        </w:rPr>
        <w:t xml:space="preserve"> </w:t>
      </w:r>
      <w:r w:rsidRPr="000F2B90">
        <w:rPr>
          <w:rFonts w:ascii="David" w:hAnsi="David"/>
          <w:rtl/>
        </w:rPr>
        <w:t>לנגד</w:t>
      </w:r>
      <w:r w:rsidRPr="000F2B90">
        <w:rPr>
          <w:rFonts w:ascii="David" w:hAnsi="David"/>
        </w:rPr>
        <w:t xml:space="preserve"> </w:t>
      </w:r>
      <w:r w:rsidRPr="000F2B90">
        <w:rPr>
          <w:rFonts w:ascii="David" w:hAnsi="David"/>
          <w:rtl/>
        </w:rPr>
        <w:t>עיניו</w:t>
      </w:r>
      <w:r w:rsidRPr="000F2B90">
        <w:rPr>
          <w:rFonts w:ascii="David" w:hAnsi="David"/>
        </w:rPr>
        <w:t xml:space="preserve"> </w:t>
      </w:r>
      <w:r w:rsidRPr="000F2B90">
        <w:rPr>
          <w:rFonts w:ascii="David" w:hAnsi="David"/>
          <w:rtl/>
        </w:rPr>
        <w:t>של</w:t>
      </w:r>
      <w:r w:rsidRPr="000F2B90">
        <w:rPr>
          <w:rFonts w:ascii="David" w:hAnsi="David"/>
        </w:rPr>
        <w:t xml:space="preserve"> </w:t>
      </w:r>
      <w:r w:rsidRPr="000F2B90">
        <w:rPr>
          <w:rFonts w:ascii="David" w:hAnsi="David"/>
          <w:rtl/>
        </w:rPr>
        <w:t>בית</w:t>
      </w:r>
      <w:r w:rsidRPr="000F2B90">
        <w:rPr>
          <w:rFonts w:ascii="David" w:hAnsi="David"/>
        </w:rPr>
        <w:t xml:space="preserve"> </w:t>
      </w:r>
      <w:r w:rsidRPr="000F2B90">
        <w:rPr>
          <w:rFonts w:ascii="David" w:hAnsi="David"/>
          <w:rtl/>
        </w:rPr>
        <w:t>המשפט</w:t>
      </w:r>
      <w:r w:rsidRPr="000F2B90">
        <w:rPr>
          <w:rFonts w:ascii="David" w:hAnsi="David"/>
        </w:rPr>
        <w:t xml:space="preserve"> </w:t>
      </w:r>
      <w:r w:rsidRPr="000F2B90">
        <w:rPr>
          <w:rFonts w:ascii="David" w:hAnsi="David"/>
          <w:rtl/>
        </w:rPr>
        <w:t>בקבעו</w:t>
      </w:r>
      <w:r w:rsidRPr="000F2B90">
        <w:rPr>
          <w:rFonts w:ascii="David" w:hAnsi="David"/>
        </w:rPr>
        <w:t xml:space="preserve"> </w:t>
      </w:r>
      <w:r w:rsidRPr="000F2B90">
        <w:rPr>
          <w:rFonts w:ascii="David" w:hAnsi="David"/>
          <w:rtl/>
        </w:rPr>
        <w:t>את</w:t>
      </w:r>
      <w:r w:rsidRPr="000F2B90">
        <w:rPr>
          <w:rFonts w:ascii="David" w:hAnsi="David"/>
        </w:rPr>
        <w:t xml:space="preserve"> </w:t>
      </w:r>
      <w:r w:rsidRPr="000F2B90">
        <w:rPr>
          <w:rFonts w:ascii="David" w:hAnsi="David"/>
          <w:rtl/>
        </w:rPr>
        <w:t>הענישה</w:t>
      </w:r>
      <w:r w:rsidRPr="000F2B90">
        <w:rPr>
          <w:rFonts w:ascii="David" w:hAnsi="David"/>
        </w:rPr>
        <w:t xml:space="preserve"> </w:t>
      </w:r>
      <w:r w:rsidRPr="000F2B90">
        <w:rPr>
          <w:rFonts w:ascii="David" w:hAnsi="David"/>
          <w:rtl/>
        </w:rPr>
        <w:t>הפלילית</w:t>
      </w:r>
      <w:r w:rsidRPr="000F2B90">
        <w:rPr>
          <w:rFonts w:ascii="David" w:hAnsi="David"/>
        </w:rPr>
        <w:t xml:space="preserve"> </w:t>
      </w:r>
      <w:r w:rsidRPr="000F2B90">
        <w:rPr>
          <w:rFonts w:ascii="David" w:hAnsi="David"/>
          <w:rtl/>
        </w:rPr>
        <w:t>הראויה".</w:t>
      </w:r>
    </w:p>
    <w:p w14:paraId="6587246A" w14:textId="77777777" w:rsidR="00FE5DA8" w:rsidRPr="000F2B90" w:rsidRDefault="00FE5DA8" w:rsidP="00FE5DA8">
      <w:pPr>
        <w:spacing w:before="100" w:beforeAutospacing="1" w:after="100" w:afterAutospacing="1" w:line="300" w:lineRule="exact"/>
        <w:ind w:left="418"/>
        <w:contextualSpacing/>
        <w:jc w:val="both"/>
      </w:pPr>
    </w:p>
    <w:p w14:paraId="0C8CE1E2" w14:textId="77777777" w:rsidR="00FE5DA8" w:rsidRPr="000F2B90" w:rsidRDefault="00FE5DA8" w:rsidP="00FE5DA8">
      <w:pPr>
        <w:numPr>
          <w:ilvl w:val="0"/>
          <w:numId w:val="1"/>
        </w:numPr>
        <w:spacing w:before="100" w:beforeAutospacing="1" w:after="100" w:afterAutospacing="1" w:line="300" w:lineRule="exact"/>
        <w:ind w:left="418" w:hanging="425"/>
        <w:contextualSpacing/>
        <w:jc w:val="both"/>
      </w:pPr>
      <w:r w:rsidRPr="000F2B90">
        <w:rPr>
          <w:rFonts w:ascii="Calibri" w:hAnsi="Calibri" w:hint="eastAsia"/>
          <w:rtl/>
        </w:rPr>
        <w:t>בבואי</w:t>
      </w:r>
      <w:r w:rsidRPr="000F2B90">
        <w:rPr>
          <w:rFonts w:ascii="Calibri" w:hAnsi="Calibri"/>
          <w:rtl/>
        </w:rPr>
        <w:t xml:space="preserve"> </w:t>
      </w:r>
      <w:r w:rsidRPr="000F2B90">
        <w:rPr>
          <w:rFonts w:ascii="Calibri" w:hAnsi="Calibri" w:hint="eastAsia"/>
          <w:rtl/>
        </w:rPr>
        <w:t>לגזור</w:t>
      </w:r>
      <w:r w:rsidRPr="000F2B90">
        <w:rPr>
          <w:rFonts w:ascii="Calibri" w:hAnsi="Calibri"/>
          <w:rtl/>
        </w:rPr>
        <w:t xml:space="preserve"> </w:t>
      </w:r>
      <w:r w:rsidRPr="000F2B90">
        <w:rPr>
          <w:rFonts w:ascii="Calibri" w:hAnsi="Calibri" w:hint="eastAsia"/>
          <w:rtl/>
        </w:rPr>
        <w:t>את</w:t>
      </w:r>
      <w:r w:rsidRPr="000F2B90">
        <w:rPr>
          <w:rFonts w:ascii="Calibri" w:hAnsi="Calibri"/>
          <w:rtl/>
        </w:rPr>
        <w:t xml:space="preserve"> </w:t>
      </w:r>
      <w:r w:rsidRPr="000F2B90">
        <w:rPr>
          <w:rFonts w:ascii="Calibri" w:hAnsi="Calibri" w:hint="eastAsia"/>
          <w:rtl/>
        </w:rPr>
        <w:t>עונשו</w:t>
      </w:r>
      <w:r w:rsidRPr="000F2B90">
        <w:rPr>
          <w:rFonts w:ascii="Calibri" w:hAnsi="Calibri"/>
          <w:rtl/>
        </w:rPr>
        <w:t xml:space="preserve"> </w:t>
      </w:r>
      <w:r w:rsidRPr="000F2B90">
        <w:rPr>
          <w:rFonts w:ascii="Calibri" w:hAnsi="Calibri" w:hint="eastAsia"/>
          <w:rtl/>
        </w:rPr>
        <w:t>של</w:t>
      </w:r>
      <w:r w:rsidRPr="000F2B90">
        <w:rPr>
          <w:rFonts w:ascii="Calibri" w:hAnsi="Calibri"/>
          <w:rtl/>
        </w:rPr>
        <w:t xml:space="preserve"> </w:t>
      </w:r>
      <w:r w:rsidRPr="000F2B90">
        <w:rPr>
          <w:rFonts w:ascii="Calibri" w:hAnsi="Calibri" w:hint="eastAsia"/>
          <w:rtl/>
        </w:rPr>
        <w:t>הנאשם</w:t>
      </w:r>
      <w:r w:rsidRPr="000F2B90">
        <w:rPr>
          <w:rFonts w:ascii="Calibri" w:hAnsi="Calibri"/>
          <w:rtl/>
        </w:rPr>
        <w:t xml:space="preserve"> </w:t>
      </w:r>
      <w:r w:rsidRPr="000F2B90">
        <w:rPr>
          <w:rFonts w:ascii="Calibri" w:hAnsi="Calibri" w:hint="eastAsia"/>
          <w:rtl/>
        </w:rPr>
        <w:t>לקחתי</w:t>
      </w:r>
      <w:r w:rsidRPr="000F2B90">
        <w:rPr>
          <w:rFonts w:ascii="Calibri" w:hAnsi="Calibri"/>
          <w:rtl/>
        </w:rPr>
        <w:t xml:space="preserve"> </w:t>
      </w:r>
      <w:r w:rsidRPr="000F2B90">
        <w:rPr>
          <w:rFonts w:ascii="Calibri" w:hAnsi="Calibri" w:hint="eastAsia"/>
          <w:rtl/>
        </w:rPr>
        <w:t>בחשבון</w:t>
      </w:r>
      <w:r w:rsidRPr="000F2B90">
        <w:rPr>
          <w:rFonts w:ascii="Calibri" w:hAnsi="Calibri"/>
          <w:rtl/>
        </w:rPr>
        <w:t xml:space="preserve"> </w:t>
      </w:r>
      <w:r w:rsidRPr="000F2B90">
        <w:rPr>
          <w:rtl/>
          <w:lang w:eastAsia="he-IL"/>
        </w:rPr>
        <w:t xml:space="preserve">את העובדה שבחר להודות ולקחת אחריות על מעשיו בהזדמנות ראשונה. </w:t>
      </w:r>
      <w:r w:rsidRPr="000F2B90">
        <w:rPr>
          <w:rtl/>
        </w:rPr>
        <w:t xml:space="preserve"> </w:t>
      </w:r>
      <w:r w:rsidRPr="000F2B90">
        <w:rPr>
          <w:rtl/>
          <w:lang w:eastAsia="he-IL"/>
        </w:rPr>
        <w:t>זקפתי לזכותו את העובדה שמאז  הרשעתו האחרונה חלפו כמעט 5 שנים. לנאשם 2 הרשעות קודמות בלבד, שתיהן בגין עבירות של החזקת סם לצריכה עצמית, עבירה אחרונה משנת 2014.</w:t>
      </w:r>
    </w:p>
    <w:p w14:paraId="13C259BF" w14:textId="77777777" w:rsidR="00FE5DA8" w:rsidRPr="000F2B90" w:rsidRDefault="00FE5DA8" w:rsidP="00FE5DA8">
      <w:pPr>
        <w:spacing w:before="100" w:beforeAutospacing="1" w:after="100" w:afterAutospacing="1" w:line="300" w:lineRule="exact"/>
        <w:ind w:left="418"/>
        <w:contextualSpacing/>
        <w:jc w:val="both"/>
      </w:pPr>
    </w:p>
    <w:p w14:paraId="21F9A22C" w14:textId="77777777" w:rsidR="00FE5DA8" w:rsidRPr="000F2B90" w:rsidRDefault="00FE5DA8" w:rsidP="00FE5DA8">
      <w:pPr>
        <w:spacing w:before="100" w:beforeAutospacing="1" w:after="100" w:afterAutospacing="1" w:line="300" w:lineRule="exact"/>
        <w:ind w:left="418"/>
        <w:contextualSpacing/>
        <w:jc w:val="both"/>
        <w:rPr>
          <w:rtl/>
        </w:rPr>
      </w:pPr>
      <w:r w:rsidRPr="000F2B90">
        <w:rPr>
          <w:rtl/>
        </w:rPr>
        <w:t>לקחתי בחשבון את נסיבותיו האישיות של הנאשם. את גילו, את מצבו הבריאותי. ממסמכים שהוגשו לעיוני עולה כי הנאשם מוכר על ידי המוסד לביטוח לאומי כבעל  100% דרגת אי כושר בשל נכותו הכללית. ממסמך רפואי מחודש פברואר 2020, עולה כי ישנה החמרה במצבו של הנאשם בזמן האחרון, כאבי מפרקים. כאבים בעמוד שדרה, קושי בניידות ובהליכה ועמידה ממושכת.</w:t>
      </w:r>
    </w:p>
    <w:p w14:paraId="00CF24CA" w14:textId="77777777" w:rsidR="00FE5DA8" w:rsidRPr="000F2B90" w:rsidRDefault="00FE5DA8" w:rsidP="00FE5DA8">
      <w:pPr>
        <w:spacing w:before="100" w:beforeAutospacing="1" w:after="100" w:afterAutospacing="1" w:line="300" w:lineRule="exact"/>
        <w:ind w:left="418"/>
        <w:contextualSpacing/>
        <w:jc w:val="both"/>
        <w:rPr>
          <w:rtl/>
        </w:rPr>
      </w:pPr>
    </w:p>
    <w:p w14:paraId="25C312B4" w14:textId="77777777" w:rsidR="00FE5DA8" w:rsidRPr="000F2B90" w:rsidRDefault="00FE5DA8" w:rsidP="00FE5DA8">
      <w:pPr>
        <w:spacing w:before="100" w:beforeAutospacing="1" w:after="100" w:afterAutospacing="1" w:line="300" w:lineRule="exact"/>
        <w:ind w:left="418"/>
        <w:contextualSpacing/>
        <w:jc w:val="both"/>
        <w:rPr>
          <w:rtl/>
        </w:rPr>
      </w:pPr>
      <w:r w:rsidRPr="000F2B90">
        <w:rPr>
          <w:rtl/>
        </w:rPr>
        <w:t>לקחתי בחשבון כי בשל מצבו הרפואי שירות המבחן התרשם כי הנאשם לא יכול לבצע של"צ או עבודות שירות, ועל כן נמנע מלהמליץ על ענישה זו.</w:t>
      </w:r>
    </w:p>
    <w:p w14:paraId="47B15B82" w14:textId="77777777" w:rsidR="00FE5DA8" w:rsidRPr="000F2B90" w:rsidRDefault="00FE5DA8" w:rsidP="00FE5DA8">
      <w:pPr>
        <w:spacing w:before="100" w:beforeAutospacing="1" w:after="100" w:afterAutospacing="1" w:line="300" w:lineRule="exact"/>
        <w:ind w:left="418"/>
        <w:contextualSpacing/>
        <w:jc w:val="both"/>
        <w:rPr>
          <w:rtl/>
        </w:rPr>
      </w:pPr>
    </w:p>
    <w:p w14:paraId="7A106094" w14:textId="77777777" w:rsidR="00FE5DA8" w:rsidRPr="000F2B90" w:rsidRDefault="00FE5DA8" w:rsidP="00FE5DA8">
      <w:pPr>
        <w:spacing w:before="100" w:beforeAutospacing="1" w:after="100" w:afterAutospacing="1" w:line="300" w:lineRule="exact"/>
        <w:ind w:left="418"/>
        <w:contextualSpacing/>
        <w:jc w:val="both"/>
        <w:rPr>
          <w:rtl/>
        </w:rPr>
      </w:pPr>
      <w:r w:rsidRPr="000F2B90">
        <w:rPr>
          <w:rtl/>
        </w:rPr>
        <w:t xml:space="preserve">מהתסקיר עולה כי להתרשמות שירות המבחן פחתה המסוכנות הנשקפת מן הנאשם, וכי די </w:t>
      </w:r>
      <w:r>
        <w:rPr>
          <w:rtl/>
        </w:rPr>
        <w:t>בענישה בדמות מאסר מותנה כדי לה</w:t>
      </w:r>
      <w:r>
        <w:rPr>
          <w:rFonts w:hint="cs"/>
          <w:rtl/>
        </w:rPr>
        <w:t>רת</w:t>
      </w:r>
      <w:r w:rsidRPr="000F2B90">
        <w:rPr>
          <w:rtl/>
        </w:rPr>
        <w:t xml:space="preserve">יעו. עוד ציין שירות המבחן כי יש מקום לשלב את הנאשם בהליך טיפולי במסגרת צו מבחן. </w:t>
      </w:r>
    </w:p>
    <w:p w14:paraId="615607E6" w14:textId="77777777" w:rsidR="00FE5DA8" w:rsidRPr="000F2B90" w:rsidRDefault="00FE5DA8" w:rsidP="00FE5DA8">
      <w:pPr>
        <w:spacing w:before="100" w:beforeAutospacing="1" w:after="100" w:afterAutospacing="1" w:line="300" w:lineRule="exact"/>
        <w:ind w:left="418"/>
        <w:contextualSpacing/>
        <w:jc w:val="both"/>
        <w:rPr>
          <w:rtl/>
        </w:rPr>
      </w:pPr>
    </w:p>
    <w:p w14:paraId="3C79DF64" w14:textId="77777777" w:rsidR="00FE5DA8" w:rsidRPr="000F2B90" w:rsidRDefault="00FE5DA8" w:rsidP="00FE5DA8">
      <w:pPr>
        <w:spacing w:before="100" w:beforeAutospacing="1" w:after="100" w:afterAutospacing="1" w:line="300" w:lineRule="exact"/>
        <w:ind w:left="418"/>
        <w:contextualSpacing/>
        <w:jc w:val="both"/>
      </w:pPr>
      <w:r w:rsidRPr="000F2B90">
        <w:rPr>
          <w:rtl/>
        </w:rPr>
        <w:t>לקחתי בחשבון כי הנאשם היה עצור בתיק זה מאחורי סורג ובריח במשך 9 ימים, ולאחר מכן שוחרר בתנאים מגבילים הכוללים הרחק</w:t>
      </w:r>
      <w:r>
        <w:rPr>
          <w:rFonts w:hint="cs"/>
          <w:rtl/>
        </w:rPr>
        <w:t>ה</w:t>
      </w:r>
      <w:r w:rsidRPr="000F2B90">
        <w:rPr>
          <w:rtl/>
        </w:rPr>
        <w:t xml:space="preserve"> מביתו, דבר שחידד לנאשם את המחירים הכרוכים בהתנהלותו. התרשמתי כי הנאשם הפיק את הלקחים הנדרשים בעקבות ההליך המשפטי. </w:t>
      </w:r>
    </w:p>
    <w:p w14:paraId="2A7BDB31" w14:textId="77777777" w:rsidR="00FE5DA8" w:rsidRPr="000F2B90" w:rsidRDefault="00FE5DA8" w:rsidP="00FE5DA8">
      <w:pPr>
        <w:snapToGrid w:val="0"/>
        <w:spacing w:before="120" w:line="300" w:lineRule="exact"/>
        <w:ind w:left="1080"/>
        <w:contextualSpacing/>
        <w:jc w:val="both"/>
        <w:rPr>
          <w:lang w:eastAsia="he-IL"/>
        </w:rPr>
      </w:pPr>
    </w:p>
    <w:p w14:paraId="6C94B4CC" w14:textId="77777777" w:rsidR="00FE5DA8" w:rsidRPr="000F2B90" w:rsidRDefault="00FE5DA8" w:rsidP="00FE5DA8">
      <w:pPr>
        <w:numPr>
          <w:ilvl w:val="0"/>
          <w:numId w:val="1"/>
        </w:numPr>
        <w:snapToGrid w:val="0"/>
        <w:spacing w:before="120" w:line="300" w:lineRule="exact"/>
        <w:ind w:left="418" w:hanging="425"/>
        <w:contextualSpacing/>
        <w:rPr>
          <w:lang w:eastAsia="he-IL"/>
        </w:rPr>
      </w:pPr>
      <w:r w:rsidRPr="000F2B90">
        <w:rPr>
          <w:rtl/>
          <w:lang w:eastAsia="he-IL"/>
        </w:rPr>
        <w:t>לאחר שלקחתי בחשבון כל אלה, לאור התרשמות שירות המבחן  שפחת הסיכון הנשקף מן הנאשם, ולאור הפקת הלקחים שערך הנאשם בעקבות ההליך המשפטי, הגעתי לכלל מסקנה כי יש סיכוי של ממש שהנאשם השתקם, באופן המצדיק חריגה ממתחם העונש ההולם, בפרט על רקע מצבו הרפואי.</w:t>
      </w:r>
    </w:p>
    <w:p w14:paraId="1FE8F9B0" w14:textId="77777777" w:rsidR="00FE5DA8" w:rsidRPr="000F2B90" w:rsidRDefault="00FE5DA8" w:rsidP="00FE5DA8">
      <w:pPr>
        <w:snapToGrid w:val="0"/>
        <w:spacing w:before="120" w:line="300" w:lineRule="exact"/>
        <w:ind w:left="418"/>
        <w:contextualSpacing/>
        <w:rPr>
          <w:lang w:eastAsia="he-IL"/>
        </w:rPr>
      </w:pPr>
    </w:p>
    <w:p w14:paraId="47BF86EA" w14:textId="77777777" w:rsidR="00FE5DA8" w:rsidRPr="000F2B90" w:rsidRDefault="00FE5DA8" w:rsidP="00FE5DA8">
      <w:pPr>
        <w:snapToGrid w:val="0"/>
        <w:spacing w:before="120" w:after="200" w:line="300" w:lineRule="exact"/>
        <w:ind w:left="-7"/>
        <w:rPr>
          <w:lang w:eastAsia="he-IL"/>
        </w:rPr>
      </w:pPr>
      <w:r w:rsidRPr="000F2B90">
        <w:rPr>
          <w:b/>
          <w:bCs/>
          <w:u w:val="single"/>
          <w:rtl/>
          <w:lang w:eastAsia="he-IL"/>
        </w:rPr>
        <w:t>עונשו של הנאשם</w:t>
      </w:r>
      <w:r w:rsidRPr="000F2B90">
        <w:rPr>
          <w:rtl/>
          <w:lang w:eastAsia="he-IL"/>
        </w:rPr>
        <w:t>.</w:t>
      </w:r>
    </w:p>
    <w:p w14:paraId="19A79EC5" w14:textId="77777777" w:rsidR="00FE5DA8" w:rsidRPr="000F2B90" w:rsidRDefault="00FE5DA8" w:rsidP="00FE5DA8">
      <w:pPr>
        <w:numPr>
          <w:ilvl w:val="0"/>
          <w:numId w:val="1"/>
        </w:numPr>
        <w:snapToGrid w:val="0"/>
        <w:spacing w:before="120" w:line="300" w:lineRule="exact"/>
        <w:ind w:left="418" w:hanging="425"/>
        <w:contextualSpacing/>
        <w:rPr>
          <w:lang w:eastAsia="he-IL"/>
        </w:rPr>
      </w:pPr>
      <w:r w:rsidRPr="000F2B90">
        <w:rPr>
          <w:rtl/>
          <w:lang w:eastAsia="he-IL"/>
        </w:rPr>
        <w:t xml:space="preserve">לפיכך, מצאתי לנכון ולמידתי להטיל על הנאשם את העונשים הבאים:   </w:t>
      </w:r>
    </w:p>
    <w:p w14:paraId="4E82A449" w14:textId="77777777" w:rsidR="00FE5DA8" w:rsidRPr="000F2B90" w:rsidRDefault="00FE5DA8" w:rsidP="00FE5DA8">
      <w:pPr>
        <w:bidi w:val="0"/>
        <w:spacing w:line="360" w:lineRule="auto"/>
        <w:ind w:left="720"/>
        <w:contextualSpacing/>
        <w:jc w:val="both"/>
        <w:rPr>
          <w:rFonts w:ascii="David" w:hAnsi="David"/>
          <w:rtl/>
        </w:rPr>
      </w:pPr>
    </w:p>
    <w:p w14:paraId="04E5719E" w14:textId="77777777" w:rsidR="00FE5DA8" w:rsidRPr="000F2B90" w:rsidRDefault="00FE5DA8" w:rsidP="00FE5DA8">
      <w:pPr>
        <w:numPr>
          <w:ilvl w:val="0"/>
          <w:numId w:val="4"/>
        </w:numPr>
        <w:spacing w:after="120" w:line="360" w:lineRule="auto"/>
        <w:ind w:left="702" w:hanging="284"/>
        <w:contextualSpacing/>
        <w:jc w:val="both"/>
        <w:rPr>
          <w:rFonts w:ascii="David" w:hAnsi="David"/>
        </w:rPr>
      </w:pPr>
      <w:r w:rsidRPr="000F2B90">
        <w:rPr>
          <w:rFonts w:ascii="David" w:hAnsi="David"/>
          <w:rtl/>
        </w:rPr>
        <w:t>6 חודשי מאסר וזאת על תנאי למשך 3 שנים לבל יעבור הנאשם עבירות פשע בניגוד ל</w:t>
      </w:r>
      <w:hyperlink r:id="rId35" w:history="1">
        <w:r w:rsidR="00D859C0" w:rsidRPr="00D859C0">
          <w:rPr>
            <w:rFonts w:ascii="David" w:hAnsi="David"/>
            <w:color w:val="0000FF"/>
            <w:u w:val="single"/>
            <w:rtl/>
          </w:rPr>
          <w:t>פקודת הסמים המסוכנים</w:t>
        </w:r>
      </w:hyperlink>
      <w:r w:rsidRPr="000F2B90">
        <w:rPr>
          <w:rFonts w:ascii="David" w:hAnsi="David"/>
          <w:rtl/>
        </w:rPr>
        <w:t>.</w:t>
      </w:r>
    </w:p>
    <w:p w14:paraId="71447FDB" w14:textId="77777777" w:rsidR="00FE5DA8" w:rsidRPr="000F2B90" w:rsidRDefault="00FE5DA8" w:rsidP="00FE5DA8">
      <w:pPr>
        <w:spacing w:after="120" w:line="360" w:lineRule="auto"/>
        <w:ind w:left="702"/>
        <w:contextualSpacing/>
        <w:jc w:val="both"/>
        <w:rPr>
          <w:rFonts w:ascii="David" w:hAnsi="David"/>
        </w:rPr>
      </w:pPr>
    </w:p>
    <w:p w14:paraId="6BE9DD02" w14:textId="77777777" w:rsidR="00FE5DA8" w:rsidRPr="000F2B90" w:rsidRDefault="00FE5DA8" w:rsidP="00FE5DA8">
      <w:pPr>
        <w:numPr>
          <w:ilvl w:val="0"/>
          <w:numId w:val="4"/>
        </w:numPr>
        <w:spacing w:after="120" w:line="360" w:lineRule="auto"/>
        <w:ind w:left="702" w:hanging="694"/>
        <w:contextualSpacing/>
        <w:jc w:val="both"/>
        <w:rPr>
          <w:rFonts w:ascii="David" w:hAnsi="David"/>
        </w:rPr>
      </w:pPr>
      <w:r w:rsidRPr="000F2B90">
        <w:rPr>
          <w:rFonts w:ascii="David" w:hAnsi="David"/>
          <w:rtl/>
        </w:rPr>
        <w:t xml:space="preserve">פסילה בפועל מלהחזיק ומלקבל רישיון נהיגה לתקופה של 24 חודשים.  </w:t>
      </w:r>
    </w:p>
    <w:p w14:paraId="05D077A9" w14:textId="77777777" w:rsidR="00FE5DA8" w:rsidRPr="000F2B90" w:rsidRDefault="00FE5DA8" w:rsidP="00FE5DA8">
      <w:pPr>
        <w:bidi w:val="0"/>
        <w:spacing w:line="360" w:lineRule="auto"/>
        <w:ind w:left="720"/>
        <w:contextualSpacing/>
        <w:rPr>
          <w:rFonts w:ascii="David" w:hAnsi="David"/>
          <w:rtl/>
        </w:rPr>
      </w:pPr>
    </w:p>
    <w:p w14:paraId="298B5175" w14:textId="77777777" w:rsidR="00FE5DA8" w:rsidRPr="000F2B90" w:rsidRDefault="00FE5DA8" w:rsidP="00FE5DA8">
      <w:pPr>
        <w:spacing w:after="120" w:line="360" w:lineRule="auto"/>
        <w:ind w:left="702"/>
        <w:contextualSpacing/>
        <w:jc w:val="both"/>
        <w:rPr>
          <w:rFonts w:ascii="David" w:hAnsi="David"/>
          <w:rtl/>
        </w:rPr>
      </w:pPr>
      <w:r w:rsidRPr="00D317DF">
        <w:rPr>
          <w:rFonts w:ascii="David" w:hAnsi="David"/>
          <w:rtl/>
        </w:rPr>
        <w:t>לאור הצהרת הנאשם כי אין בידו רישיון נהיגה – המזכירות תנפיק אישור הפקדה מהיום ללא צורך בהפקדת רישיון.</w:t>
      </w:r>
    </w:p>
    <w:p w14:paraId="60C0BEC8" w14:textId="77777777" w:rsidR="00FE5DA8" w:rsidRPr="000F2B90" w:rsidRDefault="00FE5DA8" w:rsidP="00FE5DA8">
      <w:pPr>
        <w:spacing w:after="120" w:line="360" w:lineRule="auto"/>
        <w:ind w:left="702"/>
        <w:contextualSpacing/>
        <w:jc w:val="both"/>
        <w:rPr>
          <w:rFonts w:ascii="David" w:hAnsi="David"/>
          <w:rtl/>
        </w:rPr>
      </w:pPr>
    </w:p>
    <w:p w14:paraId="5D63F138" w14:textId="77777777" w:rsidR="00FE5DA8" w:rsidRPr="000F2B90" w:rsidRDefault="00FE5DA8" w:rsidP="00FE5DA8">
      <w:pPr>
        <w:numPr>
          <w:ilvl w:val="0"/>
          <w:numId w:val="4"/>
        </w:numPr>
        <w:spacing w:after="120" w:line="360" w:lineRule="auto"/>
        <w:ind w:left="702" w:hanging="694"/>
        <w:contextualSpacing/>
        <w:jc w:val="both"/>
        <w:rPr>
          <w:rFonts w:ascii="David" w:hAnsi="David"/>
        </w:rPr>
      </w:pPr>
      <w:r w:rsidRPr="000F2B90">
        <w:rPr>
          <w:rFonts w:ascii="David" w:hAnsi="David"/>
          <w:rtl/>
        </w:rPr>
        <w:t>פסילה מותנית בת 6 חודשים למשך 3 שנים לבל יעבור הנאשם עבירות בניגוד ל</w:t>
      </w:r>
      <w:hyperlink r:id="rId36" w:history="1">
        <w:r w:rsidR="00D859C0" w:rsidRPr="00D859C0">
          <w:rPr>
            <w:rFonts w:ascii="David" w:hAnsi="David"/>
            <w:color w:val="0000FF"/>
            <w:u w:val="single"/>
            <w:rtl/>
          </w:rPr>
          <w:t>פקודת הסמים המסוכנים</w:t>
        </w:r>
      </w:hyperlink>
      <w:r w:rsidRPr="000F2B90">
        <w:rPr>
          <w:rFonts w:ascii="David" w:hAnsi="David"/>
          <w:rtl/>
        </w:rPr>
        <w:t>.</w:t>
      </w:r>
    </w:p>
    <w:p w14:paraId="5E29E721" w14:textId="77777777" w:rsidR="00FE5DA8" w:rsidRPr="000F2B90" w:rsidRDefault="00FE5DA8" w:rsidP="00FE5DA8">
      <w:pPr>
        <w:spacing w:line="360" w:lineRule="auto"/>
        <w:ind w:left="702" w:hanging="694"/>
        <w:contextualSpacing/>
        <w:jc w:val="both"/>
        <w:rPr>
          <w:rFonts w:ascii="David" w:hAnsi="David"/>
          <w:rtl/>
        </w:rPr>
      </w:pPr>
    </w:p>
    <w:p w14:paraId="0894CB83" w14:textId="77777777" w:rsidR="00FE5DA8" w:rsidRPr="000F2B90" w:rsidRDefault="00FE5DA8" w:rsidP="00FE5DA8">
      <w:pPr>
        <w:numPr>
          <w:ilvl w:val="0"/>
          <w:numId w:val="4"/>
        </w:numPr>
        <w:spacing w:after="120" w:line="360" w:lineRule="auto"/>
        <w:ind w:left="702" w:hanging="694"/>
        <w:contextualSpacing/>
        <w:jc w:val="both"/>
        <w:rPr>
          <w:rFonts w:ascii="David" w:hAnsi="David"/>
        </w:rPr>
      </w:pPr>
      <w:r w:rsidRPr="000F2B90">
        <w:rPr>
          <w:rFonts w:ascii="David" w:hAnsi="David"/>
          <w:rtl/>
        </w:rPr>
        <w:t xml:space="preserve">קנס בסך 2500 ₪. הקנס ישולם ב </w:t>
      </w:r>
      <w:r>
        <w:rPr>
          <w:rFonts w:ascii="David" w:hAnsi="David" w:hint="cs"/>
          <w:rtl/>
        </w:rPr>
        <w:t xml:space="preserve">-5 </w:t>
      </w:r>
      <w:r w:rsidRPr="000F2B90">
        <w:rPr>
          <w:rFonts w:ascii="David" w:hAnsi="David"/>
          <w:rtl/>
        </w:rPr>
        <w:t xml:space="preserve"> תשלומים חודשיים רצופים ושווים. תשלום ראשון לא יאוחר מיום </w:t>
      </w:r>
      <w:r>
        <w:rPr>
          <w:rFonts w:ascii="David" w:hAnsi="David" w:hint="cs"/>
          <w:rtl/>
        </w:rPr>
        <w:t>01.10.20. ככל שיש הפקדה בתיק המעצר, תיזקף ההפקדה על חשבון הקנס.</w:t>
      </w:r>
    </w:p>
    <w:p w14:paraId="4F5010FE" w14:textId="77777777" w:rsidR="00FE5DA8" w:rsidRPr="00D317DF" w:rsidRDefault="00FE5DA8" w:rsidP="00FE5DA8">
      <w:pPr>
        <w:spacing w:line="360" w:lineRule="auto"/>
        <w:ind w:left="702" w:hanging="694"/>
        <w:contextualSpacing/>
        <w:jc w:val="both"/>
        <w:rPr>
          <w:rFonts w:ascii="David" w:hAnsi="David"/>
          <w:rtl/>
        </w:rPr>
      </w:pPr>
    </w:p>
    <w:p w14:paraId="4DA8C726" w14:textId="77777777" w:rsidR="00FE5DA8" w:rsidRPr="000F2B90" w:rsidRDefault="00FE5DA8" w:rsidP="00FE5DA8">
      <w:pPr>
        <w:numPr>
          <w:ilvl w:val="0"/>
          <w:numId w:val="4"/>
        </w:numPr>
        <w:spacing w:after="120" w:line="360" w:lineRule="auto"/>
        <w:ind w:left="702" w:hanging="694"/>
        <w:contextualSpacing/>
        <w:jc w:val="both"/>
        <w:rPr>
          <w:rFonts w:ascii="David" w:hAnsi="David"/>
        </w:rPr>
      </w:pPr>
      <w:r w:rsidRPr="000F2B90">
        <w:rPr>
          <w:rFonts w:ascii="David" w:hAnsi="David"/>
          <w:rtl/>
        </w:rPr>
        <w:t>הנני מטילה על הנאשם צו מבחן וזאת למשך 18 חודשים.  הנאשם ימצא בפיקוח שירות המבחן למשך 18 חודשים מהיום. במסגרת המבחן ישולב הנאשם בכל הליך טיפולי  ששירות המבחן ימצא לנכון מעת לעת.</w:t>
      </w:r>
    </w:p>
    <w:p w14:paraId="5EECE5B4" w14:textId="77777777" w:rsidR="00FE5DA8" w:rsidRPr="000F2B90" w:rsidRDefault="00FE5DA8" w:rsidP="00FE5DA8">
      <w:pPr>
        <w:spacing w:after="120" w:line="360" w:lineRule="auto"/>
        <w:ind w:left="702" w:hanging="694"/>
        <w:contextualSpacing/>
        <w:jc w:val="both"/>
        <w:rPr>
          <w:rFonts w:ascii="David" w:hAnsi="David"/>
        </w:rPr>
      </w:pPr>
    </w:p>
    <w:p w14:paraId="41350F9E" w14:textId="77777777" w:rsidR="00FE5DA8" w:rsidRPr="000F2B90" w:rsidRDefault="00FE5DA8" w:rsidP="00FE5DA8">
      <w:pPr>
        <w:spacing w:after="120" w:line="360" w:lineRule="auto"/>
        <w:ind w:left="702"/>
        <w:contextualSpacing/>
        <w:jc w:val="both"/>
        <w:rPr>
          <w:rFonts w:ascii="David" w:hAnsi="David"/>
          <w:rtl/>
        </w:rPr>
      </w:pPr>
      <w:r w:rsidRPr="000F2B90">
        <w:rPr>
          <w:rFonts w:ascii="David" w:hAnsi="David"/>
          <w:rtl/>
        </w:rPr>
        <w:t xml:space="preserve">הנאשם מוזהר כי אם לא ימולאו תנאי הצו במלואם, ניתן יהיה לבטלו ולהטיל עליו עונש נוסף, בגין העבירות בהן הורשע, במקום צו המבחן. למען הסר ספק הנאשם מוזהר שהעונש הנוסף שיוטל יכול ויהיה עונש מאסר </w:t>
      </w:r>
    </w:p>
    <w:p w14:paraId="2BA50973" w14:textId="77777777" w:rsidR="00FE5DA8" w:rsidRPr="000F2B90" w:rsidRDefault="00FE5DA8" w:rsidP="00FE5DA8">
      <w:pPr>
        <w:spacing w:line="360" w:lineRule="auto"/>
        <w:ind w:left="702" w:hanging="694"/>
        <w:contextualSpacing/>
        <w:jc w:val="both"/>
        <w:rPr>
          <w:rFonts w:ascii="David" w:hAnsi="David"/>
          <w:rtl/>
        </w:rPr>
      </w:pPr>
    </w:p>
    <w:p w14:paraId="75684D93" w14:textId="77777777" w:rsidR="00FE5DA8" w:rsidRPr="000F2B90" w:rsidRDefault="00FE5DA8" w:rsidP="00FE5DA8">
      <w:pPr>
        <w:spacing w:after="120" w:line="360" w:lineRule="auto"/>
        <w:ind w:left="702" w:hanging="694"/>
        <w:contextualSpacing/>
        <w:jc w:val="both"/>
        <w:rPr>
          <w:rFonts w:ascii="David" w:hAnsi="David"/>
          <w:rtl/>
        </w:rPr>
      </w:pPr>
      <w:r w:rsidRPr="000F2B90">
        <w:rPr>
          <w:rFonts w:ascii="David" w:hAnsi="David"/>
          <w:rtl/>
        </w:rPr>
        <w:t>זכות ערעור לבית המשפט המחוזי תוך 45 יום</w:t>
      </w:r>
    </w:p>
    <w:p w14:paraId="3D750793" w14:textId="77777777" w:rsidR="00FE5DA8" w:rsidRPr="00FE5DA8" w:rsidRDefault="00D859C0" w:rsidP="00FE5DA8">
      <w:pPr>
        <w:bidi w:val="0"/>
        <w:spacing w:after="200" w:line="276" w:lineRule="auto"/>
        <w:ind w:left="720"/>
        <w:jc w:val="right"/>
        <w:rPr>
          <w:rFonts w:ascii="Calibri" w:hAnsi="Calibri"/>
          <w:rtl/>
        </w:rPr>
      </w:pPr>
      <w:r w:rsidRPr="00D859C0">
        <w:rPr>
          <w:rFonts w:ascii="Calibri" w:hAnsi="Calibri"/>
          <w:color w:val="FFFFFF"/>
          <w:sz w:val="2"/>
          <w:szCs w:val="2"/>
          <w:rtl/>
          <w:lang w:eastAsia="he-IL"/>
        </w:rPr>
        <w:t>5129371</w:t>
      </w:r>
      <w:r w:rsidR="00FE5DA8" w:rsidRPr="00FE5DA8">
        <w:rPr>
          <w:rFonts w:ascii="Calibri" w:hAnsi="Calibri" w:hint="eastAsia"/>
          <w:rtl/>
          <w:lang w:eastAsia="he-IL"/>
        </w:rPr>
        <w:t>המוצגים</w:t>
      </w:r>
      <w:r w:rsidR="00FE5DA8" w:rsidRPr="00FE5DA8">
        <w:rPr>
          <w:rFonts w:ascii="Calibri" w:hAnsi="Calibri"/>
          <w:rtl/>
          <w:lang w:eastAsia="he-IL"/>
        </w:rPr>
        <w:t xml:space="preserve"> </w:t>
      </w:r>
      <w:r w:rsidR="00FE5DA8" w:rsidRPr="00FE5DA8">
        <w:rPr>
          <w:rFonts w:ascii="Calibri" w:hAnsi="Calibri" w:hint="eastAsia"/>
          <w:rtl/>
          <w:lang w:eastAsia="he-IL"/>
        </w:rPr>
        <w:t>יושמדו</w:t>
      </w:r>
      <w:r w:rsidR="00FE5DA8" w:rsidRPr="00FE5DA8">
        <w:rPr>
          <w:rFonts w:ascii="Calibri" w:hAnsi="Calibri"/>
          <w:rtl/>
          <w:lang w:eastAsia="he-IL"/>
        </w:rPr>
        <w:t xml:space="preserve"> </w:t>
      </w:r>
      <w:r w:rsidR="00FE5DA8" w:rsidRPr="00FE5DA8">
        <w:rPr>
          <w:rFonts w:ascii="Calibri" w:hAnsi="Calibri" w:hint="eastAsia"/>
          <w:rtl/>
          <w:lang w:eastAsia="he-IL"/>
        </w:rPr>
        <w:t>בחלוף</w:t>
      </w:r>
      <w:r w:rsidR="00FE5DA8" w:rsidRPr="00FE5DA8">
        <w:rPr>
          <w:rFonts w:ascii="Calibri" w:hAnsi="Calibri"/>
          <w:rtl/>
          <w:lang w:eastAsia="he-IL"/>
        </w:rPr>
        <w:t xml:space="preserve"> </w:t>
      </w:r>
      <w:r w:rsidR="00FE5DA8" w:rsidRPr="00FE5DA8">
        <w:rPr>
          <w:rFonts w:ascii="Calibri" w:hAnsi="Calibri" w:hint="eastAsia"/>
          <w:rtl/>
          <w:lang w:eastAsia="he-IL"/>
        </w:rPr>
        <w:t>תקופת</w:t>
      </w:r>
      <w:r w:rsidR="00FE5DA8" w:rsidRPr="00FE5DA8">
        <w:rPr>
          <w:rFonts w:ascii="Calibri" w:hAnsi="Calibri"/>
          <w:rtl/>
          <w:lang w:eastAsia="he-IL"/>
        </w:rPr>
        <w:t xml:space="preserve"> </w:t>
      </w:r>
      <w:r w:rsidR="00FE5DA8" w:rsidRPr="00FE5DA8">
        <w:rPr>
          <w:rFonts w:ascii="Calibri" w:hAnsi="Calibri" w:hint="eastAsia"/>
          <w:rtl/>
          <w:lang w:eastAsia="he-IL"/>
        </w:rPr>
        <w:t>הערעור</w:t>
      </w:r>
      <w:r w:rsidR="00FE5DA8" w:rsidRPr="00FE5DA8">
        <w:rPr>
          <w:rFonts w:ascii="Calibri" w:hAnsi="Calibri" w:hint="cs"/>
          <w:rtl/>
          <w:lang w:eastAsia="he-IL"/>
        </w:rPr>
        <w:t>, למעט הטלפון שיוחזר לנאשם לאלתר</w:t>
      </w:r>
      <w:r w:rsidR="00FE5DA8" w:rsidRPr="00FE5DA8">
        <w:rPr>
          <w:rFonts w:ascii="Calibri" w:hAnsi="Calibri"/>
          <w:rtl/>
          <w:lang w:eastAsia="he-IL"/>
        </w:rPr>
        <w:t>.</w:t>
      </w:r>
    </w:p>
    <w:p w14:paraId="4DB05FF4" w14:textId="77777777" w:rsidR="00FE5DA8" w:rsidRPr="00D859C0" w:rsidRDefault="00D859C0" w:rsidP="00FE5DA8">
      <w:pPr>
        <w:rPr>
          <w:rFonts w:ascii="Arial" w:hAnsi="Arial"/>
          <w:color w:val="FFFFFF"/>
          <w:sz w:val="2"/>
          <w:szCs w:val="2"/>
          <w:rtl/>
        </w:rPr>
      </w:pPr>
      <w:r w:rsidRPr="00D859C0">
        <w:rPr>
          <w:rFonts w:ascii="Arial" w:hAnsi="Arial"/>
          <w:color w:val="FFFFFF"/>
          <w:sz w:val="2"/>
          <w:szCs w:val="2"/>
          <w:rtl/>
        </w:rPr>
        <w:t>54678313</w:t>
      </w:r>
    </w:p>
    <w:p w14:paraId="025DED69" w14:textId="77777777" w:rsidR="00FE5DA8" w:rsidRDefault="00D859C0" w:rsidP="00D859C0">
      <w:pPr>
        <w:jc w:val="center"/>
      </w:pPr>
      <w:bookmarkStart w:id="8" w:name="Nitan"/>
      <w:r>
        <w:rPr>
          <w:rFonts w:ascii="Arial" w:hAnsi="Arial"/>
          <w:rtl/>
        </w:rPr>
        <w:t xml:space="preserve">ניתן היום,  ט"ו תמוז תש"פ, 07 יולי 2020, במעמד הצדדים. </w:t>
      </w:r>
      <w:bookmarkEnd w:id="8"/>
      <w:r w:rsidR="00FE5DA8">
        <w:rPr>
          <w:rFonts w:hint="cs"/>
          <w:rtl/>
        </w:rPr>
        <w:t xml:space="preserve">   </w:t>
      </w:r>
      <w:r w:rsidR="00FE5DA8">
        <w:rPr>
          <w:rFonts w:hint="cs"/>
          <w:rtl/>
        </w:rPr>
        <w:tab/>
      </w:r>
      <w:r w:rsidR="00FE5DA8">
        <w:rPr>
          <w:rFonts w:hint="cs"/>
          <w:rtl/>
        </w:rPr>
        <w:tab/>
      </w:r>
      <w:r w:rsidR="00FE5DA8">
        <w:rPr>
          <w:rFonts w:hint="cs"/>
          <w:rtl/>
        </w:rPr>
        <w:tab/>
      </w:r>
      <w:r w:rsidR="00FE5DA8">
        <w:rPr>
          <w:rFonts w:hint="cs"/>
          <w:rtl/>
        </w:rPr>
        <w:tab/>
      </w:r>
      <w:r w:rsidR="00FE5DA8">
        <w:rPr>
          <w:rFonts w:hint="cs"/>
          <w:rtl/>
        </w:rPr>
        <w:tab/>
      </w:r>
    </w:p>
    <w:p w14:paraId="6869797C" w14:textId="77777777" w:rsidR="00FE5DA8" w:rsidRDefault="00FE5DA8" w:rsidP="00FE5DA8">
      <w:pPr>
        <w:jc w:val="center"/>
        <w:rPr>
          <w:rFonts w:ascii="Arial" w:hAnsi="Arial" w:cs="FrankRuehl"/>
          <w:sz w:val="28"/>
          <w:szCs w:val="28"/>
          <w:rtl/>
        </w:rPr>
      </w:pPr>
    </w:p>
    <w:p w14:paraId="31666790" w14:textId="77777777" w:rsidR="00FE5DA8" w:rsidRDefault="00FE5DA8" w:rsidP="00FE5DA8">
      <w:pPr>
        <w:rPr>
          <w:rFonts w:cs="FrankRuehl"/>
          <w:sz w:val="28"/>
          <w:szCs w:val="28"/>
          <w:rtl/>
        </w:rPr>
      </w:pPr>
    </w:p>
    <w:p w14:paraId="409FBDCE" w14:textId="77777777" w:rsidR="00FE5DA8" w:rsidRDefault="00FE5DA8" w:rsidP="00FE5DA8">
      <w:pPr>
        <w:pStyle w:val="a3"/>
        <w:jc w:val="center"/>
        <w:rPr>
          <w:rtl/>
        </w:rPr>
      </w:pPr>
    </w:p>
    <w:p w14:paraId="4B414E0B" w14:textId="77777777" w:rsidR="001767E3" w:rsidRPr="00D859C0" w:rsidRDefault="00843BD9" w:rsidP="00D859C0">
      <w:pPr>
        <w:keepNext/>
        <w:rPr>
          <w:rFonts w:ascii="David" w:hAnsi="David" w:hint="cs"/>
          <w:color w:val="000000"/>
          <w:sz w:val="22"/>
          <w:szCs w:val="22"/>
          <w:rtl/>
        </w:rPr>
      </w:pPr>
      <w:r>
        <w:rPr>
          <w:rFonts w:ascii="David" w:hAnsi="David" w:hint="cs"/>
          <w:color w:val="000000"/>
          <w:sz w:val="22"/>
          <w:szCs w:val="22"/>
          <w:rtl/>
        </w:rPr>
        <w:t xml:space="preserve"> </w:t>
      </w:r>
    </w:p>
    <w:p w14:paraId="235BDD68" w14:textId="77777777" w:rsidR="00D859C0" w:rsidRPr="00D859C0" w:rsidRDefault="00D859C0" w:rsidP="00D859C0">
      <w:pPr>
        <w:keepNext/>
        <w:rPr>
          <w:rFonts w:ascii="David" w:hAnsi="David"/>
          <w:color w:val="000000"/>
          <w:sz w:val="22"/>
          <w:szCs w:val="22"/>
          <w:rtl/>
        </w:rPr>
      </w:pPr>
      <w:r w:rsidRPr="00D859C0">
        <w:rPr>
          <w:rFonts w:ascii="David" w:hAnsi="David"/>
          <w:color w:val="000000"/>
          <w:sz w:val="22"/>
          <w:szCs w:val="22"/>
          <w:rtl/>
        </w:rPr>
        <w:t>נועה חקלאי 54678313</w:t>
      </w:r>
    </w:p>
    <w:p w14:paraId="1649975B" w14:textId="77777777" w:rsidR="00D859C0" w:rsidRDefault="00D859C0" w:rsidP="00D859C0">
      <w:r w:rsidRPr="00D859C0">
        <w:rPr>
          <w:color w:val="000000"/>
          <w:rtl/>
        </w:rPr>
        <w:t>נוסח מסמך זה כפוף לשינויי ניסוח ועריכה</w:t>
      </w:r>
    </w:p>
    <w:p w14:paraId="204036DB" w14:textId="77777777" w:rsidR="00D859C0" w:rsidRDefault="00D859C0" w:rsidP="00D859C0">
      <w:pPr>
        <w:rPr>
          <w:rtl/>
        </w:rPr>
      </w:pPr>
    </w:p>
    <w:p w14:paraId="5A853D42" w14:textId="77777777" w:rsidR="00D859C0" w:rsidRDefault="00D859C0" w:rsidP="00D859C0">
      <w:pPr>
        <w:jc w:val="center"/>
        <w:rPr>
          <w:color w:val="0000FF"/>
          <w:u w:val="single"/>
        </w:rPr>
      </w:pPr>
      <w:hyperlink r:id="rId37" w:history="1">
        <w:r>
          <w:rPr>
            <w:color w:val="0000FF"/>
            <w:u w:val="single"/>
            <w:rtl/>
          </w:rPr>
          <w:t>בעניין עריכה ושינויים במסמכי פסיקה, חקיקה ועוד באתר נבו – הקש כאן</w:t>
        </w:r>
      </w:hyperlink>
    </w:p>
    <w:p w14:paraId="448BF4AD" w14:textId="77777777" w:rsidR="00D859C0" w:rsidRPr="00D859C0" w:rsidRDefault="00D859C0" w:rsidP="00D859C0">
      <w:pPr>
        <w:jc w:val="center"/>
        <w:rPr>
          <w:color w:val="0000FF"/>
          <w:u w:val="single"/>
        </w:rPr>
      </w:pPr>
    </w:p>
    <w:sectPr w:rsidR="00D859C0" w:rsidRPr="00D859C0" w:rsidSect="00D859C0">
      <w:headerReference w:type="even" r:id="rId38"/>
      <w:headerReference w:type="default" r:id="rId39"/>
      <w:footerReference w:type="even" r:id="rId40"/>
      <w:footerReference w:type="default" r:id="rId41"/>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E0A91F" w14:textId="77777777" w:rsidR="00AA2448" w:rsidRDefault="00AA2448" w:rsidP="00414C90">
      <w:r>
        <w:separator/>
      </w:r>
    </w:p>
  </w:endnote>
  <w:endnote w:type="continuationSeparator" w:id="0">
    <w:p w14:paraId="44332DD5" w14:textId="77777777" w:rsidR="00AA2448" w:rsidRDefault="00AA2448" w:rsidP="00414C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7E0A5C" w14:textId="77777777" w:rsidR="00D859C0" w:rsidRDefault="00D859C0" w:rsidP="00D859C0">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4C602664" w14:textId="77777777" w:rsidR="004C1171" w:rsidRPr="00D859C0" w:rsidRDefault="00D859C0" w:rsidP="00D859C0">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37FA86" w14:textId="77777777" w:rsidR="00D859C0" w:rsidRDefault="00D859C0" w:rsidP="00D859C0">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DD04E4">
      <w:rPr>
        <w:rFonts w:ascii="FrankRuehl" w:hAnsi="FrankRuehl" w:cs="FrankRuehl"/>
        <w:noProof/>
        <w:rtl/>
      </w:rPr>
      <w:t>1</w:t>
    </w:r>
    <w:r>
      <w:rPr>
        <w:rFonts w:ascii="FrankRuehl" w:hAnsi="FrankRuehl" w:cs="FrankRuehl"/>
        <w:rtl/>
      </w:rPr>
      <w:fldChar w:fldCharType="end"/>
    </w:r>
  </w:p>
  <w:p w14:paraId="7592DA5E" w14:textId="77777777" w:rsidR="004C1171" w:rsidRPr="00D859C0" w:rsidRDefault="00D859C0" w:rsidP="00D859C0">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23ECDC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E699BE" w14:textId="77777777" w:rsidR="00AA2448" w:rsidRDefault="00AA2448" w:rsidP="00414C90">
      <w:r>
        <w:separator/>
      </w:r>
    </w:p>
  </w:footnote>
  <w:footnote w:type="continuationSeparator" w:id="0">
    <w:p w14:paraId="054579AB" w14:textId="77777777" w:rsidR="00AA2448" w:rsidRDefault="00AA2448" w:rsidP="00414C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656BDB" w14:textId="77777777" w:rsidR="00D859C0" w:rsidRPr="00D859C0" w:rsidRDefault="00D859C0" w:rsidP="00D859C0">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(אש') 76327-07-19</w:t>
    </w:r>
    <w:r>
      <w:rPr>
        <w:rFonts w:ascii="David" w:hAnsi="David"/>
        <w:color w:val="000000"/>
        <w:sz w:val="22"/>
        <w:szCs w:val="22"/>
        <w:rtl/>
      </w:rPr>
      <w:tab/>
      <w:t xml:space="preserve"> מדינת ישראל נ' דגיגורי קדורין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719BEA" w14:textId="77777777" w:rsidR="00D859C0" w:rsidRPr="00D859C0" w:rsidRDefault="00D859C0" w:rsidP="00D859C0">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(אש') 76327-07-19</w:t>
    </w:r>
    <w:r>
      <w:rPr>
        <w:rFonts w:ascii="David" w:hAnsi="David"/>
        <w:color w:val="000000"/>
        <w:sz w:val="22"/>
        <w:szCs w:val="22"/>
        <w:rtl/>
      </w:rPr>
      <w:tab/>
      <w:t xml:space="preserve"> מדינת ישראל נ' דגיגורי קדורין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416FC6"/>
    <w:multiLevelType w:val="hybridMultilevel"/>
    <w:tmpl w:val="DE088B76"/>
    <w:lvl w:ilvl="0" w:tplc="9490D2A8">
      <w:start w:val="1"/>
      <w:numFmt w:val="decimal"/>
      <w:lvlText w:val="%1."/>
      <w:lvlJc w:val="left"/>
      <w:pPr>
        <w:ind w:left="720" w:hanging="360"/>
      </w:pPr>
      <w:rPr>
        <w:rFonts w:cs="Times New Roman" w:hint="default"/>
        <w:b/>
        <w:bCs w:val="0"/>
      </w:rPr>
    </w:lvl>
    <w:lvl w:ilvl="1" w:tplc="04090019">
      <w:start w:val="1"/>
      <w:numFmt w:val="lowerLetter"/>
      <w:lvlText w:val="%2."/>
      <w:lvlJc w:val="left"/>
      <w:pPr>
        <w:ind w:left="1636"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15:restartNumberingAfterBreak="0">
    <w:nsid w:val="0F781D28"/>
    <w:multiLevelType w:val="hybridMultilevel"/>
    <w:tmpl w:val="93D26BA2"/>
    <w:lvl w:ilvl="0" w:tplc="A55C24BC">
      <w:start w:val="1"/>
      <w:numFmt w:val="hebrew1"/>
      <w:lvlText w:val="%1."/>
      <w:lvlJc w:val="left"/>
      <w:pPr>
        <w:ind w:left="720" w:hanging="360"/>
      </w:pPr>
      <w:rPr>
        <w:rFonts w:cs="Times New Roman" w:hint="default"/>
        <w:b/>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15:restartNumberingAfterBreak="0">
    <w:nsid w:val="611108C9"/>
    <w:multiLevelType w:val="hybridMultilevel"/>
    <w:tmpl w:val="E492513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79D0678F"/>
    <w:multiLevelType w:val="hybridMultilevel"/>
    <w:tmpl w:val="03041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0967578">
    <w:abstractNumId w:val="0"/>
  </w:num>
  <w:num w:numId="2" w16cid:durableId="1773235263">
    <w:abstractNumId w:val="2"/>
  </w:num>
  <w:num w:numId="3" w16cid:durableId="1835029068">
    <w:abstractNumId w:val="3"/>
  </w:num>
  <w:num w:numId="4" w16cid:durableId="19449930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FE5DA8"/>
    <w:rsid w:val="0003283D"/>
    <w:rsid w:val="00057A01"/>
    <w:rsid w:val="001767E3"/>
    <w:rsid w:val="00414C90"/>
    <w:rsid w:val="004C1171"/>
    <w:rsid w:val="005B30EB"/>
    <w:rsid w:val="006266CA"/>
    <w:rsid w:val="00843BD9"/>
    <w:rsid w:val="00AA2448"/>
    <w:rsid w:val="00C501AB"/>
    <w:rsid w:val="00D859C0"/>
    <w:rsid w:val="00DD04E4"/>
    <w:rsid w:val="00E001CF"/>
    <w:rsid w:val="00E068C8"/>
    <w:rsid w:val="00EC3814"/>
    <w:rsid w:val="00F06D45"/>
    <w:rsid w:val="00FE5DA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01C570F"/>
  <w15:chartTrackingRefBased/>
  <w15:docId w15:val="{4853BCF1-D5F3-4403-99F0-951AD90708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E5DA8"/>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FE5DA8"/>
    <w:pPr>
      <w:tabs>
        <w:tab w:val="center" w:pos="4153"/>
        <w:tab w:val="right" w:pos="8306"/>
      </w:tabs>
    </w:pPr>
  </w:style>
  <w:style w:type="character" w:customStyle="1" w:styleId="a4">
    <w:name w:val="כותרת עליונה תו"/>
    <w:link w:val="a3"/>
    <w:rsid w:val="00FE5DA8"/>
    <w:rPr>
      <w:rFonts w:ascii="Times New Roman" w:eastAsia="Times New Roman" w:hAnsi="Times New Roman" w:cs="David"/>
      <w:sz w:val="24"/>
      <w:szCs w:val="24"/>
    </w:rPr>
  </w:style>
  <w:style w:type="paragraph" w:styleId="a5">
    <w:name w:val="footer"/>
    <w:basedOn w:val="a"/>
    <w:link w:val="a6"/>
    <w:rsid w:val="00FE5DA8"/>
    <w:pPr>
      <w:tabs>
        <w:tab w:val="center" w:pos="4153"/>
        <w:tab w:val="right" w:pos="8306"/>
      </w:tabs>
    </w:pPr>
  </w:style>
  <w:style w:type="character" w:customStyle="1" w:styleId="a6">
    <w:name w:val="כותרת תחתונה תו"/>
    <w:link w:val="a5"/>
    <w:rsid w:val="00FE5DA8"/>
    <w:rPr>
      <w:rFonts w:ascii="Times New Roman" w:eastAsia="Times New Roman" w:hAnsi="Times New Roman" w:cs="David"/>
      <w:sz w:val="24"/>
      <w:szCs w:val="24"/>
    </w:rPr>
  </w:style>
  <w:style w:type="table" w:styleId="a7">
    <w:name w:val="Table Grid"/>
    <w:basedOn w:val="a1"/>
    <w:rsid w:val="00FE5DA8"/>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FE5DA8"/>
  </w:style>
  <w:style w:type="character" w:styleId="Hyperlink">
    <w:name w:val="Hyperlink"/>
    <w:rsid w:val="00D859C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case/18119161" TargetMode="External"/><Relationship Id="rId18" Type="http://schemas.openxmlformats.org/officeDocument/2006/relationships/hyperlink" Target="http://www.nevo.co.il/case/23299070" TargetMode="External"/><Relationship Id="rId26" Type="http://schemas.openxmlformats.org/officeDocument/2006/relationships/hyperlink" Target="http://www.nevo.co.il/case/20145219" TargetMode="External"/><Relationship Id="rId39" Type="http://schemas.openxmlformats.org/officeDocument/2006/relationships/header" Target="header2.xml"/><Relationship Id="rId21" Type="http://schemas.openxmlformats.org/officeDocument/2006/relationships/hyperlink" Target="http://www.nevo.co.il/case/20159091" TargetMode="External"/><Relationship Id="rId34" Type="http://schemas.openxmlformats.org/officeDocument/2006/relationships/hyperlink" Target="http://www.nevo.co.il/case/5605484" TargetMode="External"/><Relationship Id="rId42" Type="http://schemas.openxmlformats.org/officeDocument/2006/relationships/fontTable" Target="fontTable.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case/20111708" TargetMode="External"/><Relationship Id="rId20" Type="http://schemas.openxmlformats.org/officeDocument/2006/relationships/hyperlink" Target="http://www.nevo.co.il/case/20632055" TargetMode="External"/><Relationship Id="rId29" Type="http://schemas.openxmlformats.org/officeDocument/2006/relationships/hyperlink" Target="http://www.nevo.co.il/law/70301" TargetMode="External"/><Relationship Id="rId41"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6" TargetMode="External"/><Relationship Id="rId24" Type="http://schemas.openxmlformats.org/officeDocument/2006/relationships/hyperlink" Target="http://www.nevo.co.il/case/21776318" TargetMode="External"/><Relationship Id="rId32" Type="http://schemas.openxmlformats.org/officeDocument/2006/relationships/hyperlink" Target="http://www.nevo.co.il/case/5608601" TargetMode="External"/><Relationship Id="rId37" Type="http://schemas.openxmlformats.org/officeDocument/2006/relationships/hyperlink" Target="http://www.nevo.co.il/advertisements/nevo-100.doc" TargetMode="External"/><Relationship Id="rId40"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www.nevo.co.il/psika_html/elyon/15082370-i01.htm" TargetMode="External"/><Relationship Id="rId23" Type="http://schemas.openxmlformats.org/officeDocument/2006/relationships/hyperlink" Target="http://www.nevo.co.il/case/20632055" TargetMode="External"/><Relationship Id="rId28" Type="http://schemas.openxmlformats.org/officeDocument/2006/relationships/hyperlink" Target="http://www.nevo.co.il/law/70301/40d" TargetMode="External"/><Relationship Id="rId36" Type="http://schemas.openxmlformats.org/officeDocument/2006/relationships/hyperlink" Target="http://www.nevo.co.il/law/4216" TargetMode="External"/><Relationship Id="rId10" Type="http://schemas.openxmlformats.org/officeDocument/2006/relationships/hyperlink" Target="http://www.nevo.co.il/law/70301/40d" TargetMode="External"/><Relationship Id="rId19" Type="http://schemas.openxmlformats.org/officeDocument/2006/relationships/hyperlink" Target="http://www.nevo.co.il/case/22267098" TargetMode="External"/><Relationship Id="rId31" Type="http://schemas.openxmlformats.org/officeDocument/2006/relationships/hyperlink" Target="http://www.nevo.co.il/case/17000947" TargetMode="External"/><Relationship Id="rId4" Type="http://schemas.openxmlformats.org/officeDocument/2006/relationships/webSettings" Target="webSettings.xml"/><Relationship Id="rId9" Type="http://schemas.openxmlformats.org/officeDocument/2006/relationships/hyperlink" Target="http://www.nevo.co.il/law/70301" TargetMode="External"/><Relationship Id="rId14" Type="http://schemas.openxmlformats.org/officeDocument/2006/relationships/hyperlink" Target="http://www.nevo.co.il/case/20881083" TargetMode="External"/><Relationship Id="rId22" Type="http://schemas.openxmlformats.org/officeDocument/2006/relationships/hyperlink" Target="https://www.nevo.co.il/psika_html/mechozi/ME-14-10-42358-416.htm" TargetMode="External"/><Relationship Id="rId27" Type="http://schemas.openxmlformats.org/officeDocument/2006/relationships/hyperlink" Target="http://www.nevo.co.il/case/13049328" TargetMode="External"/><Relationship Id="rId30" Type="http://schemas.openxmlformats.org/officeDocument/2006/relationships/hyperlink" Target="http://www.nevo.co.il/case/11269647" TargetMode="External"/><Relationship Id="rId35" Type="http://schemas.openxmlformats.org/officeDocument/2006/relationships/hyperlink" Target="http://www.nevo.co.il/law/4216" TargetMode="External"/><Relationship Id="rId43" Type="http://schemas.openxmlformats.org/officeDocument/2006/relationships/theme" Target="theme/theme1.xml"/><Relationship Id="rId8" Type="http://schemas.openxmlformats.org/officeDocument/2006/relationships/hyperlink" Target="http://www.nevo.co.il/law/4216/6" TargetMode="External"/><Relationship Id="rId3" Type="http://schemas.openxmlformats.org/officeDocument/2006/relationships/settings" Target="settings.xml"/><Relationship Id="rId12" Type="http://schemas.openxmlformats.org/officeDocument/2006/relationships/hyperlink" Target="http://www.nevo.co.il/law/4216" TargetMode="External"/><Relationship Id="rId17" Type="http://schemas.openxmlformats.org/officeDocument/2006/relationships/hyperlink" Target="http://www.nevo.co.il/case/8291661" TargetMode="External"/><Relationship Id="rId25" Type="http://schemas.openxmlformats.org/officeDocument/2006/relationships/hyperlink" Target="http://www.nevo.co.il/case/20236668" TargetMode="External"/><Relationship Id="rId33" Type="http://schemas.openxmlformats.org/officeDocument/2006/relationships/hyperlink" Target="http://www.nevo.co.il/case/19994719" TargetMode="External"/><Relationship Id="rId3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2537</Words>
  <Characters>12687</Characters>
  <Application>Microsoft Office Word</Application>
  <DocSecurity>0</DocSecurity>
  <Lines>105</Lines>
  <Paragraphs>30</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15194</CharactersWithSpaces>
  <SharedDoc>false</SharedDoc>
  <HLinks>
    <vt:vector size="186" baseType="variant">
      <vt:variant>
        <vt:i4>393283</vt:i4>
      </vt:variant>
      <vt:variant>
        <vt:i4>90</vt:i4>
      </vt:variant>
      <vt:variant>
        <vt:i4>0</vt:i4>
      </vt:variant>
      <vt:variant>
        <vt:i4>5</vt:i4>
      </vt:variant>
      <vt:variant>
        <vt:lpwstr>http://www.nevo.co.il/advertisements/nevo-100.doc</vt:lpwstr>
      </vt:variant>
      <vt:variant>
        <vt:lpwstr/>
      </vt:variant>
      <vt:variant>
        <vt:i4>8257637</vt:i4>
      </vt:variant>
      <vt:variant>
        <vt:i4>87</vt:i4>
      </vt:variant>
      <vt:variant>
        <vt:i4>0</vt:i4>
      </vt:variant>
      <vt:variant>
        <vt:i4>5</vt:i4>
      </vt:variant>
      <vt:variant>
        <vt:lpwstr>http://www.nevo.co.il/law/4216</vt:lpwstr>
      </vt:variant>
      <vt:variant>
        <vt:lpwstr/>
      </vt:variant>
      <vt:variant>
        <vt:i4>8257637</vt:i4>
      </vt:variant>
      <vt:variant>
        <vt:i4>84</vt:i4>
      </vt:variant>
      <vt:variant>
        <vt:i4>0</vt:i4>
      </vt:variant>
      <vt:variant>
        <vt:i4>5</vt:i4>
      </vt:variant>
      <vt:variant>
        <vt:lpwstr>http://www.nevo.co.il/law/4216</vt:lpwstr>
      </vt:variant>
      <vt:variant>
        <vt:lpwstr/>
      </vt:variant>
      <vt:variant>
        <vt:i4>3473535</vt:i4>
      </vt:variant>
      <vt:variant>
        <vt:i4>81</vt:i4>
      </vt:variant>
      <vt:variant>
        <vt:i4>0</vt:i4>
      </vt:variant>
      <vt:variant>
        <vt:i4>5</vt:i4>
      </vt:variant>
      <vt:variant>
        <vt:lpwstr>http://www.nevo.co.il/case/5605484</vt:lpwstr>
      </vt:variant>
      <vt:variant>
        <vt:lpwstr/>
      </vt:variant>
      <vt:variant>
        <vt:i4>3997811</vt:i4>
      </vt:variant>
      <vt:variant>
        <vt:i4>78</vt:i4>
      </vt:variant>
      <vt:variant>
        <vt:i4>0</vt:i4>
      </vt:variant>
      <vt:variant>
        <vt:i4>5</vt:i4>
      </vt:variant>
      <vt:variant>
        <vt:lpwstr>http://www.nevo.co.il/case/19994719</vt:lpwstr>
      </vt:variant>
      <vt:variant>
        <vt:lpwstr/>
      </vt:variant>
      <vt:variant>
        <vt:i4>3276922</vt:i4>
      </vt:variant>
      <vt:variant>
        <vt:i4>75</vt:i4>
      </vt:variant>
      <vt:variant>
        <vt:i4>0</vt:i4>
      </vt:variant>
      <vt:variant>
        <vt:i4>5</vt:i4>
      </vt:variant>
      <vt:variant>
        <vt:lpwstr>http://www.nevo.co.il/case/5608601</vt:lpwstr>
      </vt:variant>
      <vt:variant>
        <vt:lpwstr/>
      </vt:variant>
      <vt:variant>
        <vt:i4>3473530</vt:i4>
      </vt:variant>
      <vt:variant>
        <vt:i4>72</vt:i4>
      </vt:variant>
      <vt:variant>
        <vt:i4>0</vt:i4>
      </vt:variant>
      <vt:variant>
        <vt:i4>5</vt:i4>
      </vt:variant>
      <vt:variant>
        <vt:lpwstr>http://www.nevo.co.il/case/17000947</vt:lpwstr>
      </vt:variant>
      <vt:variant>
        <vt:lpwstr/>
      </vt:variant>
      <vt:variant>
        <vt:i4>4063349</vt:i4>
      </vt:variant>
      <vt:variant>
        <vt:i4>69</vt:i4>
      </vt:variant>
      <vt:variant>
        <vt:i4>0</vt:i4>
      </vt:variant>
      <vt:variant>
        <vt:i4>5</vt:i4>
      </vt:variant>
      <vt:variant>
        <vt:lpwstr>http://www.nevo.co.il/case/11269647</vt:lpwstr>
      </vt:variant>
      <vt:variant>
        <vt:lpwstr/>
      </vt:variant>
      <vt:variant>
        <vt:i4>7995492</vt:i4>
      </vt:variant>
      <vt:variant>
        <vt:i4>66</vt:i4>
      </vt:variant>
      <vt:variant>
        <vt:i4>0</vt:i4>
      </vt:variant>
      <vt:variant>
        <vt:i4>5</vt:i4>
      </vt:variant>
      <vt:variant>
        <vt:lpwstr>http://www.nevo.co.il/law/70301</vt:lpwstr>
      </vt:variant>
      <vt:variant>
        <vt:lpwstr/>
      </vt:variant>
      <vt:variant>
        <vt:i4>6619233</vt:i4>
      </vt:variant>
      <vt:variant>
        <vt:i4>63</vt:i4>
      </vt:variant>
      <vt:variant>
        <vt:i4>0</vt:i4>
      </vt:variant>
      <vt:variant>
        <vt:i4>5</vt:i4>
      </vt:variant>
      <vt:variant>
        <vt:lpwstr>http://www.nevo.co.il/law/70301/40d</vt:lpwstr>
      </vt:variant>
      <vt:variant>
        <vt:lpwstr/>
      </vt:variant>
      <vt:variant>
        <vt:i4>3801200</vt:i4>
      </vt:variant>
      <vt:variant>
        <vt:i4>60</vt:i4>
      </vt:variant>
      <vt:variant>
        <vt:i4>0</vt:i4>
      </vt:variant>
      <vt:variant>
        <vt:i4>5</vt:i4>
      </vt:variant>
      <vt:variant>
        <vt:lpwstr>http://www.nevo.co.il/case/13049328</vt:lpwstr>
      </vt:variant>
      <vt:variant>
        <vt:lpwstr/>
      </vt:variant>
      <vt:variant>
        <vt:i4>3604594</vt:i4>
      </vt:variant>
      <vt:variant>
        <vt:i4>57</vt:i4>
      </vt:variant>
      <vt:variant>
        <vt:i4>0</vt:i4>
      </vt:variant>
      <vt:variant>
        <vt:i4>5</vt:i4>
      </vt:variant>
      <vt:variant>
        <vt:lpwstr>http://www.nevo.co.il/case/20145219</vt:lpwstr>
      </vt:variant>
      <vt:variant>
        <vt:lpwstr/>
      </vt:variant>
      <vt:variant>
        <vt:i4>3145841</vt:i4>
      </vt:variant>
      <vt:variant>
        <vt:i4>54</vt:i4>
      </vt:variant>
      <vt:variant>
        <vt:i4>0</vt:i4>
      </vt:variant>
      <vt:variant>
        <vt:i4>5</vt:i4>
      </vt:variant>
      <vt:variant>
        <vt:lpwstr>http://www.nevo.co.il/case/20236668</vt:lpwstr>
      </vt:variant>
      <vt:variant>
        <vt:lpwstr/>
      </vt:variant>
      <vt:variant>
        <vt:i4>3276913</vt:i4>
      </vt:variant>
      <vt:variant>
        <vt:i4>51</vt:i4>
      </vt:variant>
      <vt:variant>
        <vt:i4>0</vt:i4>
      </vt:variant>
      <vt:variant>
        <vt:i4>5</vt:i4>
      </vt:variant>
      <vt:variant>
        <vt:lpwstr>http://www.nevo.co.il/case/21776318</vt:lpwstr>
      </vt:variant>
      <vt:variant>
        <vt:lpwstr/>
      </vt:variant>
      <vt:variant>
        <vt:i4>3342455</vt:i4>
      </vt:variant>
      <vt:variant>
        <vt:i4>48</vt:i4>
      </vt:variant>
      <vt:variant>
        <vt:i4>0</vt:i4>
      </vt:variant>
      <vt:variant>
        <vt:i4>5</vt:i4>
      </vt:variant>
      <vt:variant>
        <vt:lpwstr>http://www.nevo.co.il/case/20632055</vt:lpwstr>
      </vt:variant>
      <vt:variant>
        <vt:lpwstr/>
      </vt:variant>
      <vt:variant>
        <vt:i4>1572897</vt:i4>
      </vt:variant>
      <vt:variant>
        <vt:i4>45</vt:i4>
      </vt:variant>
      <vt:variant>
        <vt:i4>0</vt:i4>
      </vt:variant>
      <vt:variant>
        <vt:i4>5</vt:i4>
      </vt:variant>
      <vt:variant>
        <vt:lpwstr>https://www.nevo.co.il/psika_html/mechozi/ME-14-10-42358-416.htm</vt:lpwstr>
      </vt:variant>
      <vt:variant>
        <vt:lpwstr/>
      </vt:variant>
      <vt:variant>
        <vt:i4>3342449</vt:i4>
      </vt:variant>
      <vt:variant>
        <vt:i4>42</vt:i4>
      </vt:variant>
      <vt:variant>
        <vt:i4>0</vt:i4>
      </vt:variant>
      <vt:variant>
        <vt:i4>5</vt:i4>
      </vt:variant>
      <vt:variant>
        <vt:lpwstr>http://www.nevo.co.il/case/20159091</vt:lpwstr>
      </vt:variant>
      <vt:variant>
        <vt:lpwstr/>
      </vt:variant>
      <vt:variant>
        <vt:i4>3342455</vt:i4>
      </vt:variant>
      <vt:variant>
        <vt:i4>39</vt:i4>
      </vt:variant>
      <vt:variant>
        <vt:i4>0</vt:i4>
      </vt:variant>
      <vt:variant>
        <vt:i4>5</vt:i4>
      </vt:variant>
      <vt:variant>
        <vt:lpwstr>http://www.nevo.co.il/case/20632055</vt:lpwstr>
      </vt:variant>
      <vt:variant>
        <vt:lpwstr/>
      </vt:variant>
      <vt:variant>
        <vt:i4>4063344</vt:i4>
      </vt:variant>
      <vt:variant>
        <vt:i4>36</vt:i4>
      </vt:variant>
      <vt:variant>
        <vt:i4>0</vt:i4>
      </vt:variant>
      <vt:variant>
        <vt:i4>5</vt:i4>
      </vt:variant>
      <vt:variant>
        <vt:lpwstr>http://www.nevo.co.il/case/22267098</vt:lpwstr>
      </vt:variant>
      <vt:variant>
        <vt:lpwstr/>
      </vt:variant>
      <vt:variant>
        <vt:i4>4063358</vt:i4>
      </vt:variant>
      <vt:variant>
        <vt:i4>33</vt:i4>
      </vt:variant>
      <vt:variant>
        <vt:i4>0</vt:i4>
      </vt:variant>
      <vt:variant>
        <vt:i4>5</vt:i4>
      </vt:variant>
      <vt:variant>
        <vt:lpwstr>http://www.nevo.co.il/case/23299070</vt:lpwstr>
      </vt:variant>
      <vt:variant>
        <vt:lpwstr/>
      </vt:variant>
      <vt:variant>
        <vt:i4>3539057</vt:i4>
      </vt:variant>
      <vt:variant>
        <vt:i4>30</vt:i4>
      </vt:variant>
      <vt:variant>
        <vt:i4>0</vt:i4>
      </vt:variant>
      <vt:variant>
        <vt:i4>5</vt:i4>
      </vt:variant>
      <vt:variant>
        <vt:lpwstr>http://www.nevo.co.il/case/8291661</vt:lpwstr>
      </vt:variant>
      <vt:variant>
        <vt:lpwstr/>
      </vt:variant>
      <vt:variant>
        <vt:i4>3276914</vt:i4>
      </vt:variant>
      <vt:variant>
        <vt:i4>27</vt:i4>
      </vt:variant>
      <vt:variant>
        <vt:i4>0</vt:i4>
      </vt:variant>
      <vt:variant>
        <vt:i4>5</vt:i4>
      </vt:variant>
      <vt:variant>
        <vt:lpwstr>http://www.nevo.co.il/case/20111708</vt:lpwstr>
      </vt:variant>
      <vt:variant>
        <vt:lpwstr/>
      </vt:variant>
      <vt:variant>
        <vt:i4>5111857</vt:i4>
      </vt:variant>
      <vt:variant>
        <vt:i4>24</vt:i4>
      </vt:variant>
      <vt:variant>
        <vt:i4>0</vt:i4>
      </vt:variant>
      <vt:variant>
        <vt:i4>5</vt:i4>
      </vt:variant>
      <vt:variant>
        <vt:lpwstr>https://www.nevo.co.il/psika_html/elyon/15082370-i01.htm</vt:lpwstr>
      </vt:variant>
      <vt:variant>
        <vt:lpwstr/>
      </vt:variant>
      <vt:variant>
        <vt:i4>3342460</vt:i4>
      </vt:variant>
      <vt:variant>
        <vt:i4>21</vt:i4>
      </vt:variant>
      <vt:variant>
        <vt:i4>0</vt:i4>
      </vt:variant>
      <vt:variant>
        <vt:i4>5</vt:i4>
      </vt:variant>
      <vt:variant>
        <vt:lpwstr>http://www.nevo.co.il/case/20881083</vt:lpwstr>
      </vt:variant>
      <vt:variant>
        <vt:lpwstr/>
      </vt:variant>
      <vt:variant>
        <vt:i4>4128892</vt:i4>
      </vt:variant>
      <vt:variant>
        <vt:i4>18</vt:i4>
      </vt:variant>
      <vt:variant>
        <vt:i4>0</vt:i4>
      </vt:variant>
      <vt:variant>
        <vt:i4>5</vt:i4>
      </vt:variant>
      <vt:variant>
        <vt:lpwstr>http://www.nevo.co.il/case/18119161</vt:lpwstr>
      </vt:variant>
      <vt:variant>
        <vt:lpwstr/>
      </vt:variant>
      <vt:variant>
        <vt:i4>8257637</vt:i4>
      </vt:variant>
      <vt:variant>
        <vt:i4>15</vt:i4>
      </vt:variant>
      <vt:variant>
        <vt:i4>0</vt:i4>
      </vt:variant>
      <vt:variant>
        <vt:i4>5</vt:i4>
      </vt:variant>
      <vt:variant>
        <vt:lpwstr>http://www.nevo.co.il/law/4216</vt:lpwstr>
      </vt:variant>
      <vt:variant>
        <vt:lpwstr/>
      </vt:variant>
      <vt:variant>
        <vt:i4>4718666</vt:i4>
      </vt:variant>
      <vt:variant>
        <vt:i4>12</vt:i4>
      </vt:variant>
      <vt:variant>
        <vt:i4>0</vt:i4>
      </vt:variant>
      <vt:variant>
        <vt:i4>5</vt:i4>
      </vt:variant>
      <vt:variant>
        <vt:lpwstr>http://www.nevo.co.il/law/4216/6</vt:lpwstr>
      </vt:variant>
      <vt:variant>
        <vt:lpwstr/>
      </vt:variant>
      <vt:variant>
        <vt:i4>6619233</vt:i4>
      </vt:variant>
      <vt:variant>
        <vt:i4>9</vt:i4>
      </vt:variant>
      <vt:variant>
        <vt:i4>0</vt:i4>
      </vt:variant>
      <vt:variant>
        <vt:i4>5</vt:i4>
      </vt:variant>
      <vt:variant>
        <vt:lpwstr>http://www.nevo.co.il/law/70301/40d</vt:lpwstr>
      </vt:variant>
      <vt:variant>
        <vt:lpwstr/>
      </vt:variant>
      <vt:variant>
        <vt:i4>7995492</vt:i4>
      </vt:variant>
      <vt:variant>
        <vt:i4>6</vt:i4>
      </vt:variant>
      <vt:variant>
        <vt:i4>0</vt:i4>
      </vt:variant>
      <vt:variant>
        <vt:i4>5</vt:i4>
      </vt:variant>
      <vt:variant>
        <vt:lpwstr>http://www.nevo.co.il/law/70301</vt:lpwstr>
      </vt:variant>
      <vt:variant>
        <vt:lpwstr/>
      </vt:variant>
      <vt:variant>
        <vt:i4>4718666</vt:i4>
      </vt:variant>
      <vt:variant>
        <vt:i4>3</vt:i4>
      </vt:variant>
      <vt:variant>
        <vt:i4>0</vt:i4>
      </vt:variant>
      <vt:variant>
        <vt:i4>5</vt:i4>
      </vt:variant>
      <vt:variant>
        <vt:lpwstr>http://www.nevo.co.il/law/4216/6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2025-04-23T00:15:00Z</dcterms:created>
  <dcterms:modified xsi:type="dcterms:W3CDTF">2025-04-23T00:15:00Z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76327</vt:lpwstr>
  </property>
  <property fmtid="{D5CDD505-2E9C-101B-9397-08002B2CF9AE}" pid="6" name="NEWPARTB">
    <vt:lpwstr>07</vt:lpwstr>
  </property>
  <property fmtid="{D5CDD505-2E9C-101B-9397-08002B2CF9AE}" pid="7" name="NEWPARTC">
    <vt:lpwstr>19</vt:lpwstr>
  </property>
  <property fmtid="{D5CDD505-2E9C-101B-9397-08002B2CF9AE}" pid="8" name="APPELLANT">
    <vt:lpwstr>מדינת ישראל</vt:lpwstr>
  </property>
  <property fmtid="{D5CDD505-2E9C-101B-9397-08002B2CF9AE}" pid="9" name="APPELLEE">
    <vt:lpwstr>דגיגורי קדורין</vt:lpwstr>
  </property>
  <property fmtid="{D5CDD505-2E9C-101B-9397-08002B2CF9AE}" pid="10" name="LAWYER">
    <vt:lpwstr>ענבל אביב;צקלובסקי</vt:lpwstr>
  </property>
  <property fmtid="{D5CDD505-2E9C-101B-9397-08002B2CF9AE}" pid="11" name="JUDGE">
    <vt:lpwstr>נועה חקלאי</vt:lpwstr>
  </property>
  <property fmtid="{D5CDD505-2E9C-101B-9397-08002B2CF9AE}" pid="12" name="CITY">
    <vt:lpwstr>אש'</vt:lpwstr>
  </property>
  <property fmtid="{D5CDD505-2E9C-101B-9397-08002B2CF9AE}" pid="13" name="DATE">
    <vt:lpwstr>20200707</vt:lpwstr>
  </property>
  <property fmtid="{D5CDD505-2E9C-101B-9397-08002B2CF9AE}" pid="14" name="TYPE_N_DATE">
    <vt:lpwstr>38020200707</vt:lpwstr>
  </property>
  <property fmtid="{D5CDD505-2E9C-101B-9397-08002B2CF9AE}" pid="15" name="WORDNUMPAGES">
    <vt:lpwstr>7</vt:lpwstr>
  </property>
  <property fmtid="{D5CDD505-2E9C-101B-9397-08002B2CF9AE}" pid="16" name="TYPE_ABS_DATE">
    <vt:lpwstr>380020200707</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18119161;20881083;20111708;8291661;23299070;22267098;20632055:2;20159091;21776318;20236668;20145219;13049328;11269647;17000947;5608601;19994719;5605484</vt:lpwstr>
  </property>
  <property fmtid="{D5CDD505-2E9C-101B-9397-08002B2CF9AE}" pid="36" name="LAWLISTTMP1">
    <vt:lpwstr>4216/006</vt:lpwstr>
  </property>
  <property fmtid="{D5CDD505-2E9C-101B-9397-08002B2CF9AE}" pid="37" name="LAWLISTTMP2">
    <vt:lpwstr>70301/040d</vt:lpwstr>
  </property>
</Properties>
</file>