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9687C" w:rsidRPr="00E55B33" w14:paraId="37C24070" w14:textId="77777777" w:rsidTr="00FA6C64">
        <w:trPr>
          <w:trHeight w:hRule="exact" w:val="418"/>
          <w:jc w:val="center"/>
        </w:trPr>
        <w:tc>
          <w:tcPr>
            <w:tcW w:w="8721" w:type="dxa"/>
            <w:gridSpan w:val="2"/>
          </w:tcPr>
          <w:p w14:paraId="23DEDC9D" w14:textId="77777777" w:rsidR="00D9687C" w:rsidRPr="00E55B33" w:rsidRDefault="00D9687C" w:rsidP="00EC5B80">
            <w:pPr>
              <w:pStyle w:val="a4"/>
              <w:jc w:val="center"/>
              <w:rPr>
                <w:rFonts w:ascii="Tahoma" w:hAnsi="Tahoma" w:cs="Tahoma"/>
                <w:color w:val="000080"/>
                <w:rtl/>
              </w:rPr>
            </w:pPr>
            <w:bookmarkStart w:id="0" w:name="LastJudge"/>
            <w:r w:rsidRPr="00E55B33">
              <w:rPr>
                <w:rFonts w:ascii="Tahoma" w:hAnsi="Tahoma" w:cs="Tahoma"/>
                <w:b/>
                <w:bCs/>
                <w:color w:val="000080"/>
                <w:rtl/>
              </w:rPr>
              <w:t>בית משפט השלום בבאר שבע</w:t>
            </w:r>
          </w:p>
        </w:tc>
      </w:tr>
      <w:tr w:rsidR="00D9687C" w:rsidRPr="00E55B33" w14:paraId="12978A53" w14:textId="77777777" w:rsidTr="00FA6C64">
        <w:trPr>
          <w:trHeight w:val="337"/>
          <w:jc w:val="center"/>
        </w:trPr>
        <w:tc>
          <w:tcPr>
            <w:tcW w:w="5055" w:type="dxa"/>
          </w:tcPr>
          <w:p w14:paraId="322ED484" w14:textId="77777777" w:rsidR="00D9687C" w:rsidRPr="00E55B33" w:rsidRDefault="00D9687C" w:rsidP="00EC5B80">
            <w:pPr>
              <w:rPr>
                <w:rFonts w:ascii="David" w:hAnsi="David"/>
                <w:b/>
                <w:bCs/>
                <w:sz w:val="28"/>
                <w:szCs w:val="28"/>
                <w:rtl/>
              </w:rPr>
            </w:pPr>
            <w:r w:rsidRPr="00E55B33">
              <w:rPr>
                <w:rFonts w:ascii="David" w:hAnsi="David"/>
                <w:b/>
                <w:bCs/>
                <w:sz w:val="28"/>
                <w:szCs w:val="28"/>
                <w:rtl/>
              </w:rPr>
              <w:t>ת"פ 16374-08-19 מדינת ישראל נ' אלעמור</w:t>
            </w:r>
          </w:p>
          <w:p w14:paraId="499B9EE6" w14:textId="77777777" w:rsidR="00D9687C" w:rsidRPr="00E55B33" w:rsidRDefault="00D9687C" w:rsidP="00EC5B80">
            <w:pPr>
              <w:pStyle w:val="a4"/>
              <w:rPr>
                <w:rFonts w:cs="FrankRuehl"/>
                <w:sz w:val="28"/>
                <w:szCs w:val="28"/>
                <w:rtl/>
              </w:rPr>
            </w:pPr>
          </w:p>
        </w:tc>
        <w:tc>
          <w:tcPr>
            <w:tcW w:w="3666" w:type="dxa"/>
          </w:tcPr>
          <w:p w14:paraId="722BBA50" w14:textId="77777777" w:rsidR="00D9687C" w:rsidRPr="00E55B33" w:rsidRDefault="00D9687C" w:rsidP="00EC5B80">
            <w:pPr>
              <w:pStyle w:val="a4"/>
              <w:jc w:val="right"/>
              <w:rPr>
                <w:rFonts w:cs="FrankRuehl"/>
                <w:sz w:val="28"/>
                <w:szCs w:val="28"/>
                <w:rtl/>
              </w:rPr>
            </w:pPr>
          </w:p>
        </w:tc>
      </w:tr>
    </w:tbl>
    <w:p w14:paraId="5AA23DFC" w14:textId="77777777" w:rsidR="00D9687C" w:rsidRPr="00E55B33" w:rsidRDefault="00D9687C" w:rsidP="00D9687C">
      <w:pPr>
        <w:pStyle w:val="a4"/>
        <w:rPr>
          <w:rtl/>
        </w:rPr>
      </w:pPr>
      <w:r w:rsidRPr="00E55B33">
        <w:rPr>
          <w:rFonts w:hint="cs"/>
          <w:rtl/>
        </w:rPr>
        <w:t xml:space="preserve"> </w:t>
      </w:r>
    </w:p>
    <w:p w14:paraId="1D30D05B" w14:textId="77777777" w:rsidR="00D9687C" w:rsidRPr="00E55B33" w:rsidRDefault="00D9687C" w:rsidP="00D9687C">
      <w:pPr>
        <w:rPr>
          <w:sz w:val="26"/>
          <w:szCs w:val="26"/>
          <w:rtl/>
        </w:rPr>
      </w:pPr>
    </w:p>
    <w:p w14:paraId="74B5E46F" w14:textId="77777777" w:rsidR="00D9687C" w:rsidRPr="00E55B33" w:rsidRDefault="00D9687C" w:rsidP="00D9687C">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2"/>
        <w:gridCol w:w="4825"/>
      </w:tblGrid>
      <w:tr w:rsidR="00D9687C" w:rsidRPr="00E55B33" w14:paraId="164E1914" w14:textId="77777777" w:rsidTr="00D9687C">
        <w:trPr>
          <w:trHeight w:val="295"/>
          <w:jc w:val="center"/>
        </w:trPr>
        <w:tc>
          <w:tcPr>
            <w:tcW w:w="923" w:type="dxa"/>
            <w:tcBorders>
              <w:top w:val="nil"/>
              <w:left w:val="nil"/>
              <w:bottom w:val="nil"/>
              <w:right w:val="nil"/>
            </w:tcBorders>
            <w:shd w:val="clear" w:color="auto" w:fill="auto"/>
          </w:tcPr>
          <w:p w14:paraId="01096B11" w14:textId="77777777" w:rsidR="00D9687C" w:rsidRPr="00E55B33" w:rsidRDefault="00D9687C" w:rsidP="00D9687C">
            <w:pPr>
              <w:jc w:val="both"/>
              <w:rPr>
                <w:rFonts w:ascii="David" w:hAnsi="David"/>
                <w:b/>
                <w:bCs/>
                <w:sz w:val="26"/>
                <w:szCs w:val="26"/>
              </w:rPr>
            </w:pPr>
            <w:r w:rsidRPr="00E55B3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15D1EA6" w14:textId="77777777" w:rsidR="00D9687C" w:rsidRPr="00E55B33" w:rsidRDefault="00D9687C" w:rsidP="00EC5B80">
            <w:pPr>
              <w:rPr>
                <w:rFonts w:ascii="David" w:hAnsi="David"/>
                <w:b/>
                <w:bCs/>
                <w:sz w:val="26"/>
                <w:szCs w:val="26"/>
                <w:rtl/>
              </w:rPr>
            </w:pPr>
            <w:r w:rsidRPr="00E55B33">
              <w:rPr>
                <w:rFonts w:ascii="David" w:hAnsi="David"/>
                <w:b/>
                <w:bCs/>
                <w:sz w:val="26"/>
                <w:szCs w:val="26"/>
                <w:rtl/>
              </w:rPr>
              <w:t>כבוד השופט  יניב בן הרוש</w:t>
            </w:r>
          </w:p>
          <w:p w14:paraId="4C6DBE57" w14:textId="77777777" w:rsidR="00D9687C" w:rsidRPr="00E55B33" w:rsidRDefault="00D9687C" w:rsidP="00EC5B80">
            <w:pPr>
              <w:rPr>
                <w:rFonts w:ascii="David" w:hAnsi="David"/>
                <w:b/>
                <w:bCs/>
                <w:sz w:val="26"/>
                <w:szCs w:val="26"/>
                <w:rtl/>
              </w:rPr>
            </w:pPr>
          </w:p>
          <w:p w14:paraId="292BF476" w14:textId="77777777" w:rsidR="00D9687C" w:rsidRPr="00E55B33" w:rsidRDefault="00D9687C" w:rsidP="00D9687C">
            <w:pPr>
              <w:jc w:val="both"/>
              <w:rPr>
                <w:rFonts w:ascii="David" w:hAnsi="David"/>
                <w:b/>
                <w:bCs/>
                <w:sz w:val="26"/>
                <w:szCs w:val="26"/>
              </w:rPr>
            </w:pPr>
          </w:p>
        </w:tc>
      </w:tr>
      <w:tr w:rsidR="00D9687C" w:rsidRPr="00E55B33" w14:paraId="539AB966" w14:textId="77777777" w:rsidTr="00D9687C">
        <w:trPr>
          <w:trHeight w:val="355"/>
          <w:jc w:val="center"/>
        </w:trPr>
        <w:tc>
          <w:tcPr>
            <w:tcW w:w="923" w:type="dxa"/>
            <w:tcBorders>
              <w:top w:val="nil"/>
              <w:left w:val="nil"/>
              <w:bottom w:val="nil"/>
              <w:right w:val="nil"/>
            </w:tcBorders>
            <w:shd w:val="clear" w:color="auto" w:fill="auto"/>
          </w:tcPr>
          <w:p w14:paraId="4D24CF4F" w14:textId="77777777" w:rsidR="00D9687C" w:rsidRPr="00E55B33" w:rsidRDefault="00D9687C" w:rsidP="00D9687C">
            <w:pPr>
              <w:jc w:val="both"/>
              <w:rPr>
                <w:rFonts w:ascii="David" w:hAnsi="David"/>
                <w:b/>
                <w:bCs/>
                <w:sz w:val="26"/>
                <w:szCs w:val="26"/>
              </w:rPr>
            </w:pPr>
            <w:bookmarkStart w:id="1" w:name="FirstAppellant"/>
            <w:bookmarkStart w:id="2" w:name="FirstLawyer"/>
            <w:r w:rsidRPr="00E55B33">
              <w:rPr>
                <w:rFonts w:ascii="David" w:hAnsi="David"/>
                <w:b/>
                <w:bCs/>
                <w:sz w:val="26"/>
                <w:szCs w:val="26"/>
                <w:rtl/>
              </w:rPr>
              <w:t>בעניין:</w:t>
            </w:r>
          </w:p>
        </w:tc>
        <w:tc>
          <w:tcPr>
            <w:tcW w:w="3072" w:type="dxa"/>
            <w:tcBorders>
              <w:top w:val="nil"/>
              <w:left w:val="nil"/>
              <w:bottom w:val="nil"/>
              <w:right w:val="nil"/>
            </w:tcBorders>
            <w:shd w:val="clear" w:color="auto" w:fill="auto"/>
          </w:tcPr>
          <w:p w14:paraId="1831E8A3" w14:textId="77777777" w:rsidR="00D9687C" w:rsidRPr="00E55B33" w:rsidRDefault="00D9687C" w:rsidP="00D9687C">
            <w:pPr>
              <w:suppressLineNumbers/>
              <w:rPr>
                <w:b/>
                <w:bCs/>
              </w:rPr>
            </w:pPr>
            <w:r w:rsidRPr="00E55B33">
              <w:rPr>
                <w:rFonts w:ascii="Arial" w:hAnsi="Arial" w:hint="cs"/>
                <w:b/>
                <w:bCs/>
                <w:sz w:val="26"/>
                <w:szCs w:val="26"/>
                <w:rtl/>
              </w:rPr>
              <w:t>ה</w:t>
            </w:r>
            <w:r w:rsidRPr="00E55B33">
              <w:rPr>
                <w:rFonts w:ascii="Arial" w:hAnsi="Arial"/>
                <w:b/>
                <w:bCs/>
                <w:sz w:val="26"/>
                <w:szCs w:val="26"/>
                <w:rtl/>
              </w:rPr>
              <w:t>מאשימה</w:t>
            </w:r>
          </w:p>
          <w:p w14:paraId="4DB66E03" w14:textId="77777777" w:rsidR="00D9687C" w:rsidRPr="00E55B33" w:rsidRDefault="00D9687C" w:rsidP="00EC5B80">
            <w:pPr>
              <w:rPr>
                <w:rFonts w:ascii="David" w:hAnsi="David"/>
                <w:b/>
                <w:bCs/>
                <w:sz w:val="26"/>
                <w:szCs w:val="26"/>
              </w:rPr>
            </w:pPr>
          </w:p>
        </w:tc>
        <w:tc>
          <w:tcPr>
            <w:tcW w:w="4825" w:type="dxa"/>
            <w:tcBorders>
              <w:top w:val="nil"/>
              <w:left w:val="nil"/>
              <w:bottom w:val="nil"/>
              <w:right w:val="nil"/>
            </w:tcBorders>
            <w:shd w:val="clear" w:color="auto" w:fill="auto"/>
            <w:vAlign w:val="center"/>
          </w:tcPr>
          <w:p w14:paraId="6AA736CA" w14:textId="77777777" w:rsidR="00D9687C" w:rsidRPr="00E55B33" w:rsidRDefault="00D9687C" w:rsidP="00D9687C">
            <w:pPr>
              <w:suppressLineNumbers/>
              <w:rPr>
                <w:rFonts w:ascii="Arial" w:hAnsi="Arial"/>
                <w:b/>
                <w:bCs/>
                <w:sz w:val="26"/>
                <w:szCs w:val="26"/>
                <w:rtl/>
              </w:rPr>
            </w:pPr>
            <w:r w:rsidRPr="00E55B33">
              <w:rPr>
                <w:rFonts w:ascii="Arial" w:hAnsi="Arial"/>
                <w:b/>
                <w:bCs/>
                <w:sz w:val="26"/>
                <w:szCs w:val="26"/>
                <w:rtl/>
              </w:rPr>
              <w:t>מדינת ישראל</w:t>
            </w:r>
            <w:r w:rsidRPr="00E55B33">
              <w:rPr>
                <w:rFonts w:ascii="Arial" w:hAnsi="Arial" w:hint="cs"/>
                <w:b/>
                <w:bCs/>
                <w:sz w:val="26"/>
                <w:szCs w:val="26"/>
                <w:rtl/>
              </w:rPr>
              <w:t xml:space="preserve">-תביעות נגב </w:t>
            </w:r>
          </w:p>
          <w:p w14:paraId="2BEDCB16" w14:textId="77777777" w:rsidR="00D9687C" w:rsidRPr="00E55B33" w:rsidRDefault="00D9687C" w:rsidP="00D9687C">
            <w:pPr>
              <w:suppressLineNumbers/>
              <w:rPr>
                <w:b/>
                <w:bCs/>
              </w:rPr>
            </w:pPr>
            <w:r w:rsidRPr="00E55B33">
              <w:rPr>
                <w:rFonts w:ascii="Arial" w:hAnsi="Arial"/>
                <w:b/>
                <w:bCs/>
                <w:sz w:val="26"/>
                <w:szCs w:val="26"/>
                <w:rtl/>
              </w:rPr>
              <w:t>ע"י ב"כ עוה"ד</w:t>
            </w:r>
            <w:r w:rsidRPr="00E55B33">
              <w:rPr>
                <w:rFonts w:ascii="Arial" w:hAnsi="Arial" w:hint="cs"/>
                <w:b/>
                <w:bCs/>
                <w:sz w:val="26"/>
                <w:szCs w:val="26"/>
                <w:rtl/>
              </w:rPr>
              <w:t xml:space="preserve"> שירה רוג</w:t>
            </w:r>
          </w:p>
          <w:p w14:paraId="5C94CD74" w14:textId="77777777" w:rsidR="00D9687C" w:rsidRPr="00E55B33" w:rsidRDefault="00D9687C" w:rsidP="00EC5B80">
            <w:pPr>
              <w:rPr>
                <w:rFonts w:ascii="David" w:hAnsi="David"/>
                <w:b/>
                <w:bCs/>
                <w:sz w:val="26"/>
                <w:szCs w:val="26"/>
              </w:rPr>
            </w:pPr>
          </w:p>
        </w:tc>
      </w:tr>
      <w:bookmarkEnd w:id="1"/>
      <w:bookmarkEnd w:id="2"/>
      <w:tr w:rsidR="00D9687C" w:rsidRPr="00E55B33" w14:paraId="4DA940DB" w14:textId="77777777" w:rsidTr="00D9687C">
        <w:trPr>
          <w:trHeight w:val="355"/>
          <w:jc w:val="center"/>
        </w:trPr>
        <w:tc>
          <w:tcPr>
            <w:tcW w:w="923" w:type="dxa"/>
            <w:tcBorders>
              <w:top w:val="nil"/>
              <w:left w:val="nil"/>
              <w:bottom w:val="nil"/>
              <w:right w:val="nil"/>
            </w:tcBorders>
            <w:shd w:val="clear" w:color="auto" w:fill="auto"/>
          </w:tcPr>
          <w:p w14:paraId="71C76B39" w14:textId="77777777" w:rsidR="00D9687C" w:rsidRPr="00E55B33" w:rsidRDefault="00D9687C" w:rsidP="00D9687C">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A695C80" w14:textId="77777777" w:rsidR="00D9687C" w:rsidRPr="00E55B33" w:rsidRDefault="00D9687C" w:rsidP="00D9687C">
            <w:pPr>
              <w:jc w:val="center"/>
              <w:rPr>
                <w:rFonts w:ascii="David" w:hAnsi="David"/>
                <w:b/>
                <w:bCs/>
                <w:sz w:val="26"/>
                <w:szCs w:val="26"/>
                <w:rtl/>
              </w:rPr>
            </w:pPr>
          </w:p>
          <w:p w14:paraId="070E5878" w14:textId="77777777" w:rsidR="00D9687C" w:rsidRPr="00E55B33" w:rsidRDefault="00D9687C" w:rsidP="00D9687C">
            <w:pPr>
              <w:jc w:val="center"/>
              <w:rPr>
                <w:rFonts w:ascii="David" w:hAnsi="David"/>
                <w:b/>
                <w:bCs/>
                <w:sz w:val="26"/>
                <w:szCs w:val="26"/>
                <w:rtl/>
              </w:rPr>
            </w:pPr>
            <w:r w:rsidRPr="00E55B33">
              <w:rPr>
                <w:rFonts w:ascii="David" w:hAnsi="David"/>
                <w:b/>
                <w:bCs/>
                <w:sz w:val="26"/>
                <w:szCs w:val="26"/>
                <w:rtl/>
              </w:rPr>
              <w:t>נגד</w:t>
            </w:r>
          </w:p>
          <w:p w14:paraId="4C64AF63" w14:textId="77777777" w:rsidR="00D9687C" w:rsidRPr="00E55B33" w:rsidRDefault="00D9687C" w:rsidP="00D9687C">
            <w:pPr>
              <w:jc w:val="both"/>
              <w:rPr>
                <w:rFonts w:ascii="David" w:hAnsi="David"/>
                <w:b/>
                <w:bCs/>
                <w:sz w:val="26"/>
                <w:szCs w:val="26"/>
              </w:rPr>
            </w:pPr>
          </w:p>
        </w:tc>
      </w:tr>
      <w:tr w:rsidR="00D9687C" w:rsidRPr="00E55B33" w14:paraId="16220450" w14:textId="77777777" w:rsidTr="00D9687C">
        <w:trPr>
          <w:trHeight w:val="355"/>
          <w:jc w:val="center"/>
        </w:trPr>
        <w:tc>
          <w:tcPr>
            <w:tcW w:w="923" w:type="dxa"/>
            <w:tcBorders>
              <w:top w:val="nil"/>
              <w:left w:val="nil"/>
              <w:bottom w:val="nil"/>
              <w:right w:val="nil"/>
            </w:tcBorders>
            <w:shd w:val="clear" w:color="auto" w:fill="auto"/>
          </w:tcPr>
          <w:p w14:paraId="7129EDDE" w14:textId="77777777" w:rsidR="00D9687C" w:rsidRPr="00E55B33" w:rsidRDefault="00D9687C" w:rsidP="00EC5B80">
            <w:pPr>
              <w:rPr>
                <w:rFonts w:ascii="David" w:hAnsi="David"/>
                <w:b/>
                <w:bCs/>
                <w:sz w:val="26"/>
                <w:szCs w:val="26"/>
                <w:rtl/>
              </w:rPr>
            </w:pPr>
          </w:p>
        </w:tc>
        <w:tc>
          <w:tcPr>
            <w:tcW w:w="3072" w:type="dxa"/>
            <w:tcBorders>
              <w:top w:val="nil"/>
              <w:left w:val="nil"/>
              <w:bottom w:val="nil"/>
              <w:right w:val="nil"/>
            </w:tcBorders>
            <w:shd w:val="clear" w:color="auto" w:fill="auto"/>
          </w:tcPr>
          <w:p w14:paraId="70975575" w14:textId="77777777" w:rsidR="00D9687C" w:rsidRPr="00E55B33" w:rsidRDefault="00D9687C" w:rsidP="00EC5B80">
            <w:pPr>
              <w:rPr>
                <w:rFonts w:ascii="Arial" w:hAnsi="Arial"/>
                <w:b/>
                <w:bCs/>
                <w:sz w:val="26"/>
                <w:szCs w:val="26"/>
                <w:rtl/>
              </w:rPr>
            </w:pPr>
            <w:r w:rsidRPr="00E55B33">
              <w:rPr>
                <w:rFonts w:ascii="Arial" w:hAnsi="Arial"/>
                <w:b/>
                <w:bCs/>
                <w:sz w:val="26"/>
                <w:szCs w:val="26"/>
                <w:rtl/>
              </w:rPr>
              <w:t>הנאשם</w:t>
            </w:r>
          </w:p>
        </w:tc>
        <w:tc>
          <w:tcPr>
            <w:tcW w:w="4825" w:type="dxa"/>
            <w:tcBorders>
              <w:top w:val="nil"/>
              <w:left w:val="nil"/>
              <w:bottom w:val="nil"/>
              <w:right w:val="nil"/>
            </w:tcBorders>
            <w:shd w:val="clear" w:color="auto" w:fill="auto"/>
            <w:vAlign w:val="center"/>
          </w:tcPr>
          <w:p w14:paraId="78B6546C" w14:textId="77777777" w:rsidR="00D9687C" w:rsidRPr="00E55B33" w:rsidRDefault="00D9687C" w:rsidP="00D9687C">
            <w:pPr>
              <w:suppressLineNumbers/>
              <w:rPr>
                <w:rFonts w:ascii="Arial" w:hAnsi="Arial"/>
                <w:b/>
                <w:bCs/>
                <w:sz w:val="26"/>
                <w:szCs w:val="26"/>
                <w:rtl/>
              </w:rPr>
            </w:pPr>
            <w:r w:rsidRPr="00E55B33">
              <w:rPr>
                <w:rFonts w:ascii="Arial" w:hAnsi="Arial"/>
                <w:b/>
                <w:bCs/>
                <w:sz w:val="26"/>
                <w:szCs w:val="26"/>
                <w:rtl/>
              </w:rPr>
              <w:t>איהשם אלעמור</w:t>
            </w:r>
            <w:r w:rsidRPr="00E55B33">
              <w:rPr>
                <w:rFonts w:ascii="Arial" w:hAnsi="Arial" w:hint="cs"/>
                <w:b/>
                <w:bCs/>
                <w:sz w:val="26"/>
                <w:szCs w:val="26"/>
                <w:rtl/>
              </w:rPr>
              <w:t xml:space="preserve">-בעצמו </w:t>
            </w:r>
          </w:p>
          <w:p w14:paraId="05D1BB3C" w14:textId="77777777" w:rsidR="00D9687C" w:rsidRPr="00E55B33" w:rsidRDefault="00D9687C" w:rsidP="00D9687C">
            <w:pPr>
              <w:suppressLineNumbers/>
              <w:rPr>
                <w:b/>
                <w:bCs/>
              </w:rPr>
            </w:pPr>
            <w:r w:rsidRPr="00E55B33">
              <w:rPr>
                <w:rFonts w:ascii="Arial" w:hAnsi="Arial"/>
                <w:b/>
                <w:bCs/>
                <w:sz w:val="26"/>
                <w:szCs w:val="26"/>
                <w:rtl/>
              </w:rPr>
              <w:t>ע"י ב"כ עוה"</w:t>
            </w:r>
            <w:r w:rsidRPr="00E55B33">
              <w:rPr>
                <w:rFonts w:ascii="Arial" w:hAnsi="Arial" w:hint="cs"/>
                <w:b/>
                <w:bCs/>
                <w:sz w:val="26"/>
                <w:szCs w:val="26"/>
                <w:rtl/>
              </w:rPr>
              <w:t>ד פאולה ברוש בשם עו"ד ניר אביב</w:t>
            </w:r>
          </w:p>
          <w:p w14:paraId="5A0893FC" w14:textId="77777777" w:rsidR="00D9687C" w:rsidRPr="00E55B33" w:rsidRDefault="00D9687C" w:rsidP="00EC5B80">
            <w:pPr>
              <w:rPr>
                <w:rFonts w:ascii="David" w:hAnsi="David"/>
                <w:b/>
                <w:bCs/>
                <w:sz w:val="26"/>
                <w:szCs w:val="26"/>
              </w:rPr>
            </w:pPr>
          </w:p>
        </w:tc>
      </w:tr>
    </w:tbl>
    <w:p w14:paraId="320C3BC4" w14:textId="77777777" w:rsidR="001B011B" w:rsidRPr="001B011B" w:rsidRDefault="001B011B" w:rsidP="001B011B">
      <w:pPr>
        <w:spacing w:before="120" w:after="120" w:line="240" w:lineRule="exact"/>
        <w:ind w:left="283" w:hanging="283"/>
        <w:jc w:val="both"/>
        <w:rPr>
          <w:rFonts w:ascii="FrankRuehl" w:hAnsi="FrankRuehl" w:cs="FrankRuehl"/>
          <w:rtl/>
        </w:rPr>
      </w:pPr>
    </w:p>
    <w:p w14:paraId="1A5DABB7" w14:textId="77777777" w:rsidR="001B011B" w:rsidRPr="001B011B" w:rsidRDefault="001B011B" w:rsidP="001B011B">
      <w:pPr>
        <w:spacing w:before="120" w:after="120" w:line="240" w:lineRule="exact"/>
        <w:ind w:left="283" w:hanging="283"/>
        <w:jc w:val="both"/>
        <w:rPr>
          <w:rFonts w:ascii="FrankRuehl" w:hAnsi="FrankRuehl" w:cs="FrankRuehl"/>
          <w:rtl/>
        </w:rPr>
      </w:pPr>
    </w:p>
    <w:p w14:paraId="16915955" w14:textId="77777777" w:rsidR="00693B68" w:rsidRDefault="00693B68" w:rsidP="00693B68">
      <w:pPr>
        <w:rPr>
          <w:rFonts w:ascii="Arial" w:hAnsi="Arial"/>
          <w:sz w:val="26"/>
          <w:szCs w:val="26"/>
          <w:rtl/>
        </w:rPr>
      </w:pPr>
      <w:bookmarkStart w:id="3" w:name="LawTable"/>
      <w:bookmarkEnd w:id="3"/>
    </w:p>
    <w:p w14:paraId="611CE127" w14:textId="77777777" w:rsidR="00693B68" w:rsidRPr="00693B68" w:rsidRDefault="00693B68" w:rsidP="00693B68">
      <w:pPr>
        <w:spacing w:before="120" w:after="120" w:line="240" w:lineRule="exact"/>
        <w:ind w:left="283" w:hanging="283"/>
        <w:jc w:val="both"/>
        <w:rPr>
          <w:rFonts w:ascii="FrankRuehl" w:hAnsi="FrankRuehl" w:cs="FrankRuehl"/>
          <w:rtl/>
        </w:rPr>
      </w:pPr>
    </w:p>
    <w:p w14:paraId="2BF675C1" w14:textId="77777777" w:rsidR="00693B68" w:rsidRPr="00693B68" w:rsidRDefault="00693B68" w:rsidP="00693B68">
      <w:pPr>
        <w:spacing w:before="120" w:after="120" w:line="240" w:lineRule="exact"/>
        <w:ind w:left="283" w:hanging="283"/>
        <w:jc w:val="both"/>
        <w:rPr>
          <w:rFonts w:ascii="FrankRuehl" w:hAnsi="FrankRuehl" w:cs="FrankRuehl"/>
          <w:rtl/>
        </w:rPr>
      </w:pPr>
    </w:p>
    <w:p w14:paraId="291025C3" w14:textId="77777777" w:rsidR="00693B68" w:rsidRPr="00693B68" w:rsidRDefault="00693B68" w:rsidP="00693B68">
      <w:pPr>
        <w:spacing w:before="120" w:after="120" w:line="240" w:lineRule="exact"/>
        <w:ind w:left="283" w:hanging="283"/>
        <w:jc w:val="both"/>
        <w:rPr>
          <w:rFonts w:ascii="FrankRuehl" w:hAnsi="FrankRuehl" w:cs="FrankRuehl"/>
          <w:rtl/>
        </w:rPr>
      </w:pPr>
      <w:r w:rsidRPr="00693B68">
        <w:rPr>
          <w:rFonts w:ascii="FrankRuehl" w:hAnsi="FrankRuehl" w:cs="FrankRuehl"/>
          <w:rtl/>
        </w:rPr>
        <w:t xml:space="preserve">חקיקה שאוזכרה: </w:t>
      </w:r>
    </w:p>
    <w:p w14:paraId="6B85699A" w14:textId="77777777" w:rsidR="00693B68" w:rsidRPr="00693B68" w:rsidRDefault="00693B68" w:rsidP="00693B68">
      <w:pPr>
        <w:spacing w:before="120" w:after="120" w:line="240" w:lineRule="exact"/>
        <w:ind w:left="283" w:hanging="283"/>
        <w:jc w:val="both"/>
        <w:rPr>
          <w:rFonts w:ascii="FrankRuehl" w:hAnsi="FrankRuehl" w:cs="FrankRuehl"/>
          <w:rtl/>
        </w:rPr>
      </w:pPr>
      <w:hyperlink r:id="rId7" w:history="1">
        <w:r w:rsidRPr="00693B68">
          <w:rPr>
            <w:rFonts w:ascii="FrankRuehl" w:hAnsi="FrankRuehl" w:cs="FrankRuehl"/>
            <w:color w:val="0000FF"/>
            <w:rtl/>
          </w:rPr>
          <w:t>פקודת הסמים המסוכנים [נוסח חדש], תשל"ג-1973</w:t>
        </w:r>
      </w:hyperlink>
      <w:r w:rsidRPr="00693B68">
        <w:rPr>
          <w:rFonts w:ascii="FrankRuehl" w:hAnsi="FrankRuehl" w:cs="FrankRuehl"/>
          <w:rtl/>
        </w:rPr>
        <w:t xml:space="preserve">: סע'  </w:t>
      </w:r>
      <w:hyperlink r:id="rId8" w:history="1">
        <w:r w:rsidRPr="00693B68">
          <w:rPr>
            <w:rFonts w:ascii="FrankRuehl" w:hAnsi="FrankRuehl" w:cs="FrankRuehl"/>
            <w:color w:val="0000FF"/>
            <w:rtl/>
          </w:rPr>
          <w:t>7.א.</w:t>
        </w:r>
      </w:hyperlink>
      <w:r w:rsidRPr="00693B68">
        <w:rPr>
          <w:rFonts w:ascii="FrankRuehl" w:hAnsi="FrankRuehl" w:cs="FrankRuehl"/>
          <w:rtl/>
        </w:rPr>
        <w:t xml:space="preserve">, </w:t>
      </w:r>
      <w:hyperlink r:id="rId9" w:history="1">
        <w:r w:rsidRPr="00693B68">
          <w:rPr>
            <w:rFonts w:ascii="FrankRuehl" w:hAnsi="FrankRuehl" w:cs="FrankRuehl"/>
            <w:color w:val="0000FF"/>
            <w:rtl/>
          </w:rPr>
          <w:t>7.ג</w:t>
        </w:r>
      </w:hyperlink>
    </w:p>
    <w:p w14:paraId="783128E3" w14:textId="77777777" w:rsidR="00693B68" w:rsidRPr="00693B68" w:rsidRDefault="00693B68" w:rsidP="00693B68">
      <w:pPr>
        <w:spacing w:before="120" w:after="120" w:line="240" w:lineRule="exact"/>
        <w:ind w:left="283" w:hanging="283"/>
        <w:jc w:val="both"/>
        <w:rPr>
          <w:rFonts w:ascii="FrankRuehl" w:hAnsi="FrankRuehl" w:cs="FrankRuehl"/>
          <w:rtl/>
        </w:rPr>
      </w:pPr>
      <w:hyperlink r:id="rId10" w:history="1">
        <w:r w:rsidRPr="00693B68">
          <w:rPr>
            <w:rFonts w:ascii="FrankRuehl" w:hAnsi="FrankRuehl" w:cs="FrankRuehl"/>
            <w:color w:val="0000FF"/>
            <w:rtl/>
          </w:rPr>
          <w:t>חוק העונשין, תשל"ז-1977</w:t>
        </w:r>
      </w:hyperlink>
      <w:r w:rsidRPr="00693B68">
        <w:rPr>
          <w:rFonts w:ascii="FrankRuehl" w:hAnsi="FrankRuehl" w:cs="FrankRuehl"/>
          <w:rtl/>
        </w:rPr>
        <w:t xml:space="preserve">: סע'  </w:t>
      </w:r>
      <w:hyperlink r:id="rId11" w:history="1">
        <w:r w:rsidRPr="00693B68">
          <w:rPr>
            <w:rFonts w:ascii="FrankRuehl" w:hAnsi="FrankRuehl" w:cs="FrankRuehl"/>
            <w:color w:val="0000FF"/>
            <w:rtl/>
          </w:rPr>
          <w:t>275</w:t>
        </w:r>
      </w:hyperlink>
    </w:p>
    <w:p w14:paraId="10FA74B1" w14:textId="77777777" w:rsidR="00693B68" w:rsidRPr="00693B68" w:rsidRDefault="00693B68" w:rsidP="00693B68">
      <w:pPr>
        <w:spacing w:before="120" w:after="120" w:line="240" w:lineRule="exact"/>
        <w:ind w:left="283" w:hanging="283"/>
        <w:jc w:val="both"/>
        <w:rPr>
          <w:rFonts w:ascii="FrankRuehl" w:hAnsi="FrankRuehl" w:cs="FrankRuehl"/>
          <w:rtl/>
        </w:rPr>
      </w:pPr>
      <w:hyperlink r:id="rId12" w:history="1">
        <w:r w:rsidRPr="00693B68">
          <w:rPr>
            <w:rFonts w:ascii="FrankRuehl" w:hAnsi="FrankRuehl" w:cs="FrankRuehl"/>
            <w:color w:val="0000FF"/>
            <w:rtl/>
          </w:rPr>
          <w:t>תקנות העבירות המינהליות (קנס מינהלי – החזקת קנאביס ושימוש בו לצריכה עצמית), תשפ"ב-2022</w:t>
        </w:r>
      </w:hyperlink>
    </w:p>
    <w:p w14:paraId="735B7740" w14:textId="77777777" w:rsidR="00693B68" w:rsidRPr="00693B68" w:rsidRDefault="00693B68" w:rsidP="00693B68">
      <w:pPr>
        <w:rPr>
          <w:rFonts w:ascii="Arial" w:hAnsi="Arial"/>
          <w:sz w:val="26"/>
          <w:szCs w:val="26"/>
          <w:rtl/>
        </w:rPr>
      </w:pPr>
      <w:bookmarkStart w:id="4" w:name="LawTable_End"/>
      <w:bookmarkEnd w:id="4"/>
    </w:p>
    <w:p w14:paraId="16FAC0FF" w14:textId="77777777" w:rsidR="00D9687C" w:rsidRPr="001B011B" w:rsidRDefault="00D9687C" w:rsidP="001B011B">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687C" w14:paraId="7F31CC66" w14:textId="77777777" w:rsidTr="00D9687C">
        <w:trPr>
          <w:trHeight w:val="355"/>
          <w:jc w:val="center"/>
        </w:trPr>
        <w:tc>
          <w:tcPr>
            <w:tcW w:w="8820" w:type="dxa"/>
            <w:tcBorders>
              <w:top w:val="nil"/>
              <w:left w:val="nil"/>
              <w:bottom w:val="nil"/>
              <w:right w:val="nil"/>
            </w:tcBorders>
            <w:shd w:val="clear" w:color="auto" w:fill="auto"/>
          </w:tcPr>
          <w:p w14:paraId="2CCABC19" w14:textId="77777777" w:rsidR="00E55B33" w:rsidRPr="00E55B33" w:rsidRDefault="00E55B33" w:rsidP="00E55B33">
            <w:pPr>
              <w:jc w:val="center"/>
              <w:rPr>
                <w:rFonts w:ascii="David" w:hAnsi="David"/>
                <w:b/>
                <w:bCs/>
                <w:sz w:val="32"/>
                <w:szCs w:val="32"/>
                <w:u w:val="single"/>
                <w:rtl/>
              </w:rPr>
            </w:pPr>
            <w:bookmarkStart w:id="5" w:name="PsakDin" w:colFirst="0" w:colLast="0"/>
            <w:bookmarkEnd w:id="0"/>
            <w:r w:rsidRPr="00E55B33">
              <w:rPr>
                <w:rFonts w:ascii="David" w:hAnsi="David"/>
                <w:b/>
                <w:bCs/>
                <w:sz w:val="32"/>
                <w:szCs w:val="32"/>
                <w:u w:val="single"/>
                <w:rtl/>
              </w:rPr>
              <w:t>גזר דין</w:t>
            </w:r>
          </w:p>
          <w:p w14:paraId="789ECD2A" w14:textId="77777777" w:rsidR="00D9687C" w:rsidRPr="00E55B33" w:rsidRDefault="00D9687C" w:rsidP="00E55B33">
            <w:pPr>
              <w:jc w:val="center"/>
              <w:rPr>
                <w:rFonts w:ascii="David" w:hAnsi="David"/>
                <w:bCs/>
                <w:sz w:val="32"/>
                <w:szCs w:val="32"/>
                <w:u w:val="single"/>
                <w:rtl/>
              </w:rPr>
            </w:pPr>
          </w:p>
        </w:tc>
      </w:tr>
      <w:bookmarkEnd w:id="5"/>
    </w:tbl>
    <w:p w14:paraId="347B66E8" w14:textId="77777777" w:rsidR="00D9687C" w:rsidRPr="000F2247" w:rsidRDefault="00D9687C" w:rsidP="00D9687C">
      <w:pPr>
        <w:rPr>
          <w:rFonts w:ascii="Arial" w:hAnsi="Arial"/>
          <w:b/>
          <w:bCs/>
          <w:sz w:val="26"/>
          <w:szCs w:val="26"/>
          <w:rtl/>
        </w:rPr>
      </w:pPr>
    </w:p>
    <w:p w14:paraId="7D27A3E0" w14:textId="77777777" w:rsidR="00D9687C" w:rsidRDefault="00D9687C" w:rsidP="00D9687C">
      <w:pPr>
        <w:spacing w:line="360" w:lineRule="auto"/>
        <w:jc w:val="both"/>
        <w:rPr>
          <w:rFonts w:ascii="David" w:hAnsi="David"/>
          <w:b/>
          <w:bCs/>
          <w:sz w:val="28"/>
          <w:szCs w:val="28"/>
          <w:u w:val="single"/>
        </w:rPr>
      </w:pPr>
      <w:r>
        <w:rPr>
          <w:rFonts w:ascii="David" w:hAnsi="David"/>
          <w:b/>
          <w:bCs/>
          <w:sz w:val="28"/>
          <w:szCs w:val="28"/>
          <w:u w:val="single"/>
          <w:rtl/>
        </w:rPr>
        <w:t>רקע</w:t>
      </w:r>
    </w:p>
    <w:p w14:paraId="74C6C128" w14:textId="77777777" w:rsidR="00D9687C" w:rsidRDefault="00D9687C" w:rsidP="00D9687C">
      <w:pPr>
        <w:pStyle w:val="ab"/>
        <w:numPr>
          <w:ilvl w:val="0"/>
          <w:numId w:val="2"/>
        </w:numPr>
        <w:spacing w:after="0"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ביום 16.6.2021 הנאשם הודה והורשע בעובדות כתב האישום המתוקן בעבירות של </w:t>
      </w:r>
      <w:r>
        <w:rPr>
          <w:rFonts w:ascii="David" w:hAnsi="David" w:cs="David"/>
          <w:b/>
          <w:bCs/>
          <w:sz w:val="24"/>
          <w:szCs w:val="24"/>
          <w:rtl/>
        </w:rPr>
        <w:t>החזקת סם מסוכן שלא לצריכה עצמית</w:t>
      </w:r>
      <w:r>
        <w:rPr>
          <w:rFonts w:ascii="David" w:hAnsi="David" w:cs="David"/>
          <w:sz w:val="24"/>
          <w:szCs w:val="24"/>
          <w:rtl/>
        </w:rPr>
        <w:t xml:space="preserve">, עבירה לפי </w:t>
      </w:r>
      <w:hyperlink r:id="rId13" w:history="1">
        <w:r w:rsidR="00FA6C64" w:rsidRPr="00FA6C64">
          <w:rPr>
            <w:rStyle w:val="Hyperlink"/>
            <w:rFonts w:ascii="David" w:hAnsi="David" w:cs="David"/>
            <w:sz w:val="24"/>
            <w:szCs w:val="24"/>
            <w:rtl/>
          </w:rPr>
          <w:t>סעיף 7(א)+(ג)</w:t>
        </w:r>
      </w:hyperlink>
      <w:r>
        <w:rPr>
          <w:rFonts w:ascii="David" w:hAnsi="David" w:cs="David"/>
          <w:sz w:val="24"/>
          <w:szCs w:val="24"/>
          <w:rtl/>
        </w:rPr>
        <w:t xml:space="preserve"> רישא ב</w:t>
      </w:r>
      <w:hyperlink r:id="rId14" w:history="1">
        <w:r w:rsidR="00E55B33" w:rsidRPr="00E55B33">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ו</w:t>
      </w:r>
      <w:r>
        <w:rPr>
          <w:rFonts w:ascii="David" w:hAnsi="David" w:cs="David"/>
          <w:b/>
          <w:bCs/>
          <w:sz w:val="24"/>
          <w:szCs w:val="24"/>
          <w:rtl/>
        </w:rPr>
        <w:t>הפרעה לשוטר במילוי תפקידו</w:t>
      </w:r>
      <w:r>
        <w:rPr>
          <w:rFonts w:ascii="David" w:hAnsi="David" w:cs="David"/>
          <w:sz w:val="24"/>
          <w:szCs w:val="24"/>
          <w:rtl/>
        </w:rPr>
        <w:t xml:space="preserve">, עבירה לפי </w:t>
      </w:r>
      <w:hyperlink r:id="rId15" w:history="1">
        <w:r w:rsidR="00FA6C64" w:rsidRPr="00FA6C64">
          <w:rPr>
            <w:rStyle w:val="Hyperlink"/>
            <w:rFonts w:ascii="David" w:hAnsi="David" w:cs="David"/>
            <w:sz w:val="24"/>
            <w:szCs w:val="24"/>
            <w:rtl/>
          </w:rPr>
          <w:t>סעיף 275</w:t>
        </w:r>
      </w:hyperlink>
      <w:r>
        <w:rPr>
          <w:rFonts w:ascii="David" w:hAnsi="David" w:cs="David"/>
          <w:sz w:val="24"/>
          <w:szCs w:val="24"/>
          <w:rtl/>
        </w:rPr>
        <w:t xml:space="preserve"> ל</w:t>
      </w:r>
      <w:hyperlink r:id="rId16" w:history="1">
        <w:r w:rsidR="00E55B33" w:rsidRPr="00E55B33">
          <w:rPr>
            <w:rFonts w:ascii="David" w:hAnsi="David" w:cs="David"/>
            <w:color w:val="0000FF"/>
            <w:sz w:val="24"/>
            <w:szCs w:val="24"/>
            <w:u w:val="single"/>
            <w:rtl/>
          </w:rPr>
          <w:t>חוק העונשין</w:t>
        </w:r>
      </w:hyperlink>
      <w:r>
        <w:rPr>
          <w:rFonts w:ascii="David" w:hAnsi="David" w:cs="David"/>
          <w:sz w:val="24"/>
          <w:szCs w:val="24"/>
          <w:rtl/>
        </w:rPr>
        <w:t>, תשל"ז -1977.</w:t>
      </w:r>
    </w:p>
    <w:p w14:paraId="07ED143F" w14:textId="77777777" w:rsidR="00D9687C" w:rsidRDefault="00D9687C" w:rsidP="00D9687C">
      <w:pPr>
        <w:pStyle w:val="ab"/>
        <w:spacing w:after="0" w:line="360" w:lineRule="auto"/>
        <w:ind w:left="360"/>
        <w:jc w:val="both"/>
        <w:rPr>
          <w:rFonts w:ascii="David" w:hAnsi="David" w:cs="David"/>
          <w:sz w:val="24"/>
          <w:szCs w:val="24"/>
        </w:rPr>
      </w:pPr>
      <w:bookmarkStart w:id="7" w:name="ABSTRACT_END"/>
      <w:bookmarkEnd w:id="7"/>
    </w:p>
    <w:p w14:paraId="2D2E59FA" w14:textId="77777777" w:rsidR="00D9687C" w:rsidRDefault="00D9687C" w:rsidP="00D9687C">
      <w:pPr>
        <w:pStyle w:val="ab"/>
        <w:numPr>
          <w:ilvl w:val="0"/>
          <w:numId w:val="2"/>
        </w:numPr>
        <w:spacing w:after="0" w:line="360" w:lineRule="auto"/>
        <w:jc w:val="both"/>
        <w:rPr>
          <w:rFonts w:ascii="David" w:hAnsi="David" w:cs="David"/>
          <w:sz w:val="24"/>
          <w:szCs w:val="24"/>
        </w:rPr>
      </w:pPr>
      <w:r>
        <w:rPr>
          <w:rFonts w:ascii="David" w:hAnsi="David" w:cs="David"/>
          <w:sz w:val="24"/>
          <w:szCs w:val="24"/>
          <w:rtl/>
        </w:rPr>
        <w:t>מעובדות כתב האישום המתוקן, עולה כי ביום 16.4.2018 בשעה</w:t>
      </w:r>
      <w:r>
        <w:rPr>
          <w:rFonts w:ascii="David" w:hAnsi="David" w:cs="David"/>
          <w:sz w:val="24"/>
          <w:szCs w:val="24"/>
        </w:rPr>
        <w:t xml:space="preserve"> 00:14  </w:t>
      </w:r>
      <w:r>
        <w:rPr>
          <w:rFonts w:ascii="David" w:hAnsi="David" w:cs="David"/>
          <w:sz w:val="24"/>
          <w:szCs w:val="24"/>
          <w:rtl/>
        </w:rPr>
        <w:t xml:space="preserve">בסמוך לכביש 60 החזיק הנאשם ברכבו סם מסוכן מסוג קנבוס במשקל 40 גרם. בהמשך לכך, בתחנת משטרת עיירות </w:t>
      </w:r>
      <w:r>
        <w:rPr>
          <w:rFonts w:ascii="David" w:hAnsi="David" w:cs="David"/>
          <w:sz w:val="24"/>
          <w:szCs w:val="24"/>
          <w:rtl/>
        </w:rPr>
        <w:lastRenderedPageBreak/>
        <w:t>הפריע לשוטרים בכך שהחל בהליכה מהירה לכיוון השירותים, לא נשמע להוראות השוטר אלכסיי, הוריד את אחיזתו של השוטר אלכסיי ממנו, הדף את השוטר אלכסיי בחזהו באמצעות ידיו והחל להתקדם במהירות לכיוון דלת היציאה מהתחנה, אז הופל ארצה על ידי השוטרים אלכסיי ויקיר.</w:t>
      </w:r>
    </w:p>
    <w:p w14:paraId="663EA249" w14:textId="77777777" w:rsidR="00D9687C" w:rsidRDefault="00D9687C" w:rsidP="00D9687C">
      <w:pPr>
        <w:pStyle w:val="ab"/>
        <w:spacing w:after="0" w:line="360" w:lineRule="auto"/>
        <w:ind w:left="360"/>
        <w:jc w:val="both"/>
        <w:rPr>
          <w:rFonts w:ascii="David" w:hAnsi="David" w:cs="David"/>
          <w:sz w:val="24"/>
          <w:szCs w:val="24"/>
        </w:rPr>
      </w:pPr>
    </w:p>
    <w:p w14:paraId="0BE4BBE4" w14:textId="77777777" w:rsidR="00D9687C" w:rsidRDefault="00D9687C" w:rsidP="00D9687C">
      <w:pPr>
        <w:pStyle w:val="ab"/>
        <w:numPr>
          <w:ilvl w:val="0"/>
          <w:numId w:val="2"/>
        </w:numPr>
        <w:spacing w:after="0" w:line="360" w:lineRule="auto"/>
        <w:jc w:val="both"/>
        <w:rPr>
          <w:rFonts w:ascii="David" w:hAnsi="David" w:cs="David"/>
          <w:sz w:val="24"/>
          <w:szCs w:val="24"/>
        </w:rPr>
      </w:pPr>
      <w:r>
        <w:rPr>
          <w:rFonts w:ascii="David" w:hAnsi="David" w:cs="David"/>
          <w:sz w:val="24"/>
          <w:szCs w:val="24"/>
          <w:rtl/>
        </w:rPr>
        <w:t>הוסכם בין הצדדים כי בעניינו של הנאשם יתקבל תסקיר שירות המבחן, שלאחריו יטענו באופן חופשי.</w:t>
      </w:r>
    </w:p>
    <w:p w14:paraId="6108C67C" w14:textId="77777777" w:rsidR="00D9687C" w:rsidRDefault="00D9687C" w:rsidP="00D9687C">
      <w:pPr>
        <w:spacing w:line="360" w:lineRule="auto"/>
        <w:jc w:val="both"/>
        <w:rPr>
          <w:rFonts w:ascii="David" w:hAnsi="David"/>
        </w:rPr>
      </w:pPr>
    </w:p>
    <w:p w14:paraId="28B366C7" w14:textId="77777777" w:rsidR="00D9687C" w:rsidRDefault="00D9687C" w:rsidP="00D9687C">
      <w:pPr>
        <w:spacing w:line="360" w:lineRule="auto"/>
        <w:jc w:val="both"/>
        <w:rPr>
          <w:rFonts w:ascii="David" w:hAnsi="David"/>
          <w:b/>
          <w:bCs/>
          <w:sz w:val="28"/>
          <w:szCs w:val="28"/>
          <w:u w:val="single"/>
          <w:rtl/>
        </w:rPr>
      </w:pPr>
      <w:r>
        <w:rPr>
          <w:rFonts w:ascii="David" w:hAnsi="David"/>
          <w:b/>
          <w:bCs/>
          <w:sz w:val="28"/>
          <w:szCs w:val="28"/>
          <w:u w:val="single"/>
          <w:rtl/>
        </w:rPr>
        <w:t>תסקיר שירות המבחן</w:t>
      </w:r>
    </w:p>
    <w:p w14:paraId="057AB112" w14:textId="77777777" w:rsidR="00D9687C" w:rsidRDefault="00D9687C" w:rsidP="00D9687C">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מתסקיר שירות המבחן מיום 4.5.22 עולה כי הנאשם צמצם מידע אודות מעורבותו השולית וניכר כי מתקשה להכיר בדפוסיו המכשילים. הופנה לבדיקות שתן אליהן לא הגיע. ובסופו של דבר אף ניתק קשר עם שירות המבחן. לנאשם ניתנה הזדמנות נוספת אך הוא שוב לא הגיע לבדיקות שתן ולא יצר קשר עם שירות המבחן. לאור האמור המליץ שירות המבחן על ענישה מוחשית בדרך של עבודות שירות. </w:t>
      </w:r>
    </w:p>
    <w:p w14:paraId="4EE7ABAC" w14:textId="77777777" w:rsidR="00D9687C" w:rsidRDefault="00D9687C" w:rsidP="00D9687C">
      <w:pPr>
        <w:pStyle w:val="ab"/>
        <w:spacing w:line="360" w:lineRule="auto"/>
        <w:ind w:left="360"/>
        <w:jc w:val="both"/>
        <w:rPr>
          <w:rFonts w:ascii="David" w:hAnsi="David" w:cs="David"/>
          <w:sz w:val="24"/>
          <w:szCs w:val="24"/>
        </w:rPr>
      </w:pPr>
    </w:p>
    <w:p w14:paraId="28B1BECD" w14:textId="77777777" w:rsidR="00D9687C" w:rsidRDefault="00D9687C" w:rsidP="00D9687C">
      <w:pPr>
        <w:spacing w:line="360" w:lineRule="auto"/>
        <w:jc w:val="both"/>
        <w:rPr>
          <w:rFonts w:ascii="David" w:hAnsi="David"/>
          <w:b/>
          <w:bCs/>
          <w:sz w:val="28"/>
          <w:szCs w:val="28"/>
          <w:u w:val="single"/>
          <w:rtl/>
        </w:rPr>
      </w:pPr>
      <w:r>
        <w:rPr>
          <w:rFonts w:ascii="David" w:hAnsi="David"/>
          <w:b/>
          <w:bCs/>
          <w:sz w:val="28"/>
          <w:szCs w:val="28"/>
          <w:u w:val="single"/>
          <w:rtl/>
        </w:rPr>
        <w:t>טיעוני הצדדים</w:t>
      </w:r>
    </w:p>
    <w:p w14:paraId="45F185BB"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ב"כ המאשימה הגיש רישום פלילי (ת/1) המונה הרשעה פלילית יחידה בעבירת סיוע להחזקת סמים שלא לצריכה עצמית, בגינה ריצה עונש מאסר בן 4 חודשים. רישום תעבורתי (ת/2) המונה 13 הרשעות כולן בעבירות ברירת קנס.  טיעונים לעונש בכתב (ת/3) בהם תיארה המאשימה את העבירות שביצע הנאשם, את חומרתן ואת הערכים החברתיים שנפגעו. עתרה למתחם ענישה הנע בין מספר חודשי מאסר ועד 12 חודשי מאסר, וביקשה להטיל על הנאשם עונש בחלק התחתון של המתחם שיכול וירוצה בעבודות שירות. בטיעונים בעל פה במהלך הדיון עתרה המאשימה לעונש של 9 חודשי מאסר שיכול וירוצו בעבודות שירות נוכח אי שיתוף הפעולה של הנאשם עם שירות המבחן.  </w:t>
      </w:r>
    </w:p>
    <w:p w14:paraId="5DA426CE" w14:textId="77777777" w:rsidR="00D9687C" w:rsidRDefault="00D9687C" w:rsidP="00D9687C">
      <w:pPr>
        <w:pStyle w:val="ab"/>
        <w:spacing w:after="0" w:line="360" w:lineRule="auto"/>
        <w:ind w:left="360"/>
        <w:jc w:val="both"/>
        <w:rPr>
          <w:rFonts w:ascii="David" w:hAnsi="David" w:cs="David"/>
          <w:sz w:val="24"/>
          <w:szCs w:val="24"/>
        </w:rPr>
      </w:pPr>
    </w:p>
    <w:p w14:paraId="7D719ECC" w14:textId="77777777" w:rsidR="00D9687C" w:rsidRDefault="00D9687C" w:rsidP="00D9687C">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ב"כ הנאשם טען כי מתחם העונש ההולם הינו ממאסר מותנה ועד 6 חודשים שיכול וירוצו בעבודות שירות. ציין כי מדובר באירוע חד פעמי. הפנה לכך כי כמות הסם קרוב לכמות המותרת לשימוש עצמי. טען כי הנאשם עבר תאונה ובעקבותיה מצבו הכלכלי הורע. תמך טענתו במסמך רפואי (נ/1). ציין כי על אף היעדר שיתוף הפעולה עם שירות המבחן, יש לראות לחיוב את העובדה שהנאשם לא הסתבך בעבירות נוספות, התחתן, הפך לאבא והוא נמצא על מסלול חיובי. עתר לעונש בתחתית המתחם. הבהיר כי על אף שלנאשם עבר פלילי, מדובר בעבירה יחידה. </w:t>
      </w:r>
    </w:p>
    <w:p w14:paraId="0AE602E1" w14:textId="77777777" w:rsidR="00D9687C" w:rsidRDefault="00D9687C" w:rsidP="00D9687C">
      <w:pPr>
        <w:pStyle w:val="ab"/>
        <w:jc w:val="both"/>
        <w:rPr>
          <w:rFonts w:ascii="David" w:hAnsi="David" w:cs="David"/>
          <w:sz w:val="24"/>
          <w:szCs w:val="24"/>
        </w:rPr>
      </w:pPr>
    </w:p>
    <w:p w14:paraId="35093480"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הנאשם ציין כי הוא לא עובד מזה שנה בגלל תאונת עבודה. כיום נשוי ויש לו ילד קטן. </w:t>
      </w:r>
    </w:p>
    <w:p w14:paraId="3D2FE645" w14:textId="77777777" w:rsidR="00D9687C" w:rsidRDefault="00D9687C" w:rsidP="00D9687C">
      <w:pPr>
        <w:spacing w:line="360" w:lineRule="auto"/>
        <w:jc w:val="both"/>
        <w:rPr>
          <w:rFonts w:ascii="David" w:hAnsi="David"/>
          <w:b/>
          <w:bCs/>
          <w:u w:val="single"/>
        </w:rPr>
      </w:pPr>
    </w:p>
    <w:p w14:paraId="71A1C1C0" w14:textId="77777777" w:rsidR="00D9687C" w:rsidRDefault="00D9687C" w:rsidP="00D9687C">
      <w:pPr>
        <w:spacing w:line="360" w:lineRule="auto"/>
        <w:jc w:val="both"/>
        <w:rPr>
          <w:rFonts w:ascii="David" w:hAnsi="David"/>
          <w:b/>
          <w:bCs/>
          <w:sz w:val="28"/>
          <w:szCs w:val="28"/>
          <w:u w:val="single"/>
          <w:rtl/>
        </w:rPr>
      </w:pPr>
      <w:r>
        <w:rPr>
          <w:rFonts w:ascii="David" w:hAnsi="David"/>
          <w:b/>
          <w:bCs/>
          <w:sz w:val="28"/>
          <w:szCs w:val="28"/>
          <w:u w:val="single"/>
          <w:rtl/>
        </w:rPr>
        <w:t>קביעת מתחם העונש ההולם</w:t>
      </w:r>
    </w:p>
    <w:p w14:paraId="6592D709" w14:textId="77777777" w:rsidR="00D9687C" w:rsidRP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היות וכתב האישום מתאר השתלשלות אירועים קרובים בזמן ובמקום, הרי שמן הראוי לקבוע מתחם עונש אחד.</w:t>
      </w:r>
    </w:p>
    <w:p w14:paraId="4D5070E0" w14:textId="77777777" w:rsidR="00D9687C" w:rsidRDefault="00D9687C" w:rsidP="00D9687C">
      <w:pPr>
        <w:pStyle w:val="ab"/>
        <w:spacing w:after="0" w:line="360" w:lineRule="auto"/>
        <w:ind w:left="360"/>
        <w:jc w:val="both"/>
        <w:rPr>
          <w:rFonts w:ascii="David" w:hAnsi="David" w:cs="David"/>
          <w:sz w:val="24"/>
          <w:szCs w:val="24"/>
        </w:rPr>
      </w:pPr>
    </w:p>
    <w:p w14:paraId="22071DD7" w14:textId="77777777" w:rsidR="00D9687C" w:rsidRDefault="00D9687C" w:rsidP="00D9687C">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בקביעת מתחם העונש ההולם על בית המשפט להתחשב בערכים המוגנים, במידת הפגיעה בהם, בענישה הנוהגת ובנסיבות הקשורות בביצוע העבירה.</w:t>
      </w:r>
    </w:p>
    <w:p w14:paraId="06107A21" w14:textId="77777777" w:rsidR="00D9687C" w:rsidRDefault="00D9687C" w:rsidP="00D9687C">
      <w:pPr>
        <w:spacing w:line="360" w:lineRule="auto"/>
        <w:jc w:val="both"/>
        <w:rPr>
          <w:rFonts w:ascii="David" w:hAnsi="David"/>
        </w:rPr>
      </w:pPr>
    </w:p>
    <w:p w14:paraId="412A003B" w14:textId="77777777" w:rsidR="00D9687C" w:rsidRDefault="00D9687C" w:rsidP="00D9687C">
      <w:pPr>
        <w:spacing w:line="360" w:lineRule="auto"/>
        <w:ind w:firstLine="360"/>
        <w:jc w:val="both"/>
        <w:rPr>
          <w:rFonts w:ascii="David" w:hAnsi="David"/>
          <w:u w:val="single"/>
          <w:rtl/>
        </w:rPr>
      </w:pPr>
      <w:r>
        <w:rPr>
          <w:rFonts w:ascii="David" w:hAnsi="David"/>
          <w:u w:val="single"/>
          <w:rtl/>
        </w:rPr>
        <w:t>הערכים המוגנים ומידת הפגיעה בהם</w:t>
      </w:r>
    </w:p>
    <w:p w14:paraId="0357B2C6" w14:textId="77777777" w:rsidR="00D9687C" w:rsidRDefault="00D9687C" w:rsidP="00D9687C">
      <w:pPr>
        <w:spacing w:line="360" w:lineRule="auto"/>
        <w:jc w:val="both"/>
        <w:rPr>
          <w:rFonts w:ascii="David" w:hAnsi="David"/>
          <w:u w:val="single"/>
          <w:rtl/>
        </w:rPr>
      </w:pPr>
    </w:p>
    <w:p w14:paraId="56721984" w14:textId="77777777" w:rsidR="00D9687C" w:rsidRPr="00D9687C" w:rsidRDefault="00D9687C" w:rsidP="00D9687C">
      <w:pPr>
        <w:pStyle w:val="ab"/>
        <w:numPr>
          <w:ilvl w:val="0"/>
          <w:numId w:val="2"/>
        </w:numPr>
        <w:spacing w:line="360" w:lineRule="auto"/>
        <w:jc w:val="both"/>
        <w:rPr>
          <w:rtl/>
        </w:rPr>
      </w:pPr>
      <w:r>
        <w:rPr>
          <w:rFonts w:ascii="David" w:hAnsi="David" w:cs="David"/>
          <w:sz w:val="24"/>
          <w:szCs w:val="24"/>
          <w:rtl/>
        </w:rPr>
        <w:t xml:space="preserve">הערך המוגן בעבירות סמים הינו ההגנה מפני הנזקים הישירים והעקיפים אשר נגרמים לחברה בכללותה עקב השימוש בסמים. </w:t>
      </w:r>
      <w:r>
        <w:rPr>
          <w:rFonts w:cs="David"/>
          <w:sz w:val="24"/>
          <w:szCs w:val="24"/>
          <w:rtl/>
        </w:rPr>
        <w:t xml:space="preserve">שימוש ממושך בסם מסוכן עלול לגרום לפגיעה גופנית ונפשית של המשתמש בו, כזו שתצריך טיפול רפואי שעלותו נופלת על החברה ואף עלולה לא אחת להוביל לביצוע עבירות נלוות לשם מימון הסם. </w:t>
      </w:r>
      <w:r>
        <w:rPr>
          <w:rFonts w:ascii="David" w:hAnsi="David" w:cs="David"/>
          <w:sz w:val="24"/>
          <w:szCs w:val="24"/>
          <w:rtl/>
        </w:rPr>
        <w:t xml:space="preserve">על הצורך  להילחם בנגע הסמים, עמד בית המשפט העליון לא אחת פסיקתו, </w:t>
      </w:r>
      <w:r>
        <w:rPr>
          <w:rFonts w:ascii="David" w:hAnsi="David" w:cs="David"/>
          <w:b/>
          <w:sz w:val="24"/>
          <w:szCs w:val="24"/>
          <w:rtl/>
        </w:rPr>
        <w:t>ובין השאר ב</w:t>
      </w:r>
      <w:hyperlink r:id="rId17" w:history="1">
        <w:r w:rsidR="00E55B33" w:rsidRPr="00E55B33">
          <w:rPr>
            <w:rFonts w:ascii="David" w:hAnsi="David" w:cs="David"/>
            <w:b/>
            <w:color w:val="0000FF"/>
            <w:sz w:val="24"/>
            <w:szCs w:val="24"/>
            <w:u w:val="single"/>
            <w:rtl/>
          </w:rPr>
          <w:t>ע"פ 170/07</w:t>
        </w:r>
      </w:hyperlink>
      <w:r>
        <w:rPr>
          <w:rFonts w:ascii="David" w:hAnsi="David" w:cs="David"/>
          <w:b/>
          <w:sz w:val="24"/>
          <w:szCs w:val="24"/>
          <w:rtl/>
        </w:rPr>
        <w:t xml:space="preserve"> </w:t>
      </w:r>
      <w:r>
        <w:rPr>
          <w:rFonts w:ascii="David" w:hAnsi="David" w:cs="David"/>
          <w:bCs/>
          <w:sz w:val="24"/>
          <w:szCs w:val="24"/>
          <w:rtl/>
        </w:rPr>
        <w:t>מטיס נ' מדינת ישראל</w:t>
      </w:r>
      <w:r>
        <w:rPr>
          <w:rFonts w:ascii="David" w:hAnsi="David" w:cs="David"/>
          <w:b/>
          <w:sz w:val="24"/>
          <w:szCs w:val="24"/>
          <w:rtl/>
        </w:rPr>
        <w:t xml:space="preserve"> ביחס שימוש עצמי בסמים מסוג קנאביס וחשיש:</w:t>
      </w:r>
    </w:p>
    <w:p w14:paraId="7249B0A5" w14:textId="77777777" w:rsidR="00D9687C" w:rsidRDefault="00D9687C" w:rsidP="00D9687C">
      <w:pPr>
        <w:pStyle w:val="a"/>
        <w:numPr>
          <w:ilvl w:val="0"/>
          <w:numId w:val="0"/>
        </w:numPr>
        <w:tabs>
          <w:tab w:val="left" w:pos="720"/>
        </w:tabs>
        <w:ind w:left="720"/>
        <w:jc w:val="both"/>
        <w:rPr>
          <w:bCs/>
        </w:rPr>
      </w:pPr>
      <w:r>
        <w:rPr>
          <w:rFonts w:hint="cs"/>
          <w:b/>
          <w:rtl/>
        </w:rPr>
        <w:t>"</w:t>
      </w:r>
      <w:r>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Pr>
          <w:rFonts w:hint="cs"/>
          <w:b/>
          <w:rtl/>
        </w:rPr>
        <w:t>".</w:t>
      </w:r>
    </w:p>
    <w:p w14:paraId="100AA607" w14:textId="77777777" w:rsidR="00D9687C" w:rsidRDefault="00D9687C" w:rsidP="00D9687C">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מידת הפגיעה בערך המוגן נמוכה בשים לב לכך שמדובר בכמות של 40 גרם בלבד. יש לתת הדעת לקרבה המשמעותית לכמות הקבועה </w:t>
      </w:r>
      <w:r>
        <w:rPr>
          <w:rFonts w:ascii="David" w:hAnsi="David" w:cs="David"/>
          <w:b/>
          <w:bCs/>
          <w:sz w:val="24"/>
          <w:szCs w:val="24"/>
          <w:rtl/>
        </w:rPr>
        <w:t>ב</w:t>
      </w:r>
      <w:hyperlink r:id="rId18" w:history="1">
        <w:r w:rsidR="00FA6C64" w:rsidRPr="00FA6C64">
          <w:rPr>
            <w:rStyle w:val="Hyperlink"/>
            <w:rFonts w:ascii="David" w:hAnsi="David" w:cs="David"/>
            <w:sz w:val="24"/>
            <w:szCs w:val="24"/>
            <w:rtl/>
          </w:rPr>
          <w:t>תקנות העבירות המנהליות (קנס מינהלי – החזקת קנאביס ושימוש בו לצריכה עצמית)</w:t>
        </w:r>
      </w:hyperlink>
      <w:r>
        <w:rPr>
          <w:rFonts w:ascii="David" w:hAnsi="David" w:cs="David"/>
          <w:sz w:val="24"/>
          <w:szCs w:val="24"/>
          <w:rtl/>
        </w:rPr>
        <w:t>, תשפ"ב-2022, ככזו שאינה עוד עבירה פלילית, כי אם מנהלית. הסמים לא היו מחולקים, ונמצאו בביתו של הנאשם בנסיבות שאינן צופות פני הפצה.</w:t>
      </w:r>
    </w:p>
    <w:p w14:paraId="0390063B" w14:textId="77777777" w:rsidR="00D9687C" w:rsidRDefault="00D9687C" w:rsidP="00D9687C">
      <w:pPr>
        <w:pStyle w:val="ab"/>
        <w:spacing w:line="360" w:lineRule="auto"/>
        <w:ind w:left="360"/>
        <w:jc w:val="both"/>
        <w:rPr>
          <w:rFonts w:ascii="David" w:hAnsi="David" w:cs="David"/>
          <w:sz w:val="24"/>
          <w:szCs w:val="24"/>
        </w:rPr>
      </w:pPr>
    </w:p>
    <w:p w14:paraId="474BB4F0" w14:textId="77777777" w:rsidR="00D9687C" w:rsidRPr="00D9687C" w:rsidRDefault="00D9687C" w:rsidP="00D9687C">
      <w:pPr>
        <w:pStyle w:val="ab"/>
        <w:numPr>
          <w:ilvl w:val="0"/>
          <w:numId w:val="2"/>
        </w:numPr>
        <w:spacing w:line="360" w:lineRule="auto"/>
        <w:jc w:val="both"/>
      </w:pPr>
      <w:r>
        <w:rPr>
          <w:rFonts w:ascii="David" w:hAnsi="David" w:cs="David"/>
          <w:sz w:val="24"/>
          <w:szCs w:val="24"/>
          <w:rtl/>
        </w:rPr>
        <w:t xml:space="preserve">הערכים המוגנים בעבירת הכשלת שוטר במילוי תפקידו הם פגיעה בערכי השלטון והגנה על אנשי הביטחון שתפקידם לשמור על הסדר הציבורי. </w:t>
      </w:r>
    </w:p>
    <w:p w14:paraId="3E693B2C" w14:textId="77777777" w:rsidR="00D9687C" w:rsidRDefault="00D9687C" w:rsidP="00D9687C">
      <w:pPr>
        <w:pStyle w:val="ab"/>
        <w:rPr>
          <w:rFonts w:ascii="David" w:hAnsi="David" w:cs="David"/>
          <w:sz w:val="24"/>
          <w:szCs w:val="24"/>
        </w:rPr>
      </w:pPr>
    </w:p>
    <w:p w14:paraId="660FD49C" w14:textId="77777777" w:rsidR="00D9687C" w:rsidRPr="00D9687C" w:rsidRDefault="00D9687C" w:rsidP="00D9687C">
      <w:pPr>
        <w:pStyle w:val="ab"/>
        <w:numPr>
          <w:ilvl w:val="0"/>
          <w:numId w:val="2"/>
        </w:numPr>
        <w:spacing w:line="360" w:lineRule="auto"/>
        <w:jc w:val="both"/>
        <w:rPr>
          <w:rtl/>
        </w:rPr>
      </w:pPr>
      <w:r>
        <w:rPr>
          <w:rFonts w:ascii="David" w:hAnsi="David" w:cs="David"/>
          <w:sz w:val="24"/>
          <w:szCs w:val="24"/>
          <w:rtl/>
        </w:rPr>
        <w:t xml:space="preserve">מידת הפגיעה בערכים הללו הינה ברף הנמוך שכן מדובר בהתנהלות קצרה בזמן, שבוצעה ברף אלימות נמוך, ובאופן לא מתוכנן. </w:t>
      </w:r>
    </w:p>
    <w:p w14:paraId="085C4568" w14:textId="77777777" w:rsidR="00D9687C" w:rsidRDefault="00D9687C" w:rsidP="00D9687C">
      <w:pPr>
        <w:pStyle w:val="ab"/>
        <w:spacing w:line="360" w:lineRule="auto"/>
        <w:ind w:left="360"/>
        <w:jc w:val="both"/>
        <w:rPr>
          <w:rFonts w:ascii="David" w:hAnsi="David" w:cs="David"/>
          <w:sz w:val="24"/>
          <w:szCs w:val="24"/>
          <w:rtl/>
        </w:rPr>
      </w:pPr>
    </w:p>
    <w:p w14:paraId="56DF6D5D" w14:textId="77777777" w:rsidR="00D9687C" w:rsidRDefault="00D9687C" w:rsidP="00D9687C">
      <w:pPr>
        <w:spacing w:line="360" w:lineRule="auto"/>
        <w:ind w:firstLine="360"/>
        <w:jc w:val="both"/>
        <w:rPr>
          <w:rFonts w:ascii="David" w:hAnsi="David"/>
          <w:u w:val="single"/>
          <w:rtl/>
        </w:rPr>
      </w:pPr>
      <w:r>
        <w:rPr>
          <w:rFonts w:ascii="David" w:hAnsi="David"/>
          <w:u w:val="single"/>
          <w:rtl/>
        </w:rPr>
        <w:t>מדיניות הענישה הנוהגת</w:t>
      </w:r>
    </w:p>
    <w:p w14:paraId="547366AB"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מדיניות הענישה הנהוגה בעבירות החזקת סם קנבוס שלא לצריכה עצמית, בכמויות נמוכות, מלמדת כי המתחם נע בין מאסר על תנאי למספר חודשי מאסר בפועל שירוצו בעבודות שירות.  ראו למשל </w:t>
      </w:r>
      <w:hyperlink r:id="rId19" w:history="1">
        <w:r w:rsidR="00E55B33" w:rsidRPr="00E55B33">
          <w:rPr>
            <w:rFonts w:ascii="David" w:hAnsi="David" w:cs="David"/>
            <w:color w:val="0000FF"/>
            <w:sz w:val="24"/>
            <w:szCs w:val="24"/>
            <w:u w:val="single"/>
            <w:rtl/>
          </w:rPr>
          <w:t>ת"פ 28194-06-19</w:t>
        </w:r>
      </w:hyperlink>
      <w:r>
        <w:rPr>
          <w:rFonts w:ascii="David" w:hAnsi="David" w:cs="David"/>
          <w:sz w:val="24"/>
          <w:szCs w:val="24"/>
          <w:rtl/>
        </w:rPr>
        <w:t xml:space="preserve"> </w:t>
      </w:r>
      <w:r>
        <w:rPr>
          <w:rFonts w:ascii="David" w:hAnsi="David" w:cs="David"/>
          <w:b/>
          <w:bCs/>
          <w:sz w:val="24"/>
          <w:szCs w:val="24"/>
          <w:rtl/>
        </w:rPr>
        <w:t>מדינת ישראל נ' מזוז</w:t>
      </w:r>
      <w:r>
        <w:rPr>
          <w:rFonts w:ascii="David" w:hAnsi="David" w:cs="David"/>
          <w:sz w:val="24"/>
          <w:szCs w:val="24"/>
          <w:rtl/>
        </w:rPr>
        <w:t xml:space="preserve">, שם הורשע בעבירת החזקת סם מסוג קנבוס במשקל של 59 גרם בכך שהחזיקו ברכבו. בית המשפט קבע מתחם ענישה הנע בין של"צ ומאסר מותנה ועד 6 חודשי מאסר בדרך של עבודות שירות וגזר על הנאשם 6 חודשי מאסר מותנה, קנס ו-200 שעות של"צ. </w:t>
      </w:r>
      <w:hyperlink r:id="rId20" w:history="1">
        <w:r w:rsidR="00E55B33" w:rsidRPr="00E55B33">
          <w:rPr>
            <w:rFonts w:ascii="David" w:hAnsi="David" w:cs="David"/>
            <w:color w:val="0000FF"/>
            <w:sz w:val="24"/>
            <w:szCs w:val="24"/>
            <w:u w:val="single"/>
            <w:rtl/>
          </w:rPr>
          <w:t>ת"פ 11409-07-19</w:t>
        </w:r>
      </w:hyperlink>
      <w:r>
        <w:rPr>
          <w:rFonts w:ascii="David" w:hAnsi="David" w:cs="David"/>
          <w:sz w:val="24"/>
          <w:szCs w:val="24"/>
          <w:rtl/>
        </w:rPr>
        <w:t xml:space="preserve"> </w:t>
      </w:r>
      <w:r>
        <w:rPr>
          <w:rFonts w:ascii="David" w:hAnsi="David" w:cs="David"/>
          <w:b/>
          <w:bCs/>
          <w:sz w:val="24"/>
          <w:szCs w:val="24"/>
          <w:rtl/>
        </w:rPr>
        <w:t>מ"י נ' קובלסקי</w:t>
      </w:r>
      <w:r>
        <w:rPr>
          <w:rFonts w:ascii="David" w:hAnsi="David" w:cs="David"/>
          <w:sz w:val="24"/>
          <w:szCs w:val="24"/>
          <w:rtl/>
        </w:rPr>
        <w:t xml:space="preserve">, שם הורשע הנאשם בהחזקת 125 גרם קנביס, נקבע מתחם עונש הנע בין של"צ ל-6 ח' מאסר בעבודות שירות.  וכן </w:t>
      </w:r>
      <w:hyperlink r:id="rId21" w:history="1">
        <w:r w:rsidR="00E55B33" w:rsidRPr="00E55B33">
          <w:rPr>
            <w:rFonts w:ascii="David" w:hAnsi="David" w:cs="David"/>
            <w:color w:val="0000FF"/>
            <w:sz w:val="24"/>
            <w:szCs w:val="24"/>
            <w:u w:val="single"/>
            <w:rtl/>
          </w:rPr>
          <w:t>ת"פ 61688-02-18</w:t>
        </w:r>
      </w:hyperlink>
      <w:r>
        <w:rPr>
          <w:rFonts w:ascii="David" w:hAnsi="David" w:cs="David"/>
          <w:sz w:val="24"/>
          <w:szCs w:val="24"/>
          <w:rtl/>
        </w:rPr>
        <w:t xml:space="preserve"> </w:t>
      </w:r>
      <w:r>
        <w:rPr>
          <w:rFonts w:ascii="David" w:hAnsi="David" w:cs="David"/>
          <w:b/>
          <w:bCs/>
          <w:sz w:val="24"/>
          <w:szCs w:val="24"/>
          <w:rtl/>
        </w:rPr>
        <w:t>מדינת ישראל נ' פקדו</w:t>
      </w:r>
      <w:r>
        <w:rPr>
          <w:rFonts w:ascii="David" w:hAnsi="David" w:cs="David"/>
          <w:sz w:val="24"/>
          <w:szCs w:val="24"/>
          <w:rtl/>
        </w:rPr>
        <w:t>, שם הנאשם הורשע, לאחר</w:t>
      </w:r>
      <w:r>
        <w:rPr>
          <w:rFonts w:cs="David"/>
          <w:sz w:val="24"/>
          <w:szCs w:val="24"/>
          <w:rtl/>
        </w:rPr>
        <w:t xml:space="preserve"> ניהול הוכחות בביצוע עבירה של החזקת סם מסוכן שלא לצריכה עצמית. בכך שהחזיק בחדרו בתוך 2 זוגות מכנסיים בארון הבגדים סם מסוכן מסוג חשיש. במכנס באחד הסם חולק ל-3 גושים במשקל כולל של 29 גרם, ובמכנס השני חולק הסם ל-4 גושים במשקל כולל של 29.10 גרם. בית המשפט קבע מתחם עונש הנע בין מאסר על תנאי ובין מאסר לתקופה של 6 חודשים</w:t>
      </w:r>
      <w:r>
        <w:rPr>
          <w:rFonts w:ascii="David" w:hAnsi="David" w:cs="David"/>
          <w:sz w:val="24"/>
          <w:szCs w:val="24"/>
          <w:rtl/>
        </w:rPr>
        <w:t xml:space="preserve">. יש לזכור כי לא רק שפסקי דין אלו חמורים קמעא מענייננו, אלא הם אף ניתנו לפני השינוי החקיקתי ביחס להחזקת סם לצריכה עצמית, בהתאם </w:t>
      </w:r>
      <w:r>
        <w:rPr>
          <w:rFonts w:ascii="David" w:hAnsi="David" w:cs="David"/>
          <w:b/>
          <w:bCs/>
          <w:sz w:val="24"/>
          <w:szCs w:val="24"/>
          <w:rtl/>
        </w:rPr>
        <w:t>ל</w:t>
      </w:r>
      <w:r w:rsidR="00E55B33" w:rsidRPr="00FA6C64">
        <w:rPr>
          <w:rFonts w:ascii="David" w:hAnsi="David" w:cs="David"/>
          <w:b/>
          <w:bCs/>
          <w:sz w:val="24"/>
          <w:szCs w:val="24"/>
          <w:rtl/>
        </w:rPr>
        <w:t>תקנות העבירות המנהליות</w:t>
      </w:r>
      <w:r>
        <w:rPr>
          <w:rFonts w:ascii="David" w:hAnsi="David" w:cs="David"/>
          <w:sz w:val="24"/>
          <w:szCs w:val="24"/>
          <w:rtl/>
        </w:rPr>
        <w:t xml:space="preserve"> (קנס מינהלי – החזקת קנאביס ושימוש בו לצריכה עצמית), תשפ"ב-2022, שנכנסו לתוקף ביום 1.4.22</w:t>
      </w:r>
    </w:p>
    <w:p w14:paraId="6A369ED0" w14:textId="77777777" w:rsidR="00D9687C" w:rsidRDefault="00D9687C" w:rsidP="00D9687C">
      <w:pPr>
        <w:pStyle w:val="ab"/>
        <w:spacing w:after="0" w:line="360" w:lineRule="auto"/>
        <w:ind w:left="360"/>
        <w:jc w:val="both"/>
        <w:rPr>
          <w:rFonts w:ascii="David" w:hAnsi="David" w:cs="David"/>
          <w:sz w:val="24"/>
          <w:szCs w:val="24"/>
        </w:rPr>
      </w:pPr>
    </w:p>
    <w:p w14:paraId="4C777298" w14:textId="77777777" w:rsidR="00D9687C" w:rsidRDefault="00D9687C" w:rsidP="00D9687C">
      <w:pPr>
        <w:pStyle w:val="ab"/>
        <w:numPr>
          <w:ilvl w:val="0"/>
          <w:numId w:val="2"/>
        </w:numPr>
        <w:spacing w:after="0" w:line="360" w:lineRule="auto"/>
        <w:jc w:val="both"/>
        <w:rPr>
          <w:rFonts w:ascii="Arial" w:hAnsi="Arial" w:cs="David"/>
          <w:sz w:val="24"/>
          <w:szCs w:val="24"/>
        </w:rPr>
      </w:pPr>
      <w:r>
        <w:rPr>
          <w:rFonts w:ascii="David" w:hAnsi="David" w:cs="David"/>
          <w:sz w:val="24"/>
          <w:szCs w:val="24"/>
          <w:rtl/>
        </w:rPr>
        <w:t xml:space="preserve">ביחס לעבירות הכשלת השוטר </w:t>
      </w:r>
      <w:r>
        <w:rPr>
          <w:rFonts w:ascii="Arial" w:hAnsi="Arial" w:cs="David"/>
          <w:sz w:val="24"/>
          <w:szCs w:val="24"/>
          <w:rtl/>
        </w:rPr>
        <w:t xml:space="preserve">בעבר מדיניות הענישה הנוהגת הינה במרבית המקרים לעונש מאסר על תנאי, קנס, שירות לתועלת הציבור. ראו למשל </w:t>
      </w:r>
      <w:hyperlink r:id="rId22" w:history="1">
        <w:r w:rsidR="00E55B33" w:rsidRPr="00E55B33">
          <w:rPr>
            <w:rFonts w:ascii="Arial" w:hAnsi="Arial" w:cs="David"/>
            <w:color w:val="0000FF"/>
            <w:sz w:val="24"/>
            <w:szCs w:val="24"/>
            <w:u w:val="single"/>
            <w:rtl/>
          </w:rPr>
          <w:t>ע"פ (י-ם) 28716-12-12</w:t>
        </w:r>
      </w:hyperlink>
      <w:r>
        <w:rPr>
          <w:rFonts w:ascii="Arial" w:hAnsi="Arial" w:cs="David"/>
          <w:sz w:val="24"/>
          <w:szCs w:val="24"/>
          <w:rtl/>
        </w:rPr>
        <w:t xml:space="preserve"> </w:t>
      </w:r>
      <w:r>
        <w:rPr>
          <w:rFonts w:ascii="Arial" w:hAnsi="Arial" w:cs="David"/>
          <w:b/>
          <w:bCs/>
          <w:sz w:val="24"/>
          <w:szCs w:val="24"/>
          <w:rtl/>
        </w:rPr>
        <w:t>כהן נ' מדינת ישראל</w:t>
      </w:r>
      <w:r>
        <w:rPr>
          <w:rFonts w:ascii="Arial" w:hAnsi="Arial" w:cs="David"/>
          <w:sz w:val="24"/>
          <w:szCs w:val="24"/>
          <w:rtl/>
        </w:rPr>
        <w:t xml:space="preserve">  ; </w:t>
      </w:r>
      <w:hyperlink r:id="rId23" w:history="1">
        <w:r w:rsidR="00E55B33" w:rsidRPr="00E55B33">
          <w:rPr>
            <w:rFonts w:ascii="Arial" w:hAnsi="Arial" w:cs="David"/>
            <w:color w:val="0000FF"/>
            <w:sz w:val="24"/>
            <w:szCs w:val="24"/>
            <w:u w:val="single"/>
            <w:rtl/>
          </w:rPr>
          <w:t>ת"פ (שלום רמלה) 53938-12-12</w:t>
        </w:r>
      </w:hyperlink>
      <w:r>
        <w:rPr>
          <w:rFonts w:ascii="Arial" w:hAnsi="Arial" w:cs="David"/>
          <w:sz w:val="24"/>
          <w:szCs w:val="24"/>
          <w:rtl/>
        </w:rPr>
        <w:t xml:space="preserve"> </w:t>
      </w:r>
      <w:r>
        <w:rPr>
          <w:rFonts w:ascii="Arial" w:hAnsi="Arial" w:cs="David"/>
          <w:b/>
          <w:bCs/>
          <w:sz w:val="24"/>
          <w:szCs w:val="24"/>
          <w:rtl/>
        </w:rPr>
        <w:t>מדינת ישראל פרקליטות מחוז מרכז נ' נתנאל הברי</w:t>
      </w:r>
      <w:r>
        <w:rPr>
          <w:rFonts w:ascii="Arial" w:hAnsi="Arial" w:cs="David"/>
          <w:sz w:val="24"/>
          <w:szCs w:val="24"/>
          <w:rtl/>
        </w:rPr>
        <w:t xml:space="preserve">; </w:t>
      </w:r>
      <w:hyperlink r:id="rId24" w:history="1">
        <w:r w:rsidR="00E55B33" w:rsidRPr="00E55B33">
          <w:rPr>
            <w:rFonts w:ascii="Arial" w:hAnsi="Arial" w:cs="David"/>
            <w:color w:val="0000FF"/>
            <w:sz w:val="24"/>
            <w:szCs w:val="24"/>
            <w:u w:val="single"/>
            <w:rtl/>
          </w:rPr>
          <w:t>ת"פ (שלום רמלה) 36062-04-13</w:t>
        </w:r>
      </w:hyperlink>
      <w:r>
        <w:rPr>
          <w:rFonts w:ascii="Arial" w:hAnsi="Arial" w:cs="David"/>
          <w:sz w:val="24"/>
          <w:szCs w:val="24"/>
          <w:rtl/>
        </w:rPr>
        <w:t xml:space="preserve"> </w:t>
      </w:r>
      <w:r>
        <w:rPr>
          <w:rFonts w:ascii="Arial" w:hAnsi="Arial" w:cs="David"/>
          <w:b/>
          <w:bCs/>
          <w:sz w:val="24"/>
          <w:szCs w:val="24"/>
          <w:rtl/>
        </w:rPr>
        <w:t>מדינת ישראל משטרת ישראל תביעות –שלוחת רמלה נ' עלי זמאערה</w:t>
      </w:r>
      <w:r>
        <w:rPr>
          <w:rFonts w:ascii="Arial" w:hAnsi="Arial" w:cs="David"/>
          <w:sz w:val="24"/>
          <w:szCs w:val="24"/>
          <w:rtl/>
        </w:rPr>
        <w:t xml:space="preserve">; ת"פ (י-ם) </w:t>
      </w:r>
      <w:hyperlink r:id="rId25" w:history="1">
        <w:r w:rsidR="001B011B" w:rsidRPr="001B011B">
          <w:rPr>
            <w:rFonts w:ascii="Arial" w:hAnsi="Arial" w:cs="David"/>
            <w:color w:val="0000FF"/>
            <w:sz w:val="24"/>
            <w:szCs w:val="24"/>
            <w:u w:val="single"/>
            <w:rtl/>
          </w:rPr>
          <w:t xml:space="preserve">4110/09 </w:t>
        </w:r>
      </w:hyperlink>
      <w:r>
        <w:rPr>
          <w:rFonts w:ascii="Arial" w:hAnsi="Arial" w:cs="David"/>
          <w:sz w:val="24"/>
          <w:szCs w:val="24"/>
          <w:rtl/>
        </w:rPr>
        <w:t xml:space="preserve"> </w:t>
      </w:r>
      <w:r>
        <w:rPr>
          <w:rFonts w:ascii="Arial" w:hAnsi="Arial" w:cs="David"/>
          <w:b/>
          <w:bCs/>
          <w:sz w:val="24"/>
          <w:szCs w:val="24"/>
          <w:rtl/>
        </w:rPr>
        <w:t>מדינת ישראל נ' עליאן</w:t>
      </w:r>
      <w:r>
        <w:rPr>
          <w:rFonts w:ascii="Arial" w:hAnsi="Arial" w:cs="David"/>
          <w:sz w:val="24"/>
          <w:szCs w:val="24"/>
          <w:rtl/>
        </w:rPr>
        <w:t xml:space="preserve"> ; </w:t>
      </w:r>
      <w:hyperlink r:id="rId26" w:history="1">
        <w:r w:rsidR="00E55B33" w:rsidRPr="00E55B33">
          <w:rPr>
            <w:rFonts w:ascii="Arial" w:hAnsi="Arial" w:cs="David"/>
            <w:color w:val="0000FF"/>
            <w:sz w:val="24"/>
            <w:szCs w:val="24"/>
            <w:u w:val="single"/>
            <w:rtl/>
          </w:rPr>
          <w:t>ת"פ 13053-08-19</w:t>
        </w:r>
      </w:hyperlink>
      <w:r>
        <w:rPr>
          <w:rFonts w:ascii="Arial" w:hAnsi="Arial" w:cs="David"/>
          <w:sz w:val="24"/>
          <w:szCs w:val="24"/>
          <w:rtl/>
        </w:rPr>
        <w:t xml:space="preserve"> </w:t>
      </w:r>
      <w:r>
        <w:rPr>
          <w:rFonts w:ascii="Arial" w:hAnsi="Arial" w:cs="David"/>
          <w:b/>
          <w:bCs/>
          <w:sz w:val="24"/>
          <w:szCs w:val="24"/>
          <w:rtl/>
        </w:rPr>
        <w:t>מדינת ישראל נ' דורון</w:t>
      </w:r>
      <w:r>
        <w:rPr>
          <w:rFonts w:ascii="Arial" w:hAnsi="Arial" w:cs="David"/>
          <w:sz w:val="24"/>
          <w:szCs w:val="24"/>
          <w:rtl/>
        </w:rPr>
        <w:t xml:space="preserve">. </w:t>
      </w:r>
    </w:p>
    <w:p w14:paraId="1D7413AD" w14:textId="77777777" w:rsidR="00D9687C" w:rsidRDefault="00D9687C" w:rsidP="00D9687C">
      <w:pPr>
        <w:pStyle w:val="ab"/>
        <w:rPr>
          <w:rFonts w:ascii="Arial" w:hAnsi="Arial" w:cs="David"/>
          <w:sz w:val="24"/>
          <w:szCs w:val="24"/>
        </w:rPr>
      </w:pPr>
    </w:p>
    <w:p w14:paraId="0923A141" w14:textId="77777777" w:rsidR="00D9687C" w:rsidRDefault="00D9687C" w:rsidP="00D9687C">
      <w:pPr>
        <w:pStyle w:val="ab"/>
        <w:numPr>
          <w:ilvl w:val="0"/>
          <w:numId w:val="2"/>
        </w:numPr>
        <w:spacing w:after="0" w:line="360" w:lineRule="auto"/>
        <w:jc w:val="both"/>
        <w:rPr>
          <w:rFonts w:ascii="Arial" w:hAnsi="Arial" w:cs="David"/>
          <w:sz w:val="24"/>
          <w:szCs w:val="24"/>
          <w:rtl/>
        </w:rPr>
      </w:pPr>
      <w:r>
        <w:rPr>
          <w:rFonts w:ascii="Arial" w:hAnsi="Arial" w:cs="David"/>
          <w:sz w:val="24"/>
          <w:szCs w:val="24"/>
          <w:rtl/>
        </w:rPr>
        <w:t xml:space="preserve">יחד עם זאת, מרגע שהמחוקק קבע עונש מזערי בדמות מאסר בן שבועיים, לא יכול עוד מתחם העונש ההולם להתחיל ממאסר על תנאי, אלא מטעמים מיוחדים בלבד. ובעניין זה ראו למשל </w:t>
      </w:r>
      <w:hyperlink r:id="rId27" w:history="1">
        <w:r w:rsidR="00E55B33" w:rsidRPr="00E55B33">
          <w:rPr>
            <w:rFonts w:ascii="David" w:hAnsi="David" w:cs="David"/>
            <w:color w:val="0000FF"/>
            <w:sz w:val="24"/>
            <w:szCs w:val="24"/>
            <w:u w:val="single"/>
            <w:rtl/>
            <w:lang w:eastAsia="he-IL"/>
          </w:rPr>
          <w:t>ע"פ 1605/13</w:t>
        </w:r>
      </w:hyperlink>
      <w:r>
        <w:rPr>
          <w:rFonts w:ascii="David" w:hAnsi="David" w:cs="David"/>
          <w:sz w:val="24"/>
          <w:szCs w:val="24"/>
          <w:rtl/>
          <w:lang w:eastAsia="he-IL"/>
        </w:rPr>
        <w:t xml:space="preserve"> </w:t>
      </w:r>
      <w:r>
        <w:rPr>
          <w:rFonts w:ascii="David" w:hAnsi="David" w:cs="David"/>
          <w:b/>
          <w:bCs/>
          <w:sz w:val="24"/>
          <w:szCs w:val="24"/>
          <w:rtl/>
          <w:lang w:eastAsia="he-IL"/>
        </w:rPr>
        <w:t>פלוני נ' מדינת ישראל</w:t>
      </w:r>
      <w:r>
        <w:rPr>
          <w:rFonts w:ascii="Arial" w:hAnsi="Arial" w:cs="David"/>
          <w:sz w:val="24"/>
          <w:szCs w:val="24"/>
          <w:rtl/>
        </w:rPr>
        <w:t>.</w:t>
      </w:r>
    </w:p>
    <w:p w14:paraId="36EDE014" w14:textId="77777777" w:rsidR="00D9687C" w:rsidRDefault="00D9687C" w:rsidP="00D9687C">
      <w:pPr>
        <w:pStyle w:val="ab"/>
        <w:rPr>
          <w:rFonts w:ascii="David" w:hAnsi="David" w:cs="David"/>
          <w:sz w:val="24"/>
          <w:szCs w:val="24"/>
        </w:rPr>
      </w:pPr>
    </w:p>
    <w:p w14:paraId="5EBA3236" w14:textId="77777777" w:rsidR="00D9687C" w:rsidRPr="00D9687C" w:rsidRDefault="00D9687C" w:rsidP="00D9687C">
      <w:pPr>
        <w:spacing w:line="360" w:lineRule="auto"/>
        <w:ind w:firstLine="360"/>
        <w:jc w:val="both"/>
        <w:rPr>
          <w:rFonts w:ascii="David" w:eastAsia="Calibri" w:hAnsi="David"/>
          <w:u w:val="single"/>
          <w:rtl/>
        </w:rPr>
      </w:pPr>
      <w:r>
        <w:rPr>
          <w:rFonts w:ascii="David" w:hAnsi="David"/>
          <w:u w:val="single"/>
          <w:rtl/>
        </w:rPr>
        <w:t>הנסיבות הקשורות בביצוע העבירה</w:t>
      </w:r>
    </w:p>
    <w:p w14:paraId="28251E61"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בענייננו, הנאשם החזיק כמות סמים קטנה, שגם אם הוחזקה שלא לצריכה עצמית, וודאי אינה כמות כזו שמעידה על כוונת הפצה מסחרית. ואולם, הנאשם הוסיף חטא על פשע ומשהגיע לתחנה הכשיל את השוטרים ואף הגדיל לעשות והדף את השוטר. </w:t>
      </w:r>
    </w:p>
    <w:p w14:paraId="330B4422" w14:textId="77777777" w:rsidR="00D9687C" w:rsidRDefault="00D9687C" w:rsidP="00D9687C">
      <w:pPr>
        <w:pStyle w:val="ab"/>
        <w:spacing w:after="0" w:line="360" w:lineRule="auto"/>
        <w:ind w:left="360"/>
        <w:jc w:val="both"/>
        <w:rPr>
          <w:rFonts w:ascii="David" w:hAnsi="David" w:cs="David"/>
          <w:sz w:val="24"/>
          <w:szCs w:val="24"/>
        </w:rPr>
      </w:pPr>
    </w:p>
    <w:p w14:paraId="52419E79" w14:textId="77777777" w:rsidR="00D9687C" w:rsidRDefault="00D9687C" w:rsidP="00D9687C">
      <w:pPr>
        <w:pStyle w:val="ab"/>
        <w:numPr>
          <w:ilvl w:val="0"/>
          <w:numId w:val="2"/>
        </w:numPr>
        <w:spacing w:after="0" w:line="360" w:lineRule="auto"/>
        <w:jc w:val="both"/>
        <w:rPr>
          <w:rFonts w:ascii="David" w:hAnsi="David" w:cs="David"/>
          <w:sz w:val="24"/>
          <w:szCs w:val="24"/>
        </w:rPr>
      </w:pPr>
      <w:r>
        <w:rPr>
          <w:rFonts w:ascii="David" w:hAnsi="David" w:cs="David"/>
          <w:sz w:val="24"/>
          <w:szCs w:val="24"/>
          <w:rtl/>
        </w:rPr>
        <w:t>יש לומר את הדברים בקול ברור - נאשם שמרים יד על שוטר דינו עונש מאסר, גם אם בנסיבות מסוימות יכול ויהא העונש לריצוי בדרך של עבודות שירות. אחרת, נמצא עצמנו משדרים מסר נרפה כלפי עבריינים פוטנציאליים. בכך, לא תהא רק משום פגיעה בשלומם של שוטרים באשר הם, אלא בעיקר פגיעה בביטחון הציבור כולו, עליו אמונים אותם שוטרים. לא בכדי, קבע המחוקק ענישת מינימום בדמות מאסר חובה בעבירות מסוג זה.</w:t>
      </w:r>
    </w:p>
    <w:p w14:paraId="3A6964CB" w14:textId="77777777" w:rsidR="00D9687C" w:rsidRDefault="00D9687C" w:rsidP="00D9687C">
      <w:pPr>
        <w:pStyle w:val="ab"/>
        <w:spacing w:after="0" w:line="360" w:lineRule="auto"/>
        <w:ind w:left="360"/>
        <w:jc w:val="both"/>
        <w:rPr>
          <w:rFonts w:ascii="David" w:hAnsi="David" w:cs="David"/>
          <w:sz w:val="24"/>
          <w:szCs w:val="24"/>
        </w:rPr>
      </w:pPr>
    </w:p>
    <w:p w14:paraId="784C9B9B" w14:textId="77777777" w:rsidR="00D9687C" w:rsidRDefault="00D9687C" w:rsidP="00D9687C">
      <w:pPr>
        <w:pStyle w:val="ab"/>
        <w:numPr>
          <w:ilvl w:val="0"/>
          <w:numId w:val="2"/>
        </w:numPr>
        <w:spacing w:after="0" w:line="360" w:lineRule="auto"/>
        <w:jc w:val="both"/>
        <w:rPr>
          <w:rFonts w:ascii="David" w:hAnsi="David" w:cs="David"/>
          <w:sz w:val="24"/>
          <w:szCs w:val="24"/>
        </w:rPr>
      </w:pPr>
      <w:r>
        <w:rPr>
          <w:rFonts w:ascii="David" w:hAnsi="David" w:cs="David"/>
          <w:sz w:val="24"/>
          <w:szCs w:val="24"/>
          <w:rtl/>
        </w:rPr>
        <w:t>סוף דבר מצאתי כי בנסיבות העניין מתחם העונש ההולם נע בין חודש מאסר שיכול וירוצה בדרך של עבודות שירות ועד 6 חודשי מאסר בפועל מאחורי סורג ובריח.</w:t>
      </w:r>
    </w:p>
    <w:p w14:paraId="2DFA7DAC" w14:textId="77777777" w:rsidR="00D9687C" w:rsidRDefault="00D9687C" w:rsidP="00D9687C">
      <w:pPr>
        <w:pStyle w:val="ab"/>
        <w:jc w:val="both"/>
        <w:rPr>
          <w:rFonts w:ascii="David" w:hAnsi="David" w:cs="David"/>
          <w:sz w:val="24"/>
          <w:szCs w:val="24"/>
          <w:u w:val="single"/>
          <w:rtl/>
        </w:rPr>
      </w:pPr>
    </w:p>
    <w:p w14:paraId="7DB40CC4" w14:textId="77777777" w:rsidR="00D9687C" w:rsidRDefault="00D9687C" w:rsidP="00D9687C">
      <w:pPr>
        <w:spacing w:line="360" w:lineRule="auto"/>
        <w:jc w:val="both"/>
        <w:rPr>
          <w:rFonts w:ascii="David" w:hAnsi="David"/>
          <w:b/>
          <w:bCs/>
          <w:sz w:val="28"/>
          <w:szCs w:val="28"/>
          <w:u w:val="single"/>
          <w:rtl/>
        </w:rPr>
      </w:pPr>
      <w:r>
        <w:rPr>
          <w:rFonts w:ascii="David" w:hAnsi="David"/>
          <w:b/>
          <w:bCs/>
          <w:sz w:val="28"/>
          <w:szCs w:val="28"/>
          <w:u w:val="single"/>
          <w:rtl/>
        </w:rPr>
        <w:t>נסיבות שאינן קשורות בביצוע העבירה:</w:t>
      </w:r>
    </w:p>
    <w:p w14:paraId="7F5AC0DF"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הנאשם הודה במיוחס לו ולקח אחריות על מעשיו. </w:t>
      </w:r>
    </w:p>
    <w:p w14:paraId="57A62D03" w14:textId="77777777" w:rsidR="00D9687C" w:rsidRDefault="00D9687C" w:rsidP="00D9687C">
      <w:pPr>
        <w:pStyle w:val="ab"/>
        <w:spacing w:after="0" w:line="360" w:lineRule="auto"/>
        <w:ind w:left="360"/>
        <w:jc w:val="both"/>
        <w:rPr>
          <w:rFonts w:ascii="David" w:hAnsi="David" w:cs="David"/>
          <w:sz w:val="24"/>
          <w:szCs w:val="24"/>
        </w:rPr>
      </w:pPr>
    </w:p>
    <w:p w14:paraId="1D19ABA0" w14:textId="77777777" w:rsidR="00D9687C" w:rsidRDefault="00D9687C" w:rsidP="00D9687C">
      <w:pPr>
        <w:pStyle w:val="ab"/>
        <w:numPr>
          <w:ilvl w:val="0"/>
          <w:numId w:val="2"/>
        </w:numPr>
        <w:spacing w:after="0" w:line="360" w:lineRule="auto"/>
        <w:jc w:val="both"/>
        <w:rPr>
          <w:rFonts w:ascii="David" w:hAnsi="David" w:cs="David"/>
          <w:sz w:val="24"/>
          <w:szCs w:val="24"/>
        </w:rPr>
      </w:pPr>
      <w:r>
        <w:rPr>
          <w:rFonts w:ascii="David" w:hAnsi="David" w:cs="David"/>
          <w:sz w:val="24"/>
          <w:szCs w:val="24"/>
          <w:rtl/>
        </w:rPr>
        <w:t>הנאשם בעל הרשעה קודמת בגין עבירת סם בגינה ריצה מאסר מאחורי סורג ובריח. בכל הנוגע לעברו התעבורתי, בשים לב לטיבו ולהיעדר זיקה לעבירות נשוא כתב האישום, לא מצאתי כי יש בו כדי להוביל להחמרה בעונשו.</w:t>
      </w:r>
    </w:p>
    <w:p w14:paraId="7CD9E34D" w14:textId="77777777" w:rsidR="00D9687C" w:rsidRDefault="00D9687C" w:rsidP="00D9687C">
      <w:pPr>
        <w:pStyle w:val="ab"/>
        <w:rPr>
          <w:rFonts w:ascii="David" w:hAnsi="David" w:cs="David"/>
          <w:sz w:val="24"/>
          <w:szCs w:val="24"/>
        </w:rPr>
      </w:pPr>
    </w:p>
    <w:p w14:paraId="4DF1FA6E"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הנאשם לא עמד בקשר כנדרש עם שירות המבחן, לא נרתם להליך טיפולי ואף לא מסר בדיקות שתן. </w:t>
      </w:r>
      <w:r>
        <w:rPr>
          <w:rFonts w:ascii="David" w:hAnsi="David" w:cs="David"/>
          <w:sz w:val="24"/>
          <w:szCs w:val="24"/>
        </w:rPr>
        <w:t xml:space="preserve"> </w:t>
      </w:r>
    </w:p>
    <w:p w14:paraId="572138BC" w14:textId="77777777" w:rsidR="00D9687C" w:rsidRDefault="00D9687C" w:rsidP="00D9687C">
      <w:pPr>
        <w:pStyle w:val="ab"/>
        <w:rPr>
          <w:rFonts w:ascii="David" w:hAnsi="David" w:cs="David"/>
          <w:sz w:val="24"/>
          <w:szCs w:val="24"/>
        </w:rPr>
      </w:pPr>
    </w:p>
    <w:p w14:paraId="308A57EB"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הנאשם, אינו צעיר או מבוגר במיוחד באופן המצדיק התחשבות, אך שקלתי לקולא את מצבו הרפואי.   </w:t>
      </w:r>
    </w:p>
    <w:p w14:paraId="465BA11F" w14:textId="77777777" w:rsidR="00D9687C" w:rsidRDefault="00D9687C" w:rsidP="00D9687C">
      <w:pPr>
        <w:pStyle w:val="ab"/>
        <w:spacing w:after="0" w:line="360" w:lineRule="auto"/>
        <w:ind w:left="360"/>
        <w:jc w:val="both"/>
        <w:rPr>
          <w:rFonts w:ascii="David" w:hAnsi="David" w:cs="David"/>
          <w:sz w:val="24"/>
          <w:szCs w:val="24"/>
        </w:rPr>
      </w:pPr>
    </w:p>
    <w:p w14:paraId="4440F86E" w14:textId="77777777" w:rsidR="00D9687C" w:rsidRDefault="00D9687C" w:rsidP="00D9687C">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בנסיבות האמורות מצאתי כי ניתן למקם את עונשו של הנאשם ברף הבינוני של המתחם.</w:t>
      </w:r>
    </w:p>
    <w:p w14:paraId="0B876975" w14:textId="77777777" w:rsidR="00D9687C" w:rsidRDefault="00D9687C" w:rsidP="00D9687C">
      <w:pPr>
        <w:pStyle w:val="ab"/>
        <w:rPr>
          <w:rFonts w:ascii="David" w:hAnsi="David" w:cs="David"/>
          <w:sz w:val="24"/>
          <w:szCs w:val="24"/>
        </w:rPr>
      </w:pPr>
    </w:p>
    <w:p w14:paraId="64E56AA5" w14:textId="77777777" w:rsidR="00D9687C" w:rsidRDefault="00D9687C" w:rsidP="00D9687C">
      <w:pPr>
        <w:pStyle w:val="ab"/>
        <w:numPr>
          <w:ilvl w:val="0"/>
          <w:numId w:val="2"/>
        </w:numPr>
        <w:spacing w:after="0" w:line="360" w:lineRule="auto"/>
        <w:jc w:val="both"/>
        <w:rPr>
          <w:rFonts w:ascii="David" w:hAnsi="David" w:cs="David"/>
          <w:b/>
          <w:bCs/>
          <w:sz w:val="24"/>
          <w:szCs w:val="24"/>
          <w:rtl/>
        </w:rPr>
      </w:pPr>
      <w:r>
        <w:rPr>
          <w:rFonts w:ascii="David" w:hAnsi="David" w:cs="David"/>
          <w:sz w:val="24"/>
          <w:szCs w:val="24"/>
          <w:rtl/>
        </w:rPr>
        <w:t>באופן רגיל, היה ניתן להורות על ריצוי המאסר על דרך עבודות שירות ועל כן שלחתי את הנאשם לממונה על עבודות השירות. אלא, שהנאשם לא התייצב על אף שזומן פעמיים על ידי הממונה על עבודות השירות. בהמשך הודיע ב"כ הנאשם בהודעה בכתב כי: "</w:t>
      </w:r>
      <w:r>
        <w:rPr>
          <w:rFonts w:ascii="David" w:hAnsi="David" w:cs="David"/>
          <w:b/>
          <w:bCs/>
          <w:sz w:val="24"/>
          <w:szCs w:val="24"/>
          <w:rtl/>
        </w:rPr>
        <w:t>הנאשם אינו מעוניין לבצע עבודות שירות."</w:t>
      </w:r>
    </w:p>
    <w:p w14:paraId="50391E2C" w14:textId="77777777" w:rsidR="00D9687C" w:rsidRDefault="00D9687C" w:rsidP="00D9687C">
      <w:pPr>
        <w:pStyle w:val="ab"/>
        <w:rPr>
          <w:rFonts w:ascii="David" w:hAnsi="David" w:cs="David"/>
          <w:b/>
          <w:bCs/>
          <w:sz w:val="24"/>
          <w:szCs w:val="24"/>
        </w:rPr>
      </w:pPr>
    </w:p>
    <w:p w14:paraId="3A475CD8"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בנסיבות שנוצרו אין מנוס מלהורות כי הנאשם ירצה את עונשו מאחורי סורג ובריח. </w:t>
      </w:r>
      <w:r>
        <w:rPr>
          <w:rFonts w:ascii="David" w:hAnsi="David" w:cs="David"/>
          <w:sz w:val="24"/>
          <w:szCs w:val="24"/>
        </w:rPr>
        <w:t xml:space="preserve"> </w:t>
      </w:r>
      <w:r>
        <w:rPr>
          <w:rFonts w:ascii="David" w:hAnsi="David" w:cs="David"/>
          <w:sz w:val="24"/>
          <w:szCs w:val="24"/>
          <w:rtl/>
        </w:rPr>
        <w:t xml:space="preserve">לנאשם ניתנו מספר הזדמנויות להתייצב בפני הממונה על עבודות השירות ואף על פי כן הוא לא השכיל להתייצב בפני הממונה. ראו </w:t>
      </w:r>
      <w:hyperlink r:id="rId28" w:history="1">
        <w:r w:rsidR="00E55B33" w:rsidRPr="00E55B33">
          <w:rPr>
            <w:rFonts w:ascii="David" w:hAnsi="David" w:cs="David"/>
            <w:color w:val="0000FF"/>
            <w:sz w:val="24"/>
            <w:szCs w:val="24"/>
            <w:u w:val="single"/>
            <w:rtl/>
          </w:rPr>
          <w:t>רע"פ 4030/22</w:t>
        </w:r>
      </w:hyperlink>
      <w:r>
        <w:rPr>
          <w:rFonts w:ascii="David" w:hAnsi="David" w:cs="David"/>
          <w:sz w:val="24"/>
          <w:szCs w:val="24"/>
          <w:rtl/>
        </w:rPr>
        <w:t xml:space="preserve"> </w:t>
      </w:r>
      <w:r>
        <w:rPr>
          <w:rFonts w:ascii="David" w:hAnsi="David" w:cs="David"/>
          <w:b/>
          <w:bCs/>
          <w:sz w:val="24"/>
          <w:szCs w:val="24"/>
          <w:rtl/>
        </w:rPr>
        <w:t>יפרח נ' מדינת ישראל</w:t>
      </w:r>
      <w:r>
        <w:rPr>
          <w:rFonts w:ascii="David" w:hAnsi="David" w:cs="David"/>
          <w:sz w:val="24"/>
          <w:szCs w:val="24"/>
          <w:rtl/>
        </w:rPr>
        <w:t>, שם נקבע בעניינו של נאשם שלא התייצב פעמיים בפני הממונה על עבודות השירות כי: "</w:t>
      </w:r>
      <w:r>
        <w:rPr>
          <w:rFonts w:ascii="David" w:hAnsi="David" w:cs="David"/>
          <w:b/>
          <w:bCs/>
          <w:sz w:val="24"/>
          <w:szCs w:val="24"/>
          <w:rtl/>
        </w:rPr>
        <w:t>התנהלות המבקש כבלה את ידיו של בית המשפט ולא אפשרה לו לשקול כל חלופה עונשית"</w:t>
      </w:r>
      <w:r>
        <w:rPr>
          <w:rFonts w:ascii="David" w:hAnsi="David" w:cs="David"/>
          <w:sz w:val="24"/>
          <w:szCs w:val="24"/>
          <w:rtl/>
        </w:rPr>
        <w:t xml:space="preserve">. ודוק, אף על פי כן, אפשרתי לנאשם להגיב ביחס לאי התייצבותו בפני הממונה, אך הנאשם הצהיר באמצעות בא כוחו כי: </w:t>
      </w:r>
      <w:r>
        <w:rPr>
          <w:rFonts w:ascii="David" w:hAnsi="David" w:cs="David"/>
          <w:b/>
          <w:bCs/>
          <w:sz w:val="24"/>
          <w:szCs w:val="24"/>
          <w:rtl/>
        </w:rPr>
        <w:t xml:space="preserve">"אינו מעוניין לבצע עבודות שירות". </w:t>
      </w:r>
    </w:p>
    <w:p w14:paraId="5EC1A2A8" w14:textId="77777777" w:rsidR="00D9687C" w:rsidRDefault="00D9687C" w:rsidP="00D9687C">
      <w:pPr>
        <w:pStyle w:val="ab"/>
        <w:ind w:left="1440"/>
        <w:rPr>
          <w:rFonts w:ascii="David" w:hAnsi="David" w:cs="David"/>
          <w:sz w:val="24"/>
          <w:szCs w:val="24"/>
        </w:rPr>
      </w:pPr>
    </w:p>
    <w:p w14:paraId="4589FF37"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זאת ועוד, הלכה היא כי ריצוי עונש על דרך עבודות שירות הינו בבחינת פריבילגיה, דהיינו אין לנאשם זכות קנויה לריצוי עונשו בדרך של עבודות שירות. ראו למשל </w:t>
      </w:r>
      <w:hyperlink r:id="rId29" w:history="1">
        <w:r w:rsidR="00E55B33" w:rsidRPr="00E55B33">
          <w:rPr>
            <w:rFonts w:ascii="David" w:hAnsi="David" w:cs="David"/>
            <w:color w:val="0000FF"/>
            <w:sz w:val="24"/>
            <w:szCs w:val="24"/>
            <w:u w:val="single"/>
            <w:rtl/>
          </w:rPr>
          <w:t>רע"פ 2604/22</w:t>
        </w:r>
      </w:hyperlink>
      <w:r>
        <w:rPr>
          <w:rFonts w:ascii="David" w:hAnsi="David" w:cs="David"/>
          <w:sz w:val="24"/>
          <w:szCs w:val="24"/>
          <w:rtl/>
        </w:rPr>
        <w:t xml:space="preserve"> </w:t>
      </w:r>
      <w:r>
        <w:rPr>
          <w:rFonts w:ascii="David" w:hAnsi="David" w:cs="David"/>
          <w:b/>
          <w:bCs/>
          <w:sz w:val="24"/>
          <w:szCs w:val="24"/>
          <w:rtl/>
        </w:rPr>
        <w:t>מגן נ' מדינת ישראל</w:t>
      </w:r>
      <w:r>
        <w:rPr>
          <w:rFonts w:ascii="David" w:hAnsi="David" w:cs="David"/>
          <w:sz w:val="24"/>
          <w:szCs w:val="24"/>
          <w:rtl/>
        </w:rPr>
        <w:t>. הדברים נכונים ביתר שאת משניתנו הזדמנויות מספר לנאשם.  מרגע שהנאשם אינו מעוניין לממש את הפריבילגיה שניתנה לו, אין מנוס מלהורות על ריצוי העונש מאחורי סורג ובריח.</w:t>
      </w:r>
    </w:p>
    <w:p w14:paraId="5A10C84E" w14:textId="77777777" w:rsidR="00D9687C" w:rsidRDefault="00D9687C" w:rsidP="00D9687C">
      <w:pPr>
        <w:pStyle w:val="ab"/>
        <w:rPr>
          <w:rFonts w:ascii="David" w:hAnsi="David" w:cs="David"/>
          <w:sz w:val="24"/>
          <w:szCs w:val="24"/>
        </w:rPr>
      </w:pPr>
    </w:p>
    <w:p w14:paraId="50E144AE"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יובהר כי מדובר בנאשם שכבר ריצה בעברו עונש מאסר מאחורי סורג ובריח. </w:t>
      </w:r>
    </w:p>
    <w:p w14:paraId="6D14BA13" w14:textId="77777777" w:rsidR="00D9687C" w:rsidRDefault="00D9687C" w:rsidP="00D9687C">
      <w:pPr>
        <w:pStyle w:val="ab"/>
        <w:rPr>
          <w:rFonts w:ascii="David" w:hAnsi="David" w:cs="David"/>
          <w:sz w:val="24"/>
          <w:szCs w:val="24"/>
        </w:rPr>
      </w:pPr>
    </w:p>
    <w:p w14:paraId="4F335633" w14:textId="77777777" w:rsidR="00D9687C" w:rsidRDefault="00D9687C" w:rsidP="00D9687C">
      <w:pPr>
        <w:rPr>
          <w:rFonts w:ascii="David" w:hAnsi="David"/>
          <w:b/>
          <w:bCs/>
          <w:sz w:val="30"/>
          <w:szCs w:val="30"/>
          <w:u w:val="single"/>
          <w:rtl/>
        </w:rPr>
      </w:pPr>
      <w:r>
        <w:rPr>
          <w:rFonts w:ascii="David" w:hAnsi="David"/>
          <w:b/>
          <w:bCs/>
          <w:sz w:val="30"/>
          <w:szCs w:val="30"/>
          <w:u w:val="single"/>
          <w:rtl/>
        </w:rPr>
        <w:t xml:space="preserve">גזירת העונש </w:t>
      </w:r>
    </w:p>
    <w:p w14:paraId="7F7EC08F" w14:textId="77777777" w:rsidR="00D9687C" w:rsidRDefault="00D9687C" w:rsidP="00D9687C">
      <w:pPr>
        <w:pStyle w:val="ab"/>
        <w:rPr>
          <w:rFonts w:ascii="David" w:hAnsi="David" w:cs="David"/>
          <w:sz w:val="24"/>
          <w:szCs w:val="24"/>
          <w:rtl/>
        </w:rPr>
      </w:pPr>
    </w:p>
    <w:p w14:paraId="3CAE2C94" w14:textId="77777777" w:rsidR="00D9687C" w:rsidRDefault="00D9687C" w:rsidP="00D9687C">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לאחר ששקלתי את כלל השיקולים לעיל, לקולא ולחומרא, אני גוזר על הנאשם את העונשים הבאים:</w:t>
      </w:r>
    </w:p>
    <w:p w14:paraId="00F102B6" w14:textId="77777777" w:rsidR="00D9687C" w:rsidRDefault="00D9687C" w:rsidP="00D9687C">
      <w:pPr>
        <w:spacing w:line="360" w:lineRule="auto"/>
        <w:contextualSpacing/>
        <w:jc w:val="both"/>
        <w:rPr>
          <w:rFonts w:ascii="David" w:hAnsi="David"/>
        </w:rPr>
      </w:pPr>
    </w:p>
    <w:p w14:paraId="3901A488" w14:textId="77777777" w:rsidR="00D9687C" w:rsidRDefault="00D9687C" w:rsidP="00D9687C">
      <w:pPr>
        <w:pStyle w:val="ab"/>
        <w:numPr>
          <w:ilvl w:val="0"/>
          <w:numId w:val="3"/>
        </w:numPr>
        <w:spacing w:before="60" w:after="0" w:line="360" w:lineRule="auto"/>
        <w:ind w:left="1080"/>
        <w:jc w:val="both"/>
        <w:rPr>
          <w:rFonts w:ascii="David" w:hAnsi="David" w:cs="David"/>
          <w:sz w:val="24"/>
          <w:szCs w:val="24"/>
        </w:rPr>
      </w:pPr>
      <w:r>
        <w:rPr>
          <w:rFonts w:ascii="David" w:hAnsi="David" w:cs="David"/>
          <w:sz w:val="24"/>
          <w:szCs w:val="24"/>
          <w:rtl/>
        </w:rPr>
        <w:t>3 חודשי מאסר בפועל מאחורי סורגי ובריח .</w:t>
      </w:r>
    </w:p>
    <w:p w14:paraId="0F11D9E4" w14:textId="77777777" w:rsidR="00D9687C" w:rsidRDefault="00D9687C" w:rsidP="00D9687C">
      <w:pPr>
        <w:spacing w:line="360" w:lineRule="auto"/>
        <w:ind w:left="1080"/>
        <w:contextualSpacing/>
        <w:jc w:val="both"/>
        <w:rPr>
          <w:rFonts w:ascii="David" w:hAnsi="David"/>
        </w:rPr>
      </w:pPr>
    </w:p>
    <w:p w14:paraId="3AE0AEA9" w14:textId="77777777" w:rsidR="00D9687C" w:rsidRPr="00D9687C" w:rsidRDefault="00D9687C" w:rsidP="00D9687C">
      <w:pPr>
        <w:pStyle w:val="ab"/>
        <w:numPr>
          <w:ilvl w:val="0"/>
          <w:numId w:val="3"/>
        </w:numPr>
        <w:spacing w:before="60" w:after="0" w:line="360" w:lineRule="auto"/>
        <w:ind w:left="1080"/>
        <w:jc w:val="both"/>
        <w:rPr>
          <w:rFonts w:ascii="David" w:hAnsi="David" w:cs="David"/>
          <w:sz w:val="24"/>
          <w:szCs w:val="24"/>
        </w:rPr>
      </w:pPr>
      <w:r>
        <w:rPr>
          <w:rFonts w:ascii="David" w:hAnsi="David" w:cs="David"/>
          <w:sz w:val="24"/>
          <w:szCs w:val="24"/>
          <w:rtl/>
        </w:rPr>
        <w:t>3 חודשי מאסר על תנאי למשך שלוש שנים  מהיום. מאסר זה יופעל במידה והנאשם יעבור במשך תקופת התנאי עבירת סם מסוג עוון.</w:t>
      </w:r>
    </w:p>
    <w:p w14:paraId="58995106" w14:textId="77777777" w:rsidR="00D9687C" w:rsidRDefault="00D9687C" w:rsidP="00D9687C">
      <w:pPr>
        <w:pStyle w:val="ab"/>
        <w:spacing w:before="60" w:after="0" w:line="360" w:lineRule="auto"/>
        <w:ind w:left="1080"/>
        <w:jc w:val="both"/>
        <w:rPr>
          <w:rFonts w:ascii="David" w:hAnsi="David" w:cs="David"/>
          <w:sz w:val="24"/>
          <w:szCs w:val="24"/>
        </w:rPr>
      </w:pPr>
    </w:p>
    <w:p w14:paraId="0CC645E6" w14:textId="77777777" w:rsidR="00D9687C" w:rsidRDefault="00D9687C" w:rsidP="00D9687C">
      <w:pPr>
        <w:pStyle w:val="ab"/>
        <w:numPr>
          <w:ilvl w:val="0"/>
          <w:numId w:val="3"/>
        </w:numPr>
        <w:spacing w:before="60" w:after="0" w:line="360" w:lineRule="auto"/>
        <w:ind w:left="1080"/>
        <w:jc w:val="both"/>
        <w:rPr>
          <w:rFonts w:ascii="David" w:hAnsi="David" w:cs="David"/>
          <w:sz w:val="24"/>
          <w:szCs w:val="24"/>
        </w:rPr>
      </w:pPr>
      <w:r>
        <w:rPr>
          <w:rFonts w:ascii="David" w:hAnsi="David" w:cs="David"/>
          <w:sz w:val="24"/>
          <w:szCs w:val="24"/>
          <w:rtl/>
        </w:rPr>
        <w:t>6 חודשי מאסר על תנאי למשך שלוש שנים  מהיום. מאסר זה יופעל במידה והנאשם יעבור במשך תקופת התנאי עבירת סם מסוג פשע.</w:t>
      </w:r>
    </w:p>
    <w:p w14:paraId="2D743F8E" w14:textId="77777777" w:rsidR="00D9687C" w:rsidRDefault="00D9687C" w:rsidP="00D9687C">
      <w:pPr>
        <w:pStyle w:val="ab"/>
        <w:spacing w:before="60" w:after="0" w:line="360" w:lineRule="auto"/>
        <w:ind w:left="1080"/>
        <w:jc w:val="both"/>
        <w:rPr>
          <w:rFonts w:ascii="David" w:hAnsi="David" w:cs="David"/>
          <w:sz w:val="24"/>
          <w:szCs w:val="24"/>
        </w:rPr>
      </w:pPr>
    </w:p>
    <w:p w14:paraId="5FB6EA80" w14:textId="77777777" w:rsidR="00D9687C" w:rsidRDefault="00D9687C" w:rsidP="00D9687C">
      <w:pPr>
        <w:pStyle w:val="ab"/>
        <w:numPr>
          <w:ilvl w:val="0"/>
          <w:numId w:val="3"/>
        </w:numPr>
        <w:spacing w:before="60" w:after="0" w:line="360" w:lineRule="auto"/>
        <w:ind w:left="1080"/>
        <w:jc w:val="both"/>
        <w:rPr>
          <w:rFonts w:ascii="David" w:hAnsi="David" w:cs="David"/>
          <w:sz w:val="24"/>
          <w:szCs w:val="24"/>
        </w:rPr>
      </w:pPr>
      <w:r>
        <w:rPr>
          <w:rFonts w:ascii="David" w:hAnsi="David" w:cs="David"/>
          <w:sz w:val="24"/>
          <w:szCs w:val="24"/>
          <w:rtl/>
        </w:rPr>
        <w:t xml:space="preserve">6 חודשי מאסר על תנאי למשך שלוש שנים  מהיום. מאסר זה יופעל במידה והנאשם יעבור במשך תקופת התנאי עבירה נגד שוטרים במילוי תפקידם.  </w:t>
      </w:r>
    </w:p>
    <w:p w14:paraId="074F0805" w14:textId="77777777" w:rsidR="00D9687C" w:rsidRDefault="00D9687C" w:rsidP="00D9687C">
      <w:pPr>
        <w:pStyle w:val="ab"/>
        <w:spacing w:before="60" w:after="0" w:line="360" w:lineRule="auto"/>
        <w:ind w:left="1080"/>
        <w:jc w:val="both"/>
        <w:rPr>
          <w:rFonts w:ascii="David" w:hAnsi="David" w:cs="David"/>
          <w:sz w:val="24"/>
          <w:szCs w:val="24"/>
        </w:rPr>
      </w:pPr>
    </w:p>
    <w:p w14:paraId="7DF36148" w14:textId="77777777" w:rsidR="00D9687C" w:rsidRDefault="00D9687C" w:rsidP="00D9687C">
      <w:pPr>
        <w:pStyle w:val="ab"/>
        <w:numPr>
          <w:ilvl w:val="0"/>
          <w:numId w:val="3"/>
        </w:numPr>
        <w:spacing w:before="60" w:after="0" w:line="360" w:lineRule="auto"/>
        <w:ind w:left="1080"/>
        <w:jc w:val="both"/>
        <w:rPr>
          <w:rFonts w:ascii="David" w:hAnsi="David" w:cs="David"/>
          <w:sz w:val="24"/>
          <w:szCs w:val="24"/>
        </w:rPr>
      </w:pPr>
      <w:r>
        <w:rPr>
          <w:rFonts w:ascii="David" w:hAnsi="David" w:cs="David"/>
          <w:sz w:val="24"/>
          <w:szCs w:val="24"/>
          <w:rtl/>
        </w:rPr>
        <w:t>קנס בסך 2,000 ₪ אותו ישלם הנאשם עד ליום 1.</w:t>
      </w:r>
      <w:r>
        <w:rPr>
          <w:rFonts w:ascii="David" w:hAnsi="David" w:cs="David" w:hint="cs"/>
          <w:sz w:val="24"/>
          <w:szCs w:val="24"/>
          <w:rtl/>
        </w:rPr>
        <w:t>8</w:t>
      </w:r>
      <w:r>
        <w:rPr>
          <w:rFonts w:ascii="David" w:hAnsi="David" w:cs="David"/>
          <w:sz w:val="24"/>
          <w:szCs w:val="24"/>
          <w:rtl/>
        </w:rPr>
        <w:t>.2023. לא ישולם הסכום, ירצה הנאשם תחתו 10 ימי מאסר.</w:t>
      </w:r>
    </w:p>
    <w:p w14:paraId="7CE81392" w14:textId="77777777" w:rsidR="00D9687C" w:rsidRPr="00734AB6" w:rsidRDefault="00D9687C" w:rsidP="00D9687C">
      <w:pPr>
        <w:pStyle w:val="ab"/>
        <w:rPr>
          <w:rFonts w:ascii="David" w:hAnsi="David" w:cs="David"/>
          <w:sz w:val="24"/>
          <w:szCs w:val="24"/>
          <w:rtl/>
        </w:rPr>
      </w:pPr>
    </w:p>
    <w:p w14:paraId="6E43B129" w14:textId="77777777" w:rsidR="00D9687C" w:rsidRDefault="00D9687C" w:rsidP="00D9687C">
      <w:pPr>
        <w:spacing w:line="360" w:lineRule="auto"/>
        <w:ind w:left="360" w:firstLine="720"/>
        <w:jc w:val="both"/>
      </w:pPr>
      <w:r>
        <w:rPr>
          <w:rFonts w:hint="cs"/>
          <w:rtl/>
        </w:rPr>
        <w:t xml:space="preserve">את הקנס ניתן לשלם כעבור  3 ימים מהיום באחת מהדרכים הבאות: </w:t>
      </w:r>
    </w:p>
    <w:p w14:paraId="35F06C1B" w14:textId="77777777" w:rsidR="00D9687C" w:rsidRDefault="00D9687C" w:rsidP="00D9687C">
      <w:pPr>
        <w:numPr>
          <w:ilvl w:val="0"/>
          <w:numId w:val="4"/>
        </w:numPr>
        <w:spacing w:line="360" w:lineRule="auto"/>
        <w:jc w:val="both"/>
      </w:pPr>
      <w:r>
        <w:rPr>
          <w:rFonts w:hint="cs"/>
          <w:rtl/>
        </w:rPr>
        <w:t xml:space="preserve">בכרטיס אשראי – באתר המקוון של רשות האכיפה והגבייה, </w:t>
      </w:r>
      <w:r>
        <w:t xml:space="preserve">www.eca.gov.il </w:t>
      </w:r>
      <w:r>
        <w:rPr>
          <w:rFonts w:hint="cs"/>
          <w:rtl/>
        </w:rPr>
        <w:t>.</w:t>
      </w:r>
    </w:p>
    <w:p w14:paraId="6370052C" w14:textId="77777777" w:rsidR="00D9687C" w:rsidRDefault="00D9687C" w:rsidP="00D9687C">
      <w:pPr>
        <w:numPr>
          <w:ilvl w:val="0"/>
          <w:numId w:val="4"/>
        </w:numPr>
        <w:spacing w:line="360" w:lineRule="auto"/>
        <w:jc w:val="both"/>
        <w:rPr>
          <w:rFonts w:ascii="David" w:hAnsi="David"/>
        </w:rPr>
      </w:pPr>
      <w:r>
        <w:rPr>
          <w:rFonts w:hint="cs"/>
          <w:rtl/>
        </w:rPr>
        <w:t>מוקד שירות טלפוני בשרות עצמי (מרכז גבייה)</w:t>
      </w:r>
      <w:r w:rsidR="00E55B33">
        <w:rPr>
          <w:rFonts w:hint="cs"/>
          <w:rtl/>
        </w:rPr>
        <w:t xml:space="preserve"> </w:t>
      </w:r>
      <w:r>
        <w:rPr>
          <w:rFonts w:hint="cs"/>
          <w:rtl/>
        </w:rPr>
        <w:t xml:space="preserve"> – בטלפון 35592* או בטלפון 073-2055000</w:t>
      </w:r>
    </w:p>
    <w:p w14:paraId="5B83601E" w14:textId="77777777" w:rsidR="00D9687C" w:rsidRDefault="00D9687C" w:rsidP="00D9687C">
      <w:pPr>
        <w:numPr>
          <w:ilvl w:val="0"/>
          <w:numId w:val="4"/>
        </w:numPr>
        <w:spacing w:line="360" w:lineRule="auto"/>
        <w:jc w:val="both"/>
      </w:pPr>
      <w:r>
        <w:rPr>
          <w:rFonts w:hint="cs"/>
          <w:rtl/>
        </w:rPr>
        <w:t>במזומן בכל סניף של בנק הדואר – בהצגת תעודת זהות בלבד (אין צורך בהצגת בשוברי תשלום).</w:t>
      </w:r>
    </w:p>
    <w:p w14:paraId="5A0B57C2" w14:textId="77777777" w:rsidR="00D9687C" w:rsidRDefault="00D9687C" w:rsidP="00D9687C">
      <w:pPr>
        <w:pStyle w:val="ab"/>
        <w:spacing w:before="60" w:after="0" w:line="360" w:lineRule="auto"/>
        <w:jc w:val="both"/>
        <w:rPr>
          <w:rFonts w:ascii="David" w:hAnsi="David" w:cs="David"/>
          <w:sz w:val="24"/>
          <w:szCs w:val="24"/>
        </w:rPr>
      </w:pPr>
    </w:p>
    <w:p w14:paraId="003286CC" w14:textId="77777777" w:rsidR="00D9687C" w:rsidRPr="00734AB6" w:rsidRDefault="00E55B33" w:rsidP="00D9687C">
      <w:pPr>
        <w:spacing w:before="60" w:line="360" w:lineRule="auto"/>
        <w:jc w:val="both"/>
        <w:rPr>
          <w:rFonts w:ascii="David" w:hAnsi="David"/>
          <w:b/>
          <w:bCs/>
          <w:rtl/>
        </w:rPr>
      </w:pPr>
      <w:r w:rsidRPr="00E55B33">
        <w:rPr>
          <w:rFonts w:ascii="David" w:hAnsi="David"/>
          <w:b/>
          <w:bCs/>
          <w:color w:val="FFFFFF"/>
          <w:sz w:val="2"/>
          <w:szCs w:val="2"/>
          <w:rtl/>
        </w:rPr>
        <w:t>5129371</w:t>
      </w:r>
      <w:r w:rsidR="00D9687C" w:rsidRPr="00734AB6">
        <w:rPr>
          <w:rFonts w:ascii="David" w:hAnsi="David"/>
          <w:b/>
          <w:bCs/>
          <w:rtl/>
        </w:rPr>
        <w:t>זכות ערעור כדין.</w:t>
      </w:r>
    </w:p>
    <w:p w14:paraId="2D69E101" w14:textId="77777777" w:rsidR="00D9687C" w:rsidRPr="00E55B33" w:rsidRDefault="00E55B33" w:rsidP="00D9687C">
      <w:pPr>
        <w:rPr>
          <w:rFonts w:ascii="Arial" w:hAnsi="Arial"/>
          <w:b/>
          <w:bCs/>
          <w:color w:val="FFFFFF"/>
          <w:sz w:val="2"/>
          <w:szCs w:val="2"/>
          <w:rtl/>
        </w:rPr>
      </w:pPr>
      <w:r w:rsidRPr="00E55B33">
        <w:rPr>
          <w:rFonts w:ascii="Arial" w:hAnsi="Arial"/>
          <w:b/>
          <w:bCs/>
          <w:color w:val="FFFFFF"/>
          <w:sz w:val="2"/>
          <w:szCs w:val="2"/>
          <w:rtl/>
        </w:rPr>
        <w:t>54678313</w:t>
      </w:r>
    </w:p>
    <w:p w14:paraId="51E9B33D" w14:textId="77777777" w:rsidR="00D9687C" w:rsidRPr="000F2247" w:rsidRDefault="00D9687C" w:rsidP="00D9687C">
      <w:pPr>
        <w:rPr>
          <w:rFonts w:ascii="Arial" w:hAnsi="Arial"/>
          <w:b/>
          <w:bCs/>
          <w:sz w:val="26"/>
          <w:szCs w:val="26"/>
          <w:rtl/>
        </w:rPr>
      </w:pPr>
    </w:p>
    <w:p w14:paraId="0D8E0527" w14:textId="77777777" w:rsidR="00D9687C" w:rsidRPr="000F2247" w:rsidRDefault="00E55B33" w:rsidP="00D9687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ט"ו שבט תשפ"ג, 06 פברואר 2023, במעמד הצדדים. </w:t>
      </w:r>
      <w:bookmarkEnd w:id="8"/>
      <w:r w:rsidR="00D9687C">
        <w:rPr>
          <w:rFonts w:ascii="Arial" w:hAnsi="Arial"/>
          <w:b/>
          <w:bCs/>
          <w:sz w:val="26"/>
          <w:szCs w:val="26"/>
          <w:rtl/>
        </w:rPr>
        <w:tab/>
      </w:r>
      <w:r w:rsidR="00D9687C">
        <w:rPr>
          <w:rFonts w:ascii="Arial" w:hAnsi="Arial"/>
          <w:b/>
          <w:bCs/>
          <w:sz w:val="26"/>
          <w:szCs w:val="26"/>
          <w:rtl/>
        </w:rPr>
        <w:tab/>
      </w:r>
      <w:r w:rsidR="00D9687C">
        <w:rPr>
          <w:rFonts w:ascii="Arial" w:hAnsi="Arial"/>
          <w:b/>
          <w:bCs/>
          <w:sz w:val="26"/>
          <w:szCs w:val="26"/>
          <w:rtl/>
        </w:rPr>
        <w:tab/>
      </w:r>
      <w:r w:rsidR="00D9687C">
        <w:rPr>
          <w:rFonts w:ascii="Arial" w:hAnsi="Arial"/>
          <w:b/>
          <w:bCs/>
          <w:sz w:val="26"/>
          <w:szCs w:val="26"/>
          <w:rtl/>
        </w:rPr>
        <w:tab/>
      </w:r>
      <w:r w:rsidR="00D9687C">
        <w:rPr>
          <w:rFonts w:ascii="Arial" w:hAnsi="Arial"/>
          <w:b/>
          <w:bCs/>
          <w:sz w:val="26"/>
          <w:szCs w:val="26"/>
          <w:rtl/>
        </w:rPr>
        <w:tab/>
      </w:r>
      <w:r w:rsidR="00D9687C">
        <w:rPr>
          <w:rFonts w:ascii="Arial" w:hAnsi="Arial"/>
          <w:b/>
          <w:bCs/>
          <w:sz w:val="26"/>
          <w:szCs w:val="26"/>
          <w:rtl/>
        </w:rPr>
        <w:tab/>
      </w:r>
      <w:r w:rsidR="00D9687C">
        <w:rPr>
          <w:rFonts w:ascii="Arial" w:hAnsi="Arial"/>
          <w:b/>
          <w:bCs/>
          <w:sz w:val="26"/>
          <w:szCs w:val="26"/>
          <w:rtl/>
        </w:rPr>
        <w:tab/>
      </w:r>
      <w:r w:rsidR="00D9687C">
        <w:rPr>
          <w:rFonts w:ascii="Arial" w:hAnsi="Arial" w:hint="cs"/>
          <w:b/>
          <w:bCs/>
          <w:sz w:val="26"/>
          <w:szCs w:val="26"/>
          <w:rtl/>
        </w:rPr>
        <w:t xml:space="preserve">         </w:t>
      </w:r>
    </w:p>
    <w:p w14:paraId="1C68626A" w14:textId="77777777" w:rsidR="00D9687C" w:rsidRPr="000F2247" w:rsidRDefault="00D9687C" w:rsidP="00E55B3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B944DA7" w14:textId="77777777" w:rsidR="00D9687C" w:rsidRPr="000F2247" w:rsidRDefault="00D9687C" w:rsidP="00D9687C">
      <w:pPr>
        <w:jc w:val="center"/>
        <w:rPr>
          <w:rFonts w:ascii="Arial" w:hAnsi="Arial"/>
          <w:b/>
          <w:bCs/>
          <w:sz w:val="26"/>
          <w:szCs w:val="26"/>
          <w:rtl/>
        </w:rPr>
      </w:pPr>
    </w:p>
    <w:p w14:paraId="3373F502" w14:textId="77777777" w:rsidR="00043030" w:rsidRPr="00E55B33" w:rsidRDefault="00043030" w:rsidP="00E55B33">
      <w:pPr>
        <w:keepNext/>
        <w:rPr>
          <w:rFonts w:ascii="David" w:hAnsi="David"/>
          <w:color w:val="000000"/>
          <w:sz w:val="22"/>
          <w:szCs w:val="22"/>
          <w:rtl/>
        </w:rPr>
      </w:pPr>
    </w:p>
    <w:p w14:paraId="028B1297" w14:textId="77777777" w:rsidR="00E55B33" w:rsidRPr="00E55B33" w:rsidRDefault="00E55B33" w:rsidP="00E55B33">
      <w:pPr>
        <w:keepNext/>
        <w:rPr>
          <w:rFonts w:ascii="David" w:hAnsi="David"/>
          <w:color w:val="000000"/>
          <w:sz w:val="22"/>
          <w:szCs w:val="22"/>
          <w:rtl/>
        </w:rPr>
      </w:pPr>
      <w:r w:rsidRPr="00E55B33">
        <w:rPr>
          <w:rFonts w:ascii="David" w:hAnsi="David"/>
          <w:color w:val="000000"/>
          <w:sz w:val="22"/>
          <w:szCs w:val="22"/>
          <w:rtl/>
        </w:rPr>
        <w:t>יניב בן הרוש 54678313</w:t>
      </w:r>
    </w:p>
    <w:p w14:paraId="2C54DB8F" w14:textId="77777777" w:rsidR="00E55B33" w:rsidRDefault="00E55B33" w:rsidP="00E55B33">
      <w:r w:rsidRPr="00E55B33">
        <w:rPr>
          <w:color w:val="000000"/>
          <w:rtl/>
        </w:rPr>
        <w:t>נוסח מסמך זה כפוף לשינויי ניסוח ועריכה</w:t>
      </w:r>
    </w:p>
    <w:p w14:paraId="4E77D956" w14:textId="77777777" w:rsidR="00E55B33" w:rsidRDefault="00E55B33" w:rsidP="00E55B33">
      <w:pPr>
        <w:rPr>
          <w:rtl/>
        </w:rPr>
      </w:pPr>
    </w:p>
    <w:p w14:paraId="66D9A7A9" w14:textId="77777777" w:rsidR="00E55B33" w:rsidRDefault="00E55B33" w:rsidP="00E55B3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701DC0E" w14:textId="77777777" w:rsidR="00E55B33" w:rsidRPr="00E55B33" w:rsidRDefault="00E55B33" w:rsidP="00E55B33">
      <w:pPr>
        <w:jc w:val="center"/>
        <w:rPr>
          <w:color w:val="0000FF"/>
          <w:u w:val="single"/>
        </w:rPr>
      </w:pPr>
    </w:p>
    <w:sectPr w:rsidR="00E55B33" w:rsidRPr="00E55B33" w:rsidSect="00E55B33">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69806" w14:textId="77777777" w:rsidR="00313978" w:rsidRDefault="00313978" w:rsidP="00007FAB">
      <w:r>
        <w:separator/>
      </w:r>
    </w:p>
  </w:endnote>
  <w:endnote w:type="continuationSeparator" w:id="0">
    <w:p w14:paraId="5331D4FF" w14:textId="77777777" w:rsidR="00313978" w:rsidRDefault="00313978" w:rsidP="00007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B3591" w14:textId="77777777" w:rsidR="00E55B33" w:rsidRDefault="00E55B33" w:rsidP="00E55B3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F2D3B7" w14:textId="77777777" w:rsidR="00EC5B80" w:rsidRPr="00E55B33" w:rsidRDefault="00E55B33" w:rsidP="00E55B3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2B823" w14:textId="77777777" w:rsidR="00E55B33" w:rsidRDefault="00E55B33" w:rsidP="00E55B3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2669">
      <w:rPr>
        <w:rFonts w:ascii="FrankRuehl" w:hAnsi="FrankRuehl" w:cs="FrankRuehl"/>
        <w:noProof/>
        <w:rtl/>
      </w:rPr>
      <w:t>1</w:t>
    </w:r>
    <w:r>
      <w:rPr>
        <w:rFonts w:ascii="FrankRuehl" w:hAnsi="FrankRuehl" w:cs="FrankRuehl"/>
        <w:rtl/>
      </w:rPr>
      <w:fldChar w:fldCharType="end"/>
    </w:r>
  </w:p>
  <w:p w14:paraId="4E5F0250" w14:textId="77777777" w:rsidR="00EC5B80" w:rsidRPr="00E55B33" w:rsidRDefault="00E55B33" w:rsidP="00E55B3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A71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6B868" w14:textId="77777777" w:rsidR="00313978" w:rsidRDefault="00313978" w:rsidP="00007FAB">
      <w:r>
        <w:separator/>
      </w:r>
    </w:p>
  </w:footnote>
  <w:footnote w:type="continuationSeparator" w:id="0">
    <w:p w14:paraId="6E60E393" w14:textId="77777777" w:rsidR="00313978" w:rsidRDefault="00313978" w:rsidP="00007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9F985" w14:textId="77777777" w:rsidR="00E55B33" w:rsidRPr="00E55B33" w:rsidRDefault="00E55B33" w:rsidP="00E55B33">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16374-08-19</w:t>
    </w:r>
    <w:r>
      <w:rPr>
        <w:rFonts w:ascii="David" w:hAnsi="David"/>
        <w:color w:val="000000"/>
        <w:sz w:val="22"/>
        <w:szCs w:val="22"/>
        <w:rtl/>
      </w:rPr>
      <w:tab/>
      <w:t xml:space="preserve"> מדינת ישראל-תביעות נגב נ' איהשם אלעמור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44B2A" w14:textId="77777777" w:rsidR="00E55B33" w:rsidRPr="00E55B33" w:rsidRDefault="00E55B33" w:rsidP="00E55B33">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16374-08-19</w:t>
    </w:r>
    <w:r>
      <w:rPr>
        <w:rFonts w:ascii="David" w:hAnsi="David"/>
        <w:color w:val="000000"/>
        <w:sz w:val="22"/>
        <w:szCs w:val="22"/>
        <w:rtl/>
      </w:rPr>
      <w:tab/>
      <w:t xml:space="preserve"> מדינת ישראל-תביעות נגב נ' איהשם אלעמור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2C84096A"/>
    <w:lvl w:ilvl="0" w:tplc="32AE8638">
      <w:start w:val="1"/>
      <w:numFmt w:val="decimal"/>
      <w:lvlText w:val="%1."/>
      <w:lvlJc w:val="left"/>
      <w:pPr>
        <w:ind w:left="360" w:hanging="360"/>
      </w:pPr>
      <w:rPr>
        <w:rFonts w:ascii="Times New Roman" w:hAnsi="Times New Roman" w:cs="David" w:hint="default"/>
        <w:bCs w:val="0"/>
        <w:iCs w:val="0"/>
        <w:szCs w:val="24"/>
        <w:lang w:bidi="he-IL"/>
      </w:rPr>
    </w:lvl>
    <w:lvl w:ilvl="1" w:tplc="E76CC2E4">
      <w:start w:val="1"/>
      <w:numFmt w:val="hebrew1"/>
      <w:lvlText w:val="%2."/>
      <w:lvlJc w:val="center"/>
      <w:pPr>
        <w:ind w:left="785" w:hanging="360"/>
      </w:pPr>
      <w:rPr>
        <w:b w:val="0"/>
        <w:bCs w:val="0"/>
      </w:rPr>
    </w:lvl>
    <w:lvl w:ilvl="2" w:tplc="49A01638">
      <w:start w:val="1"/>
      <w:numFmt w:val="lowerRoman"/>
      <w:lvlText w:val="%3."/>
      <w:lvlJc w:val="right"/>
      <w:pPr>
        <w:ind w:left="2160" w:hanging="180"/>
      </w:pPr>
    </w:lvl>
    <w:lvl w:ilvl="3" w:tplc="BEA4446A">
      <w:start w:val="1"/>
      <w:numFmt w:val="decimal"/>
      <w:lvlText w:val="%4."/>
      <w:lvlJc w:val="left"/>
      <w:pPr>
        <w:ind w:left="2880" w:hanging="360"/>
      </w:pPr>
    </w:lvl>
    <w:lvl w:ilvl="4" w:tplc="2A427D62">
      <w:start w:val="1"/>
      <w:numFmt w:val="lowerLetter"/>
      <w:lvlText w:val="%5."/>
      <w:lvlJc w:val="left"/>
      <w:pPr>
        <w:ind w:left="3600" w:hanging="360"/>
      </w:pPr>
    </w:lvl>
    <w:lvl w:ilvl="5" w:tplc="86EA3C7A">
      <w:start w:val="1"/>
      <w:numFmt w:val="lowerRoman"/>
      <w:lvlText w:val="%6."/>
      <w:lvlJc w:val="right"/>
      <w:pPr>
        <w:ind w:left="4320" w:hanging="180"/>
      </w:pPr>
    </w:lvl>
    <w:lvl w:ilvl="6" w:tplc="7826C268">
      <w:start w:val="1"/>
      <w:numFmt w:val="decimal"/>
      <w:lvlText w:val="%7."/>
      <w:lvlJc w:val="left"/>
      <w:pPr>
        <w:ind w:left="5040" w:hanging="360"/>
      </w:pPr>
    </w:lvl>
    <w:lvl w:ilvl="7" w:tplc="CB76EBC0">
      <w:start w:val="1"/>
      <w:numFmt w:val="lowerLetter"/>
      <w:lvlText w:val="%8."/>
      <w:lvlJc w:val="left"/>
      <w:pPr>
        <w:ind w:left="5760" w:hanging="360"/>
      </w:pPr>
    </w:lvl>
    <w:lvl w:ilvl="8" w:tplc="D2269096">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Times New Roman"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Times New Roman"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Times New Roman" w:hint="default"/>
      </w:rPr>
    </w:lvl>
    <w:lvl w:ilvl="8" w:tplc="A12A52C8">
      <w:start w:val="1"/>
      <w:numFmt w:val="bullet"/>
      <w:lvlText w:val=""/>
      <w:lvlJc w:val="left"/>
      <w:pPr>
        <w:ind w:left="7200" w:hanging="360"/>
      </w:pPr>
      <w:rPr>
        <w:rFonts w:ascii="Wingdings" w:hAnsi="Wingdings" w:hint="default"/>
      </w:rPr>
    </w:lvl>
  </w:abstractNum>
  <w:abstractNum w:abstractNumId="2"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EC3747F"/>
    <w:multiLevelType w:val="hybridMultilevel"/>
    <w:tmpl w:val="E126F992"/>
    <w:lvl w:ilvl="0" w:tplc="D8EEBAC6">
      <w:start w:val="1"/>
      <w:numFmt w:val="hebrew1"/>
      <w:lvlText w:val="%1."/>
      <w:lvlJc w:val="left"/>
      <w:pPr>
        <w:ind w:left="720" w:hanging="360"/>
      </w:pPr>
      <w:rPr>
        <w:lang w:val="en-US"/>
      </w:rPr>
    </w:lvl>
    <w:lvl w:ilvl="1" w:tplc="CB82C92C">
      <w:start w:val="1"/>
      <w:numFmt w:val="lowerLetter"/>
      <w:lvlText w:val="%2."/>
      <w:lvlJc w:val="left"/>
      <w:pPr>
        <w:ind w:left="1440" w:hanging="360"/>
      </w:pPr>
    </w:lvl>
    <w:lvl w:ilvl="2" w:tplc="2AE628B6">
      <w:start w:val="1"/>
      <w:numFmt w:val="lowerRoman"/>
      <w:lvlText w:val="%3."/>
      <w:lvlJc w:val="right"/>
      <w:pPr>
        <w:ind w:left="2160" w:hanging="180"/>
      </w:pPr>
    </w:lvl>
    <w:lvl w:ilvl="3" w:tplc="224AE988">
      <w:start w:val="1"/>
      <w:numFmt w:val="decimal"/>
      <w:lvlText w:val="%4."/>
      <w:lvlJc w:val="left"/>
      <w:pPr>
        <w:ind w:left="2880" w:hanging="360"/>
      </w:pPr>
    </w:lvl>
    <w:lvl w:ilvl="4" w:tplc="C382E24C">
      <w:start w:val="1"/>
      <w:numFmt w:val="lowerLetter"/>
      <w:lvlText w:val="%5."/>
      <w:lvlJc w:val="left"/>
      <w:pPr>
        <w:ind w:left="3600" w:hanging="360"/>
      </w:pPr>
    </w:lvl>
    <w:lvl w:ilvl="5" w:tplc="0B2E335E">
      <w:start w:val="1"/>
      <w:numFmt w:val="lowerRoman"/>
      <w:lvlText w:val="%6."/>
      <w:lvlJc w:val="right"/>
      <w:pPr>
        <w:ind w:left="4320" w:hanging="180"/>
      </w:pPr>
    </w:lvl>
    <w:lvl w:ilvl="6" w:tplc="069AAFD0">
      <w:start w:val="1"/>
      <w:numFmt w:val="decimal"/>
      <w:lvlText w:val="%7."/>
      <w:lvlJc w:val="left"/>
      <w:pPr>
        <w:ind w:left="5040" w:hanging="360"/>
      </w:pPr>
    </w:lvl>
    <w:lvl w:ilvl="7" w:tplc="429E0062">
      <w:start w:val="1"/>
      <w:numFmt w:val="lowerLetter"/>
      <w:lvlText w:val="%8."/>
      <w:lvlJc w:val="left"/>
      <w:pPr>
        <w:ind w:left="5760" w:hanging="360"/>
      </w:pPr>
    </w:lvl>
    <w:lvl w:ilvl="8" w:tplc="FD9CFCE2">
      <w:start w:val="1"/>
      <w:numFmt w:val="lowerRoman"/>
      <w:lvlText w:val="%9."/>
      <w:lvlJc w:val="right"/>
      <w:pPr>
        <w:ind w:left="6480" w:hanging="180"/>
      </w:pPr>
    </w:lvl>
  </w:abstractNum>
  <w:num w:numId="1" w16cid:durableId="27494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56752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87996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292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687C"/>
    <w:rsid w:val="00007FAB"/>
    <w:rsid w:val="00043030"/>
    <w:rsid w:val="000546F1"/>
    <w:rsid w:val="001B011B"/>
    <w:rsid w:val="001B5A3B"/>
    <w:rsid w:val="002B0913"/>
    <w:rsid w:val="00313978"/>
    <w:rsid w:val="00485093"/>
    <w:rsid w:val="00693B68"/>
    <w:rsid w:val="00B32669"/>
    <w:rsid w:val="00BD5C4C"/>
    <w:rsid w:val="00D9687C"/>
    <w:rsid w:val="00DA3B38"/>
    <w:rsid w:val="00DE2014"/>
    <w:rsid w:val="00E55B33"/>
    <w:rsid w:val="00EC5B80"/>
    <w:rsid w:val="00FA6C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18E14B"/>
  <w15:chartTrackingRefBased/>
  <w15:docId w15:val="{5858DE67-92C5-49EF-9744-D6899281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9687C"/>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9687C"/>
    <w:pPr>
      <w:tabs>
        <w:tab w:val="center" w:pos="4153"/>
        <w:tab w:val="right" w:pos="8306"/>
      </w:tabs>
    </w:pPr>
  </w:style>
  <w:style w:type="character" w:customStyle="1" w:styleId="a5">
    <w:name w:val="כותרת עליונה תו"/>
    <w:link w:val="a4"/>
    <w:rsid w:val="00D9687C"/>
    <w:rPr>
      <w:rFonts w:ascii="Times New Roman" w:eastAsia="Times New Roman" w:hAnsi="Times New Roman" w:cs="David"/>
      <w:sz w:val="24"/>
      <w:szCs w:val="24"/>
    </w:rPr>
  </w:style>
  <w:style w:type="paragraph" w:styleId="a6">
    <w:name w:val="footer"/>
    <w:basedOn w:val="a0"/>
    <w:link w:val="a7"/>
    <w:rsid w:val="00D9687C"/>
    <w:pPr>
      <w:tabs>
        <w:tab w:val="center" w:pos="4153"/>
        <w:tab w:val="right" w:pos="8306"/>
      </w:tabs>
    </w:pPr>
  </w:style>
  <w:style w:type="character" w:customStyle="1" w:styleId="a7">
    <w:name w:val="כותרת תחתונה תו"/>
    <w:link w:val="a6"/>
    <w:rsid w:val="00D9687C"/>
    <w:rPr>
      <w:rFonts w:ascii="Times New Roman" w:eastAsia="Times New Roman" w:hAnsi="Times New Roman" w:cs="David"/>
      <w:sz w:val="24"/>
      <w:szCs w:val="24"/>
    </w:rPr>
  </w:style>
  <w:style w:type="table" w:styleId="a8">
    <w:name w:val="Table Grid"/>
    <w:basedOn w:val="a2"/>
    <w:rsid w:val="00D968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9687C"/>
  </w:style>
  <w:style w:type="character" w:customStyle="1" w:styleId="aa">
    <w:name w:val="פיסקת רשימה תו"/>
    <w:link w:val="ab"/>
    <w:locked/>
    <w:rsid w:val="00D9687C"/>
  </w:style>
  <w:style w:type="paragraph" w:styleId="ab">
    <w:name w:val="List Paragraph"/>
    <w:basedOn w:val="a0"/>
    <w:link w:val="aa"/>
    <w:qFormat/>
    <w:rsid w:val="00D9687C"/>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D9687C"/>
    <w:pPr>
      <w:numPr>
        <w:numId w:val="1"/>
      </w:numPr>
      <w:spacing w:after="120" w:line="360" w:lineRule="auto"/>
    </w:pPr>
    <w:rPr>
      <w:rFonts w:ascii="David" w:hAnsi="David"/>
      <w:color w:val="000000"/>
    </w:rPr>
  </w:style>
  <w:style w:type="character" w:styleId="Hyperlink">
    <w:name w:val="Hyperlink"/>
    <w:rsid w:val="00E55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law/207788%09" TargetMode="External"/><Relationship Id="rId26" Type="http://schemas.openxmlformats.org/officeDocument/2006/relationships/hyperlink" Target="http://www.nevo.co.il/case/25932004" TargetMode="External"/><Relationship Id="rId3" Type="http://schemas.openxmlformats.org/officeDocument/2006/relationships/settings" Target="settings.xml"/><Relationship Id="rId21" Type="http://schemas.openxmlformats.org/officeDocument/2006/relationships/hyperlink" Target="http://www.nevo.co.il/case/23672166"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207788" TargetMode="External"/><Relationship Id="rId17" Type="http://schemas.openxmlformats.org/officeDocument/2006/relationships/hyperlink" Target="http://www.nevo.co.il/case/5681787" TargetMode="External"/><Relationship Id="rId25" Type="http://schemas.openxmlformats.org/officeDocument/2006/relationships/hyperlink" Target="http://www.nevo.co.il/case/828960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838831" TargetMode="External"/><Relationship Id="rId29" Type="http://schemas.openxmlformats.org/officeDocument/2006/relationships/hyperlink" Target="http://www.nevo.co.il/case/285382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784320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4129354" TargetMode="External"/><Relationship Id="rId28" Type="http://schemas.openxmlformats.org/officeDocument/2006/relationships/hyperlink" Target="http://www.nevo.co.il/case/28689499"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5778078"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4104026" TargetMode="External"/><Relationship Id="rId27" Type="http://schemas.openxmlformats.org/officeDocument/2006/relationships/hyperlink" Target="http://www.nevo.co.il/case/6708658"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1807</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10825</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3997821</vt:i4>
      </vt:variant>
      <vt:variant>
        <vt:i4>66</vt:i4>
      </vt:variant>
      <vt:variant>
        <vt:i4>0</vt:i4>
      </vt:variant>
      <vt:variant>
        <vt:i4>5</vt:i4>
      </vt:variant>
      <vt:variant>
        <vt:lpwstr>http://www.nevo.co.il/case/28538223</vt:lpwstr>
      </vt:variant>
      <vt:variant>
        <vt:lpwstr/>
      </vt:variant>
      <vt:variant>
        <vt:i4>3407984</vt:i4>
      </vt:variant>
      <vt:variant>
        <vt:i4>63</vt:i4>
      </vt:variant>
      <vt:variant>
        <vt:i4>0</vt:i4>
      </vt:variant>
      <vt:variant>
        <vt:i4>5</vt:i4>
      </vt:variant>
      <vt:variant>
        <vt:lpwstr>http://www.nevo.co.il/case/28689499</vt:lpwstr>
      </vt:variant>
      <vt:variant>
        <vt:lpwstr/>
      </vt:variant>
      <vt:variant>
        <vt:i4>3670142</vt:i4>
      </vt:variant>
      <vt:variant>
        <vt:i4>60</vt:i4>
      </vt:variant>
      <vt:variant>
        <vt:i4>0</vt:i4>
      </vt:variant>
      <vt:variant>
        <vt:i4>5</vt:i4>
      </vt:variant>
      <vt:variant>
        <vt:lpwstr>http://www.nevo.co.il/case/6708658</vt:lpwstr>
      </vt:variant>
      <vt:variant>
        <vt:lpwstr/>
      </vt:variant>
      <vt:variant>
        <vt:i4>3735666</vt:i4>
      </vt:variant>
      <vt:variant>
        <vt:i4>57</vt:i4>
      </vt:variant>
      <vt:variant>
        <vt:i4>0</vt:i4>
      </vt:variant>
      <vt:variant>
        <vt:i4>5</vt:i4>
      </vt:variant>
      <vt:variant>
        <vt:lpwstr>http://www.nevo.co.il/case/25932004</vt:lpwstr>
      </vt:variant>
      <vt:variant>
        <vt:lpwstr/>
      </vt:variant>
      <vt:variant>
        <vt:i4>3604607</vt:i4>
      </vt:variant>
      <vt:variant>
        <vt:i4>54</vt:i4>
      </vt:variant>
      <vt:variant>
        <vt:i4>0</vt:i4>
      </vt:variant>
      <vt:variant>
        <vt:i4>5</vt:i4>
      </vt:variant>
      <vt:variant>
        <vt:lpwstr>http://www.nevo.co.il/case/8289601</vt:lpwstr>
      </vt:variant>
      <vt:variant>
        <vt:lpwstr/>
      </vt:variant>
      <vt:variant>
        <vt:i4>3407999</vt:i4>
      </vt:variant>
      <vt:variant>
        <vt:i4>51</vt:i4>
      </vt:variant>
      <vt:variant>
        <vt:i4>0</vt:i4>
      </vt:variant>
      <vt:variant>
        <vt:i4>5</vt:i4>
      </vt:variant>
      <vt:variant>
        <vt:lpwstr>http://www.nevo.co.il/case/7843205</vt:lpwstr>
      </vt:variant>
      <vt:variant>
        <vt:lpwstr/>
      </vt:variant>
      <vt:variant>
        <vt:i4>3211385</vt:i4>
      </vt:variant>
      <vt:variant>
        <vt:i4>48</vt:i4>
      </vt:variant>
      <vt:variant>
        <vt:i4>0</vt:i4>
      </vt:variant>
      <vt:variant>
        <vt:i4>5</vt:i4>
      </vt:variant>
      <vt:variant>
        <vt:lpwstr>http://www.nevo.co.il/case/4129354</vt:lpwstr>
      </vt:variant>
      <vt:variant>
        <vt:lpwstr/>
      </vt:variant>
      <vt:variant>
        <vt:i4>3276915</vt:i4>
      </vt:variant>
      <vt:variant>
        <vt:i4>45</vt:i4>
      </vt:variant>
      <vt:variant>
        <vt:i4>0</vt:i4>
      </vt:variant>
      <vt:variant>
        <vt:i4>5</vt:i4>
      </vt:variant>
      <vt:variant>
        <vt:lpwstr>http://www.nevo.co.il/case/4104026</vt:lpwstr>
      </vt:variant>
      <vt:variant>
        <vt:lpwstr/>
      </vt:variant>
      <vt:variant>
        <vt:i4>3145841</vt:i4>
      </vt:variant>
      <vt:variant>
        <vt:i4>42</vt:i4>
      </vt:variant>
      <vt:variant>
        <vt:i4>0</vt:i4>
      </vt:variant>
      <vt:variant>
        <vt:i4>5</vt:i4>
      </vt:variant>
      <vt:variant>
        <vt:lpwstr>http://www.nevo.co.il/case/23672166</vt:lpwstr>
      </vt:variant>
      <vt:variant>
        <vt:lpwstr/>
      </vt:variant>
      <vt:variant>
        <vt:i4>3211386</vt:i4>
      </vt:variant>
      <vt:variant>
        <vt:i4>39</vt:i4>
      </vt:variant>
      <vt:variant>
        <vt:i4>0</vt:i4>
      </vt:variant>
      <vt:variant>
        <vt:i4>5</vt:i4>
      </vt:variant>
      <vt:variant>
        <vt:lpwstr>http://www.nevo.co.il/case/25838831</vt:lpwstr>
      </vt:variant>
      <vt:variant>
        <vt:lpwstr/>
      </vt:variant>
      <vt:variant>
        <vt:i4>3801206</vt:i4>
      </vt:variant>
      <vt:variant>
        <vt:i4>36</vt:i4>
      </vt:variant>
      <vt:variant>
        <vt:i4>0</vt:i4>
      </vt:variant>
      <vt:variant>
        <vt:i4>5</vt:i4>
      </vt:variant>
      <vt:variant>
        <vt:lpwstr>http://www.nevo.co.il/case/25778078</vt:lpwstr>
      </vt:variant>
      <vt:variant>
        <vt:lpwstr/>
      </vt:variant>
      <vt:variant>
        <vt:i4>4522077</vt:i4>
      </vt:variant>
      <vt:variant>
        <vt:i4>33</vt:i4>
      </vt:variant>
      <vt:variant>
        <vt:i4>0</vt:i4>
      </vt:variant>
      <vt:variant>
        <vt:i4>5</vt:i4>
      </vt:variant>
      <vt:variant>
        <vt:lpwstr>http://www.nevo.co.il/law/207788</vt:lpwstr>
      </vt:variant>
      <vt:variant>
        <vt:lpwstr/>
      </vt:variant>
      <vt:variant>
        <vt:i4>3997819</vt:i4>
      </vt:variant>
      <vt:variant>
        <vt:i4>30</vt:i4>
      </vt:variant>
      <vt:variant>
        <vt:i4>0</vt:i4>
      </vt:variant>
      <vt:variant>
        <vt:i4>5</vt:i4>
      </vt:variant>
      <vt:variant>
        <vt:lpwstr>http://www.nevo.co.il/case/5681787</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4522077</vt:i4>
      </vt:variant>
      <vt:variant>
        <vt:i4>15</vt:i4>
      </vt:variant>
      <vt:variant>
        <vt:i4>0</vt:i4>
      </vt:variant>
      <vt:variant>
        <vt:i4>5</vt:i4>
      </vt:variant>
      <vt:variant>
        <vt:lpwstr>http://www.nevo.co.il/law/207788</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16374</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ישראל-תביעות נגב</vt:lpwstr>
  </property>
  <property fmtid="{D5CDD505-2E9C-101B-9397-08002B2CF9AE}" pid="9" name="APPELLEE">
    <vt:lpwstr>איהשם אלעמור</vt:lpwstr>
  </property>
  <property fmtid="{D5CDD505-2E9C-101B-9397-08002B2CF9AE}" pid="10" name="LAWYER">
    <vt:lpwstr>שירה רוג;פאולה ברוש; ניר אביב</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20230206</vt:lpwstr>
  </property>
  <property fmtid="{D5CDD505-2E9C-101B-9397-08002B2CF9AE}" pid="14" name="TYPE_N_DATE">
    <vt:lpwstr>38020230206</vt:lpwstr>
  </property>
  <property fmtid="{D5CDD505-2E9C-101B-9397-08002B2CF9AE}" pid="15" name="WORDNUMPAGES">
    <vt:lpwstr>7</vt:lpwstr>
  </property>
  <property fmtid="{D5CDD505-2E9C-101B-9397-08002B2CF9AE}" pid="16" name="TYPE_ABS_DATE">
    <vt:lpwstr>380020230206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5681787;25778078;25838831;23672166;4104026;4129354;7843205;8289601;25932004;6708658;28689499;28538223</vt:lpwstr>
  </property>
  <property fmtid="{D5CDD505-2E9C-101B-9397-08002B2CF9AE}" pid="36" name="LAWLISTTMP1">
    <vt:lpwstr>4216/007.a;007.c</vt:lpwstr>
  </property>
  <property fmtid="{D5CDD505-2E9C-101B-9397-08002B2CF9AE}" pid="37" name="LAWLISTTMP2">
    <vt:lpwstr>70301/275</vt:lpwstr>
  </property>
  <property fmtid="{D5CDD505-2E9C-101B-9397-08002B2CF9AE}" pid="38" name="LAWLISTTMP3">
    <vt:lpwstr>207788</vt:lpwstr>
  </property>
</Properties>
</file>