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F95B0D" w:rsidRPr="003A77BE" w14:paraId="1FA7B418" w14:textId="77777777" w:rsidTr="00B60A52">
        <w:trPr>
          <w:trHeight w:hRule="exact" w:val="418"/>
          <w:jc w:val="center"/>
        </w:trPr>
        <w:tc>
          <w:tcPr>
            <w:tcW w:w="8523" w:type="dxa"/>
            <w:gridSpan w:val="2"/>
          </w:tcPr>
          <w:p w14:paraId="097D1BFF" w14:textId="77777777" w:rsidR="00F95B0D" w:rsidRPr="003A77BE" w:rsidRDefault="00F95B0D" w:rsidP="000D7F0F">
            <w:pPr>
              <w:pStyle w:val="a3"/>
              <w:jc w:val="center"/>
              <w:rPr>
                <w:rFonts w:ascii="Tahoma" w:hAnsi="Tahoma" w:cs="Tahoma"/>
                <w:color w:val="000080"/>
                <w:rtl/>
              </w:rPr>
            </w:pPr>
            <w:bookmarkStart w:id="0" w:name="LastJudge"/>
            <w:r w:rsidRPr="003A77BE">
              <w:rPr>
                <w:rFonts w:ascii="Tahoma" w:hAnsi="Tahoma" w:cs="Tahoma"/>
                <w:b/>
                <w:bCs/>
                <w:color w:val="000080"/>
                <w:rtl/>
              </w:rPr>
              <w:t>בית משפט השלום בירושלים</w:t>
            </w:r>
          </w:p>
        </w:tc>
      </w:tr>
      <w:tr w:rsidR="00F95B0D" w:rsidRPr="003A77BE" w14:paraId="0F0083BC" w14:textId="77777777" w:rsidTr="00B60A52">
        <w:trPr>
          <w:trHeight w:val="850"/>
          <w:jc w:val="center"/>
        </w:trPr>
        <w:tc>
          <w:tcPr>
            <w:tcW w:w="4945" w:type="dxa"/>
          </w:tcPr>
          <w:p w14:paraId="7FB4C7DE" w14:textId="77777777" w:rsidR="00F95B0D" w:rsidRPr="003A77BE" w:rsidRDefault="00F95B0D" w:rsidP="000D7F0F">
            <w:pPr>
              <w:rPr>
                <w:sz w:val="26"/>
                <w:szCs w:val="26"/>
                <w:rtl/>
              </w:rPr>
            </w:pPr>
            <w:r w:rsidRPr="003A77BE">
              <w:rPr>
                <w:sz w:val="26"/>
                <w:szCs w:val="26"/>
                <w:rtl/>
              </w:rPr>
              <w:t>ת"פ</w:t>
            </w:r>
            <w:r w:rsidRPr="003A77BE">
              <w:rPr>
                <w:rFonts w:hint="cs"/>
                <w:sz w:val="26"/>
                <w:szCs w:val="26"/>
                <w:rtl/>
              </w:rPr>
              <w:t xml:space="preserve"> </w:t>
            </w:r>
            <w:hyperlink r:id="rId7" w:history="1">
              <w:r w:rsidR="00227E6C" w:rsidRPr="00227E6C">
                <w:rPr>
                  <w:color w:val="0000FF"/>
                  <w:sz w:val="26"/>
                  <w:szCs w:val="26"/>
                  <w:u w:val="single"/>
                  <w:rtl/>
                </w:rPr>
                <w:t xml:space="preserve">18484-08-19 </w:t>
              </w:r>
            </w:hyperlink>
            <w:r w:rsidRPr="003A77BE">
              <w:rPr>
                <w:rFonts w:hint="cs"/>
                <w:sz w:val="26"/>
                <w:szCs w:val="26"/>
                <w:rtl/>
              </w:rPr>
              <w:t xml:space="preserve"> </w:t>
            </w:r>
            <w:r w:rsidRPr="003A77BE">
              <w:rPr>
                <w:sz w:val="26"/>
                <w:szCs w:val="26"/>
                <w:rtl/>
              </w:rPr>
              <w:t>מדינת ישראל נ' דומב</w:t>
            </w:r>
          </w:p>
        </w:tc>
        <w:tc>
          <w:tcPr>
            <w:tcW w:w="3578" w:type="dxa"/>
          </w:tcPr>
          <w:p w14:paraId="556496F8" w14:textId="77777777" w:rsidR="00F95B0D" w:rsidRPr="003A77BE" w:rsidRDefault="00F95B0D" w:rsidP="000D7F0F">
            <w:pPr>
              <w:pStyle w:val="a3"/>
              <w:jc w:val="right"/>
              <w:rPr>
                <w:sz w:val="26"/>
                <w:szCs w:val="26"/>
                <w:rtl/>
              </w:rPr>
            </w:pPr>
          </w:p>
        </w:tc>
      </w:tr>
    </w:tbl>
    <w:p w14:paraId="21CA7C65" w14:textId="77777777" w:rsidR="00F95B0D" w:rsidRPr="003A77BE" w:rsidRDefault="00F95B0D" w:rsidP="00F95B0D">
      <w:pPr>
        <w:pStyle w:val="a3"/>
        <w:rPr>
          <w:rtl/>
        </w:rPr>
      </w:pPr>
    </w:p>
    <w:p w14:paraId="7012F1E6" w14:textId="77777777" w:rsidR="00F95B0D" w:rsidRPr="003A77BE" w:rsidRDefault="00F95B0D" w:rsidP="00F95B0D">
      <w:pPr>
        <w:rPr>
          <w:rtl/>
        </w:rPr>
      </w:pPr>
    </w:p>
    <w:p w14:paraId="21D70223" w14:textId="77777777" w:rsidR="00F95B0D" w:rsidRPr="003A77BE" w:rsidRDefault="00F95B0D" w:rsidP="00F95B0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077"/>
        <w:gridCol w:w="4820"/>
      </w:tblGrid>
      <w:tr w:rsidR="00F95B0D" w:rsidRPr="003A77BE" w14:paraId="0B8EEC4C" w14:textId="77777777" w:rsidTr="00F95B0D">
        <w:trPr>
          <w:trHeight w:val="295"/>
          <w:jc w:val="center"/>
        </w:trPr>
        <w:tc>
          <w:tcPr>
            <w:tcW w:w="8820" w:type="dxa"/>
            <w:gridSpan w:val="3"/>
            <w:tcBorders>
              <w:top w:val="nil"/>
              <w:left w:val="nil"/>
              <w:bottom w:val="nil"/>
              <w:right w:val="nil"/>
            </w:tcBorders>
            <w:shd w:val="clear" w:color="auto" w:fill="auto"/>
          </w:tcPr>
          <w:p w14:paraId="5079BCAD" w14:textId="77777777" w:rsidR="00F95B0D" w:rsidRPr="003A77BE" w:rsidRDefault="00F95B0D" w:rsidP="00F95B0D">
            <w:pPr>
              <w:jc w:val="both"/>
              <w:rPr>
                <w:rFonts w:ascii="Arial" w:hAnsi="Arial"/>
                <w:b/>
                <w:bCs/>
                <w:sz w:val="26"/>
                <w:szCs w:val="26"/>
                <w:rtl/>
              </w:rPr>
            </w:pPr>
            <w:r w:rsidRPr="003A77BE">
              <w:rPr>
                <w:rFonts w:ascii="Arial" w:hAnsi="Arial" w:hint="cs"/>
                <w:b/>
                <w:bCs/>
                <w:sz w:val="26"/>
                <w:szCs w:val="26"/>
                <w:rtl/>
              </w:rPr>
              <w:t>ל</w:t>
            </w:r>
            <w:r w:rsidRPr="003A77BE">
              <w:rPr>
                <w:rFonts w:ascii="Arial" w:hAnsi="Arial"/>
                <w:b/>
                <w:bCs/>
                <w:sz w:val="26"/>
                <w:szCs w:val="26"/>
                <w:rtl/>
              </w:rPr>
              <w:t xml:space="preserve">פני </w:t>
            </w:r>
            <w:r w:rsidRPr="003A77BE">
              <w:rPr>
                <w:rFonts w:ascii="Arial" w:hAnsi="Arial" w:hint="cs"/>
                <w:b/>
                <w:bCs/>
                <w:sz w:val="26"/>
                <w:szCs w:val="26"/>
                <w:rtl/>
              </w:rPr>
              <w:t>כבוד ה</w:t>
            </w:r>
            <w:r w:rsidRPr="003A77BE">
              <w:rPr>
                <w:rFonts w:ascii="Arial" w:hAnsi="Arial"/>
                <w:b/>
                <w:bCs/>
                <w:sz w:val="26"/>
                <w:szCs w:val="26"/>
                <w:rtl/>
              </w:rPr>
              <w:t>שופט</w:t>
            </w:r>
            <w:r w:rsidRPr="003A77BE">
              <w:rPr>
                <w:rFonts w:ascii="Arial" w:hAnsi="Arial" w:hint="cs"/>
                <w:b/>
                <w:bCs/>
                <w:sz w:val="26"/>
                <w:szCs w:val="26"/>
                <w:rtl/>
              </w:rPr>
              <w:t xml:space="preserve">  </w:t>
            </w:r>
            <w:r w:rsidRPr="003A77BE">
              <w:rPr>
                <w:rFonts w:ascii="Arial" w:hAnsi="Arial"/>
                <w:b/>
                <w:bCs/>
                <w:sz w:val="26"/>
                <w:szCs w:val="26"/>
                <w:rtl/>
              </w:rPr>
              <w:t>אביחי דורון</w:t>
            </w:r>
          </w:p>
          <w:p w14:paraId="69480905" w14:textId="77777777" w:rsidR="00F95B0D" w:rsidRPr="003A77BE" w:rsidRDefault="00F95B0D" w:rsidP="00F95B0D">
            <w:pPr>
              <w:jc w:val="both"/>
              <w:rPr>
                <w:rFonts w:ascii="Arial" w:hAnsi="Arial"/>
                <w:sz w:val="26"/>
                <w:szCs w:val="26"/>
              </w:rPr>
            </w:pPr>
          </w:p>
        </w:tc>
      </w:tr>
      <w:tr w:rsidR="00F95B0D" w:rsidRPr="003A77BE" w14:paraId="2AE6CB03" w14:textId="77777777" w:rsidTr="00F95B0D">
        <w:trPr>
          <w:trHeight w:val="355"/>
          <w:jc w:val="center"/>
        </w:trPr>
        <w:tc>
          <w:tcPr>
            <w:tcW w:w="923" w:type="dxa"/>
            <w:tcBorders>
              <w:top w:val="nil"/>
              <w:left w:val="nil"/>
              <w:bottom w:val="nil"/>
              <w:right w:val="nil"/>
            </w:tcBorders>
            <w:shd w:val="clear" w:color="auto" w:fill="auto"/>
          </w:tcPr>
          <w:p w14:paraId="050BCD2B" w14:textId="77777777" w:rsidR="00F95B0D" w:rsidRPr="003A77BE" w:rsidRDefault="00F95B0D" w:rsidP="00F95B0D">
            <w:pPr>
              <w:jc w:val="both"/>
              <w:rPr>
                <w:rFonts w:ascii="Arial" w:hAnsi="Arial"/>
                <w:b/>
                <w:bCs/>
                <w:sz w:val="26"/>
                <w:szCs w:val="26"/>
              </w:rPr>
            </w:pPr>
            <w:bookmarkStart w:id="1" w:name="FirstAppellant"/>
            <w:r w:rsidRPr="003A77BE">
              <w:rPr>
                <w:rFonts w:ascii="Arial" w:hAnsi="Arial" w:hint="cs"/>
                <w:b/>
                <w:bCs/>
                <w:sz w:val="26"/>
                <w:szCs w:val="26"/>
                <w:rtl/>
              </w:rPr>
              <w:t>בעניין:</w:t>
            </w:r>
          </w:p>
        </w:tc>
        <w:tc>
          <w:tcPr>
            <w:tcW w:w="3077" w:type="dxa"/>
            <w:tcBorders>
              <w:top w:val="nil"/>
              <w:left w:val="nil"/>
              <w:bottom w:val="nil"/>
              <w:right w:val="nil"/>
            </w:tcBorders>
            <w:shd w:val="clear" w:color="auto" w:fill="auto"/>
          </w:tcPr>
          <w:p w14:paraId="30CAAEE2" w14:textId="77777777" w:rsidR="00F95B0D" w:rsidRPr="003A77BE" w:rsidRDefault="00F95B0D" w:rsidP="000D7F0F">
            <w:pPr>
              <w:rPr>
                <w:sz w:val="26"/>
                <w:szCs w:val="26"/>
              </w:rPr>
            </w:pPr>
            <w:r w:rsidRPr="003A77BE">
              <w:rPr>
                <w:rFonts w:ascii="Arial" w:hAnsi="Arial"/>
                <w:sz w:val="26"/>
                <w:szCs w:val="26"/>
                <w:rtl/>
              </w:rPr>
              <w:t>מדינת ישראל</w:t>
            </w:r>
          </w:p>
        </w:tc>
        <w:tc>
          <w:tcPr>
            <w:tcW w:w="4820" w:type="dxa"/>
            <w:tcBorders>
              <w:top w:val="nil"/>
              <w:left w:val="nil"/>
              <w:bottom w:val="nil"/>
              <w:right w:val="nil"/>
            </w:tcBorders>
            <w:shd w:val="clear" w:color="auto" w:fill="auto"/>
          </w:tcPr>
          <w:p w14:paraId="6AA3D9C8" w14:textId="77777777" w:rsidR="00F95B0D" w:rsidRPr="003A77BE" w:rsidRDefault="00F95B0D" w:rsidP="00F95B0D">
            <w:pPr>
              <w:jc w:val="both"/>
              <w:rPr>
                <w:rFonts w:ascii="Arial" w:hAnsi="Arial"/>
                <w:sz w:val="26"/>
                <w:szCs w:val="26"/>
              </w:rPr>
            </w:pPr>
          </w:p>
        </w:tc>
      </w:tr>
      <w:bookmarkEnd w:id="1"/>
      <w:tr w:rsidR="00F95B0D" w:rsidRPr="003A77BE" w14:paraId="5138CB3B" w14:textId="77777777" w:rsidTr="00F95B0D">
        <w:trPr>
          <w:trHeight w:val="355"/>
          <w:jc w:val="center"/>
        </w:trPr>
        <w:tc>
          <w:tcPr>
            <w:tcW w:w="923" w:type="dxa"/>
            <w:tcBorders>
              <w:top w:val="nil"/>
              <w:left w:val="nil"/>
              <w:bottom w:val="nil"/>
              <w:right w:val="nil"/>
            </w:tcBorders>
            <w:shd w:val="clear" w:color="auto" w:fill="auto"/>
          </w:tcPr>
          <w:p w14:paraId="73070781" w14:textId="77777777" w:rsidR="00F95B0D" w:rsidRPr="003A77BE" w:rsidRDefault="00F95B0D" w:rsidP="00F95B0D">
            <w:pPr>
              <w:jc w:val="both"/>
              <w:rPr>
                <w:rFonts w:ascii="Arial" w:hAnsi="Arial"/>
                <w:sz w:val="26"/>
                <w:szCs w:val="26"/>
                <w:rtl/>
              </w:rPr>
            </w:pPr>
          </w:p>
        </w:tc>
        <w:tc>
          <w:tcPr>
            <w:tcW w:w="3077" w:type="dxa"/>
            <w:tcBorders>
              <w:top w:val="nil"/>
              <w:left w:val="nil"/>
              <w:bottom w:val="nil"/>
              <w:right w:val="nil"/>
            </w:tcBorders>
            <w:shd w:val="clear" w:color="auto" w:fill="auto"/>
          </w:tcPr>
          <w:p w14:paraId="6FB7E2C3" w14:textId="77777777" w:rsidR="00F95B0D" w:rsidRPr="003A77BE" w:rsidRDefault="00F95B0D" w:rsidP="00F95B0D">
            <w:pPr>
              <w:jc w:val="both"/>
              <w:rPr>
                <w:sz w:val="26"/>
                <w:szCs w:val="26"/>
                <w:rtl/>
              </w:rPr>
            </w:pPr>
          </w:p>
        </w:tc>
        <w:tc>
          <w:tcPr>
            <w:tcW w:w="4820" w:type="dxa"/>
            <w:tcBorders>
              <w:top w:val="nil"/>
              <w:left w:val="nil"/>
              <w:bottom w:val="nil"/>
              <w:right w:val="nil"/>
            </w:tcBorders>
            <w:shd w:val="clear" w:color="auto" w:fill="auto"/>
          </w:tcPr>
          <w:p w14:paraId="7C833943" w14:textId="77777777" w:rsidR="00F95B0D" w:rsidRPr="003A77BE" w:rsidRDefault="00F95B0D" w:rsidP="00F95B0D">
            <w:pPr>
              <w:jc w:val="right"/>
              <w:rPr>
                <w:rFonts w:ascii="Arial" w:hAnsi="Arial"/>
                <w:sz w:val="26"/>
                <w:szCs w:val="26"/>
                <w:rtl/>
              </w:rPr>
            </w:pPr>
            <w:r w:rsidRPr="003A77BE">
              <w:rPr>
                <w:rFonts w:ascii="Arial" w:hAnsi="Arial" w:hint="cs"/>
                <w:sz w:val="26"/>
                <w:szCs w:val="26"/>
                <w:rtl/>
              </w:rPr>
              <w:t>ה</w:t>
            </w:r>
            <w:r w:rsidRPr="003A77BE">
              <w:rPr>
                <w:rFonts w:ascii="Arial" w:hAnsi="Arial"/>
                <w:sz w:val="26"/>
                <w:szCs w:val="26"/>
                <w:rtl/>
              </w:rPr>
              <w:t>מאשימה</w:t>
            </w:r>
          </w:p>
        </w:tc>
      </w:tr>
      <w:tr w:rsidR="00F95B0D" w:rsidRPr="003A77BE" w14:paraId="5BFAF976" w14:textId="77777777" w:rsidTr="00F95B0D">
        <w:trPr>
          <w:trHeight w:val="355"/>
          <w:jc w:val="center"/>
        </w:trPr>
        <w:tc>
          <w:tcPr>
            <w:tcW w:w="923" w:type="dxa"/>
            <w:tcBorders>
              <w:top w:val="nil"/>
              <w:left w:val="nil"/>
              <w:bottom w:val="nil"/>
              <w:right w:val="nil"/>
            </w:tcBorders>
            <w:shd w:val="clear" w:color="auto" w:fill="auto"/>
          </w:tcPr>
          <w:p w14:paraId="0AD97512" w14:textId="77777777" w:rsidR="00F95B0D" w:rsidRPr="003A77BE" w:rsidRDefault="00F95B0D" w:rsidP="00F95B0D">
            <w:pPr>
              <w:jc w:val="both"/>
              <w:rPr>
                <w:rFonts w:ascii="Arial" w:hAnsi="Arial"/>
                <w:sz w:val="26"/>
                <w:szCs w:val="26"/>
                <w:rtl/>
              </w:rPr>
            </w:pPr>
          </w:p>
        </w:tc>
        <w:tc>
          <w:tcPr>
            <w:tcW w:w="7897" w:type="dxa"/>
            <w:gridSpan w:val="2"/>
            <w:tcBorders>
              <w:top w:val="nil"/>
              <w:left w:val="nil"/>
              <w:bottom w:val="nil"/>
              <w:right w:val="nil"/>
            </w:tcBorders>
            <w:shd w:val="clear" w:color="auto" w:fill="auto"/>
          </w:tcPr>
          <w:p w14:paraId="536CF6D3" w14:textId="77777777" w:rsidR="00F95B0D" w:rsidRPr="003A77BE" w:rsidRDefault="00F95B0D" w:rsidP="00F95B0D">
            <w:pPr>
              <w:jc w:val="center"/>
              <w:rPr>
                <w:rFonts w:ascii="Arial" w:hAnsi="Arial"/>
                <w:b/>
                <w:bCs/>
                <w:sz w:val="26"/>
                <w:szCs w:val="26"/>
                <w:rtl/>
              </w:rPr>
            </w:pPr>
          </w:p>
          <w:p w14:paraId="1645DAD7" w14:textId="77777777" w:rsidR="00F95B0D" w:rsidRPr="003A77BE" w:rsidRDefault="00F95B0D" w:rsidP="00F95B0D">
            <w:pPr>
              <w:jc w:val="center"/>
              <w:rPr>
                <w:rFonts w:ascii="Arial" w:hAnsi="Arial"/>
                <w:b/>
                <w:bCs/>
                <w:sz w:val="26"/>
                <w:szCs w:val="26"/>
                <w:rtl/>
              </w:rPr>
            </w:pPr>
            <w:r w:rsidRPr="003A77BE">
              <w:rPr>
                <w:rFonts w:ascii="Arial" w:hAnsi="Arial"/>
                <w:b/>
                <w:bCs/>
                <w:sz w:val="26"/>
                <w:szCs w:val="26"/>
                <w:rtl/>
              </w:rPr>
              <w:t>נגד</w:t>
            </w:r>
          </w:p>
          <w:p w14:paraId="10E929F3" w14:textId="77777777" w:rsidR="00F95B0D" w:rsidRPr="003A77BE" w:rsidRDefault="00F95B0D" w:rsidP="00F95B0D">
            <w:pPr>
              <w:jc w:val="both"/>
              <w:rPr>
                <w:rFonts w:ascii="Arial" w:hAnsi="Arial"/>
                <w:sz w:val="26"/>
                <w:szCs w:val="26"/>
              </w:rPr>
            </w:pPr>
          </w:p>
        </w:tc>
      </w:tr>
      <w:tr w:rsidR="00F95B0D" w:rsidRPr="003A77BE" w14:paraId="5114E382" w14:textId="77777777" w:rsidTr="00F95B0D">
        <w:trPr>
          <w:trHeight w:val="355"/>
          <w:jc w:val="center"/>
        </w:trPr>
        <w:tc>
          <w:tcPr>
            <w:tcW w:w="923" w:type="dxa"/>
            <w:tcBorders>
              <w:top w:val="nil"/>
              <w:left w:val="nil"/>
              <w:bottom w:val="nil"/>
              <w:right w:val="nil"/>
            </w:tcBorders>
            <w:shd w:val="clear" w:color="auto" w:fill="auto"/>
          </w:tcPr>
          <w:p w14:paraId="464107D2" w14:textId="77777777" w:rsidR="00F95B0D" w:rsidRPr="003A77BE" w:rsidRDefault="00F95B0D" w:rsidP="000D7F0F">
            <w:pPr>
              <w:rPr>
                <w:rFonts w:ascii="Arial" w:hAnsi="Arial"/>
                <w:sz w:val="26"/>
                <w:szCs w:val="26"/>
                <w:rtl/>
              </w:rPr>
            </w:pPr>
          </w:p>
        </w:tc>
        <w:tc>
          <w:tcPr>
            <w:tcW w:w="3077" w:type="dxa"/>
            <w:tcBorders>
              <w:top w:val="nil"/>
              <w:left w:val="nil"/>
              <w:bottom w:val="nil"/>
              <w:right w:val="nil"/>
            </w:tcBorders>
            <w:shd w:val="clear" w:color="auto" w:fill="auto"/>
          </w:tcPr>
          <w:p w14:paraId="47D5E8F7" w14:textId="77777777" w:rsidR="00F95B0D" w:rsidRPr="003A77BE" w:rsidRDefault="00F95B0D" w:rsidP="000D7F0F">
            <w:pPr>
              <w:rPr>
                <w:sz w:val="26"/>
                <w:szCs w:val="26"/>
                <w:rtl/>
              </w:rPr>
            </w:pPr>
            <w:r w:rsidRPr="003A77BE">
              <w:rPr>
                <w:rFonts w:ascii="Arial" w:hAnsi="Arial"/>
                <w:sz w:val="26"/>
                <w:szCs w:val="26"/>
                <w:rtl/>
              </w:rPr>
              <w:t>דוד דומב</w:t>
            </w:r>
          </w:p>
        </w:tc>
        <w:tc>
          <w:tcPr>
            <w:tcW w:w="4820" w:type="dxa"/>
            <w:tcBorders>
              <w:top w:val="nil"/>
              <w:left w:val="nil"/>
              <w:bottom w:val="nil"/>
              <w:right w:val="nil"/>
            </w:tcBorders>
            <w:shd w:val="clear" w:color="auto" w:fill="auto"/>
          </w:tcPr>
          <w:p w14:paraId="74573839" w14:textId="77777777" w:rsidR="00F95B0D" w:rsidRPr="003A77BE" w:rsidRDefault="00F95B0D" w:rsidP="00F95B0D">
            <w:pPr>
              <w:jc w:val="right"/>
              <w:rPr>
                <w:rFonts w:ascii="Arial" w:hAnsi="Arial"/>
                <w:sz w:val="26"/>
                <w:szCs w:val="26"/>
              </w:rPr>
            </w:pPr>
          </w:p>
        </w:tc>
      </w:tr>
      <w:tr w:rsidR="00F95B0D" w:rsidRPr="003A77BE" w14:paraId="1BA05914" w14:textId="77777777" w:rsidTr="00F95B0D">
        <w:trPr>
          <w:trHeight w:val="355"/>
          <w:jc w:val="center"/>
        </w:trPr>
        <w:tc>
          <w:tcPr>
            <w:tcW w:w="923" w:type="dxa"/>
            <w:tcBorders>
              <w:top w:val="nil"/>
              <w:left w:val="nil"/>
              <w:bottom w:val="nil"/>
              <w:right w:val="nil"/>
            </w:tcBorders>
            <w:shd w:val="clear" w:color="auto" w:fill="auto"/>
          </w:tcPr>
          <w:p w14:paraId="2968D55C" w14:textId="77777777" w:rsidR="00F95B0D" w:rsidRPr="003A77BE" w:rsidRDefault="00F95B0D" w:rsidP="00F95B0D">
            <w:pPr>
              <w:jc w:val="both"/>
              <w:rPr>
                <w:rFonts w:ascii="Arial" w:hAnsi="Arial"/>
                <w:sz w:val="26"/>
                <w:szCs w:val="26"/>
                <w:rtl/>
              </w:rPr>
            </w:pPr>
          </w:p>
        </w:tc>
        <w:tc>
          <w:tcPr>
            <w:tcW w:w="3077" w:type="dxa"/>
            <w:tcBorders>
              <w:top w:val="nil"/>
              <w:left w:val="nil"/>
              <w:bottom w:val="nil"/>
              <w:right w:val="nil"/>
            </w:tcBorders>
            <w:shd w:val="clear" w:color="auto" w:fill="auto"/>
          </w:tcPr>
          <w:p w14:paraId="35CDE9D0" w14:textId="77777777" w:rsidR="00F95B0D" w:rsidRPr="003A77BE" w:rsidRDefault="00F95B0D" w:rsidP="00F95B0D">
            <w:pPr>
              <w:jc w:val="both"/>
              <w:rPr>
                <w:sz w:val="26"/>
                <w:szCs w:val="26"/>
                <w:rtl/>
              </w:rPr>
            </w:pPr>
          </w:p>
        </w:tc>
        <w:tc>
          <w:tcPr>
            <w:tcW w:w="4820" w:type="dxa"/>
            <w:tcBorders>
              <w:top w:val="nil"/>
              <w:left w:val="nil"/>
              <w:bottom w:val="nil"/>
              <w:right w:val="nil"/>
            </w:tcBorders>
            <w:shd w:val="clear" w:color="auto" w:fill="auto"/>
          </w:tcPr>
          <w:p w14:paraId="378F9DAA" w14:textId="77777777" w:rsidR="00F95B0D" w:rsidRPr="003A77BE" w:rsidRDefault="00F95B0D" w:rsidP="00F95B0D">
            <w:pPr>
              <w:jc w:val="right"/>
              <w:rPr>
                <w:rFonts w:ascii="Arial" w:hAnsi="Arial"/>
                <w:sz w:val="26"/>
                <w:szCs w:val="26"/>
              </w:rPr>
            </w:pPr>
            <w:r w:rsidRPr="003A77BE">
              <w:rPr>
                <w:rFonts w:ascii="Arial" w:hAnsi="Arial" w:hint="cs"/>
                <w:sz w:val="26"/>
                <w:szCs w:val="26"/>
                <w:rtl/>
              </w:rPr>
              <w:t>ה</w:t>
            </w:r>
            <w:r w:rsidRPr="003A77BE">
              <w:rPr>
                <w:rFonts w:ascii="Arial" w:hAnsi="Arial"/>
                <w:sz w:val="26"/>
                <w:szCs w:val="26"/>
                <w:rtl/>
              </w:rPr>
              <w:t>נאשמים</w:t>
            </w:r>
          </w:p>
        </w:tc>
      </w:tr>
    </w:tbl>
    <w:p w14:paraId="71861154" w14:textId="77777777" w:rsidR="00B60A52" w:rsidRDefault="00B60A52" w:rsidP="003A77BE">
      <w:pPr>
        <w:rPr>
          <w:rtl/>
        </w:rPr>
      </w:pPr>
    </w:p>
    <w:p w14:paraId="3F53C524" w14:textId="77777777" w:rsidR="00B60A52" w:rsidRPr="00B60A52" w:rsidRDefault="00B60A52" w:rsidP="00B60A52">
      <w:pPr>
        <w:spacing w:after="120" w:line="240" w:lineRule="exact"/>
        <w:ind w:left="283" w:hanging="283"/>
        <w:jc w:val="both"/>
        <w:rPr>
          <w:rFonts w:ascii="FrankRuehl" w:hAnsi="FrankRuehl" w:cs="FrankRuehl"/>
          <w:rtl/>
        </w:rPr>
      </w:pPr>
    </w:p>
    <w:p w14:paraId="0BBED936" w14:textId="77777777" w:rsidR="00227E6C" w:rsidRPr="00227E6C" w:rsidRDefault="00227E6C" w:rsidP="00227E6C">
      <w:pPr>
        <w:spacing w:before="120" w:after="120" w:line="240" w:lineRule="exact"/>
        <w:ind w:left="283" w:hanging="283"/>
        <w:jc w:val="both"/>
        <w:rPr>
          <w:rFonts w:ascii="FrankRuehl" w:hAnsi="FrankRuehl" w:cs="FrankRuehl"/>
          <w:rtl/>
        </w:rPr>
      </w:pPr>
    </w:p>
    <w:p w14:paraId="339FAC02" w14:textId="77777777" w:rsidR="00660B34" w:rsidRDefault="00660B34" w:rsidP="00660B34">
      <w:pPr>
        <w:rPr>
          <w:rtl/>
        </w:rPr>
      </w:pPr>
      <w:bookmarkStart w:id="2" w:name="LawTable"/>
      <w:bookmarkEnd w:id="2"/>
    </w:p>
    <w:p w14:paraId="0F9695D5" w14:textId="77777777" w:rsidR="00660B34" w:rsidRPr="00660B34" w:rsidRDefault="00660B34" w:rsidP="00660B34">
      <w:pPr>
        <w:spacing w:before="120" w:after="120" w:line="240" w:lineRule="exact"/>
        <w:ind w:left="283" w:hanging="283"/>
        <w:jc w:val="both"/>
        <w:rPr>
          <w:rFonts w:ascii="FrankRuehl" w:hAnsi="FrankRuehl" w:cs="FrankRuehl"/>
          <w:rtl/>
        </w:rPr>
      </w:pPr>
    </w:p>
    <w:p w14:paraId="1EFEBC56" w14:textId="77777777" w:rsidR="00660B34" w:rsidRPr="00660B34" w:rsidRDefault="00660B34" w:rsidP="00660B34">
      <w:pPr>
        <w:spacing w:before="120" w:after="120" w:line="240" w:lineRule="exact"/>
        <w:ind w:left="283" w:hanging="283"/>
        <w:jc w:val="both"/>
        <w:rPr>
          <w:rFonts w:ascii="FrankRuehl" w:hAnsi="FrankRuehl" w:cs="FrankRuehl"/>
          <w:rtl/>
        </w:rPr>
      </w:pPr>
    </w:p>
    <w:p w14:paraId="2D8BEC4F" w14:textId="77777777" w:rsidR="00660B34" w:rsidRPr="00660B34" w:rsidRDefault="00660B34" w:rsidP="00660B34">
      <w:pPr>
        <w:spacing w:before="120" w:after="120" w:line="240" w:lineRule="exact"/>
        <w:ind w:left="283" w:hanging="283"/>
        <w:jc w:val="both"/>
        <w:rPr>
          <w:rFonts w:ascii="FrankRuehl" w:hAnsi="FrankRuehl" w:cs="FrankRuehl"/>
          <w:rtl/>
        </w:rPr>
      </w:pPr>
      <w:r w:rsidRPr="00660B34">
        <w:rPr>
          <w:rFonts w:ascii="FrankRuehl" w:hAnsi="FrankRuehl" w:cs="FrankRuehl"/>
          <w:rtl/>
        </w:rPr>
        <w:t xml:space="preserve">חקיקה שאוזכרה: </w:t>
      </w:r>
    </w:p>
    <w:p w14:paraId="6BF56DF6" w14:textId="77777777" w:rsidR="00660B34" w:rsidRPr="00660B34" w:rsidRDefault="00660B34" w:rsidP="00660B34">
      <w:pPr>
        <w:spacing w:before="120" w:after="120" w:line="240" w:lineRule="exact"/>
        <w:ind w:left="283" w:hanging="283"/>
        <w:jc w:val="both"/>
        <w:rPr>
          <w:rFonts w:ascii="FrankRuehl" w:hAnsi="FrankRuehl" w:cs="FrankRuehl"/>
          <w:rtl/>
        </w:rPr>
      </w:pPr>
      <w:hyperlink r:id="rId8" w:history="1">
        <w:r w:rsidRPr="00660B34">
          <w:rPr>
            <w:rFonts w:ascii="FrankRuehl" w:hAnsi="FrankRuehl" w:cs="FrankRuehl"/>
            <w:color w:val="0000FF"/>
            <w:rtl/>
          </w:rPr>
          <w:t>פקודת הסמים המסוכנים [נוסח חדש], תשל"ג-1973</w:t>
        </w:r>
      </w:hyperlink>
    </w:p>
    <w:p w14:paraId="41885959" w14:textId="77777777" w:rsidR="00660B34" w:rsidRPr="00660B34" w:rsidRDefault="00660B34" w:rsidP="00660B34">
      <w:pPr>
        <w:spacing w:before="120" w:after="120" w:line="240" w:lineRule="exact"/>
        <w:ind w:left="283" w:hanging="283"/>
        <w:jc w:val="both"/>
        <w:rPr>
          <w:rFonts w:ascii="FrankRuehl" w:hAnsi="FrankRuehl" w:cs="FrankRuehl"/>
          <w:rtl/>
        </w:rPr>
      </w:pPr>
      <w:hyperlink r:id="rId9" w:history="1">
        <w:r w:rsidRPr="00660B34">
          <w:rPr>
            <w:rFonts w:ascii="FrankRuehl" w:hAnsi="FrankRuehl" w:cs="FrankRuehl"/>
            <w:color w:val="0000FF"/>
            <w:rtl/>
          </w:rPr>
          <w:t>חוק העונשין, תשל"ז-1977</w:t>
        </w:r>
      </w:hyperlink>
    </w:p>
    <w:p w14:paraId="26D8833A" w14:textId="77777777" w:rsidR="00660B34" w:rsidRPr="00660B34" w:rsidRDefault="00660B34" w:rsidP="00660B34">
      <w:pPr>
        <w:rPr>
          <w:rtl/>
        </w:rPr>
      </w:pPr>
      <w:bookmarkStart w:id="3" w:name="LawTable_End"/>
      <w:bookmarkEnd w:id="3"/>
    </w:p>
    <w:p w14:paraId="5B2EFE04" w14:textId="77777777" w:rsidR="00F95B0D" w:rsidRPr="00227E6C" w:rsidRDefault="00F95B0D" w:rsidP="00227E6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95B0D" w14:paraId="23D7DC07" w14:textId="77777777" w:rsidTr="00F95B0D">
        <w:trPr>
          <w:trHeight w:val="355"/>
          <w:jc w:val="center"/>
        </w:trPr>
        <w:tc>
          <w:tcPr>
            <w:tcW w:w="8820" w:type="dxa"/>
            <w:tcBorders>
              <w:top w:val="nil"/>
              <w:left w:val="nil"/>
              <w:bottom w:val="nil"/>
              <w:right w:val="nil"/>
            </w:tcBorders>
            <w:shd w:val="clear" w:color="auto" w:fill="auto"/>
          </w:tcPr>
          <w:p w14:paraId="34D3D744" w14:textId="77777777" w:rsidR="003A77BE" w:rsidRPr="003A77BE" w:rsidRDefault="003A77BE" w:rsidP="003A77BE">
            <w:pPr>
              <w:jc w:val="center"/>
              <w:rPr>
                <w:rFonts w:ascii="Arial" w:hAnsi="Arial"/>
                <w:b/>
                <w:bCs/>
                <w:sz w:val="28"/>
                <w:szCs w:val="28"/>
                <w:u w:val="single"/>
                <w:rtl/>
              </w:rPr>
            </w:pPr>
            <w:bookmarkStart w:id="4" w:name="PsakDin" w:colFirst="0" w:colLast="0"/>
            <w:bookmarkEnd w:id="0"/>
            <w:r w:rsidRPr="003A77BE">
              <w:rPr>
                <w:rFonts w:ascii="Arial" w:hAnsi="Arial"/>
                <w:b/>
                <w:bCs/>
                <w:sz w:val="28"/>
                <w:szCs w:val="28"/>
                <w:u w:val="single"/>
                <w:rtl/>
              </w:rPr>
              <w:t>גזר דין</w:t>
            </w:r>
          </w:p>
          <w:p w14:paraId="3DF61030" w14:textId="77777777" w:rsidR="00F95B0D" w:rsidRPr="003A77BE" w:rsidRDefault="00F95B0D" w:rsidP="003A77BE">
            <w:pPr>
              <w:jc w:val="center"/>
              <w:rPr>
                <w:rFonts w:ascii="Arial" w:hAnsi="Arial"/>
                <w:bCs/>
                <w:sz w:val="28"/>
                <w:szCs w:val="28"/>
                <w:u w:val="single"/>
                <w:rtl/>
              </w:rPr>
            </w:pPr>
          </w:p>
        </w:tc>
      </w:tr>
    </w:tbl>
    <w:p w14:paraId="2B20C32C" w14:textId="77777777" w:rsidR="00F95B0D" w:rsidRDefault="00F95B0D" w:rsidP="00F95B0D">
      <w:pPr>
        <w:rPr>
          <w:rFonts w:ascii="Arial" w:hAnsi="Arial" w:cs="Arial"/>
          <w:sz w:val="22"/>
          <w:szCs w:val="22"/>
        </w:rPr>
      </w:pPr>
      <w:bookmarkStart w:id="5" w:name="ABSTRACT_START"/>
      <w:bookmarkEnd w:id="4"/>
      <w:bookmarkEnd w:id="5"/>
      <w:r>
        <w:rPr>
          <w:rFonts w:ascii="Arial" w:hAnsi="Arial" w:cs="Arial"/>
          <w:rtl/>
        </w:rPr>
        <w:t>הנאשם הודה והורשע בכתב אישום מתוקן, במסגרת הסדר טיעון שלא כלל הסכמה עונשית אלא רק הסכמה לתיקון כתב אישום, ממנו עולה כי ביום 21.7.19 גידל הנאשם, יחד עם אחרים, 28 שתילי קנביס במשקל 7.33 ג' נטו, ועוד 10 שתילי קנביס במשקל 576.32 ג' נטו. הנאשם אף הורשע בכך שבמעשיו קשר לביצוע פשע עם אחרים.</w:t>
      </w:r>
    </w:p>
    <w:p w14:paraId="22EC4587" w14:textId="77777777" w:rsidR="00F95B0D" w:rsidRDefault="00F95B0D" w:rsidP="00F95B0D">
      <w:pPr>
        <w:rPr>
          <w:rFonts w:ascii="Arial" w:hAnsi="Arial" w:cs="Arial"/>
        </w:rPr>
      </w:pPr>
    </w:p>
    <w:p w14:paraId="5D341E03" w14:textId="77777777" w:rsidR="00F95B0D" w:rsidRDefault="00F95B0D" w:rsidP="00F95B0D">
      <w:pPr>
        <w:rPr>
          <w:rFonts w:ascii="Arial" w:hAnsi="Arial" w:cs="Arial"/>
          <w:rtl/>
        </w:rPr>
      </w:pPr>
      <w:bookmarkStart w:id="6" w:name="ABSTRACT_END"/>
      <w:bookmarkEnd w:id="6"/>
      <w:r>
        <w:rPr>
          <w:rFonts w:ascii="Arial" w:hAnsi="Arial" w:cs="Arial"/>
          <w:rtl/>
        </w:rPr>
        <w:t>טיעוני הצדדים:</w:t>
      </w:r>
    </w:p>
    <w:p w14:paraId="33704E5B" w14:textId="77777777" w:rsidR="00F95B0D" w:rsidRDefault="00F95B0D" w:rsidP="00F95B0D">
      <w:pPr>
        <w:rPr>
          <w:rFonts w:ascii="Arial" w:hAnsi="Arial" w:cs="Arial"/>
          <w:rtl/>
        </w:rPr>
      </w:pPr>
    </w:p>
    <w:p w14:paraId="767AB6CC" w14:textId="77777777" w:rsidR="00F95B0D" w:rsidRDefault="00F95B0D" w:rsidP="00F95B0D">
      <w:pPr>
        <w:rPr>
          <w:rFonts w:ascii="Arial" w:hAnsi="Arial" w:cs="Arial"/>
          <w:rtl/>
        </w:rPr>
      </w:pPr>
      <w:r>
        <w:rPr>
          <w:rFonts w:ascii="Arial" w:hAnsi="Arial" w:cs="Arial"/>
          <w:b/>
          <w:bCs/>
          <w:rtl/>
        </w:rPr>
        <w:t>המאשימה</w:t>
      </w:r>
      <w:r>
        <w:rPr>
          <w:rFonts w:ascii="Arial" w:hAnsi="Arial" w:cs="Arial"/>
          <w:rtl/>
        </w:rPr>
        <w:t xml:space="preserve"> ציינה את מידת מעורבותו הגדולה של הנאשם במיזם המשותף יחד עם חבריו של גידול הסמים. קניית הציוד ששימש לגידול, ושכירת המקלט ששימש מעבדה.</w:t>
      </w:r>
    </w:p>
    <w:p w14:paraId="5CC3A3B9" w14:textId="77777777" w:rsidR="00F95B0D" w:rsidRDefault="00F95B0D" w:rsidP="00F95B0D">
      <w:pPr>
        <w:rPr>
          <w:rFonts w:ascii="Arial" w:hAnsi="Arial" w:cs="Arial"/>
          <w:rtl/>
        </w:rPr>
      </w:pPr>
      <w:r>
        <w:rPr>
          <w:rFonts w:ascii="Arial" w:hAnsi="Arial" w:cs="Arial"/>
          <w:rtl/>
        </w:rPr>
        <w:t>המאשימה עמדה על הערכים המוגנים שנפגעו ובראשם שלום הציבור, וההשפעות הקשות של הסמים על החברה – לרבות העבירות הנלוות לצריכתם.</w:t>
      </w:r>
    </w:p>
    <w:p w14:paraId="586CD489" w14:textId="77777777" w:rsidR="00F95B0D" w:rsidRDefault="00F95B0D" w:rsidP="00F95B0D">
      <w:pPr>
        <w:rPr>
          <w:rFonts w:ascii="Arial" w:hAnsi="Arial" w:cs="Arial"/>
          <w:rtl/>
        </w:rPr>
      </w:pPr>
      <w:r>
        <w:rPr>
          <w:rFonts w:ascii="Arial" w:hAnsi="Arial" w:cs="Arial"/>
          <w:rtl/>
        </w:rPr>
        <w:t>עוד ציינה את הכמות הגדולה של הסם שגידלו הנאשם וחבריו – מעל חצי ק"ג, ביקשה לקבוע מתחם ענישה בין 8 חודשי מאסר ועד 24 חודשים וביקשה למקם את הנאשם בחלק הנמוך של המתחם, היות שאין לו הרשעות קודמות כפי שמסרה, ולהטיל עליו מאסר בן 10 חודשים בתוספת ענישה נלווית. המאשימה ביקשה להכריז על הנאשם סוחר סמים ולחלט את הרכוש שנתפס ממנו.</w:t>
      </w:r>
    </w:p>
    <w:p w14:paraId="62226DED" w14:textId="77777777" w:rsidR="00F95B0D" w:rsidRDefault="00F95B0D" w:rsidP="00F95B0D">
      <w:pPr>
        <w:rPr>
          <w:rFonts w:ascii="Arial" w:hAnsi="Arial" w:cs="Arial"/>
          <w:rtl/>
        </w:rPr>
      </w:pPr>
    </w:p>
    <w:p w14:paraId="5DDFF4FD" w14:textId="77777777" w:rsidR="00F95B0D" w:rsidRDefault="00F95B0D" w:rsidP="00F95B0D">
      <w:pPr>
        <w:rPr>
          <w:rFonts w:ascii="Arial" w:hAnsi="Arial" w:cs="Arial"/>
          <w:rtl/>
        </w:rPr>
      </w:pPr>
      <w:r>
        <w:rPr>
          <w:rFonts w:ascii="Arial" w:hAnsi="Arial" w:cs="Arial"/>
          <w:b/>
          <w:bCs/>
          <w:rtl/>
        </w:rPr>
        <w:lastRenderedPageBreak/>
        <w:t xml:space="preserve">הסנגור </w:t>
      </w:r>
      <w:r>
        <w:rPr>
          <w:rFonts w:ascii="Arial" w:hAnsi="Arial" w:cs="Arial"/>
          <w:rtl/>
        </w:rPr>
        <w:t>מיקד טיעוניו במספר עניינים:</w:t>
      </w:r>
    </w:p>
    <w:p w14:paraId="73C66A38" w14:textId="77777777" w:rsidR="00F95B0D" w:rsidRDefault="00F95B0D" w:rsidP="00F95B0D">
      <w:pPr>
        <w:rPr>
          <w:rFonts w:ascii="Arial" w:hAnsi="Arial" w:cs="Arial"/>
          <w:rtl/>
        </w:rPr>
      </w:pPr>
      <w:r>
        <w:rPr>
          <w:rFonts w:ascii="Arial" w:hAnsi="Arial" w:cs="Arial"/>
          <w:rtl/>
        </w:rPr>
        <w:t>ראשית טען כי טיעוני המאשימה חוטאים למציאות המתהוות כאשר על סדר היום הציבורי הצעות חוק בשלבים מתקדמים להליכי לגליזציה של קנביס, אשר כשלעצמן צריכות לשנות את השיח הציבורי והתביעתי בדבר הפגיעה בערכים מוגנים ואת השלכותיה המצמצמות על מתחמי הענישה שצריך לקבוע בגינה.</w:t>
      </w:r>
    </w:p>
    <w:p w14:paraId="1DE5DE28" w14:textId="77777777" w:rsidR="00F95B0D" w:rsidRDefault="00F95B0D" w:rsidP="00F95B0D">
      <w:pPr>
        <w:rPr>
          <w:rFonts w:ascii="Arial" w:hAnsi="Arial" w:cs="Arial"/>
          <w:rtl/>
        </w:rPr>
      </w:pPr>
      <w:r>
        <w:rPr>
          <w:rFonts w:ascii="Arial" w:hAnsi="Arial" w:cs="Arial"/>
          <w:rtl/>
        </w:rPr>
        <w:t>עוד טען כי יש לתת משקל רב לזמן שעבר מאז העבירה (שנה וחצי) וללקיחת האחריות של הנאשם על מעשיו והודייתו המהירה בהם, בבחינת פתיחת שער לחקירה ולסיומה המהיר. הסנגור הדגיש כי הנאשם אדם נורמטיבי לחלוטין, וכי בשל כל אלה יש לקבוע מתחם ענישה שבין שני חודשי מאסר בעבודות שירות ועד תשעה חודשים כאלה. לטענת הסנגור אישיותו ודמותו של הנאשם הן כאלה שיש לראות בהן כאילו הן מבטאות שיקום ועל כן – למקמו מחוץ למתחמי הענישה ולהשית עליו עונש מאסר על תנאי שלא יגביל את חירותו. הסנגור הגיש אסופת מכתבים המתארים את אישיותו ופועלו של הנאשם.</w:t>
      </w:r>
    </w:p>
    <w:p w14:paraId="16886918" w14:textId="77777777" w:rsidR="00F95B0D" w:rsidRDefault="00F95B0D" w:rsidP="00F95B0D">
      <w:pPr>
        <w:rPr>
          <w:rFonts w:ascii="Arial" w:hAnsi="Arial" w:cs="Arial"/>
          <w:rtl/>
        </w:rPr>
      </w:pPr>
    </w:p>
    <w:p w14:paraId="0A3478EA" w14:textId="77777777" w:rsidR="00F95B0D" w:rsidRDefault="00F95B0D" w:rsidP="00F95B0D">
      <w:pPr>
        <w:rPr>
          <w:rFonts w:ascii="Arial" w:hAnsi="Arial" w:cs="Arial"/>
          <w:rtl/>
        </w:rPr>
      </w:pPr>
      <w:r>
        <w:rPr>
          <w:rFonts w:ascii="Arial" w:hAnsi="Arial" w:cs="Arial"/>
          <w:b/>
          <w:bCs/>
          <w:rtl/>
        </w:rPr>
        <w:t>הנאשם</w:t>
      </w:r>
      <w:r>
        <w:rPr>
          <w:rFonts w:ascii="Arial" w:hAnsi="Arial" w:cs="Arial"/>
          <w:rtl/>
        </w:rPr>
        <w:t xml:space="preserve"> נשא דבריו לפניי, ביקש לראות במעשיו מעידה גרידא שאינה מעידה על דבר, לא הי</w:t>
      </w:r>
      <w:r>
        <w:rPr>
          <w:rFonts w:ascii="Arial" w:hAnsi="Arial" w:cs="Arial" w:hint="cs"/>
          <w:rtl/>
        </w:rPr>
        <w:t>י</w:t>
      </w:r>
      <w:r>
        <w:rPr>
          <w:rFonts w:ascii="Arial" w:hAnsi="Arial" w:cs="Arial"/>
          <w:rtl/>
        </w:rPr>
        <w:t>תה כמוה לפניה ולא תהיה אחריה. עוד ביקש להתחשב בעונש החברתי הכבד במגזר החרדי אליו הוא משתייך, שכבר נשא וממשיך לשאת עד היום. הנאשם ביקש גם כי אקח בחשבון את מעצרו הממושך (21 ימים) ואת התנאים המגבילים, תחילה מעצר בית מוחלט וזה למעלה משנה מעצר בית לילי, שהוא נתון בהם.</w:t>
      </w:r>
    </w:p>
    <w:p w14:paraId="1A0F6F85" w14:textId="77777777" w:rsidR="00F95B0D" w:rsidRDefault="00F95B0D" w:rsidP="00F95B0D">
      <w:pPr>
        <w:rPr>
          <w:rFonts w:ascii="Arial" w:hAnsi="Arial" w:cs="Arial"/>
          <w:rtl/>
        </w:rPr>
      </w:pPr>
    </w:p>
    <w:p w14:paraId="5D35F1DE" w14:textId="77777777" w:rsidR="00F95B0D" w:rsidRDefault="00F95B0D" w:rsidP="00F95B0D">
      <w:pPr>
        <w:rPr>
          <w:rFonts w:ascii="Arial" w:hAnsi="Arial" w:cs="Arial"/>
          <w:rtl/>
        </w:rPr>
      </w:pPr>
      <w:r>
        <w:rPr>
          <w:rFonts w:ascii="Arial" w:hAnsi="Arial" w:cs="Arial"/>
          <w:rtl/>
        </w:rPr>
        <w:t>דיון והכרעה:</w:t>
      </w:r>
    </w:p>
    <w:p w14:paraId="798CC675" w14:textId="77777777" w:rsidR="00F95B0D" w:rsidRDefault="00F95B0D" w:rsidP="00F95B0D">
      <w:pPr>
        <w:rPr>
          <w:rFonts w:ascii="Arial" w:hAnsi="Arial" w:cs="Arial"/>
          <w:rtl/>
        </w:rPr>
      </w:pPr>
    </w:p>
    <w:p w14:paraId="28A67D87" w14:textId="77777777" w:rsidR="00F95B0D" w:rsidRDefault="00F95B0D" w:rsidP="00F95B0D">
      <w:pPr>
        <w:rPr>
          <w:rFonts w:ascii="Arial" w:hAnsi="Arial" w:cs="Arial"/>
          <w:rtl/>
        </w:rPr>
      </w:pPr>
      <w:r>
        <w:rPr>
          <w:rFonts w:ascii="Arial" w:hAnsi="Arial" w:cs="Arial"/>
          <w:rtl/>
        </w:rPr>
        <w:t xml:space="preserve">גם במקרה זה, כמו באחרים דומים לו, מוקד המחלוקת בין הצדדים מצוי בקביעת </w:t>
      </w:r>
      <w:r>
        <w:rPr>
          <w:rFonts w:ascii="Arial" w:hAnsi="Arial" w:cs="Arial"/>
          <w:b/>
          <w:bCs/>
          <w:rtl/>
        </w:rPr>
        <w:t>תחתית</w:t>
      </w:r>
      <w:r>
        <w:rPr>
          <w:rFonts w:ascii="Arial" w:hAnsi="Arial" w:cs="Arial"/>
          <w:rtl/>
        </w:rPr>
        <w:t xml:space="preserve"> מתחם הענישה שיש לייחס לנאשם.</w:t>
      </w:r>
    </w:p>
    <w:p w14:paraId="162A63CF" w14:textId="77777777" w:rsidR="00F95B0D" w:rsidRDefault="00F95B0D" w:rsidP="00F95B0D">
      <w:pPr>
        <w:rPr>
          <w:rFonts w:ascii="Arial" w:hAnsi="Arial" w:cs="Arial"/>
          <w:rtl/>
        </w:rPr>
      </w:pPr>
    </w:p>
    <w:p w14:paraId="7343C5C7" w14:textId="77777777" w:rsidR="00F95B0D" w:rsidRDefault="00F95B0D" w:rsidP="00F95B0D">
      <w:pPr>
        <w:rPr>
          <w:rFonts w:ascii="Arial" w:hAnsi="Arial" w:cs="Arial"/>
          <w:rtl/>
        </w:rPr>
      </w:pPr>
      <w:r>
        <w:rPr>
          <w:rFonts w:ascii="Arial" w:hAnsi="Arial" w:cs="Arial"/>
          <w:rtl/>
        </w:rPr>
        <w:t xml:space="preserve">העבירה –גידול סם מסוכן, קביעת מתחם העונש ההולם נעשית לפי עקרון ההלימה. במסגרת קביעה זו יש להתחשב בערך החברתי שנקבע, במידת הפגיעה בו, בשים לב לנסיבות ביצוע העבירה, ובמדיניות הענישה הנוהגת. </w:t>
      </w:r>
    </w:p>
    <w:p w14:paraId="0A074B5F" w14:textId="77777777" w:rsidR="00F95B0D" w:rsidRDefault="00F95B0D" w:rsidP="00F95B0D">
      <w:pPr>
        <w:rPr>
          <w:rFonts w:ascii="Arial" w:hAnsi="Arial" w:cs="Arial"/>
          <w:rtl/>
        </w:rPr>
      </w:pPr>
    </w:p>
    <w:p w14:paraId="54E33A87" w14:textId="77777777" w:rsidR="00F95B0D" w:rsidRDefault="00F95B0D" w:rsidP="00F95B0D">
      <w:pPr>
        <w:rPr>
          <w:rFonts w:ascii="Arial" w:hAnsi="Arial" w:cs="Arial"/>
          <w:rtl/>
        </w:rPr>
      </w:pPr>
      <w:r>
        <w:rPr>
          <w:rFonts w:ascii="Arial" w:hAnsi="Arial" w:cs="Arial"/>
          <w:rtl/>
        </w:rPr>
        <w:t>השימוש בקנביס עלול לגרום נזקים בריאותיים, בטיחותיים, וחברתיים.</w:t>
      </w:r>
    </w:p>
    <w:p w14:paraId="2C491DAB" w14:textId="77777777" w:rsidR="00F95B0D" w:rsidRDefault="00F95B0D" w:rsidP="00F95B0D">
      <w:pPr>
        <w:rPr>
          <w:rFonts w:ascii="Arial" w:hAnsi="Arial" w:cs="Arial"/>
          <w:rtl/>
        </w:rPr>
      </w:pPr>
    </w:p>
    <w:p w14:paraId="0C03EDAF" w14:textId="77777777" w:rsidR="00F95B0D" w:rsidRDefault="00F95B0D" w:rsidP="00F95B0D">
      <w:pPr>
        <w:rPr>
          <w:rFonts w:ascii="Arial" w:hAnsi="Arial" w:cs="Arial"/>
          <w:rtl/>
        </w:rPr>
      </w:pPr>
      <w:r>
        <w:rPr>
          <w:rFonts w:ascii="Arial" w:hAnsi="Arial" w:cs="Arial"/>
          <w:rtl/>
        </w:rPr>
        <w:t>לצד אלה יש לקחת בחשבון שקנביס נמנה בין הסמים הקלים ואינו מצוי במדרג הגבוה שבין הסמים השונים ואף נטען ונמצא כי לקנביס יתרונות</w:t>
      </w:r>
      <w:r w:rsidR="003A77BE">
        <w:rPr>
          <w:rFonts w:ascii="Arial" w:hAnsi="Arial" w:cs="Arial"/>
          <w:rtl/>
        </w:rPr>
        <w:t xml:space="preserve"> </w:t>
      </w:r>
      <w:r>
        <w:rPr>
          <w:rFonts w:ascii="Arial" w:hAnsi="Arial" w:cs="Arial"/>
          <w:rtl/>
        </w:rPr>
        <w:t xml:space="preserve"> ושימושים חיוביים לצד חסרונותיו (ראו דברי הסבר </w:t>
      </w:r>
      <w:r>
        <w:rPr>
          <w:rFonts w:ascii="Arial" w:hAnsi="Arial" w:cs="Arial"/>
          <w:b/>
          <w:bCs/>
          <w:rtl/>
        </w:rPr>
        <w:t xml:space="preserve">להצעת חוק הסמים </w:t>
      </w:r>
      <w:r>
        <w:rPr>
          <w:rFonts w:ascii="Arial" w:hAnsi="Arial" w:cs="Arial"/>
          <w:rtl/>
        </w:rPr>
        <w:t xml:space="preserve">המסוכנים (עבירת קנס מיוחדת – הוראת שעה) תשע"ח -2018 (להלן – </w:t>
      </w:r>
      <w:r>
        <w:rPr>
          <w:rFonts w:ascii="Arial" w:hAnsi="Arial" w:cs="Arial"/>
          <w:b/>
          <w:bCs/>
          <w:rtl/>
        </w:rPr>
        <w:t>החוק</w:t>
      </w:r>
      <w:r>
        <w:rPr>
          <w:rFonts w:ascii="Arial" w:hAnsi="Arial" w:cs="Arial"/>
          <w:rtl/>
        </w:rPr>
        <w:t xml:space="preserve">) ה"ח 1211, 754 (להלן – </w:t>
      </w:r>
      <w:r>
        <w:rPr>
          <w:rFonts w:ascii="Arial" w:hAnsi="Arial" w:cs="Arial"/>
          <w:b/>
          <w:bCs/>
          <w:rtl/>
        </w:rPr>
        <w:t>דברי ההסבר</w:t>
      </w:r>
      <w:r>
        <w:rPr>
          <w:rFonts w:ascii="Arial" w:hAnsi="Arial" w:cs="Arial"/>
          <w:rtl/>
        </w:rPr>
        <w:t>). בנוסף יש לשקול את החוק עצמו אשר החיל את תיקון 15 ל</w:t>
      </w:r>
      <w:hyperlink r:id="rId10" w:history="1">
        <w:r w:rsidR="003A77BE" w:rsidRPr="003A77BE">
          <w:rPr>
            <w:rFonts w:ascii="Arial" w:hAnsi="Arial" w:cs="Arial"/>
            <w:color w:val="0000FF"/>
            <w:u w:val="single"/>
            <w:rtl/>
          </w:rPr>
          <w:t>פקודת הסמים המסוכנים</w:t>
        </w:r>
      </w:hyperlink>
      <w:r>
        <w:rPr>
          <w:rFonts w:ascii="Arial" w:hAnsi="Arial" w:cs="Arial"/>
          <w:rtl/>
        </w:rPr>
        <w:t xml:space="preserve"> (להלן – </w:t>
      </w:r>
      <w:r>
        <w:rPr>
          <w:rFonts w:ascii="Arial" w:hAnsi="Arial" w:cs="Arial"/>
          <w:b/>
          <w:bCs/>
          <w:rtl/>
        </w:rPr>
        <w:t xml:space="preserve">הוראת השעה / תיקון 15 לפקודת הסמים) </w:t>
      </w:r>
      <w:r>
        <w:rPr>
          <w:rFonts w:ascii="Arial" w:hAnsi="Arial" w:cs="Arial"/>
          <w:rtl/>
        </w:rPr>
        <w:t>וההקלה שהיא מביאה במצב הנורמטיבי ביחס להחזקת סם לצריכה עצמית בפעמים הראשונה והשני</w:t>
      </w:r>
      <w:r>
        <w:rPr>
          <w:rFonts w:ascii="Arial" w:hAnsi="Arial" w:cs="Arial" w:hint="cs"/>
          <w:rtl/>
        </w:rPr>
        <w:t>י</w:t>
      </w:r>
      <w:r>
        <w:rPr>
          <w:rFonts w:ascii="Arial" w:hAnsi="Arial" w:cs="Arial"/>
          <w:rtl/>
        </w:rPr>
        <w:t>ה ואף מעבר לכך, לעניין הרשעתו של אדם ואף לעניין ענישתו הפלילית.</w:t>
      </w:r>
    </w:p>
    <w:p w14:paraId="0DC20DC5" w14:textId="77777777" w:rsidR="00F95B0D" w:rsidRDefault="00F95B0D" w:rsidP="00F95B0D">
      <w:pPr>
        <w:rPr>
          <w:rFonts w:ascii="Arial" w:hAnsi="Arial" w:cs="Arial"/>
          <w:rtl/>
        </w:rPr>
      </w:pPr>
    </w:p>
    <w:p w14:paraId="68970512" w14:textId="77777777" w:rsidR="00F95B0D" w:rsidRDefault="00F95B0D" w:rsidP="00F95B0D">
      <w:pPr>
        <w:rPr>
          <w:rFonts w:ascii="Arial" w:hAnsi="Arial" w:cs="Arial"/>
          <w:rtl/>
        </w:rPr>
      </w:pPr>
      <w:r>
        <w:rPr>
          <w:rFonts w:ascii="Arial" w:hAnsi="Arial" w:cs="Arial" w:hint="cs"/>
          <w:rtl/>
        </w:rPr>
        <w:t xml:space="preserve">מנגד, יש להביא בחשבון גם את פסיקתו האחרונה של ביהמ"ש העליון </w:t>
      </w:r>
      <w:r w:rsidRPr="00D96816">
        <w:rPr>
          <w:rFonts w:ascii="Arial" w:hAnsi="Arial" w:cs="Arial" w:hint="cs"/>
          <w:b/>
          <w:bCs/>
          <w:rtl/>
        </w:rPr>
        <w:t>ב</w:t>
      </w:r>
      <w:hyperlink r:id="rId11" w:history="1">
        <w:r w:rsidR="003A77BE" w:rsidRPr="003A77BE">
          <w:rPr>
            <w:rFonts w:ascii="Arial" w:hAnsi="Arial" w:cs="Arial"/>
            <w:b/>
            <w:bCs/>
            <w:color w:val="0000FF"/>
            <w:u w:val="single"/>
            <w:rtl/>
          </w:rPr>
          <w:t>רע"פ 2277/21</w:t>
        </w:r>
      </w:hyperlink>
      <w:r w:rsidRPr="00D96816">
        <w:rPr>
          <w:rFonts w:ascii="Arial" w:hAnsi="Arial" w:cs="Arial" w:hint="cs"/>
          <w:b/>
          <w:bCs/>
          <w:rtl/>
        </w:rPr>
        <w:t xml:space="preserve"> יוחננוב נ' מ"י </w:t>
      </w:r>
      <w:r>
        <w:rPr>
          <w:rFonts w:ascii="Arial" w:hAnsi="Arial" w:cs="Arial" w:hint="cs"/>
          <w:rtl/>
        </w:rPr>
        <w:t>ולפיה לא חל שינוי בגישה העונשית לעבירות שעניינן סם מסוג קנבוס.</w:t>
      </w:r>
    </w:p>
    <w:p w14:paraId="04AA80D3" w14:textId="77777777" w:rsidR="00F95B0D" w:rsidRDefault="00F95B0D" w:rsidP="00F95B0D">
      <w:pPr>
        <w:rPr>
          <w:rFonts w:ascii="Arial" w:hAnsi="Arial" w:cs="Arial"/>
          <w:rtl/>
        </w:rPr>
      </w:pPr>
    </w:p>
    <w:p w14:paraId="1C1CC6BE" w14:textId="77777777" w:rsidR="00F95B0D" w:rsidRDefault="00F95B0D" w:rsidP="00F95B0D">
      <w:pPr>
        <w:rPr>
          <w:rFonts w:ascii="Arial" w:hAnsi="Arial" w:cs="Arial"/>
          <w:rtl/>
        </w:rPr>
      </w:pPr>
      <w:r>
        <w:rPr>
          <w:rFonts w:ascii="Arial" w:hAnsi="Arial" w:cs="Arial"/>
          <w:rtl/>
        </w:rPr>
        <w:t>מאידך, ביחס לנסיבות ביצוע העבירה, יש לקחת בחשבון את כמות הסם הלא מבוטלת שגידל הנאשם ובעיקר – אולי אף בראש ובראשונה – את אופי מעורבותו הדומיננטית של הנאשם בביצוע העבירה המשותפת, מעל ומעבר לכלל שותפיו.</w:t>
      </w:r>
    </w:p>
    <w:p w14:paraId="17012152" w14:textId="77777777" w:rsidR="00F95B0D" w:rsidRDefault="00F95B0D" w:rsidP="00F95B0D">
      <w:pPr>
        <w:rPr>
          <w:rFonts w:ascii="Arial" w:hAnsi="Arial" w:cs="Arial"/>
          <w:rtl/>
        </w:rPr>
      </w:pPr>
    </w:p>
    <w:p w14:paraId="21680668" w14:textId="77777777" w:rsidR="00F95B0D" w:rsidRDefault="00F95B0D" w:rsidP="00F95B0D">
      <w:pPr>
        <w:rPr>
          <w:rFonts w:ascii="Arial" w:hAnsi="Arial" w:cs="Arial"/>
          <w:rtl/>
        </w:rPr>
      </w:pPr>
      <w:r>
        <w:rPr>
          <w:rFonts w:ascii="Arial" w:hAnsi="Arial" w:cs="Arial"/>
          <w:rtl/>
        </w:rPr>
        <w:t>אף אם הי</w:t>
      </w:r>
      <w:r>
        <w:rPr>
          <w:rFonts w:ascii="Arial" w:hAnsi="Arial" w:cs="Arial" w:hint="cs"/>
          <w:rtl/>
        </w:rPr>
        <w:t>י</w:t>
      </w:r>
      <w:r>
        <w:rPr>
          <w:rFonts w:ascii="Arial" w:hAnsi="Arial" w:cs="Arial"/>
          <w:rtl/>
        </w:rPr>
        <w:t>תה זו מעידה בלבד, כטענת הנאשם, אין ספק, כעולה מעובדות כתב האישום שהודה בו, שמידת המעידה לא ה</w:t>
      </w:r>
      <w:r>
        <w:rPr>
          <w:rFonts w:ascii="Arial" w:hAnsi="Arial" w:cs="Arial" w:hint="cs"/>
          <w:rtl/>
        </w:rPr>
        <w:t>י</w:t>
      </w:r>
      <w:r>
        <w:rPr>
          <w:rFonts w:ascii="Arial" w:hAnsi="Arial" w:cs="Arial"/>
          <w:rtl/>
        </w:rPr>
        <w:t xml:space="preserve">יתה מבוטלת כלל, יש בה אלמנט החמרה וסיכון היות שהיא מלמדת כמה יכול להרחיק הנאשם "מאפס למאה", או בנמשל – מנורמטיביות </w:t>
      </w:r>
      <w:r>
        <w:rPr>
          <w:rFonts w:ascii="Arial" w:hAnsi="Arial" w:cs="Arial"/>
          <w:rtl/>
        </w:rPr>
        <w:lastRenderedPageBreak/>
        <w:t>לעבריינות, עת מחליט הוא לסטות מדרך הישר, ולו פעם אחת, משל מקננת בתוכו תשתית בעייתית.</w:t>
      </w:r>
    </w:p>
    <w:p w14:paraId="2ECA7F6D" w14:textId="77777777" w:rsidR="00F95B0D" w:rsidRDefault="00F95B0D" w:rsidP="00F95B0D">
      <w:pPr>
        <w:rPr>
          <w:rFonts w:ascii="Arial" w:hAnsi="Arial" w:cs="Arial"/>
          <w:rtl/>
        </w:rPr>
      </w:pPr>
      <w:r>
        <w:rPr>
          <w:rFonts w:ascii="Arial" w:hAnsi="Arial" w:cs="Arial"/>
          <w:rtl/>
        </w:rPr>
        <w:t>במובן זה – ולא רק בו – קביעת מתחם הענישה הנעשית, כאמור, לפי עקרון ההלימה, צריכה לתת ביטוי הן לעומק מעורבות הנאשם בעבירה והן לשיקולי ההלימה וההרתעה הציבוריים בביצוע עבירה זו.</w:t>
      </w:r>
    </w:p>
    <w:p w14:paraId="2987428E" w14:textId="77777777" w:rsidR="00F95B0D" w:rsidRDefault="00F95B0D" w:rsidP="00F95B0D">
      <w:pPr>
        <w:rPr>
          <w:rFonts w:ascii="Arial" w:hAnsi="Arial" w:cs="Arial"/>
          <w:rtl/>
        </w:rPr>
      </w:pPr>
    </w:p>
    <w:p w14:paraId="4510FFC7" w14:textId="77777777" w:rsidR="00F95B0D" w:rsidRDefault="00F95B0D" w:rsidP="00F95B0D">
      <w:pPr>
        <w:rPr>
          <w:rFonts w:ascii="Arial" w:hAnsi="Arial" w:cs="Arial"/>
          <w:rtl/>
        </w:rPr>
      </w:pPr>
      <w:r>
        <w:rPr>
          <w:rFonts w:ascii="Arial" w:hAnsi="Arial" w:cs="Arial"/>
          <w:rtl/>
        </w:rPr>
        <w:t>באשר לענישה הנוהגת "</w:t>
      </w:r>
      <w:r>
        <w:rPr>
          <w:rFonts w:ascii="Arial" w:hAnsi="Arial" w:cs="Arial"/>
          <w:b/>
          <w:bCs/>
          <w:rtl/>
        </w:rPr>
        <w:t>נקבעים פעמים רבות מתחמי ענישה שתחתיתם מאסר בעבודות שירות ונגזרים עונשי מאסר בני מספר חודשים שניתן לרצות בעבודות שירות. ... קיימים גם מקרים בהם נקבע מתחם ענישה מקל יותר שתחתיתו מאסר מותנה לצד שירות לתועלת הציבו</w:t>
      </w:r>
      <w:r>
        <w:rPr>
          <w:rFonts w:ascii="Arial" w:hAnsi="Arial" w:cs="Arial"/>
          <w:rtl/>
        </w:rPr>
        <w:t xml:space="preserve">ר" ( ר' </w:t>
      </w:r>
      <w:hyperlink r:id="rId12" w:history="1">
        <w:r w:rsidR="003A77BE" w:rsidRPr="003A77BE">
          <w:rPr>
            <w:rFonts w:ascii="Arial" w:hAnsi="Arial" w:cs="Arial"/>
            <w:color w:val="0000FF"/>
            <w:u w:val="single"/>
            <w:rtl/>
          </w:rPr>
          <w:t>ת"פ 26341-09-17</w:t>
        </w:r>
      </w:hyperlink>
      <w:r>
        <w:rPr>
          <w:rFonts w:ascii="Arial" w:hAnsi="Arial" w:cs="Arial"/>
          <w:rtl/>
        </w:rPr>
        <w:t xml:space="preserve"> (ת"א) </w:t>
      </w:r>
      <w:r>
        <w:rPr>
          <w:rFonts w:ascii="Arial" w:hAnsi="Arial" w:cs="Arial"/>
          <w:b/>
          <w:bCs/>
          <w:rtl/>
        </w:rPr>
        <w:t>מ"י נ' וקנין</w:t>
      </w:r>
      <w:r>
        <w:rPr>
          <w:rFonts w:ascii="Arial" w:hAnsi="Arial" w:cs="Arial"/>
          <w:rtl/>
        </w:rPr>
        <w:t xml:space="preserve"> ורשימת הפסיקה המפורטת לאורכו ותומכת בדברים אלו).</w:t>
      </w:r>
    </w:p>
    <w:p w14:paraId="383145FE" w14:textId="77777777" w:rsidR="00F95B0D" w:rsidRDefault="00F95B0D" w:rsidP="00F95B0D">
      <w:pPr>
        <w:rPr>
          <w:rFonts w:ascii="Arial" w:hAnsi="Arial" w:cs="Arial"/>
          <w:rtl/>
        </w:rPr>
      </w:pPr>
    </w:p>
    <w:p w14:paraId="5556ECCD" w14:textId="77777777" w:rsidR="00F95B0D" w:rsidRDefault="00F95B0D" w:rsidP="00F95B0D">
      <w:pPr>
        <w:rPr>
          <w:rFonts w:ascii="Arial" w:hAnsi="Arial" w:cs="Arial"/>
          <w:rtl/>
        </w:rPr>
      </w:pPr>
      <w:r>
        <w:rPr>
          <w:rFonts w:ascii="Arial" w:hAnsi="Arial" w:cs="Arial"/>
          <w:rtl/>
        </w:rPr>
        <w:t>ניתן להיווכח, מתוך סקירה של פסיקה נוספת, כי שתי האפשרויות מופיעות לאורכה ולרוחבה של הפסיקה והבחירה בהן נובעת בעיקר מנסיבות העבירה וכמות הסם שמדובר בה. אין הרי גידול חובבני כגידול מקצועני, אין מאות גרמים או אף פחות מכך - כמספר קילוגרמים. מידת הענישה נקבעת גם לפי פרמטרים נוספים ובהם כמות השתילים, דרך הגידול, מידת הגידול, שלב הגידול וכיוצא באלה.</w:t>
      </w:r>
    </w:p>
    <w:p w14:paraId="02C751EA" w14:textId="77777777" w:rsidR="00F95B0D" w:rsidRDefault="00F95B0D" w:rsidP="00F95B0D">
      <w:pPr>
        <w:rPr>
          <w:rFonts w:ascii="Arial" w:hAnsi="Arial" w:cs="Arial"/>
          <w:rtl/>
        </w:rPr>
      </w:pPr>
    </w:p>
    <w:p w14:paraId="339E1E87" w14:textId="77777777" w:rsidR="00F95B0D" w:rsidRDefault="00F95B0D" w:rsidP="00F95B0D">
      <w:pPr>
        <w:rPr>
          <w:rFonts w:ascii="Arial" w:hAnsi="Arial" w:cs="Arial"/>
          <w:rtl/>
        </w:rPr>
      </w:pPr>
      <w:r>
        <w:rPr>
          <w:rFonts w:ascii="Arial" w:hAnsi="Arial" w:cs="Arial"/>
          <w:rtl/>
        </w:rPr>
        <w:t xml:space="preserve">בתיק שלפניי משקל הסם שגודל ונתפס מאפשר – על פי הפסיקה הנוהגת – קביעת תחתית מתחם ענישה של מאסר מותנה (ר' לדוגמה </w:t>
      </w:r>
      <w:hyperlink r:id="rId13" w:history="1">
        <w:r w:rsidR="003A77BE" w:rsidRPr="003A77BE">
          <w:rPr>
            <w:rFonts w:ascii="Arial" w:hAnsi="Arial" w:cs="Arial"/>
            <w:color w:val="0000FF"/>
            <w:u w:val="single"/>
            <w:rtl/>
          </w:rPr>
          <w:t>ת"פ 16968-03-15</w:t>
        </w:r>
      </w:hyperlink>
      <w:r>
        <w:rPr>
          <w:rFonts w:ascii="Arial" w:hAnsi="Arial" w:cs="Arial"/>
          <w:rtl/>
        </w:rPr>
        <w:t xml:space="preserve"> (קרית גת) </w:t>
      </w:r>
      <w:r>
        <w:rPr>
          <w:rFonts w:ascii="Arial" w:hAnsi="Arial" w:cs="Arial"/>
          <w:b/>
          <w:bCs/>
          <w:rtl/>
        </w:rPr>
        <w:t>מ"י נגד יונתי</w:t>
      </w:r>
      <w:r>
        <w:rPr>
          <w:rFonts w:ascii="Arial" w:hAnsi="Arial" w:cs="Arial"/>
          <w:rtl/>
        </w:rPr>
        <w:t xml:space="preserve"> ורשימת הפסיקה המפורטת בו) ועד למאסר ממש בן מספר חודשים. ואולם רשימת הציוד שנתפס מעידה כי הנאשם התכוון לייצר ואף החל להשתמש במעבדת גידול של ממש.</w:t>
      </w:r>
    </w:p>
    <w:p w14:paraId="5405F471" w14:textId="77777777" w:rsidR="00F95B0D" w:rsidRDefault="00F95B0D" w:rsidP="00F95B0D">
      <w:pPr>
        <w:rPr>
          <w:rFonts w:ascii="Arial" w:hAnsi="Arial" w:cs="Arial"/>
          <w:rtl/>
        </w:rPr>
      </w:pPr>
    </w:p>
    <w:p w14:paraId="037F63E7" w14:textId="77777777" w:rsidR="00F95B0D" w:rsidRDefault="00F95B0D" w:rsidP="00F95B0D">
      <w:pPr>
        <w:rPr>
          <w:rFonts w:ascii="Arial" w:hAnsi="Arial" w:cs="Arial"/>
          <w:rtl/>
        </w:rPr>
      </w:pPr>
      <w:r>
        <w:rPr>
          <w:rFonts w:ascii="Arial" w:hAnsi="Arial" w:cs="Arial"/>
          <w:rtl/>
        </w:rPr>
        <w:t>משכך, מתחם הענישה צריך לנוע בין מאסר בן חודשים ספורים שיכול וירוצה בעבודות שירות עד מאסר בן מספר חודשים לריצוי ממש. גם הסנגור עצמו סבר כי מתחם הענישה במקרה זה צריך לנוע בין 2 חודשי מאסר שיכול וירוצו בעבודות שירות לבין תשעה חודשים כאלה.</w:t>
      </w:r>
    </w:p>
    <w:p w14:paraId="49284805" w14:textId="77777777" w:rsidR="00F95B0D" w:rsidRDefault="00F95B0D" w:rsidP="00F95B0D">
      <w:pPr>
        <w:rPr>
          <w:rFonts w:ascii="Arial" w:hAnsi="Arial" w:cs="Arial"/>
          <w:rtl/>
        </w:rPr>
      </w:pPr>
    </w:p>
    <w:p w14:paraId="295FBD03" w14:textId="77777777" w:rsidR="00F95B0D" w:rsidRDefault="00F95B0D" w:rsidP="00F95B0D">
      <w:pPr>
        <w:rPr>
          <w:rFonts w:ascii="Arial" w:hAnsi="Arial" w:cs="Arial"/>
          <w:rtl/>
        </w:rPr>
      </w:pPr>
      <w:r>
        <w:rPr>
          <w:rFonts w:ascii="Arial" w:hAnsi="Arial" w:cs="Arial"/>
          <w:rtl/>
        </w:rPr>
        <w:t>מיקומו של הנאשם בתוך מתחם הענישה ועונשו ייקבעו על ידי פרמטרים שונים ובהם גם מידת מעורבותו של הנאשם בביצוע העבירה ותכנונה ועברו הפלילי. מאידך אשקול את הודייתו המהירה של הנאשם ולקיחת האחריות על מעשיו, אופיו של הנאשם והתנהלותו כעולה ממכתבי ההמלצה שהוגשו לי ובמיוחד חרטתו.</w:t>
      </w:r>
    </w:p>
    <w:p w14:paraId="58E2E3B8" w14:textId="77777777" w:rsidR="00F95B0D" w:rsidRDefault="00F95B0D" w:rsidP="00F95B0D">
      <w:pPr>
        <w:rPr>
          <w:rFonts w:ascii="Arial" w:hAnsi="Arial" w:cs="Arial"/>
          <w:rtl/>
        </w:rPr>
      </w:pPr>
      <w:r>
        <w:rPr>
          <w:rFonts w:ascii="Arial" w:hAnsi="Arial" w:cs="Arial"/>
          <w:rtl/>
        </w:rPr>
        <w:t>בהתחשב בכל אלה מצאתי כי יש למקם את הנאשם במרכז מתחם הענישה. אינני תמים דעים עם הסנגור שביקש למקם את הנאשם מחוץ למתחם הענישה, לבד מעברו הנקי ואישיותו של הנאשם לא התגלו נסיבות מיוחדות בעטיין יש לחרוג מהמתחם.</w:t>
      </w:r>
    </w:p>
    <w:p w14:paraId="1346FC90" w14:textId="77777777" w:rsidR="00F95B0D" w:rsidRDefault="00F95B0D" w:rsidP="00F95B0D">
      <w:pPr>
        <w:rPr>
          <w:rFonts w:ascii="Arial" w:hAnsi="Arial" w:cs="Arial"/>
          <w:rtl/>
        </w:rPr>
      </w:pPr>
    </w:p>
    <w:p w14:paraId="2553D750" w14:textId="77777777" w:rsidR="00F95B0D" w:rsidRDefault="00F95B0D" w:rsidP="00F95B0D">
      <w:pPr>
        <w:rPr>
          <w:rFonts w:ascii="Arial" w:hAnsi="Arial" w:cs="Arial"/>
          <w:rtl/>
        </w:rPr>
      </w:pPr>
      <w:r>
        <w:rPr>
          <w:rFonts w:ascii="Arial" w:hAnsi="Arial" w:cs="Arial"/>
          <w:rtl/>
        </w:rPr>
        <w:t>אשר על כן אני גוזר על הנאשם את העונשים הבאים:</w:t>
      </w:r>
    </w:p>
    <w:p w14:paraId="1C77D7FB" w14:textId="77777777" w:rsidR="00F95B0D" w:rsidRDefault="00F95B0D" w:rsidP="00F95B0D">
      <w:pPr>
        <w:rPr>
          <w:rFonts w:ascii="Arial" w:hAnsi="Arial" w:cs="Arial"/>
          <w:rtl/>
        </w:rPr>
      </w:pPr>
    </w:p>
    <w:p w14:paraId="3CA56956" w14:textId="77777777" w:rsidR="00F95B0D" w:rsidRDefault="00F95B0D" w:rsidP="00F95B0D">
      <w:pPr>
        <w:numPr>
          <w:ilvl w:val="0"/>
          <w:numId w:val="1"/>
        </w:numPr>
        <w:rPr>
          <w:rFonts w:ascii="Arial" w:hAnsi="Arial" w:cs="Arial"/>
          <w:rtl/>
        </w:rPr>
      </w:pPr>
      <w:r>
        <w:rPr>
          <w:rFonts w:ascii="Arial" w:hAnsi="Arial" w:cs="Arial"/>
          <w:rtl/>
        </w:rPr>
        <w:t>מאסר למשך 8 חודשים בניכוי ימי מעצרו של הנאשם. המאסר ירוצה בעבודות שירות על פי המלצתו של הממונה על עבודות השירות ב"עזר מציון" רח' כנפי נשרים 11 ירושלים, חמישה ימים בשבוע, עפ"י טווח השעות המתאפשר ב</w:t>
      </w:r>
      <w:hyperlink r:id="rId14" w:history="1">
        <w:r w:rsidR="003A77BE" w:rsidRPr="003A77BE">
          <w:rPr>
            <w:rFonts w:ascii="Arial" w:hAnsi="Arial" w:cs="Arial"/>
            <w:color w:val="0000FF"/>
            <w:u w:val="single"/>
            <w:rtl/>
          </w:rPr>
          <w:t>חוק העונשין</w:t>
        </w:r>
      </w:hyperlink>
      <w:r>
        <w:rPr>
          <w:rFonts w:ascii="Arial" w:hAnsi="Arial" w:cs="Arial"/>
          <w:rtl/>
        </w:rPr>
        <w:t xml:space="preserve">. </w:t>
      </w:r>
    </w:p>
    <w:p w14:paraId="30C6E814" w14:textId="77777777" w:rsidR="00F95B0D" w:rsidRPr="00F95B0D" w:rsidRDefault="00F95B0D" w:rsidP="00F95B0D">
      <w:pPr>
        <w:rPr>
          <w:rFonts w:ascii="Calibri" w:eastAsia="Calibri" w:hAnsi="Calibri" w:cs="Calibri"/>
          <w:rtl/>
        </w:rPr>
      </w:pPr>
      <w:r>
        <w:rPr>
          <w:rFonts w:ascii="Arial" w:hAnsi="Arial" w:cs="Arial"/>
          <w:rtl/>
        </w:rPr>
        <w:t>תחילת ביצוע עבודות השירות ביום 25.4.2021. הנאשם יתייצב בבוקר אותו יום במשרדי הממונה על עבודות השירות.</w:t>
      </w:r>
    </w:p>
    <w:p w14:paraId="59C206F4" w14:textId="77777777" w:rsidR="00F95B0D" w:rsidRDefault="00F95B0D" w:rsidP="00F95B0D">
      <w:pPr>
        <w:rPr>
          <w:rFonts w:ascii="Arial" w:hAnsi="Arial" w:cs="Arial"/>
          <w:rtl/>
        </w:rPr>
      </w:pPr>
    </w:p>
    <w:p w14:paraId="0391A79F" w14:textId="77777777" w:rsidR="00F95B0D" w:rsidRDefault="00F95B0D" w:rsidP="00F95B0D">
      <w:pPr>
        <w:numPr>
          <w:ilvl w:val="0"/>
          <w:numId w:val="1"/>
        </w:numPr>
        <w:rPr>
          <w:rFonts w:ascii="Arial" w:hAnsi="Arial" w:cs="Arial"/>
        </w:rPr>
      </w:pPr>
      <w:r>
        <w:rPr>
          <w:rFonts w:ascii="Arial" w:hAnsi="Arial" w:cs="Arial"/>
          <w:rtl/>
        </w:rPr>
        <w:t xml:space="preserve">מאסר למשך 7 חודשים ואולם הנאשם לא ירצה עונש זה אלא אם יעבור בתוך 3 </w:t>
      </w:r>
      <w:bookmarkStart w:id="7" w:name="Nitan"/>
      <w:r w:rsidR="003A77BE">
        <w:rPr>
          <w:rFonts w:ascii="Arial" w:hAnsi="Arial" w:cs="Arial"/>
          <w:rtl/>
        </w:rPr>
        <w:t xml:space="preserve">שנים מהיום כל עבירה מסוג פשע לפי </w:t>
      </w:r>
      <w:hyperlink r:id="rId15" w:history="1">
        <w:r w:rsidR="003A77BE" w:rsidRPr="003A77BE">
          <w:rPr>
            <w:rFonts w:ascii="Arial" w:hAnsi="Arial" w:cs="Arial"/>
            <w:color w:val="0000FF"/>
            <w:u w:val="single"/>
            <w:rtl/>
          </w:rPr>
          <w:t>פקודת הסמים המסוכנים</w:t>
        </w:r>
      </w:hyperlink>
      <w:r w:rsidR="003A77BE">
        <w:rPr>
          <w:rFonts w:ascii="Arial" w:hAnsi="Arial" w:cs="Arial"/>
          <w:rtl/>
        </w:rPr>
        <w:t xml:space="preserve"> או עבירה של </w:t>
      </w:r>
      <w:bookmarkEnd w:id="7"/>
      <w:r>
        <w:rPr>
          <w:rFonts w:ascii="Arial" w:hAnsi="Arial" w:cs="Arial"/>
          <w:rtl/>
        </w:rPr>
        <w:t xml:space="preserve">קשירת קשר לביצוע פשע לפי </w:t>
      </w:r>
      <w:hyperlink r:id="rId16" w:history="1">
        <w:r w:rsidR="003A77BE" w:rsidRPr="003A77BE">
          <w:rPr>
            <w:rFonts w:ascii="Arial" w:hAnsi="Arial" w:cs="Arial"/>
            <w:color w:val="0000FF"/>
            <w:u w:val="single"/>
            <w:rtl/>
          </w:rPr>
          <w:t>חוק העונשין</w:t>
        </w:r>
      </w:hyperlink>
      <w:r>
        <w:rPr>
          <w:rFonts w:ascii="Arial" w:hAnsi="Arial" w:cs="Arial"/>
          <w:rtl/>
        </w:rPr>
        <w:t>.</w:t>
      </w:r>
    </w:p>
    <w:p w14:paraId="05D81E3C" w14:textId="77777777" w:rsidR="00F95B0D" w:rsidRDefault="00F95B0D" w:rsidP="00F95B0D">
      <w:pPr>
        <w:numPr>
          <w:ilvl w:val="0"/>
          <w:numId w:val="1"/>
        </w:numPr>
        <w:rPr>
          <w:rtl/>
        </w:rPr>
      </w:pPr>
      <w:r>
        <w:rPr>
          <w:rFonts w:ascii="Arial" w:hAnsi="Arial" w:cs="Arial"/>
          <w:rtl/>
        </w:rPr>
        <w:t xml:space="preserve">מאסר למשך 3 חודשים ואולם הנאשם לא ירצה עונש זה אלא אם יעבור בתוך 3 </w:t>
      </w:r>
      <w:r w:rsidR="003A77BE">
        <w:rPr>
          <w:rFonts w:ascii="Arial" w:hAnsi="Arial" w:cs="Arial"/>
          <w:rtl/>
        </w:rPr>
        <w:t xml:space="preserve">שנים מהיום כל עבירה מסוג עוון לפי </w:t>
      </w:r>
      <w:hyperlink r:id="rId17" w:history="1">
        <w:r w:rsidR="003A77BE" w:rsidRPr="003A77BE">
          <w:rPr>
            <w:rFonts w:ascii="Arial" w:hAnsi="Arial" w:cs="Arial"/>
            <w:color w:val="0000FF"/>
            <w:u w:val="single"/>
            <w:rtl/>
          </w:rPr>
          <w:t>פקודת הסמים המסוכנים</w:t>
        </w:r>
      </w:hyperlink>
      <w:r w:rsidR="003A77BE">
        <w:rPr>
          <w:rFonts w:ascii="Arial" w:hAnsi="Arial" w:cs="Arial"/>
          <w:rtl/>
        </w:rPr>
        <w:t xml:space="preserve">. </w:t>
      </w:r>
      <w:r>
        <w:rPr>
          <w:rFonts w:ascii="Arial" w:hAnsi="Arial" w:cs="Arial"/>
          <w:rtl/>
        </w:rPr>
        <w:t>קנס בסך 4,500</w:t>
      </w:r>
      <w:r w:rsidR="003A77BE">
        <w:t xml:space="preserve"> </w:t>
      </w:r>
      <w:r>
        <w:t xml:space="preserve"> </w:t>
      </w:r>
      <w:r w:rsidR="003A77BE">
        <w:rPr>
          <w:rFonts w:ascii="Arial" w:hAnsi="Arial" w:cs="Arial"/>
          <w:rtl/>
        </w:rPr>
        <w:t xml:space="preserve"> </w:t>
      </w:r>
      <w:r>
        <w:rPr>
          <w:rFonts w:ascii="Arial" w:hAnsi="Arial" w:cs="Arial"/>
          <w:rtl/>
        </w:rPr>
        <w:t>₪</w:t>
      </w:r>
      <w:r w:rsidR="003A77BE">
        <w:rPr>
          <w:rFonts w:ascii="Arial" w:hAnsi="Arial" w:cs="Arial"/>
          <w:rtl/>
        </w:rPr>
        <w:t xml:space="preserve"> </w:t>
      </w:r>
      <w:r>
        <w:rPr>
          <w:rFonts w:ascii="Arial" w:hAnsi="Arial" w:cs="Arial"/>
          <w:rtl/>
        </w:rPr>
        <w:t xml:space="preserve"> או 20 ימי מאסר תמורתו. הקנס ישולם עד ליום 1.8.2021</w:t>
      </w:r>
    </w:p>
    <w:p w14:paraId="4F0CA25D" w14:textId="77777777" w:rsidR="00F95B0D" w:rsidRDefault="00F95B0D" w:rsidP="00F95B0D">
      <w:pPr>
        <w:numPr>
          <w:ilvl w:val="0"/>
          <w:numId w:val="1"/>
        </w:numPr>
        <w:rPr>
          <w:rFonts w:ascii="Arial" w:hAnsi="Arial" w:cs="Arial"/>
        </w:rPr>
      </w:pPr>
      <w:r>
        <w:rPr>
          <w:rFonts w:ascii="Arial" w:hAnsi="Arial" w:cs="Arial"/>
          <w:rtl/>
        </w:rPr>
        <w:t>פסילה מלהחזיק ר</w:t>
      </w:r>
      <w:r>
        <w:rPr>
          <w:rFonts w:ascii="Arial" w:hAnsi="Arial" w:cs="Arial" w:hint="cs"/>
          <w:rtl/>
        </w:rPr>
        <w:t>י</w:t>
      </w:r>
      <w:r>
        <w:rPr>
          <w:rFonts w:ascii="Arial" w:hAnsi="Arial" w:cs="Arial"/>
          <w:rtl/>
        </w:rPr>
        <w:t>שיון נהיגה למשך חודשיים.</w:t>
      </w:r>
    </w:p>
    <w:p w14:paraId="32BD96F6" w14:textId="77777777" w:rsidR="00F95B0D" w:rsidRPr="00F95B0D" w:rsidRDefault="00F95B0D" w:rsidP="00F95B0D">
      <w:pPr>
        <w:rPr>
          <w:rFonts w:eastAsia="Calibri"/>
          <w:rtl/>
        </w:rPr>
      </w:pPr>
      <w:r>
        <w:rPr>
          <w:rFonts w:ascii="Arial" w:hAnsi="Arial" w:cs="Arial"/>
          <w:rtl/>
        </w:rPr>
        <w:t>פסילה מלהחזיק ר</w:t>
      </w:r>
      <w:r>
        <w:rPr>
          <w:rFonts w:ascii="Arial" w:hAnsi="Arial" w:cs="Arial" w:hint="cs"/>
          <w:rtl/>
        </w:rPr>
        <w:t>י</w:t>
      </w:r>
      <w:r>
        <w:rPr>
          <w:rFonts w:ascii="Arial" w:hAnsi="Arial" w:cs="Arial"/>
          <w:rtl/>
        </w:rPr>
        <w:t xml:space="preserve">שיון נהיגה למשך 6 חודשים ואולם הנאשם לא ירצה עונש זה </w:t>
      </w:r>
      <w:r w:rsidR="003A77BE">
        <w:rPr>
          <w:rFonts w:ascii="Arial" w:hAnsi="Arial" w:cs="Arial"/>
          <w:rtl/>
        </w:rPr>
        <w:t xml:space="preserve">אלא אם יעבור כל עבירה לפי פקודת הסמים בתוך 3 שנים מהיום. </w:t>
      </w:r>
    </w:p>
    <w:p w14:paraId="2E5538A8" w14:textId="77777777" w:rsidR="00F95B0D" w:rsidRDefault="00F95B0D" w:rsidP="00F95B0D">
      <w:pPr>
        <w:rPr>
          <w:rFonts w:ascii="Arial" w:hAnsi="Arial" w:cs="Arial"/>
        </w:rPr>
      </w:pPr>
      <w:r>
        <w:rPr>
          <w:rFonts w:ascii="Arial" w:hAnsi="Arial" w:cs="Arial"/>
          <w:rtl/>
        </w:rPr>
        <w:t>הסמים שנתפסו יושמדו.</w:t>
      </w:r>
    </w:p>
    <w:p w14:paraId="166B3DFB" w14:textId="77777777" w:rsidR="00F95B0D" w:rsidRDefault="00F95B0D" w:rsidP="00F95B0D">
      <w:pPr>
        <w:rPr>
          <w:rFonts w:ascii="Arial" w:hAnsi="Arial" w:cs="Arial"/>
        </w:rPr>
      </w:pPr>
      <w:r>
        <w:rPr>
          <w:rFonts w:ascii="Arial" w:hAnsi="Arial" w:cs="Arial"/>
          <w:rtl/>
        </w:rPr>
        <w:t>מורה על חילוט כל הרכוש שנתפס.</w:t>
      </w:r>
    </w:p>
    <w:p w14:paraId="2B357B76" w14:textId="77777777" w:rsidR="00F95B0D" w:rsidRDefault="00F95B0D" w:rsidP="00F95B0D">
      <w:pPr>
        <w:rPr>
          <w:rFonts w:ascii="Arial" w:hAnsi="Arial" w:cs="Arial"/>
          <w:rtl/>
        </w:rPr>
      </w:pPr>
    </w:p>
    <w:p w14:paraId="3DCE16F7" w14:textId="77777777" w:rsidR="00F95B0D" w:rsidRDefault="00F95B0D" w:rsidP="00F95B0D">
      <w:pPr>
        <w:rPr>
          <w:rFonts w:ascii="Arial" w:hAnsi="Arial" w:cs="Arial"/>
          <w:rtl/>
        </w:rPr>
      </w:pPr>
      <w:r>
        <w:rPr>
          <w:rFonts w:ascii="Arial" w:hAnsi="Arial" w:cs="Arial"/>
          <w:rtl/>
        </w:rPr>
        <w:t>לא מצאתי לנכון להכריז על הנאשם "סוחר סמים" בהתחשב באופי העבירה, ראשוניותה עבור הנאשם, מישכה ופרמטרים נוספים שהובאו בשיקוליי לעונש.</w:t>
      </w:r>
    </w:p>
    <w:p w14:paraId="2653C4F1" w14:textId="77777777" w:rsidR="00F95B0D" w:rsidRDefault="00F95B0D" w:rsidP="00F95B0D">
      <w:pPr>
        <w:rPr>
          <w:rFonts w:ascii="Arial" w:hAnsi="Arial" w:cs="Arial"/>
          <w:rtl/>
        </w:rPr>
      </w:pPr>
    </w:p>
    <w:p w14:paraId="76B728C4" w14:textId="77777777" w:rsidR="00F95B0D" w:rsidRDefault="003A77BE" w:rsidP="00F95B0D">
      <w:pPr>
        <w:rPr>
          <w:rFonts w:ascii="Calibri" w:hAnsi="Calibri" w:cs="Calibri"/>
          <w:rtl/>
        </w:rPr>
      </w:pPr>
      <w:r>
        <w:rPr>
          <w:rFonts w:ascii="Arial" w:hAnsi="Arial" w:cs="Arial"/>
          <w:rtl/>
        </w:rPr>
        <w:t xml:space="preserve">זכות ערעור לבית המשפט המחוזי בתוך 45 ימים מהיום. </w:t>
      </w:r>
    </w:p>
    <w:p w14:paraId="6BA3D186" w14:textId="77777777" w:rsidR="00F95B0D" w:rsidRDefault="00F95B0D" w:rsidP="00F95B0D">
      <w:pPr>
        <w:rPr>
          <w:rFonts w:ascii="Calibri" w:hAnsi="Calibri" w:cs="Calibri"/>
          <w:rtl/>
        </w:rPr>
      </w:pPr>
    </w:p>
    <w:p w14:paraId="06A9F84C" w14:textId="77777777" w:rsidR="00F95B0D" w:rsidRDefault="00F95B0D" w:rsidP="00F95B0D">
      <w:pPr>
        <w:rPr>
          <w:rtl/>
        </w:rPr>
      </w:pPr>
    </w:p>
    <w:p w14:paraId="41A71D67" w14:textId="77777777" w:rsidR="00F95B0D" w:rsidRDefault="00F95B0D" w:rsidP="00F95B0D"/>
    <w:p w14:paraId="431FCF2F" w14:textId="77777777" w:rsidR="00F95B0D" w:rsidRDefault="00F95B0D" w:rsidP="00F95B0D">
      <w:r>
        <w:rPr>
          <w:rFonts w:ascii="Arial" w:hAnsi="Arial" w:cs="Arial"/>
          <w:rtl/>
        </w:rPr>
        <w:t>אביחי דורון, שופט</w:t>
      </w:r>
    </w:p>
    <w:p w14:paraId="365C24F4" w14:textId="77777777" w:rsidR="00F95B0D" w:rsidRDefault="00F95B0D" w:rsidP="00F95B0D"/>
    <w:p w14:paraId="0802672E" w14:textId="77777777" w:rsidR="00F95B0D" w:rsidRPr="00D9148B" w:rsidRDefault="00F95B0D" w:rsidP="00F95B0D">
      <w:pPr>
        <w:rPr>
          <w:rFonts w:ascii="Arial" w:hAnsi="Arial"/>
          <w:rtl/>
        </w:rPr>
      </w:pPr>
    </w:p>
    <w:p w14:paraId="5F3D0E93" w14:textId="77777777" w:rsidR="00F95B0D" w:rsidRPr="00B05847" w:rsidRDefault="00F95B0D" w:rsidP="00F95B0D">
      <w:pPr>
        <w:rPr>
          <w:rtl/>
        </w:rPr>
      </w:pPr>
    </w:p>
    <w:p w14:paraId="44650674" w14:textId="77777777" w:rsidR="00F95B0D" w:rsidRPr="00B05847" w:rsidRDefault="00F95B0D" w:rsidP="00F95B0D">
      <w:pPr>
        <w:rPr>
          <w:rtl/>
        </w:rPr>
      </w:pPr>
    </w:p>
    <w:p w14:paraId="72B55CF0" w14:textId="77777777" w:rsidR="00F95B0D" w:rsidRPr="00B05847" w:rsidRDefault="00F95B0D" w:rsidP="00F95B0D">
      <w:pPr>
        <w:rPr>
          <w:rtl/>
        </w:rPr>
      </w:pPr>
    </w:p>
    <w:p w14:paraId="32BB6A5C" w14:textId="77777777" w:rsidR="00F95B0D" w:rsidRPr="00B05847" w:rsidRDefault="00F95B0D" w:rsidP="00F95B0D">
      <w:pPr>
        <w:rPr>
          <w:rtl/>
        </w:rPr>
      </w:pPr>
    </w:p>
    <w:p w14:paraId="5AEC18F9" w14:textId="77777777" w:rsidR="00F95B0D" w:rsidRPr="003A77BE" w:rsidRDefault="003A77BE" w:rsidP="00F95B0D">
      <w:pPr>
        <w:rPr>
          <w:color w:val="FFFFFF"/>
          <w:sz w:val="2"/>
          <w:szCs w:val="2"/>
          <w:rtl/>
        </w:rPr>
      </w:pPr>
      <w:r w:rsidRPr="003A77BE">
        <w:rPr>
          <w:color w:val="FFFFFF"/>
          <w:sz w:val="2"/>
          <w:szCs w:val="2"/>
          <w:rtl/>
        </w:rPr>
        <w:t>5129371</w:t>
      </w:r>
    </w:p>
    <w:p w14:paraId="2E86E239" w14:textId="77777777" w:rsidR="00F95B0D" w:rsidRPr="003A77BE" w:rsidRDefault="003A77BE" w:rsidP="00F95B0D">
      <w:pPr>
        <w:rPr>
          <w:color w:val="FFFFFF"/>
          <w:sz w:val="2"/>
          <w:szCs w:val="2"/>
          <w:rtl/>
        </w:rPr>
      </w:pPr>
      <w:r w:rsidRPr="003A77BE">
        <w:rPr>
          <w:color w:val="FFFFFF"/>
          <w:sz w:val="2"/>
          <w:szCs w:val="2"/>
          <w:rtl/>
        </w:rPr>
        <w:t>54678313</w:t>
      </w:r>
    </w:p>
    <w:p w14:paraId="07A16F6A" w14:textId="77777777" w:rsidR="00F95B0D" w:rsidRDefault="00F95B0D" w:rsidP="003A77B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73BECA7" w14:textId="77777777" w:rsidR="00F95B0D" w:rsidRDefault="00F95B0D" w:rsidP="00F95B0D">
      <w:pPr>
        <w:jc w:val="center"/>
        <w:rPr>
          <w:rFonts w:ascii="Arial" w:hAnsi="Arial" w:cs="FrankRuehl"/>
          <w:sz w:val="28"/>
          <w:szCs w:val="28"/>
          <w:rtl/>
        </w:rPr>
      </w:pPr>
    </w:p>
    <w:p w14:paraId="30F2B6E2" w14:textId="77777777" w:rsidR="00F95B0D" w:rsidRDefault="00F95B0D" w:rsidP="00F95B0D">
      <w:pPr>
        <w:rPr>
          <w:rFonts w:cs="FrankRuehl"/>
          <w:sz w:val="28"/>
          <w:szCs w:val="28"/>
          <w:rtl/>
        </w:rPr>
      </w:pPr>
    </w:p>
    <w:p w14:paraId="6A5ECB60" w14:textId="77777777" w:rsidR="00F95B0D" w:rsidRPr="00B60A52" w:rsidRDefault="00B60A52" w:rsidP="00F95B0D">
      <w:pPr>
        <w:pStyle w:val="a3"/>
        <w:jc w:val="center"/>
        <w:rPr>
          <w:color w:val="FFFFFF"/>
          <w:sz w:val="2"/>
          <w:szCs w:val="2"/>
          <w:rtl/>
        </w:rPr>
      </w:pPr>
      <w:r w:rsidRPr="00B60A52">
        <w:rPr>
          <w:color w:val="FFFFFF"/>
          <w:sz w:val="2"/>
          <w:szCs w:val="2"/>
          <w:rtl/>
        </w:rPr>
        <w:t>5129371</w:t>
      </w:r>
    </w:p>
    <w:p w14:paraId="51AD0275" w14:textId="77777777" w:rsidR="00A10BC6" w:rsidRPr="00B60A52" w:rsidRDefault="00B60A52" w:rsidP="003A77BE">
      <w:pPr>
        <w:keepNext/>
        <w:rPr>
          <w:rFonts w:ascii="David" w:hAnsi="David"/>
          <w:color w:val="FFFFFF"/>
          <w:sz w:val="2"/>
          <w:szCs w:val="2"/>
          <w:rtl/>
        </w:rPr>
      </w:pPr>
      <w:r w:rsidRPr="00B60A52">
        <w:rPr>
          <w:rFonts w:ascii="David" w:hAnsi="David"/>
          <w:color w:val="FFFFFF"/>
          <w:sz w:val="2"/>
          <w:szCs w:val="2"/>
          <w:rtl/>
        </w:rPr>
        <w:t>54678313</w:t>
      </w:r>
    </w:p>
    <w:p w14:paraId="75442183" w14:textId="77777777" w:rsidR="003A77BE" w:rsidRDefault="003A77BE" w:rsidP="003A77BE">
      <w:pPr>
        <w:rPr>
          <w:rtl/>
        </w:rPr>
      </w:pPr>
    </w:p>
    <w:p w14:paraId="51C684B7" w14:textId="77777777" w:rsidR="003A77BE" w:rsidRDefault="003A77BE" w:rsidP="003A77BE">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47DE5080" w14:textId="77777777" w:rsidR="00B60A52" w:rsidRPr="00B60A52" w:rsidRDefault="00B60A52" w:rsidP="00B60A52">
      <w:pPr>
        <w:keepNext/>
        <w:rPr>
          <w:rFonts w:ascii="David" w:hAnsi="David"/>
          <w:color w:val="000000"/>
          <w:sz w:val="22"/>
          <w:szCs w:val="22"/>
          <w:rtl/>
        </w:rPr>
      </w:pPr>
    </w:p>
    <w:p w14:paraId="36C3072E" w14:textId="77777777" w:rsidR="00B60A52" w:rsidRPr="00B60A52" w:rsidRDefault="00B60A52" w:rsidP="00B60A52">
      <w:pPr>
        <w:keepNext/>
        <w:rPr>
          <w:rFonts w:ascii="David" w:hAnsi="David"/>
          <w:color w:val="000000"/>
          <w:sz w:val="22"/>
          <w:szCs w:val="22"/>
          <w:rtl/>
        </w:rPr>
      </w:pPr>
      <w:r w:rsidRPr="00B60A52">
        <w:rPr>
          <w:rFonts w:ascii="David" w:hAnsi="David"/>
          <w:color w:val="000000"/>
          <w:sz w:val="22"/>
          <w:szCs w:val="22"/>
          <w:rtl/>
        </w:rPr>
        <w:t>אביחי דורון 54678313-/</w:t>
      </w:r>
    </w:p>
    <w:p w14:paraId="72F750E4" w14:textId="77777777" w:rsidR="003A77BE" w:rsidRPr="003A77BE" w:rsidRDefault="00B60A52" w:rsidP="00B60A52">
      <w:pPr>
        <w:rPr>
          <w:color w:val="0000FF"/>
          <w:u w:val="single"/>
        </w:rPr>
      </w:pPr>
      <w:r w:rsidRPr="00B60A52">
        <w:rPr>
          <w:color w:val="000000"/>
          <w:u w:val="single"/>
          <w:rtl/>
        </w:rPr>
        <w:t>נוסח מסמך זה כפוף לשינויי ניסוח ועריכה</w:t>
      </w:r>
    </w:p>
    <w:sectPr w:rsidR="003A77BE" w:rsidRPr="003A77BE" w:rsidSect="00B60A52">
      <w:headerReference w:type="even" r:id="rId19"/>
      <w:headerReference w:type="default" r:id="rId20"/>
      <w:footerReference w:type="even" r:id="rId21"/>
      <w:footerReference w:type="default" r:id="rId22"/>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EE5628" w14:textId="77777777" w:rsidR="00245E1C" w:rsidRDefault="00245E1C" w:rsidP="00020BEB">
      <w:r>
        <w:separator/>
      </w:r>
    </w:p>
  </w:endnote>
  <w:endnote w:type="continuationSeparator" w:id="0">
    <w:p w14:paraId="5A33F64A" w14:textId="77777777" w:rsidR="00245E1C" w:rsidRDefault="00245E1C" w:rsidP="00020B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1838A" w14:textId="77777777" w:rsidR="00B60A52" w:rsidRDefault="00B60A52" w:rsidP="00B60A5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DE0136F" w14:textId="77777777" w:rsidR="000D7F0F" w:rsidRPr="00B60A52" w:rsidRDefault="00B60A52" w:rsidP="00B60A52">
    <w:pPr>
      <w:pStyle w:val="a5"/>
      <w:pBdr>
        <w:top w:val="single" w:sz="4" w:space="1" w:color="auto"/>
        <w:between w:val="single" w:sz="4" w:space="0" w:color="auto"/>
      </w:pBdr>
      <w:spacing w:after="60"/>
      <w:jc w:val="center"/>
      <w:rPr>
        <w:rFonts w:ascii="FrankRuehl" w:hAnsi="FrankRuehl" w:cs="FrankRuehl"/>
        <w:color w:val="000000"/>
      </w:rPr>
    </w:pPr>
    <w:r w:rsidRPr="00B60A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60038" w14:textId="77777777" w:rsidR="00B60A52" w:rsidRDefault="00B60A52" w:rsidP="00B60A5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A5569">
      <w:rPr>
        <w:rFonts w:ascii="FrankRuehl" w:hAnsi="FrankRuehl" w:cs="FrankRuehl"/>
        <w:noProof/>
        <w:rtl/>
      </w:rPr>
      <w:t>1</w:t>
    </w:r>
    <w:r>
      <w:rPr>
        <w:rFonts w:ascii="FrankRuehl" w:hAnsi="FrankRuehl" w:cs="FrankRuehl"/>
        <w:rtl/>
      </w:rPr>
      <w:fldChar w:fldCharType="end"/>
    </w:r>
  </w:p>
  <w:p w14:paraId="2B131F3D" w14:textId="77777777" w:rsidR="000D7F0F" w:rsidRPr="00B60A52" w:rsidRDefault="00B60A52" w:rsidP="00B60A52">
    <w:pPr>
      <w:pStyle w:val="a5"/>
      <w:pBdr>
        <w:top w:val="single" w:sz="4" w:space="1" w:color="auto"/>
        <w:between w:val="single" w:sz="4" w:space="0" w:color="auto"/>
      </w:pBdr>
      <w:spacing w:after="60"/>
      <w:jc w:val="center"/>
      <w:rPr>
        <w:rFonts w:ascii="FrankRuehl" w:hAnsi="FrankRuehl" w:cs="FrankRuehl"/>
        <w:color w:val="000000"/>
      </w:rPr>
    </w:pPr>
    <w:r w:rsidRPr="00B60A52">
      <w:rPr>
        <w:rFonts w:ascii="FrankRuehl" w:hAnsi="FrankRuehl" w:cs="FrankRuehl"/>
        <w:color w:val="000000"/>
      </w:rPr>
      <w:pict w14:anchorId="58C1C6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1EEDF" w14:textId="77777777" w:rsidR="00245E1C" w:rsidRDefault="00245E1C" w:rsidP="00020BEB">
      <w:r>
        <w:separator/>
      </w:r>
    </w:p>
  </w:footnote>
  <w:footnote w:type="continuationSeparator" w:id="0">
    <w:p w14:paraId="348187F9" w14:textId="77777777" w:rsidR="00245E1C" w:rsidRDefault="00245E1C" w:rsidP="00020B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3D791" w14:textId="77777777" w:rsidR="003A77BE" w:rsidRPr="00B60A52" w:rsidRDefault="00B60A52" w:rsidP="00B60A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18484-08-19</w:t>
    </w:r>
    <w:r>
      <w:rPr>
        <w:rFonts w:ascii="David" w:hAnsi="David"/>
        <w:color w:val="000000"/>
        <w:sz w:val="22"/>
        <w:szCs w:val="22"/>
        <w:rtl/>
      </w:rPr>
      <w:tab/>
      <w:t xml:space="preserve"> מדינת ישראל נ' דוד דומב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CDBD0" w14:textId="77777777" w:rsidR="003A77BE" w:rsidRPr="00B60A52" w:rsidRDefault="00B60A52" w:rsidP="00B60A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18484-08-19</w:t>
    </w:r>
    <w:r>
      <w:rPr>
        <w:rFonts w:ascii="David" w:hAnsi="David"/>
        <w:color w:val="000000"/>
        <w:sz w:val="22"/>
        <w:szCs w:val="22"/>
        <w:rtl/>
      </w:rPr>
      <w:tab/>
      <w:t xml:space="preserve"> מדינת ישראל נ' דוד דומב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23EDF"/>
    <w:multiLevelType w:val="hybridMultilevel"/>
    <w:tmpl w:val="4F2CE0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8653769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95B0D"/>
    <w:rsid w:val="00020BEB"/>
    <w:rsid w:val="000D7F0F"/>
    <w:rsid w:val="001B5A3B"/>
    <w:rsid w:val="00227E6C"/>
    <w:rsid w:val="00245E1C"/>
    <w:rsid w:val="003A77BE"/>
    <w:rsid w:val="00556448"/>
    <w:rsid w:val="00660B34"/>
    <w:rsid w:val="00877ADA"/>
    <w:rsid w:val="008A5569"/>
    <w:rsid w:val="008D77E9"/>
    <w:rsid w:val="00A10BC6"/>
    <w:rsid w:val="00B40BDF"/>
    <w:rsid w:val="00B60A52"/>
    <w:rsid w:val="00E27DBA"/>
    <w:rsid w:val="00F95B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CF1A28"/>
  <w15:chartTrackingRefBased/>
  <w15:docId w15:val="{EBF15EE5-E115-4137-8F56-91568EFE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95B0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95B0D"/>
    <w:pPr>
      <w:tabs>
        <w:tab w:val="center" w:pos="4153"/>
        <w:tab w:val="right" w:pos="8306"/>
      </w:tabs>
    </w:pPr>
  </w:style>
  <w:style w:type="character" w:customStyle="1" w:styleId="a4">
    <w:name w:val="כותרת עליונה תו"/>
    <w:link w:val="a3"/>
    <w:rsid w:val="00F95B0D"/>
    <w:rPr>
      <w:rFonts w:ascii="Times New Roman" w:eastAsia="Times New Roman" w:hAnsi="Times New Roman" w:cs="David"/>
      <w:sz w:val="24"/>
      <w:szCs w:val="24"/>
    </w:rPr>
  </w:style>
  <w:style w:type="paragraph" w:styleId="a5">
    <w:name w:val="footer"/>
    <w:basedOn w:val="a"/>
    <w:link w:val="a6"/>
    <w:rsid w:val="00F95B0D"/>
    <w:pPr>
      <w:tabs>
        <w:tab w:val="center" w:pos="4153"/>
        <w:tab w:val="right" w:pos="8306"/>
      </w:tabs>
    </w:pPr>
  </w:style>
  <w:style w:type="character" w:customStyle="1" w:styleId="a6">
    <w:name w:val="כותרת תחתונה תו"/>
    <w:link w:val="a5"/>
    <w:rsid w:val="00F95B0D"/>
    <w:rPr>
      <w:rFonts w:ascii="Times New Roman" w:eastAsia="Times New Roman" w:hAnsi="Times New Roman" w:cs="David"/>
      <w:sz w:val="24"/>
      <w:szCs w:val="24"/>
    </w:rPr>
  </w:style>
  <w:style w:type="table" w:styleId="a7">
    <w:name w:val="Table Grid"/>
    <w:basedOn w:val="a1"/>
    <w:rsid w:val="00F95B0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95B0D"/>
  </w:style>
  <w:style w:type="character" w:styleId="Hyperlink">
    <w:name w:val="Hyperlink"/>
    <w:rsid w:val="003A77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0083884"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case/25937481" TargetMode="External"/><Relationship Id="rId12" Type="http://schemas.openxmlformats.org/officeDocument/2006/relationships/hyperlink" Target="http://www.nevo.co.il/case/22976244"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51751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1280</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7668</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7995492</vt:i4>
      </vt:variant>
      <vt:variant>
        <vt:i4>21</vt:i4>
      </vt:variant>
      <vt:variant>
        <vt:i4>0</vt:i4>
      </vt:variant>
      <vt:variant>
        <vt:i4>5</vt:i4>
      </vt:variant>
      <vt:variant>
        <vt:lpwstr>http://www.nevo.co.il/law/70301</vt:lpwstr>
      </vt:variant>
      <vt:variant>
        <vt:lpwstr/>
      </vt:variant>
      <vt:variant>
        <vt:i4>3735668</vt:i4>
      </vt:variant>
      <vt:variant>
        <vt:i4>18</vt:i4>
      </vt:variant>
      <vt:variant>
        <vt:i4>0</vt:i4>
      </vt:variant>
      <vt:variant>
        <vt:i4>5</vt:i4>
      </vt:variant>
      <vt:variant>
        <vt:lpwstr>http://www.nevo.co.il/case/20083884</vt:lpwstr>
      </vt:variant>
      <vt:variant>
        <vt:lpwstr/>
      </vt:variant>
      <vt:variant>
        <vt:i4>3735667</vt:i4>
      </vt:variant>
      <vt:variant>
        <vt:i4>15</vt:i4>
      </vt:variant>
      <vt:variant>
        <vt:i4>0</vt:i4>
      </vt:variant>
      <vt:variant>
        <vt:i4>5</vt:i4>
      </vt:variant>
      <vt:variant>
        <vt:lpwstr>http://www.nevo.co.il/case/22976244</vt:lpwstr>
      </vt:variant>
      <vt:variant>
        <vt:lpwstr/>
      </vt:variant>
      <vt:variant>
        <vt:i4>3211383</vt:i4>
      </vt:variant>
      <vt:variant>
        <vt:i4>12</vt:i4>
      </vt:variant>
      <vt:variant>
        <vt:i4>0</vt:i4>
      </vt:variant>
      <vt:variant>
        <vt:i4>5</vt:i4>
      </vt:variant>
      <vt:variant>
        <vt:lpwstr>http://www.nevo.co.il/case/27517511</vt:lpwstr>
      </vt:variant>
      <vt:variant>
        <vt:lpwstr/>
      </vt:variant>
      <vt:variant>
        <vt:i4>8257637</vt:i4>
      </vt:variant>
      <vt:variant>
        <vt:i4>9</vt:i4>
      </vt:variant>
      <vt:variant>
        <vt:i4>0</vt:i4>
      </vt:variant>
      <vt:variant>
        <vt:i4>5</vt:i4>
      </vt:variant>
      <vt:variant>
        <vt:lpwstr>http://www.nevo.co.il/law/4216</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3407990</vt:i4>
      </vt:variant>
      <vt:variant>
        <vt:i4>0</vt:i4>
      </vt:variant>
      <vt:variant>
        <vt:i4>0</vt:i4>
      </vt:variant>
      <vt:variant>
        <vt:i4>5</vt:i4>
      </vt:variant>
      <vt:variant>
        <vt:lpwstr>http://www.nevo.co.il/case/25937481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2025-04-23T00:15:00Z</dcterms:created>
  <dcterms:modified xsi:type="dcterms:W3CDTF">2025-04-23T00:15:00Z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18484</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דוד דומב</vt:lpwstr>
  </property>
  <property fmtid="{D5CDD505-2E9C-101B-9397-08002B2CF9AE}" pid="10" name="JUDGE">
    <vt:lpwstr>אביחי דורון</vt:lpwstr>
  </property>
  <property fmtid="{D5CDD505-2E9C-101B-9397-08002B2CF9AE}" pid="11" name="CITY">
    <vt:lpwstr>י-ם</vt:lpwstr>
  </property>
  <property fmtid="{D5CDD505-2E9C-101B-9397-08002B2CF9AE}" pid="12" name="TYPE_N_DATE">
    <vt:lpwstr>38020210414</vt:lpwstr>
  </property>
  <property fmtid="{D5CDD505-2E9C-101B-9397-08002B2CF9AE}" pid="13" name="WORDNUMPAGES">
    <vt:lpwstr>4</vt:lpwstr>
  </property>
  <property fmtid="{D5CDD505-2E9C-101B-9397-08002B2CF9AE}" pid="14" name="LAWYER">
    <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DATE">
    <vt:lpwstr>20210414</vt:lpwstr>
  </property>
  <property fmtid="{D5CDD505-2E9C-101B-9397-08002B2CF9AE}" pid="23" name="VOLUME">
    <vt:lpwstr/>
  </property>
  <property fmtid="{D5CDD505-2E9C-101B-9397-08002B2CF9AE}" pid="24" name="PART">
    <vt:lpwstr/>
  </property>
  <property fmtid="{D5CDD505-2E9C-101B-9397-08002B2CF9AE}" pid="25" name="PAGE">
    <vt:lpwstr/>
  </property>
  <property fmtid="{D5CDD505-2E9C-101B-9397-08002B2CF9AE}" pid="26" name="PADIMAIL">
    <vt:lpwstr/>
  </property>
  <property fmtid="{D5CDD505-2E9C-101B-9397-08002B2CF9AE}" pid="27" name="DELEMATA">
    <vt:lpwstr/>
  </property>
  <property fmtid="{D5CDD505-2E9C-101B-9397-08002B2CF9AE}" pid="28" name="LINKK1">
    <vt:lpwstr/>
  </property>
  <property fmtid="{D5CDD505-2E9C-101B-9397-08002B2CF9AE}" pid="29" name="LINKK2">
    <vt:lpwstr/>
  </property>
  <property fmtid="{D5CDD505-2E9C-101B-9397-08002B2CF9AE}" pid="30" name="LINKK3">
    <vt:lpwstr/>
  </property>
  <property fmtid="{D5CDD505-2E9C-101B-9397-08002B2CF9AE}" pid="31" name="LINKK4">
    <vt:lpwstr/>
  </property>
  <property fmtid="{D5CDD505-2E9C-101B-9397-08002B2CF9AE}" pid="32" name="LINKK5">
    <vt:lpwstr/>
  </property>
  <property fmtid="{D5CDD505-2E9C-101B-9397-08002B2CF9AE}" pid="33" name="TYPE_ABS_DATE">
    <vt:lpwstr>380020210414</vt:lpwstr>
  </property>
  <property fmtid="{D5CDD505-2E9C-101B-9397-08002B2CF9AE}" pid="34" name="ISABSTRACT">
    <vt:lpwstr>Y</vt:lpwstr>
  </property>
  <property fmtid="{D5CDD505-2E9C-101B-9397-08002B2CF9AE}" pid="35" name="CASESLISTTMP1">
    <vt:lpwstr>25937481;27517511;22976244;20083884</vt:lpwstr>
  </property>
  <property fmtid="{D5CDD505-2E9C-101B-9397-08002B2CF9AE}" pid="36" name="LAWLISTTMP1">
    <vt:lpwstr>4216:3</vt:lpwstr>
  </property>
  <property fmtid="{D5CDD505-2E9C-101B-9397-08002B2CF9AE}" pid="37" name="LAWLISTTMP2">
    <vt:lpwstr>70301:2</vt:lpwstr>
  </property>
</Properties>
</file>