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1666"/>
        <w:gridCol w:w="2697"/>
        <w:gridCol w:w="315"/>
      </w:tblGrid>
      <w:tr w:rsidR="00162FC0" w:rsidRPr="00EC6A30" w14:paraId="630E598A" w14:textId="77777777" w:rsidTr="007812E5">
        <w:trPr>
          <w:gridAfter w:val="1"/>
          <w:wAfter w:w="315" w:type="dxa"/>
          <w:trHeight w:hRule="exact" w:val="418"/>
          <w:jc w:val="center"/>
        </w:trPr>
        <w:tc>
          <w:tcPr>
            <w:tcW w:w="8505" w:type="dxa"/>
            <w:gridSpan w:val="4"/>
          </w:tcPr>
          <w:p w14:paraId="375F6E11" w14:textId="77777777" w:rsidR="00162FC0" w:rsidRPr="00EC6A30" w:rsidRDefault="00162FC0" w:rsidP="003A6F1F">
            <w:pPr>
              <w:pStyle w:val="a3"/>
              <w:jc w:val="center"/>
              <w:rPr>
                <w:rFonts w:ascii="Tahoma" w:hAnsi="Tahoma" w:cs="Tahoma"/>
                <w:color w:val="000080"/>
                <w:rtl/>
              </w:rPr>
            </w:pPr>
            <w:bookmarkStart w:id="0" w:name="LastJudge"/>
            <w:r w:rsidRPr="00EC6A30">
              <w:rPr>
                <w:rFonts w:ascii="Tahoma" w:hAnsi="Tahoma" w:cs="Tahoma"/>
                <w:b/>
                <w:bCs/>
                <w:color w:val="000080"/>
                <w:rtl/>
              </w:rPr>
              <w:t>בית משפט השלום בבאר שבע</w:t>
            </w:r>
          </w:p>
        </w:tc>
      </w:tr>
      <w:tr w:rsidR="00162FC0" w:rsidRPr="00EC6A30" w14:paraId="4DD746C9" w14:textId="77777777" w:rsidTr="007812E5">
        <w:trPr>
          <w:gridAfter w:val="1"/>
          <w:wAfter w:w="315" w:type="dxa"/>
          <w:trHeight w:val="337"/>
          <w:jc w:val="center"/>
        </w:trPr>
        <w:tc>
          <w:tcPr>
            <w:tcW w:w="5808" w:type="dxa"/>
            <w:gridSpan w:val="3"/>
          </w:tcPr>
          <w:p w14:paraId="388DFB65" w14:textId="77777777" w:rsidR="00162FC0" w:rsidRPr="00EC6A30" w:rsidRDefault="00162FC0" w:rsidP="003A6F1F">
            <w:pPr>
              <w:rPr>
                <w:rFonts w:ascii="David" w:hAnsi="David"/>
                <w:b/>
                <w:bCs/>
                <w:sz w:val="28"/>
                <w:szCs w:val="28"/>
                <w:rtl/>
              </w:rPr>
            </w:pPr>
            <w:r w:rsidRPr="00EC6A30">
              <w:rPr>
                <w:rFonts w:ascii="David" w:hAnsi="David"/>
                <w:b/>
                <w:bCs/>
                <w:sz w:val="28"/>
                <w:szCs w:val="28"/>
                <w:rtl/>
              </w:rPr>
              <w:t>ת"פ 19988-08-19 מדינת ישראל נ' אבו לקימה</w:t>
            </w:r>
          </w:p>
          <w:p w14:paraId="39F219A0" w14:textId="77777777" w:rsidR="00162FC0" w:rsidRPr="00EC6A30" w:rsidRDefault="00162FC0" w:rsidP="003A6F1F">
            <w:pPr>
              <w:pStyle w:val="a3"/>
              <w:rPr>
                <w:rFonts w:ascii="David" w:hAnsi="David"/>
                <w:b/>
                <w:bCs/>
                <w:sz w:val="28"/>
                <w:szCs w:val="28"/>
                <w:rtl/>
              </w:rPr>
            </w:pPr>
          </w:p>
        </w:tc>
        <w:tc>
          <w:tcPr>
            <w:tcW w:w="2697" w:type="dxa"/>
          </w:tcPr>
          <w:p w14:paraId="17CDD0FD" w14:textId="77777777" w:rsidR="00162FC0" w:rsidRPr="00EC6A30" w:rsidRDefault="00162FC0" w:rsidP="003A6F1F">
            <w:pPr>
              <w:pStyle w:val="a3"/>
              <w:jc w:val="right"/>
              <w:rPr>
                <w:rFonts w:ascii="David" w:hAnsi="David"/>
                <w:b/>
                <w:bCs/>
                <w:sz w:val="28"/>
                <w:szCs w:val="28"/>
                <w:rtl/>
              </w:rPr>
            </w:pPr>
          </w:p>
        </w:tc>
      </w:tr>
      <w:tr w:rsidR="00162FC0" w:rsidRPr="00EC6A30" w14:paraId="4E9A46F1" w14:textId="77777777" w:rsidTr="007812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6C374CB" w14:textId="77777777" w:rsidR="00162FC0" w:rsidRPr="00EC6A30" w:rsidRDefault="00162FC0" w:rsidP="00162FC0">
            <w:pPr>
              <w:jc w:val="both"/>
              <w:rPr>
                <w:rFonts w:ascii="David" w:hAnsi="David"/>
                <w:b/>
                <w:bCs/>
                <w:sz w:val="26"/>
                <w:szCs w:val="26"/>
              </w:rPr>
            </w:pPr>
            <w:r w:rsidRPr="00EC6A30">
              <w:rPr>
                <w:rFonts w:hint="cs"/>
                <w:rtl/>
              </w:rPr>
              <w:t xml:space="preserve"> </w:t>
            </w:r>
            <w:r w:rsidRPr="00EC6A30">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23647F8B" w14:textId="77777777" w:rsidR="00162FC0" w:rsidRPr="00EC6A30" w:rsidRDefault="00162FC0" w:rsidP="003A6F1F">
            <w:pPr>
              <w:rPr>
                <w:rFonts w:ascii="David" w:hAnsi="David"/>
                <w:b/>
                <w:bCs/>
                <w:sz w:val="26"/>
                <w:szCs w:val="26"/>
                <w:rtl/>
              </w:rPr>
            </w:pPr>
            <w:r w:rsidRPr="00EC6A30">
              <w:rPr>
                <w:rFonts w:ascii="David" w:hAnsi="David"/>
                <w:b/>
                <w:bCs/>
                <w:sz w:val="26"/>
                <w:szCs w:val="26"/>
                <w:rtl/>
              </w:rPr>
              <w:t>כבוד השופט  יניב בן הרוש</w:t>
            </w:r>
          </w:p>
          <w:p w14:paraId="617DAB45" w14:textId="77777777" w:rsidR="00162FC0" w:rsidRPr="00EC6A30" w:rsidRDefault="00162FC0" w:rsidP="003A6F1F">
            <w:pPr>
              <w:rPr>
                <w:rFonts w:ascii="David" w:hAnsi="David"/>
                <w:b/>
                <w:bCs/>
                <w:sz w:val="26"/>
                <w:szCs w:val="26"/>
                <w:rtl/>
              </w:rPr>
            </w:pPr>
          </w:p>
          <w:p w14:paraId="2D20639D" w14:textId="77777777" w:rsidR="00162FC0" w:rsidRPr="00EC6A30" w:rsidRDefault="00162FC0" w:rsidP="00162FC0">
            <w:pPr>
              <w:jc w:val="both"/>
              <w:rPr>
                <w:rFonts w:ascii="David" w:hAnsi="David"/>
                <w:b/>
                <w:bCs/>
                <w:sz w:val="26"/>
                <w:szCs w:val="26"/>
              </w:rPr>
            </w:pPr>
          </w:p>
        </w:tc>
      </w:tr>
      <w:tr w:rsidR="00162FC0" w:rsidRPr="00EC6A30" w14:paraId="682A23EB" w14:textId="77777777" w:rsidTr="007812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A05B47" w14:textId="77777777" w:rsidR="00162FC0" w:rsidRPr="00EC6A30" w:rsidRDefault="00162FC0" w:rsidP="00162FC0">
            <w:pPr>
              <w:jc w:val="both"/>
              <w:rPr>
                <w:rFonts w:ascii="David" w:hAnsi="David"/>
                <w:b/>
                <w:bCs/>
                <w:sz w:val="26"/>
                <w:szCs w:val="26"/>
              </w:rPr>
            </w:pPr>
            <w:bookmarkStart w:id="1" w:name="FirstAppellant"/>
            <w:bookmarkStart w:id="2" w:name="FirstLawyer"/>
            <w:r w:rsidRPr="00EC6A30">
              <w:rPr>
                <w:rFonts w:ascii="David" w:hAnsi="David"/>
                <w:b/>
                <w:bCs/>
                <w:sz w:val="26"/>
                <w:szCs w:val="26"/>
                <w:rtl/>
              </w:rPr>
              <w:t>בעניין:</w:t>
            </w:r>
          </w:p>
        </w:tc>
        <w:tc>
          <w:tcPr>
            <w:tcW w:w="3219" w:type="dxa"/>
            <w:tcBorders>
              <w:top w:val="nil"/>
              <w:left w:val="nil"/>
              <w:bottom w:val="nil"/>
              <w:right w:val="nil"/>
            </w:tcBorders>
            <w:shd w:val="clear" w:color="auto" w:fill="auto"/>
          </w:tcPr>
          <w:p w14:paraId="15DA7076" w14:textId="77777777" w:rsidR="00162FC0" w:rsidRPr="00EC6A30" w:rsidRDefault="00162FC0" w:rsidP="00162FC0">
            <w:pPr>
              <w:suppressLineNumbers/>
              <w:rPr>
                <w:b/>
                <w:bCs/>
              </w:rPr>
            </w:pPr>
            <w:r w:rsidRPr="00EC6A30">
              <w:rPr>
                <w:rFonts w:ascii="Arial" w:hAnsi="Arial" w:hint="cs"/>
                <w:b/>
                <w:bCs/>
                <w:sz w:val="26"/>
                <w:szCs w:val="26"/>
                <w:rtl/>
              </w:rPr>
              <w:t>ה</w:t>
            </w:r>
            <w:r w:rsidRPr="00EC6A30">
              <w:rPr>
                <w:rFonts w:ascii="Arial" w:hAnsi="Arial"/>
                <w:b/>
                <w:bCs/>
                <w:sz w:val="26"/>
                <w:szCs w:val="26"/>
                <w:rtl/>
              </w:rPr>
              <w:t>מאשימה</w:t>
            </w:r>
          </w:p>
          <w:p w14:paraId="78192526" w14:textId="77777777" w:rsidR="00162FC0" w:rsidRPr="00EC6A30" w:rsidRDefault="00162FC0" w:rsidP="003A6F1F">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77B30B2D" w14:textId="77777777" w:rsidR="00162FC0" w:rsidRPr="00EC6A30" w:rsidRDefault="00162FC0" w:rsidP="00162FC0">
            <w:pPr>
              <w:suppressLineNumbers/>
              <w:rPr>
                <w:rFonts w:ascii="Arial" w:hAnsi="Arial"/>
                <w:b/>
                <w:bCs/>
                <w:sz w:val="26"/>
                <w:szCs w:val="26"/>
                <w:rtl/>
              </w:rPr>
            </w:pPr>
            <w:r w:rsidRPr="00EC6A30">
              <w:rPr>
                <w:rFonts w:ascii="Arial" w:hAnsi="Arial"/>
                <w:b/>
                <w:bCs/>
                <w:sz w:val="26"/>
                <w:szCs w:val="26"/>
                <w:rtl/>
              </w:rPr>
              <w:t>מדינת ישראל</w:t>
            </w:r>
            <w:r w:rsidRPr="00EC6A30">
              <w:rPr>
                <w:rFonts w:ascii="Arial" w:hAnsi="Arial" w:hint="cs"/>
                <w:b/>
                <w:bCs/>
                <w:sz w:val="26"/>
                <w:szCs w:val="26"/>
                <w:rtl/>
              </w:rPr>
              <w:t xml:space="preserve">-תביעות נגב </w:t>
            </w:r>
          </w:p>
          <w:p w14:paraId="2AC0BE9A" w14:textId="77777777" w:rsidR="00162FC0" w:rsidRPr="00EC6A30" w:rsidRDefault="00162FC0" w:rsidP="00162FC0">
            <w:pPr>
              <w:suppressLineNumbers/>
              <w:rPr>
                <w:b/>
                <w:bCs/>
              </w:rPr>
            </w:pPr>
            <w:r w:rsidRPr="00EC6A30">
              <w:rPr>
                <w:rFonts w:ascii="Arial" w:hAnsi="Arial"/>
                <w:b/>
                <w:bCs/>
                <w:sz w:val="26"/>
                <w:szCs w:val="26"/>
                <w:rtl/>
              </w:rPr>
              <w:t>ע"י ב"כ עוה"ד</w:t>
            </w:r>
            <w:r w:rsidRPr="00EC6A30">
              <w:rPr>
                <w:rFonts w:ascii="Arial" w:hAnsi="Arial" w:hint="cs"/>
                <w:b/>
                <w:bCs/>
                <w:sz w:val="26"/>
                <w:szCs w:val="26"/>
                <w:rtl/>
              </w:rPr>
              <w:t xml:space="preserve"> מאירי לב</w:t>
            </w:r>
          </w:p>
          <w:p w14:paraId="3F5CDA29" w14:textId="77777777" w:rsidR="00162FC0" w:rsidRPr="00EC6A30" w:rsidRDefault="00162FC0" w:rsidP="003A6F1F">
            <w:pPr>
              <w:rPr>
                <w:rFonts w:ascii="David" w:hAnsi="David"/>
                <w:b/>
                <w:bCs/>
                <w:sz w:val="26"/>
                <w:szCs w:val="26"/>
              </w:rPr>
            </w:pPr>
          </w:p>
        </w:tc>
      </w:tr>
      <w:bookmarkEnd w:id="1"/>
      <w:bookmarkEnd w:id="2"/>
      <w:tr w:rsidR="00162FC0" w:rsidRPr="00EC6A30" w14:paraId="47AE720D" w14:textId="77777777" w:rsidTr="007812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B0E416" w14:textId="77777777" w:rsidR="00162FC0" w:rsidRPr="00EC6A30" w:rsidRDefault="00162FC0" w:rsidP="00162FC0">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242AE12F" w14:textId="77777777" w:rsidR="00162FC0" w:rsidRPr="00EC6A30" w:rsidRDefault="00162FC0" w:rsidP="00162FC0">
            <w:pPr>
              <w:jc w:val="center"/>
              <w:rPr>
                <w:rFonts w:ascii="David" w:hAnsi="David"/>
                <w:b/>
                <w:bCs/>
                <w:sz w:val="26"/>
                <w:szCs w:val="26"/>
                <w:rtl/>
              </w:rPr>
            </w:pPr>
          </w:p>
          <w:p w14:paraId="1C0D7C9A" w14:textId="77777777" w:rsidR="00162FC0" w:rsidRPr="00EC6A30" w:rsidRDefault="00162FC0" w:rsidP="00162FC0">
            <w:pPr>
              <w:jc w:val="center"/>
              <w:rPr>
                <w:rFonts w:ascii="David" w:hAnsi="David"/>
                <w:b/>
                <w:bCs/>
                <w:sz w:val="26"/>
                <w:szCs w:val="26"/>
                <w:rtl/>
              </w:rPr>
            </w:pPr>
            <w:r w:rsidRPr="00EC6A30">
              <w:rPr>
                <w:rFonts w:ascii="David" w:hAnsi="David"/>
                <w:b/>
                <w:bCs/>
                <w:sz w:val="26"/>
                <w:szCs w:val="26"/>
                <w:rtl/>
              </w:rPr>
              <w:t>נגד</w:t>
            </w:r>
          </w:p>
          <w:p w14:paraId="4C71E015" w14:textId="77777777" w:rsidR="00162FC0" w:rsidRPr="00EC6A30" w:rsidRDefault="00162FC0" w:rsidP="00162FC0">
            <w:pPr>
              <w:jc w:val="both"/>
              <w:rPr>
                <w:rFonts w:ascii="David" w:hAnsi="David"/>
                <w:b/>
                <w:bCs/>
                <w:sz w:val="26"/>
                <w:szCs w:val="26"/>
              </w:rPr>
            </w:pPr>
          </w:p>
        </w:tc>
      </w:tr>
      <w:tr w:rsidR="00162FC0" w:rsidRPr="00EC6A30" w14:paraId="468747F8" w14:textId="77777777" w:rsidTr="007812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5A3032" w14:textId="77777777" w:rsidR="00162FC0" w:rsidRPr="00EC6A30" w:rsidRDefault="00162FC0" w:rsidP="003A6F1F">
            <w:pPr>
              <w:rPr>
                <w:rFonts w:ascii="David" w:hAnsi="David"/>
                <w:b/>
                <w:bCs/>
                <w:sz w:val="26"/>
                <w:szCs w:val="26"/>
                <w:rtl/>
              </w:rPr>
            </w:pPr>
          </w:p>
        </w:tc>
        <w:tc>
          <w:tcPr>
            <w:tcW w:w="3219" w:type="dxa"/>
            <w:tcBorders>
              <w:top w:val="nil"/>
              <w:left w:val="nil"/>
              <w:bottom w:val="nil"/>
              <w:right w:val="nil"/>
            </w:tcBorders>
            <w:shd w:val="clear" w:color="auto" w:fill="auto"/>
          </w:tcPr>
          <w:p w14:paraId="40F7AEFA" w14:textId="77777777" w:rsidR="00162FC0" w:rsidRPr="00EC6A30" w:rsidRDefault="00162FC0" w:rsidP="003A6F1F">
            <w:pPr>
              <w:rPr>
                <w:rFonts w:ascii="Arial" w:hAnsi="Arial"/>
                <w:b/>
                <w:bCs/>
                <w:sz w:val="26"/>
                <w:szCs w:val="26"/>
                <w:rtl/>
              </w:rPr>
            </w:pPr>
            <w:r w:rsidRPr="00EC6A3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9008B3A" w14:textId="77777777" w:rsidR="00162FC0" w:rsidRPr="00EC6A30" w:rsidRDefault="00162FC0" w:rsidP="00162FC0">
            <w:pPr>
              <w:suppressLineNumbers/>
              <w:rPr>
                <w:rFonts w:ascii="Arial" w:hAnsi="Arial"/>
                <w:b/>
                <w:bCs/>
                <w:sz w:val="26"/>
                <w:szCs w:val="26"/>
                <w:rtl/>
              </w:rPr>
            </w:pPr>
            <w:r w:rsidRPr="00EC6A30">
              <w:rPr>
                <w:rFonts w:ascii="Arial" w:hAnsi="Arial"/>
                <w:b/>
                <w:bCs/>
                <w:sz w:val="26"/>
                <w:szCs w:val="26"/>
                <w:rtl/>
              </w:rPr>
              <w:t>אוסמאמא אבו לקימה</w:t>
            </w:r>
            <w:r w:rsidRPr="00EC6A30">
              <w:rPr>
                <w:rFonts w:ascii="Arial" w:hAnsi="Arial" w:hint="cs"/>
                <w:b/>
                <w:bCs/>
                <w:sz w:val="26"/>
                <w:szCs w:val="26"/>
                <w:rtl/>
              </w:rPr>
              <w:t xml:space="preserve">-בעצמו </w:t>
            </w:r>
          </w:p>
          <w:p w14:paraId="24EA2B2E" w14:textId="77777777" w:rsidR="00162FC0" w:rsidRPr="00EC6A30" w:rsidRDefault="00162FC0" w:rsidP="00162FC0">
            <w:pPr>
              <w:suppressLineNumbers/>
              <w:rPr>
                <w:b/>
                <w:bCs/>
              </w:rPr>
            </w:pPr>
            <w:r w:rsidRPr="00EC6A30">
              <w:rPr>
                <w:rFonts w:ascii="Arial" w:hAnsi="Arial"/>
                <w:b/>
                <w:bCs/>
                <w:sz w:val="26"/>
                <w:szCs w:val="26"/>
                <w:rtl/>
              </w:rPr>
              <w:t>ע"י ב"כ עוה"ד</w:t>
            </w:r>
            <w:r w:rsidRPr="00EC6A30">
              <w:rPr>
                <w:rFonts w:ascii="Arial" w:hAnsi="Arial" w:hint="cs"/>
                <w:b/>
                <w:bCs/>
                <w:sz w:val="26"/>
                <w:szCs w:val="26"/>
                <w:rtl/>
              </w:rPr>
              <w:t xml:space="preserve"> פאולה ברוש</w:t>
            </w:r>
          </w:p>
        </w:tc>
      </w:tr>
    </w:tbl>
    <w:p w14:paraId="4EE0E124" w14:textId="77777777" w:rsidR="007812E5" w:rsidRDefault="007812E5" w:rsidP="00EC6A30">
      <w:pPr>
        <w:rPr>
          <w:sz w:val="26"/>
          <w:szCs w:val="26"/>
          <w:rtl/>
        </w:rPr>
      </w:pPr>
    </w:p>
    <w:p w14:paraId="2429F912" w14:textId="77777777" w:rsidR="007812E5" w:rsidRPr="007812E5" w:rsidRDefault="007812E5" w:rsidP="007812E5">
      <w:pPr>
        <w:spacing w:after="120" w:line="240" w:lineRule="exact"/>
        <w:ind w:left="283" w:hanging="283"/>
        <w:jc w:val="both"/>
        <w:rPr>
          <w:rFonts w:ascii="FrankRuehl" w:hAnsi="FrankRuehl" w:cs="FrankRuehl"/>
          <w:rtl/>
        </w:rPr>
      </w:pPr>
    </w:p>
    <w:p w14:paraId="7944FCF4" w14:textId="77777777" w:rsidR="00405753" w:rsidRPr="00405753" w:rsidRDefault="00405753" w:rsidP="00405753">
      <w:pPr>
        <w:spacing w:before="120" w:after="120" w:line="240" w:lineRule="exact"/>
        <w:ind w:left="283" w:hanging="283"/>
        <w:jc w:val="both"/>
        <w:rPr>
          <w:rFonts w:ascii="FrankRuehl" w:hAnsi="FrankRuehl" w:cs="FrankRuehl"/>
          <w:rtl/>
        </w:rPr>
      </w:pPr>
    </w:p>
    <w:p w14:paraId="66A91F8A" w14:textId="77777777" w:rsidR="00D42509" w:rsidRDefault="00D42509" w:rsidP="00D42509">
      <w:pPr>
        <w:rPr>
          <w:sz w:val="26"/>
          <w:szCs w:val="26"/>
          <w:rtl/>
        </w:rPr>
      </w:pPr>
      <w:bookmarkStart w:id="3" w:name="LawTable"/>
      <w:bookmarkEnd w:id="3"/>
    </w:p>
    <w:p w14:paraId="012BD790" w14:textId="77777777" w:rsidR="00D42509" w:rsidRPr="00D42509" w:rsidRDefault="00D42509" w:rsidP="00D42509">
      <w:pPr>
        <w:spacing w:before="120" w:after="120" w:line="240" w:lineRule="exact"/>
        <w:ind w:left="283" w:hanging="283"/>
        <w:jc w:val="both"/>
        <w:rPr>
          <w:rFonts w:ascii="FrankRuehl" w:hAnsi="FrankRuehl" w:cs="FrankRuehl"/>
          <w:rtl/>
        </w:rPr>
      </w:pPr>
    </w:p>
    <w:p w14:paraId="09F96E68" w14:textId="77777777" w:rsidR="00D42509" w:rsidRPr="00D42509" w:rsidRDefault="00D42509" w:rsidP="00D42509">
      <w:pPr>
        <w:spacing w:before="120" w:after="120" w:line="240" w:lineRule="exact"/>
        <w:ind w:left="283" w:hanging="283"/>
        <w:jc w:val="both"/>
        <w:rPr>
          <w:rFonts w:ascii="FrankRuehl" w:hAnsi="FrankRuehl" w:cs="FrankRuehl"/>
          <w:rtl/>
        </w:rPr>
      </w:pPr>
    </w:p>
    <w:p w14:paraId="410D3D03" w14:textId="77777777" w:rsidR="00D42509" w:rsidRPr="00D42509" w:rsidRDefault="00D42509" w:rsidP="00D42509">
      <w:pPr>
        <w:spacing w:before="120" w:after="120" w:line="240" w:lineRule="exact"/>
        <w:ind w:left="283" w:hanging="283"/>
        <w:jc w:val="both"/>
        <w:rPr>
          <w:rFonts w:ascii="FrankRuehl" w:hAnsi="FrankRuehl" w:cs="FrankRuehl"/>
          <w:rtl/>
        </w:rPr>
      </w:pPr>
      <w:r w:rsidRPr="00D42509">
        <w:rPr>
          <w:rFonts w:ascii="FrankRuehl" w:hAnsi="FrankRuehl" w:cs="FrankRuehl"/>
          <w:rtl/>
        </w:rPr>
        <w:t xml:space="preserve">חקיקה שאוזכרה: </w:t>
      </w:r>
    </w:p>
    <w:p w14:paraId="33EA6808" w14:textId="77777777" w:rsidR="00D42509" w:rsidRPr="00D42509" w:rsidRDefault="00D42509" w:rsidP="00D42509">
      <w:pPr>
        <w:spacing w:before="120" w:after="120" w:line="240" w:lineRule="exact"/>
        <w:ind w:left="283" w:hanging="283"/>
        <w:jc w:val="both"/>
        <w:rPr>
          <w:rFonts w:ascii="FrankRuehl" w:hAnsi="FrankRuehl" w:cs="FrankRuehl"/>
          <w:rtl/>
        </w:rPr>
      </w:pPr>
      <w:hyperlink r:id="rId7" w:history="1">
        <w:r w:rsidRPr="00D42509">
          <w:rPr>
            <w:rFonts w:ascii="FrankRuehl" w:hAnsi="FrankRuehl" w:cs="FrankRuehl"/>
            <w:color w:val="0000FF"/>
            <w:rtl/>
          </w:rPr>
          <w:t>פקודת הסמים המסוכנים [נוסח חדש], תשל"ג-1973</w:t>
        </w:r>
      </w:hyperlink>
      <w:r w:rsidRPr="00D42509">
        <w:rPr>
          <w:rFonts w:ascii="FrankRuehl" w:hAnsi="FrankRuehl" w:cs="FrankRuehl"/>
          <w:rtl/>
        </w:rPr>
        <w:t xml:space="preserve">: סע'  </w:t>
      </w:r>
      <w:hyperlink r:id="rId8" w:history="1">
        <w:r w:rsidRPr="00D42509">
          <w:rPr>
            <w:rFonts w:ascii="FrankRuehl" w:hAnsi="FrankRuehl" w:cs="FrankRuehl"/>
            <w:color w:val="0000FF"/>
            <w:rtl/>
          </w:rPr>
          <w:t>7(א)</w:t>
        </w:r>
      </w:hyperlink>
      <w:r w:rsidRPr="00D42509">
        <w:rPr>
          <w:rFonts w:ascii="FrankRuehl" w:hAnsi="FrankRuehl" w:cs="FrankRuehl"/>
          <w:rtl/>
        </w:rPr>
        <w:t xml:space="preserve">, </w:t>
      </w:r>
      <w:hyperlink r:id="rId9" w:history="1">
        <w:r w:rsidRPr="00D42509">
          <w:rPr>
            <w:rFonts w:ascii="FrankRuehl" w:hAnsi="FrankRuehl" w:cs="FrankRuehl"/>
            <w:color w:val="0000FF"/>
            <w:rtl/>
          </w:rPr>
          <w:t>7(ג)</w:t>
        </w:r>
      </w:hyperlink>
    </w:p>
    <w:p w14:paraId="42A5C516" w14:textId="77777777" w:rsidR="00D42509" w:rsidRPr="00D42509" w:rsidRDefault="00D42509" w:rsidP="00D42509">
      <w:pPr>
        <w:spacing w:before="120" w:after="120" w:line="240" w:lineRule="exact"/>
        <w:ind w:left="283" w:hanging="283"/>
        <w:jc w:val="both"/>
        <w:rPr>
          <w:rFonts w:ascii="FrankRuehl" w:hAnsi="FrankRuehl" w:cs="FrankRuehl"/>
          <w:rtl/>
        </w:rPr>
      </w:pPr>
      <w:hyperlink r:id="rId10" w:history="1">
        <w:r w:rsidRPr="00D42509">
          <w:rPr>
            <w:rFonts w:ascii="FrankRuehl" w:hAnsi="FrankRuehl" w:cs="FrankRuehl"/>
            <w:color w:val="0000FF"/>
            <w:rtl/>
          </w:rPr>
          <w:t>חוק העונשין, תשל"ז-1977</w:t>
        </w:r>
      </w:hyperlink>
      <w:r w:rsidRPr="00D42509">
        <w:rPr>
          <w:rFonts w:ascii="FrankRuehl" w:hAnsi="FrankRuehl" w:cs="FrankRuehl"/>
          <w:rtl/>
        </w:rPr>
        <w:t xml:space="preserve">: סע'  </w:t>
      </w:r>
      <w:hyperlink r:id="rId11" w:history="1">
        <w:r w:rsidRPr="00D42509">
          <w:rPr>
            <w:rFonts w:ascii="FrankRuehl" w:hAnsi="FrankRuehl" w:cs="FrankRuehl"/>
            <w:color w:val="0000FF"/>
            <w:rtl/>
          </w:rPr>
          <w:t>28</w:t>
        </w:r>
      </w:hyperlink>
      <w:r w:rsidRPr="00D42509">
        <w:rPr>
          <w:rFonts w:ascii="FrankRuehl" w:hAnsi="FrankRuehl" w:cs="FrankRuehl"/>
          <w:rtl/>
        </w:rPr>
        <w:t xml:space="preserve">, </w:t>
      </w:r>
      <w:hyperlink r:id="rId12" w:history="1">
        <w:r w:rsidRPr="00D42509">
          <w:rPr>
            <w:rFonts w:ascii="FrankRuehl" w:hAnsi="FrankRuehl" w:cs="FrankRuehl"/>
            <w:color w:val="0000FF"/>
            <w:rtl/>
          </w:rPr>
          <w:t>40 ט'</w:t>
        </w:r>
      </w:hyperlink>
      <w:r w:rsidRPr="00D42509">
        <w:rPr>
          <w:rFonts w:ascii="FrankRuehl" w:hAnsi="FrankRuehl" w:cs="FrankRuehl"/>
          <w:rtl/>
        </w:rPr>
        <w:t xml:space="preserve">, </w:t>
      </w:r>
      <w:hyperlink r:id="rId13" w:history="1">
        <w:r w:rsidRPr="00D42509">
          <w:rPr>
            <w:rFonts w:ascii="FrankRuehl" w:hAnsi="FrankRuehl" w:cs="FrankRuehl"/>
            <w:color w:val="0000FF"/>
            <w:rtl/>
          </w:rPr>
          <w:t>71א</w:t>
        </w:r>
      </w:hyperlink>
      <w:r w:rsidRPr="00D42509">
        <w:rPr>
          <w:rFonts w:ascii="FrankRuehl" w:hAnsi="FrankRuehl" w:cs="FrankRuehl"/>
          <w:rtl/>
        </w:rPr>
        <w:t xml:space="preserve">, </w:t>
      </w:r>
      <w:hyperlink r:id="rId14" w:history="1">
        <w:r w:rsidRPr="00D42509">
          <w:rPr>
            <w:rFonts w:ascii="FrankRuehl" w:hAnsi="FrankRuehl" w:cs="FrankRuehl"/>
            <w:color w:val="0000FF"/>
            <w:rtl/>
          </w:rPr>
          <w:t>275</w:t>
        </w:r>
      </w:hyperlink>
    </w:p>
    <w:p w14:paraId="6C86B016" w14:textId="77777777" w:rsidR="00D42509" w:rsidRPr="00D42509" w:rsidRDefault="00D42509" w:rsidP="00D42509">
      <w:pPr>
        <w:spacing w:before="120" w:after="120" w:line="240" w:lineRule="exact"/>
        <w:ind w:left="283" w:hanging="283"/>
        <w:jc w:val="both"/>
        <w:rPr>
          <w:rFonts w:ascii="FrankRuehl" w:hAnsi="FrankRuehl" w:cs="FrankRuehl"/>
          <w:rtl/>
        </w:rPr>
      </w:pPr>
      <w:hyperlink r:id="rId15" w:history="1">
        <w:r w:rsidRPr="00D42509">
          <w:rPr>
            <w:rFonts w:ascii="FrankRuehl" w:hAnsi="FrankRuehl" w:cs="FrankRuehl"/>
            <w:color w:val="0000FF"/>
            <w:rtl/>
          </w:rPr>
          <w:t>חוק סדר הדין הפלילי [נוסח משולב], תשמ"ב-1982</w:t>
        </w:r>
      </w:hyperlink>
      <w:r w:rsidRPr="00D42509">
        <w:rPr>
          <w:rFonts w:ascii="FrankRuehl" w:hAnsi="FrankRuehl" w:cs="FrankRuehl"/>
          <w:rtl/>
        </w:rPr>
        <w:t xml:space="preserve">: סע'  </w:t>
      </w:r>
      <w:hyperlink r:id="rId16" w:history="1">
        <w:r w:rsidRPr="00D42509">
          <w:rPr>
            <w:rFonts w:ascii="FrankRuehl" w:hAnsi="FrankRuehl" w:cs="FrankRuehl"/>
            <w:color w:val="0000FF"/>
            <w:rtl/>
          </w:rPr>
          <w:t>192א</w:t>
        </w:r>
      </w:hyperlink>
    </w:p>
    <w:p w14:paraId="061E26B2" w14:textId="77777777" w:rsidR="00D42509" w:rsidRPr="00D42509" w:rsidRDefault="00D42509" w:rsidP="00D42509">
      <w:pPr>
        <w:spacing w:before="120" w:after="120" w:line="240" w:lineRule="exact"/>
        <w:ind w:left="283" w:hanging="283"/>
        <w:jc w:val="both"/>
        <w:rPr>
          <w:rFonts w:ascii="FrankRuehl" w:hAnsi="FrankRuehl" w:cs="FrankRuehl"/>
          <w:rtl/>
        </w:rPr>
      </w:pPr>
      <w:hyperlink r:id="rId17" w:history="1">
        <w:r w:rsidRPr="00D42509">
          <w:rPr>
            <w:rFonts w:ascii="FrankRuehl" w:hAnsi="FrankRuehl" w:cs="FrankRuehl"/>
            <w:color w:val="0000FF"/>
            <w:rtl/>
          </w:rPr>
          <w:t>פקודת המבחן [נוסח חדש], תשכ"ט-1969</w:t>
        </w:r>
      </w:hyperlink>
      <w:r w:rsidRPr="00D42509">
        <w:rPr>
          <w:rFonts w:ascii="FrankRuehl" w:hAnsi="FrankRuehl" w:cs="FrankRuehl"/>
          <w:rtl/>
        </w:rPr>
        <w:t xml:space="preserve">: סע'  </w:t>
      </w:r>
      <w:hyperlink r:id="rId18" w:history="1">
        <w:r w:rsidRPr="00D42509">
          <w:rPr>
            <w:rFonts w:ascii="FrankRuehl" w:hAnsi="FrankRuehl" w:cs="FrankRuehl"/>
            <w:color w:val="0000FF"/>
            <w:rtl/>
          </w:rPr>
          <w:t>1(2)</w:t>
        </w:r>
      </w:hyperlink>
    </w:p>
    <w:p w14:paraId="4DBF20F4" w14:textId="77777777" w:rsidR="00D42509" w:rsidRPr="00D42509" w:rsidRDefault="00D42509" w:rsidP="00D42509">
      <w:pPr>
        <w:rPr>
          <w:sz w:val="26"/>
          <w:szCs w:val="26"/>
          <w:rtl/>
        </w:rPr>
      </w:pPr>
      <w:bookmarkStart w:id="4" w:name="LawTable_End"/>
      <w:bookmarkEnd w:id="4"/>
    </w:p>
    <w:p w14:paraId="38600383" w14:textId="77777777" w:rsidR="00162FC0" w:rsidRPr="00405753" w:rsidRDefault="00162FC0" w:rsidP="0040575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2FC0" w14:paraId="2CE56526" w14:textId="77777777" w:rsidTr="00162FC0">
        <w:trPr>
          <w:trHeight w:val="355"/>
          <w:jc w:val="center"/>
        </w:trPr>
        <w:tc>
          <w:tcPr>
            <w:tcW w:w="8820" w:type="dxa"/>
            <w:tcBorders>
              <w:top w:val="nil"/>
              <w:left w:val="nil"/>
              <w:bottom w:val="nil"/>
              <w:right w:val="nil"/>
            </w:tcBorders>
            <w:shd w:val="clear" w:color="auto" w:fill="auto"/>
          </w:tcPr>
          <w:p w14:paraId="56738E62" w14:textId="77777777" w:rsidR="00EC6A30" w:rsidRPr="00EC6A30" w:rsidRDefault="00EC6A30" w:rsidP="00EC6A30">
            <w:pPr>
              <w:jc w:val="center"/>
              <w:rPr>
                <w:rFonts w:ascii="David" w:hAnsi="David"/>
                <w:b/>
                <w:bCs/>
                <w:sz w:val="32"/>
                <w:szCs w:val="32"/>
                <w:u w:val="single"/>
                <w:rtl/>
              </w:rPr>
            </w:pPr>
            <w:bookmarkStart w:id="5" w:name="PsakDin" w:colFirst="0" w:colLast="0"/>
            <w:bookmarkEnd w:id="0"/>
            <w:r w:rsidRPr="00EC6A30">
              <w:rPr>
                <w:rFonts w:ascii="David" w:hAnsi="David"/>
                <w:b/>
                <w:bCs/>
                <w:sz w:val="32"/>
                <w:szCs w:val="32"/>
                <w:u w:val="single"/>
                <w:rtl/>
              </w:rPr>
              <w:t>גזר דין</w:t>
            </w:r>
          </w:p>
          <w:p w14:paraId="2A2A1E9E" w14:textId="77777777" w:rsidR="00162FC0" w:rsidRPr="00EC6A30" w:rsidRDefault="00162FC0" w:rsidP="00EC6A30">
            <w:pPr>
              <w:jc w:val="center"/>
              <w:rPr>
                <w:rFonts w:ascii="David" w:hAnsi="David"/>
                <w:bCs/>
                <w:sz w:val="32"/>
                <w:szCs w:val="32"/>
                <w:u w:val="single"/>
                <w:rtl/>
              </w:rPr>
            </w:pPr>
          </w:p>
        </w:tc>
      </w:tr>
      <w:bookmarkEnd w:id="5"/>
    </w:tbl>
    <w:p w14:paraId="77661CCC" w14:textId="77777777" w:rsidR="00162FC0" w:rsidRPr="000F2247" w:rsidRDefault="00162FC0" w:rsidP="00162FC0">
      <w:pPr>
        <w:rPr>
          <w:rFonts w:ascii="Arial" w:hAnsi="Arial"/>
          <w:b/>
          <w:bCs/>
          <w:sz w:val="26"/>
          <w:szCs w:val="26"/>
          <w:rtl/>
        </w:rPr>
      </w:pPr>
    </w:p>
    <w:p w14:paraId="236BAE94" w14:textId="77777777" w:rsidR="00162FC0" w:rsidRPr="000F2247" w:rsidRDefault="00162FC0" w:rsidP="00162FC0">
      <w:pPr>
        <w:rPr>
          <w:rFonts w:ascii="Arial" w:hAnsi="Arial"/>
          <w:b/>
          <w:bCs/>
          <w:sz w:val="26"/>
          <w:szCs w:val="26"/>
          <w:rtl/>
        </w:rPr>
      </w:pPr>
    </w:p>
    <w:p w14:paraId="75152FF7" w14:textId="77777777" w:rsidR="00162FC0" w:rsidRDefault="00162FC0" w:rsidP="00162FC0">
      <w:pPr>
        <w:spacing w:line="360" w:lineRule="auto"/>
        <w:jc w:val="both"/>
        <w:rPr>
          <w:rFonts w:ascii="David" w:hAnsi="David"/>
          <w:b/>
          <w:bCs/>
          <w:u w:val="single"/>
        </w:rPr>
      </w:pPr>
      <w:r>
        <w:rPr>
          <w:rFonts w:ascii="David" w:hAnsi="David"/>
          <w:b/>
          <w:bCs/>
          <w:u w:val="single"/>
          <w:rtl/>
        </w:rPr>
        <w:t>רקע עובדתי</w:t>
      </w:r>
    </w:p>
    <w:p w14:paraId="48DE0C84" w14:textId="77777777" w:rsidR="00162FC0" w:rsidRDefault="00162FC0" w:rsidP="00162FC0">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במסגרת הסדר אליו הגיעו הצדדים ביום 20.7.2022, הנאשם הודה בעובדות כתב האישום המתוקן והורשע בעבירות של </w:t>
      </w:r>
      <w:r>
        <w:rPr>
          <w:rFonts w:ascii="David" w:hAnsi="David" w:cs="David"/>
          <w:b/>
          <w:bCs/>
          <w:sz w:val="24"/>
          <w:szCs w:val="24"/>
          <w:rtl/>
        </w:rPr>
        <w:t>החזקת סמים שלא לצריכה עצמית</w:t>
      </w:r>
      <w:r>
        <w:rPr>
          <w:rFonts w:ascii="David" w:hAnsi="David" w:cs="David"/>
          <w:sz w:val="24"/>
          <w:szCs w:val="24"/>
          <w:rtl/>
        </w:rPr>
        <w:t xml:space="preserve"> לפי </w:t>
      </w:r>
      <w:hyperlink r:id="rId19" w:history="1">
        <w:r w:rsidR="007812E5" w:rsidRPr="007812E5">
          <w:rPr>
            <w:rStyle w:val="Hyperlink"/>
            <w:rFonts w:ascii="David" w:hAnsi="David" w:cs="David"/>
            <w:sz w:val="24"/>
            <w:szCs w:val="24"/>
            <w:rtl/>
          </w:rPr>
          <w:t>סעיף 7(א)</w:t>
        </w:r>
      </w:hyperlink>
      <w:r>
        <w:rPr>
          <w:rFonts w:ascii="David" w:hAnsi="David" w:cs="David"/>
          <w:sz w:val="24"/>
          <w:szCs w:val="24"/>
          <w:rtl/>
        </w:rPr>
        <w:t xml:space="preserve"> + </w:t>
      </w:r>
      <w:hyperlink r:id="rId20" w:history="1">
        <w:r w:rsidR="007812E5" w:rsidRPr="007812E5">
          <w:rPr>
            <w:rStyle w:val="Hyperlink"/>
            <w:rFonts w:ascii="David" w:hAnsi="David" w:cs="David"/>
            <w:sz w:val="24"/>
            <w:szCs w:val="24"/>
            <w:rtl/>
          </w:rPr>
          <w:t>7(ג)</w:t>
        </w:r>
      </w:hyperlink>
      <w:r>
        <w:rPr>
          <w:rFonts w:ascii="David" w:hAnsi="David" w:cs="David"/>
          <w:sz w:val="24"/>
          <w:szCs w:val="24"/>
          <w:rtl/>
        </w:rPr>
        <w:t xml:space="preserve"> רישא ל</w:t>
      </w:r>
      <w:hyperlink r:id="rId21" w:history="1">
        <w:r w:rsidR="00EC6A30" w:rsidRPr="00EC6A30">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w:t>
      </w:r>
      <w:r>
        <w:rPr>
          <w:rFonts w:ascii="David" w:hAnsi="David" w:cs="David"/>
          <w:b/>
          <w:bCs/>
          <w:sz w:val="24"/>
          <w:szCs w:val="24"/>
          <w:rtl/>
        </w:rPr>
        <w:t>והפרעה לשוטר במילוי תפקידו</w:t>
      </w:r>
      <w:r>
        <w:rPr>
          <w:rFonts w:ascii="David" w:hAnsi="David" w:cs="David"/>
          <w:sz w:val="24"/>
          <w:szCs w:val="24"/>
          <w:rtl/>
        </w:rPr>
        <w:t xml:space="preserve"> לפי </w:t>
      </w:r>
      <w:hyperlink r:id="rId22" w:history="1">
        <w:r w:rsidR="007812E5" w:rsidRPr="007812E5">
          <w:rPr>
            <w:rStyle w:val="Hyperlink"/>
            <w:rFonts w:ascii="David" w:hAnsi="David" w:cs="David"/>
            <w:sz w:val="24"/>
            <w:szCs w:val="24"/>
            <w:rtl/>
          </w:rPr>
          <w:t>סעיף 275</w:t>
        </w:r>
      </w:hyperlink>
      <w:r>
        <w:rPr>
          <w:rFonts w:ascii="David" w:hAnsi="David" w:cs="David"/>
          <w:sz w:val="24"/>
          <w:szCs w:val="24"/>
          <w:rtl/>
        </w:rPr>
        <w:t xml:space="preserve"> ל</w:t>
      </w:r>
      <w:hyperlink r:id="rId23" w:history="1">
        <w:r w:rsidR="00EC6A30" w:rsidRPr="00EC6A30">
          <w:rPr>
            <w:rFonts w:ascii="David" w:hAnsi="David" w:cs="David"/>
            <w:color w:val="0000FF"/>
            <w:sz w:val="24"/>
            <w:szCs w:val="24"/>
            <w:u w:val="single"/>
            <w:rtl/>
          </w:rPr>
          <w:t>חוק העונשין</w:t>
        </w:r>
      </w:hyperlink>
      <w:r>
        <w:rPr>
          <w:rFonts w:ascii="David" w:hAnsi="David" w:cs="David"/>
          <w:sz w:val="24"/>
          <w:szCs w:val="24"/>
          <w:rtl/>
        </w:rPr>
        <w:t>, תשל"ז – 1977.</w:t>
      </w:r>
    </w:p>
    <w:p w14:paraId="0993127A" w14:textId="77777777" w:rsidR="00162FC0" w:rsidRDefault="00162FC0" w:rsidP="00162FC0">
      <w:pPr>
        <w:pStyle w:val="aa"/>
        <w:spacing w:line="360" w:lineRule="auto"/>
        <w:jc w:val="both"/>
        <w:rPr>
          <w:rFonts w:ascii="David" w:hAnsi="David" w:cs="David"/>
          <w:sz w:val="24"/>
          <w:szCs w:val="24"/>
        </w:rPr>
      </w:pPr>
      <w:bookmarkStart w:id="7" w:name="ABSTRACT_END"/>
      <w:bookmarkEnd w:id="7"/>
    </w:p>
    <w:p w14:paraId="6A3882B9" w14:textId="77777777" w:rsidR="00162FC0" w:rsidRDefault="00162FC0" w:rsidP="00162FC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בהתאם לעובדות כתב האישום המתוקן, ביום 25.11.2018 בשעת ערב בתחנת דלק סונול, ליד משרד הרישוי בבאר שבע, החזיק הנאשם ברכבו סם מסוכן מסוג קנבוס במשקל של 550 גרם שלא לצריכתו העצמית. במעמד זה, הגיעו שוטרים לתחנת הדלק והבחינו ברכב </w:t>
      </w:r>
      <w:r>
        <w:rPr>
          <w:rFonts w:ascii="David" w:hAnsi="David" w:cs="David"/>
          <w:sz w:val="24"/>
          <w:szCs w:val="24"/>
          <w:rtl/>
        </w:rPr>
        <w:lastRenderedPageBreak/>
        <w:t>המונע ובנאשם עומד ליד עמדת התדלוק. משהבחין הנאשם בשוטרים רץ בחזרה לרכב והחל בנסיעה לכיוון כביש 25, תוך שהשוטרים דולקים אחריו עם אורות מהבהבים וכורזים לו לעצור את הרכב, אך הנאשם לא עצר והמשיך בנסיעה. במהלך המרדף איבדו השוטרים קשר עין עם הנאשם ובעת שנסעו על הכביש הראשי ביישוב שגב שלום, הגיח הנאשם עם הרכב מאחוריהם, עצר את רכבו ליד ניידת המשטרה והסגיר עצמו לשוטרים.</w:t>
      </w:r>
    </w:p>
    <w:p w14:paraId="14FBDA16" w14:textId="77777777" w:rsidR="00162FC0" w:rsidRDefault="00162FC0" w:rsidP="00162FC0">
      <w:pPr>
        <w:pStyle w:val="aa"/>
        <w:spacing w:line="360" w:lineRule="auto"/>
        <w:jc w:val="both"/>
        <w:rPr>
          <w:rFonts w:ascii="David" w:hAnsi="David" w:cs="David"/>
          <w:sz w:val="24"/>
          <w:szCs w:val="24"/>
        </w:rPr>
      </w:pPr>
    </w:p>
    <w:p w14:paraId="1CEA4088"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במסגרת ההסדר לא הייתה הסכמה עונשית, וסוכם כי הצדדים יטענו באופן פתוח לאחר קבלת תסקיר לבקשת ב"כ הנאשם.</w:t>
      </w:r>
    </w:p>
    <w:p w14:paraId="61BA6045" w14:textId="77777777" w:rsidR="00162FC0" w:rsidRDefault="00162FC0" w:rsidP="00162FC0">
      <w:pPr>
        <w:spacing w:line="360" w:lineRule="auto"/>
        <w:jc w:val="both"/>
        <w:rPr>
          <w:rFonts w:ascii="David" w:hAnsi="David"/>
        </w:rPr>
      </w:pPr>
    </w:p>
    <w:p w14:paraId="460C201E" w14:textId="77777777" w:rsidR="00162FC0" w:rsidRDefault="00162FC0" w:rsidP="00162FC0">
      <w:pPr>
        <w:spacing w:line="360" w:lineRule="auto"/>
        <w:jc w:val="both"/>
        <w:rPr>
          <w:rFonts w:ascii="David" w:hAnsi="David"/>
          <w:rtl/>
        </w:rPr>
      </w:pPr>
      <w:r>
        <w:rPr>
          <w:rFonts w:ascii="David" w:hAnsi="David"/>
          <w:b/>
          <w:bCs/>
          <w:u w:val="single"/>
          <w:rtl/>
        </w:rPr>
        <w:t xml:space="preserve">תסקירי שירות המבחן  </w:t>
      </w:r>
    </w:p>
    <w:p w14:paraId="5A38EBB3" w14:textId="77777777" w:rsidR="00162FC0" w:rsidRDefault="00162FC0" w:rsidP="00162FC0">
      <w:pPr>
        <w:pStyle w:val="aa"/>
        <w:numPr>
          <w:ilvl w:val="0"/>
          <w:numId w:val="1"/>
        </w:numPr>
        <w:spacing w:line="360" w:lineRule="auto"/>
        <w:jc w:val="both"/>
        <w:rPr>
          <w:rFonts w:ascii="David" w:hAnsi="David" w:cs="David"/>
          <w:sz w:val="24"/>
          <w:szCs w:val="24"/>
          <w:rtl/>
        </w:rPr>
      </w:pPr>
      <w:r>
        <w:rPr>
          <w:rFonts w:ascii="David" w:hAnsi="David" w:cs="David"/>
          <w:sz w:val="24"/>
          <w:szCs w:val="24"/>
          <w:rtl/>
        </w:rPr>
        <w:t>בעניינו של הנאשם התקבלו שלושה תסקירים.</w:t>
      </w:r>
    </w:p>
    <w:p w14:paraId="54B712D5" w14:textId="77777777" w:rsidR="00162FC0" w:rsidRDefault="00162FC0" w:rsidP="00162FC0">
      <w:pPr>
        <w:pStyle w:val="aa"/>
        <w:spacing w:line="360" w:lineRule="auto"/>
        <w:jc w:val="both"/>
        <w:rPr>
          <w:rFonts w:ascii="David" w:hAnsi="David" w:cs="David"/>
          <w:sz w:val="24"/>
          <w:szCs w:val="24"/>
        </w:rPr>
      </w:pPr>
    </w:p>
    <w:p w14:paraId="0E5A694C" w14:textId="77777777" w:rsidR="00162FC0" w:rsidRDefault="00162FC0" w:rsidP="00162FC0">
      <w:pPr>
        <w:pStyle w:val="aa"/>
        <w:numPr>
          <w:ilvl w:val="0"/>
          <w:numId w:val="1"/>
        </w:numPr>
        <w:spacing w:line="360" w:lineRule="auto"/>
        <w:jc w:val="both"/>
        <w:rPr>
          <w:rFonts w:ascii="David" w:hAnsi="David" w:cs="David"/>
          <w:sz w:val="24"/>
          <w:szCs w:val="24"/>
        </w:rPr>
      </w:pPr>
      <w:r>
        <w:rPr>
          <w:rFonts w:ascii="David" w:hAnsi="David" w:cs="David"/>
          <w:sz w:val="24"/>
          <w:szCs w:val="24"/>
          <w:rtl/>
        </w:rPr>
        <w:t>מתסקיר שירות המבחן מיום 18.10.2022 עלה כי הנאשם בן 25 נשוי ואב לארבעה ילדים, עובד כשש שנים במפעל "עוף עוז", כיום בתפקיד אחראי מחלקת אחזקה. שירות המבחן התרשם כי הנאשם בעל מערכת ערכים נורמטיבית ויציבות תעסוקתית. הנאשם הודה, וביטא צער ובושה על מעשיו אשר גרמו לפגיעה במשפחתו. מסר כי העבירה בוצעה על רקע חוב שהתקשה להחזיר, ובשל כך הסכים להעביר את חבילת הסמים בתמורה למחיקת החוב. שירות המבחן התרשם מקושי בהפעלת שיקול דעת מעמיק וקבלת החלטות מושכלות תוך בחינת השלכות מעשיו. לצד האמור, ציין שירות המבחן כי מעורבות הנאשם בהליך הפלילי מהווה גורם מרתיע ומציב גבולות עבורו וכי הסיכון להישנות העבירות נמוכה. הנאשם שלל נזקקות טיפולית בתחום הסמים ובהקשר זה ציין שירות המבחן כי בבדיקות שתן שנערכו לנאשם לא נמצאו שרידי סם. הנאשם הביע מוטיבציה לשילובו בקבוצה טיפולית ייעודית להתנהלות תקינה ויציבה. נוכח האמור המליץ שירות המבחן על ענישה שיקומית בדמות צו של"צ והעמדתו בצו מבחן לשילובו בהליך טיפולי בשירות המבחן, ובמרכז "ריאן" לצורך רכישת השכלה. שירות המבחן סבר כי יש מקום לשקול ביטול הרשעת הנאשם בדין, משום שלהתרשמותו אי הרשעת הנאשם חשובה לו מבחינת התדמית העצמית שלו וכי הנאשם חושש כי הרשעתו תפגע באפשרויות תעסוקה עתידיות.</w:t>
      </w:r>
    </w:p>
    <w:p w14:paraId="3D863C03" w14:textId="77777777" w:rsidR="00162FC0" w:rsidRDefault="00162FC0" w:rsidP="00162FC0">
      <w:pPr>
        <w:pStyle w:val="aa"/>
        <w:spacing w:line="360" w:lineRule="auto"/>
        <w:jc w:val="both"/>
        <w:rPr>
          <w:rFonts w:ascii="David" w:hAnsi="David" w:cs="David"/>
          <w:sz w:val="24"/>
          <w:szCs w:val="24"/>
        </w:rPr>
      </w:pPr>
    </w:p>
    <w:p w14:paraId="61B909CB" w14:textId="77777777" w:rsidR="00162FC0" w:rsidRDefault="00162FC0" w:rsidP="00162FC0">
      <w:pPr>
        <w:pStyle w:val="aa"/>
        <w:numPr>
          <w:ilvl w:val="0"/>
          <w:numId w:val="1"/>
        </w:numPr>
        <w:spacing w:line="360" w:lineRule="auto"/>
        <w:jc w:val="both"/>
        <w:rPr>
          <w:rFonts w:ascii="David" w:hAnsi="David" w:cs="David"/>
          <w:sz w:val="24"/>
          <w:szCs w:val="24"/>
        </w:rPr>
      </w:pPr>
      <w:r>
        <w:rPr>
          <w:rFonts w:ascii="David" w:hAnsi="David" w:cs="David"/>
          <w:sz w:val="24"/>
          <w:szCs w:val="24"/>
          <w:rtl/>
        </w:rPr>
        <w:t>מהתסקיר המשלים מיום 29.1.2023 עלה כי בתקופת הדחייה השתתף הנאשם ביום הכנה והכוונה לטיפול קבוצתי. גורמי הטיפול בשירות המבחן דיווחו כי הנאשם שיתף פעולה, גילה הכרה בבעייתיות שבהתנהגותו ולהתרשמותם מתאים לשילוב בקבוצה טיפולית ויוכל להיתרם מהמסגרת. עם זאת, דווח כי הנאשם טרם השתלב בקבוצה טיפולית, בשל עומס אצל שירות המבחן.</w:t>
      </w:r>
    </w:p>
    <w:p w14:paraId="12B98E42" w14:textId="77777777" w:rsidR="00162FC0" w:rsidRDefault="00162FC0" w:rsidP="00162FC0">
      <w:pPr>
        <w:pStyle w:val="aa"/>
        <w:spacing w:line="360" w:lineRule="auto"/>
        <w:jc w:val="both"/>
        <w:rPr>
          <w:rFonts w:ascii="David" w:hAnsi="David" w:cs="David"/>
          <w:sz w:val="24"/>
          <w:szCs w:val="24"/>
        </w:rPr>
      </w:pPr>
    </w:p>
    <w:p w14:paraId="739347D3" w14:textId="77777777" w:rsidR="00162FC0" w:rsidRDefault="00162FC0" w:rsidP="00162FC0">
      <w:pPr>
        <w:pStyle w:val="aa"/>
        <w:numPr>
          <w:ilvl w:val="0"/>
          <w:numId w:val="1"/>
        </w:numPr>
        <w:spacing w:line="360" w:lineRule="auto"/>
        <w:jc w:val="both"/>
        <w:rPr>
          <w:rFonts w:ascii="David" w:hAnsi="David" w:cs="David"/>
          <w:sz w:val="24"/>
          <w:szCs w:val="24"/>
        </w:rPr>
      </w:pPr>
      <w:r>
        <w:rPr>
          <w:rFonts w:ascii="David" w:hAnsi="David" w:cs="David"/>
          <w:sz w:val="24"/>
          <w:szCs w:val="24"/>
          <w:rtl/>
        </w:rPr>
        <w:lastRenderedPageBreak/>
        <w:t>מהתסקיר האחרון מיום 23.4.2023 עלה כי הנאשם צפוי להשתלב בקבוצה הטיפולית בשירות המבחן ביום 9.5.2023. שירות המבחן חזר על המלצתו הסופית לשקול את אי הרשעת הנאשם.</w:t>
      </w:r>
    </w:p>
    <w:p w14:paraId="74375F49" w14:textId="77777777" w:rsidR="00162FC0" w:rsidRDefault="00162FC0" w:rsidP="00162FC0">
      <w:pPr>
        <w:spacing w:line="360" w:lineRule="auto"/>
        <w:jc w:val="both"/>
        <w:rPr>
          <w:rFonts w:ascii="David" w:hAnsi="David"/>
          <w:b/>
          <w:bCs/>
          <w:u w:val="single"/>
        </w:rPr>
      </w:pPr>
      <w:r>
        <w:rPr>
          <w:rFonts w:ascii="David" w:hAnsi="David"/>
          <w:b/>
          <w:bCs/>
          <w:u w:val="single"/>
          <w:rtl/>
        </w:rPr>
        <w:t>טיעוני הצדדים לעונש</w:t>
      </w:r>
    </w:p>
    <w:p w14:paraId="0B4F7A9E" w14:textId="77777777" w:rsidR="00162FC0" w:rsidRDefault="00162FC0" w:rsidP="00162FC0">
      <w:pPr>
        <w:pStyle w:val="aa"/>
        <w:numPr>
          <w:ilvl w:val="0"/>
          <w:numId w:val="1"/>
        </w:numPr>
        <w:spacing w:line="360" w:lineRule="auto"/>
        <w:jc w:val="both"/>
        <w:rPr>
          <w:rFonts w:ascii="David" w:hAnsi="David" w:cs="David"/>
          <w:sz w:val="24"/>
          <w:szCs w:val="24"/>
          <w:rtl/>
        </w:rPr>
      </w:pPr>
      <w:r>
        <w:rPr>
          <w:rFonts w:ascii="David" w:hAnsi="David" w:cs="David"/>
          <w:sz w:val="24"/>
          <w:szCs w:val="24"/>
          <w:rtl/>
        </w:rPr>
        <w:t>בטיעוניה לעונש תיארה ב"כ המאשימה את העבירה שבוצעה על ידי הנאשם, הערכים שנפגעו והפנתה לפסיקה רלוונטית. ציינה כי נסיבות ביצוע העבירה מעידות על התעוזה הרבה של הנאשם, ועתרה למתחם ענישה הנע בין 6-12 חודשי מאסר בפועל. בהתייחסה לתסקיר, הפנתה לחוסר הלימה בין המלצת שירות המבחן לחומרת המעשים המיוחסים לנאשם וביתר שאת כאשר לא החל הליך טיפולי. לטענתה, השתתפותו של הנאשם ביום הכנה אין בה כדי להעיד על מידת שיתוף הפעולה בהליך ארוך ומעמיק. המאשימה עתרה להותיר את ההרשעה על כנה והתנגדה לסטייה ממתחם הענישה, בהיעדר שיקולי שיקום בעניינו. כמו כן, עתרה להשית על הנאשם מאסר בפועל ברף התחתון של המתחם בהיעדר עבר פלילי, לצד מאסר על תנאי, קנס ופסילה בפועל ועל תנאי.</w:t>
      </w:r>
    </w:p>
    <w:p w14:paraId="031FC60F" w14:textId="77777777" w:rsidR="00162FC0" w:rsidRDefault="00162FC0" w:rsidP="00162FC0">
      <w:pPr>
        <w:pStyle w:val="aa"/>
        <w:spacing w:line="360" w:lineRule="auto"/>
        <w:jc w:val="both"/>
        <w:rPr>
          <w:rFonts w:ascii="David" w:hAnsi="David" w:cs="David"/>
          <w:sz w:val="24"/>
          <w:szCs w:val="24"/>
        </w:rPr>
      </w:pPr>
    </w:p>
    <w:p w14:paraId="74FDEBF0" w14:textId="77777777" w:rsidR="00162FC0" w:rsidRDefault="00162FC0" w:rsidP="00162FC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בפתח טיעוניה ציינה ב"כ הנאשם כי מדובר במקרה חריג בנסיבותיו. הפנתה לכך שהנאשם נעדר עבר פלילי, מנהל אורח חיים נורמטיבי ובעל יציבות תעסוקתית. הוסיפה כי מאז ביצוע העבירה לא הסתבך שוב בפלילים. לטענתה, הרקע למעשיו הינו משבר אישי וכלכלי, שעה שהיה נתון תחת לחץ להשבת חוב כספי, אז הסכים להעביר ברכבו סמים שאינם שלו בתמורה למחיקת החוב. ביקשה לתת משקל רב לחרטת הנאשם על מעשיו במהלך האירוע, ובהקשר זה הפנתה לע"פ 27326-12-21. עתרה לסטייה ממתחם העונש ההולם הנע בין מאסר על תנאי ועד מאסר בעבודות שירות, ולבטל את הרשעת הנאשם משיקולי שיקום. הפנתה לפסיקה התומכת בטענותיה. לטענתה, הרשעה תהווה פגיעה קשה בשיקומו של הנאשם, שכן זו אינה מחייבת פגיעה קונקרטית בתעסוקה, אלא יכולה להיות פגיעה רחבה יותר ומתייחסת גם לשאיפותיו להשלים לימודיו, קידום בעבודתו ושילובו בקבוצת טיפול. הוסיפה כי פגיעה בדימויו העצמי ובעיני אחרים חשובה לו בהינתן מעמדו של אביו במגזר. ציינה כי אמנם הנאשם טרם שולב בקבוצה טיפולית בשל העומס הקיים בשירות המבחן, אולם הביע מוטיבציה לשילובו בטיפול, ונמצא בקשר עם שירות המבחן בתקופת הדחיה. </w:t>
      </w:r>
    </w:p>
    <w:p w14:paraId="4C5142C3" w14:textId="77777777" w:rsidR="00162FC0" w:rsidRDefault="00162FC0" w:rsidP="00162FC0">
      <w:pPr>
        <w:pStyle w:val="aa"/>
        <w:spacing w:line="360" w:lineRule="auto"/>
        <w:jc w:val="both"/>
        <w:rPr>
          <w:rFonts w:ascii="David" w:hAnsi="David" w:cs="David"/>
          <w:sz w:val="24"/>
          <w:szCs w:val="24"/>
        </w:rPr>
      </w:pPr>
    </w:p>
    <w:p w14:paraId="647B04E2" w14:textId="77777777" w:rsidR="00162FC0" w:rsidRDefault="00162FC0" w:rsidP="00162FC0">
      <w:pPr>
        <w:pStyle w:val="aa"/>
        <w:numPr>
          <w:ilvl w:val="0"/>
          <w:numId w:val="1"/>
        </w:numPr>
        <w:spacing w:line="360" w:lineRule="auto"/>
        <w:jc w:val="both"/>
        <w:rPr>
          <w:rFonts w:ascii="David" w:hAnsi="David" w:cs="David"/>
          <w:sz w:val="24"/>
          <w:szCs w:val="24"/>
          <w:rtl/>
        </w:rPr>
      </w:pPr>
      <w:r>
        <w:rPr>
          <w:rFonts w:ascii="David" w:hAnsi="David" w:cs="David"/>
          <w:sz w:val="24"/>
          <w:szCs w:val="24"/>
          <w:rtl/>
        </w:rPr>
        <w:t>הנאשם בדבריו הביע צער על מעשיו והוסיף כי לא יחזור על מעשיו.</w:t>
      </w:r>
    </w:p>
    <w:p w14:paraId="5E774E55" w14:textId="77777777" w:rsidR="00162FC0" w:rsidRDefault="00162FC0" w:rsidP="00162FC0">
      <w:pPr>
        <w:spacing w:line="360" w:lineRule="auto"/>
        <w:jc w:val="both"/>
        <w:rPr>
          <w:rFonts w:ascii="David" w:hAnsi="David"/>
          <w:b/>
          <w:bCs/>
          <w:u w:val="single"/>
        </w:rPr>
      </w:pPr>
    </w:p>
    <w:p w14:paraId="2204F2DD" w14:textId="77777777" w:rsidR="00162FC0" w:rsidRDefault="00162FC0" w:rsidP="00162FC0">
      <w:pPr>
        <w:spacing w:line="360" w:lineRule="auto"/>
        <w:jc w:val="both"/>
        <w:rPr>
          <w:rFonts w:ascii="David" w:hAnsi="David"/>
          <w:b/>
          <w:bCs/>
          <w:u w:val="single"/>
          <w:rtl/>
        </w:rPr>
      </w:pPr>
    </w:p>
    <w:p w14:paraId="32E5D5E9" w14:textId="77777777" w:rsidR="00162FC0" w:rsidRDefault="00162FC0" w:rsidP="00162FC0">
      <w:pPr>
        <w:spacing w:line="360" w:lineRule="auto"/>
        <w:jc w:val="both"/>
        <w:rPr>
          <w:rFonts w:ascii="David" w:hAnsi="David"/>
          <w:b/>
          <w:bCs/>
          <w:u w:val="single"/>
          <w:rtl/>
        </w:rPr>
      </w:pPr>
      <w:r>
        <w:rPr>
          <w:rFonts w:ascii="David" w:hAnsi="David"/>
          <w:b/>
          <w:bCs/>
          <w:u w:val="single"/>
          <w:rtl/>
        </w:rPr>
        <w:t>סוגיית אי הרשעה</w:t>
      </w:r>
    </w:p>
    <w:p w14:paraId="364C2C61"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בהתאם </w:t>
      </w:r>
      <w:hyperlink r:id="rId24" w:history="1">
        <w:r w:rsidR="007812E5" w:rsidRPr="007812E5">
          <w:rPr>
            <w:rStyle w:val="Hyperlink"/>
            <w:rFonts w:ascii="David" w:hAnsi="David" w:cs="David"/>
            <w:sz w:val="24"/>
            <w:szCs w:val="24"/>
            <w:rtl/>
          </w:rPr>
          <w:t>לסעיף 192א</w:t>
        </w:r>
      </w:hyperlink>
      <w:r>
        <w:rPr>
          <w:rFonts w:ascii="David" w:hAnsi="David" w:cs="David"/>
          <w:sz w:val="24"/>
          <w:szCs w:val="24"/>
          <w:rtl/>
        </w:rPr>
        <w:t xml:space="preserve"> ל</w:t>
      </w:r>
      <w:hyperlink r:id="rId25" w:history="1">
        <w:r w:rsidR="00EC6A30" w:rsidRPr="00EC6A30">
          <w:rPr>
            <w:rFonts w:ascii="David" w:hAnsi="David" w:cs="David"/>
            <w:color w:val="0000FF"/>
            <w:sz w:val="24"/>
            <w:szCs w:val="24"/>
            <w:u w:val="single"/>
            <w:rtl/>
          </w:rPr>
          <w:t>חוק סדר הדין הפלילי</w:t>
        </w:r>
      </w:hyperlink>
      <w:r>
        <w:rPr>
          <w:rFonts w:ascii="David" w:hAnsi="David" w:cs="David"/>
          <w:sz w:val="24"/>
          <w:szCs w:val="24"/>
          <w:rtl/>
        </w:rPr>
        <w:t xml:space="preserve"> [נוסח משולב], תשמ"ב-1982, </w:t>
      </w:r>
      <w:hyperlink r:id="rId26" w:history="1">
        <w:r w:rsidR="007812E5" w:rsidRPr="007812E5">
          <w:rPr>
            <w:rStyle w:val="Hyperlink"/>
            <w:rFonts w:ascii="David" w:hAnsi="David" w:cs="David"/>
            <w:sz w:val="24"/>
            <w:szCs w:val="24"/>
            <w:rtl/>
          </w:rPr>
          <w:t>לסעיף 1(2)</w:t>
        </w:r>
      </w:hyperlink>
      <w:r>
        <w:rPr>
          <w:rFonts w:ascii="David" w:hAnsi="David" w:cs="David"/>
          <w:sz w:val="24"/>
          <w:szCs w:val="24"/>
          <w:rtl/>
        </w:rPr>
        <w:t xml:space="preserve"> ל</w:t>
      </w:r>
      <w:hyperlink r:id="rId27" w:history="1">
        <w:r w:rsidR="00EC6A30" w:rsidRPr="00EC6A30">
          <w:rPr>
            <w:rFonts w:ascii="David" w:hAnsi="David" w:cs="David"/>
            <w:color w:val="0000FF"/>
            <w:sz w:val="24"/>
            <w:szCs w:val="24"/>
            <w:u w:val="single"/>
            <w:rtl/>
          </w:rPr>
          <w:t>פקודת המבחן</w:t>
        </w:r>
      </w:hyperlink>
      <w:r>
        <w:rPr>
          <w:rFonts w:ascii="David" w:hAnsi="David" w:cs="David"/>
          <w:sz w:val="24"/>
          <w:szCs w:val="24"/>
          <w:rtl/>
        </w:rPr>
        <w:t xml:space="preserve"> [נוסח חדש], תשכ"ט -1969 ולסעיף </w:t>
      </w:r>
      <w:hyperlink r:id="rId28" w:history="1">
        <w:r w:rsidR="007812E5" w:rsidRPr="007812E5">
          <w:rPr>
            <w:rStyle w:val="Hyperlink"/>
            <w:rFonts w:ascii="David" w:hAnsi="David" w:cs="David"/>
            <w:sz w:val="24"/>
            <w:szCs w:val="24"/>
            <w:rtl/>
          </w:rPr>
          <w:t>71א</w:t>
        </w:r>
      </w:hyperlink>
      <w:r>
        <w:rPr>
          <w:rFonts w:ascii="David" w:hAnsi="David" w:cs="David"/>
          <w:sz w:val="24"/>
          <w:szCs w:val="24"/>
          <w:rtl/>
        </w:rPr>
        <w:t xml:space="preserve"> ל</w:t>
      </w:r>
      <w:hyperlink r:id="rId29" w:history="1">
        <w:r w:rsidR="00EC6A30" w:rsidRPr="00EC6A30">
          <w:rPr>
            <w:rFonts w:ascii="David" w:hAnsi="David" w:cs="David"/>
            <w:color w:val="0000FF"/>
            <w:sz w:val="24"/>
            <w:szCs w:val="24"/>
            <w:u w:val="single"/>
            <w:rtl/>
          </w:rPr>
          <w:t>חוק העונשין</w:t>
        </w:r>
      </w:hyperlink>
      <w:r>
        <w:rPr>
          <w:rFonts w:ascii="David" w:hAnsi="David" w:cs="David"/>
          <w:sz w:val="24"/>
          <w:szCs w:val="24"/>
          <w:rtl/>
        </w:rPr>
        <w:t xml:space="preserve">, בית המשפט מוסמך ליתן צו מבחן או צו לשירות לתועלת הציבור, תוך הימנעות מהרשעה.  </w:t>
      </w:r>
    </w:p>
    <w:p w14:paraId="234F4BD3" w14:textId="77777777" w:rsidR="00162FC0" w:rsidRDefault="00162FC0" w:rsidP="00162FC0">
      <w:pPr>
        <w:pStyle w:val="aa"/>
        <w:spacing w:after="0" w:line="360" w:lineRule="auto"/>
        <w:jc w:val="both"/>
        <w:rPr>
          <w:sz w:val="24"/>
          <w:szCs w:val="24"/>
        </w:rPr>
      </w:pPr>
    </w:p>
    <w:p w14:paraId="341C952D"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ב</w:t>
      </w:r>
      <w:hyperlink r:id="rId30" w:history="1">
        <w:r w:rsidR="00EC6A30" w:rsidRPr="00EC6A30">
          <w:rPr>
            <w:rFonts w:ascii="David" w:hAnsi="David" w:cs="David"/>
            <w:color w:val="0000FF"/>
            <w:sz w:val="24"/>
            <w:szCs w:val="24"/>
            <w:u w:val="single"/>
            <w:rtl/>
          </w:rPr>
          <w:t>ע"פ 2083/96</w:t>
        </w:r>
      </w:hyperlink>
      <w:r>
        <w:rPr>
          <w:rFonts w:ascii="David" w:hAnsi="David" w:cs="David"/>
          <w:sz w:val="24"/>
          <w:szCs w:val="24"/>
          <w:rtl/>
        </w:rPr>
        <w:t xml:space="preserve"> </w:t>
      </w:r>
      <w:r>
        <w:rPr>
          <w:rFonts w:ascii="David" w:hAnsi="David" w:cs="David"/>
          <w:b/>
          <w:bCs/>
          <w:sz w:val="24"/>
          <w:szCs w:val="24"/>
          <w:rtl/>
        </w:rPr>
        <w:t>תמר כתב נגד מדינת ישראל</w:t>
      </w:r>
      <w:r>
        <w:rPr>
          <w:rFonts w:ascii="David" w:hAnsi="David" w:cs="David"/>
          <w:sz w:val="24"/>
          <w:szCs w:val="24"/>
          <w:rtl/>
        </w:rPr>
        <w:t>, פ"ד נ"ב (3) 337 (להלן: "</w:t>
      </w:r>
      <w:r>
        <w:rPr>
          <w:rFonts w:ascii="David" w:hAnsi="David" w:cs="David"/>
          <w:b/>
          <w:bCs/>
          <w:sz w:val="24"/>
          <w:szCs w:val="24"/>
          <w:rtl/>
        </w:rPr>
        <w:t>הלכת כתב</w:t>
      </w:r>
      <w:r>
        <w:rPr>
          <w:rFonts w:ascii="David" w:hAnsi="David" w:cs="David"/>
          <w:sz w:val="24"/>
          <w:szCs w:val="24"/>
          <w:rtl/>
        </w:rPr>
        <w:t xml:space="preserve">") נקבע, כי משהוכח ביצועה של עבירה, יש להרשיע את הנאשם, זולת מקרים יוצאי דופן בהם אין יחס סביר בין הנזק הצפוי לנאשם מן ההרשעה לבין חומרתה של העבירה. זאת על מנת שלא לפגוע בחובת מיצוי הדין עם עבריינים (ראו </w:t>
      </w:r>
      <w:hyperlink r:id="rId31" w:history="1">
        <w:r w:rsidR="00EC6A30" w:rsidRPr="00EC6A30">
          <w:rPr>
            <w:rFonts w:ascii="David" w:hAnsi="David" w:cs="David"/>
            <w:color w:val="0000FF"/>
            <w:sz w:val="24"/>
            <w:szCs w:val="24"/>
            <w:u w:val="single"/>
            <w:rtl/>
          </w:rPr>
          <w:t>ע״פ 2669/00</w:t>
        </w:r>
      </w:hyperlink>
      <w:r w:rsidR="00EC6A30">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[פורסם בנבו] (17/08/00)), וכן על מנת שלא לגרום לפגיעה מהותית בעקרון השוויון בפני החוק ובשיקולי ענישה אחרים, ראו</w:t>
      </w:r>
      <w:r w:rsidR="00EC6A30">
        <w:rPr>
          <w:rFonts w:ascii="David" w:hAnsi="David" w:cs="David"/>
          <w:sz w:val="24"/>
          <w:szCs w:val="24"/>
          <w:rtl/>
        </w:rPr>
        <w:t xml:space="preserve"> </w:t>
      </w:r>
      <w:r w:rsidRPr="00EC6A30">
        <w:rPr>
          <w:rFonts w:ascii="David" w:hAnsi="David" w:cs="David"/>
          <w:color w:val="000000"/>
          <w:sz w:val="24"/>
          <w:szCs w:val="24"/>
          <w:rtl/>
        </w:rPr>
        <w:t xml:space="preserve">ע"פ </w:t>
      </w:r>
      <w:hyperlink r:id="rId32" w:history="1">
        <w:r w:rsidR="00405753" w:rsidRPr="00405753">
          <w:rPr>
            <w:rFonts w:ascii="David" w:hAnsi="David" w:cs="David"/>
            <w:color w:val="0000FF"/>
            <w:sz w:val="24"/>
            <w:szCs w:val="24"/>
            <w:u w:val="single"/>
            <w:rtl/>
          </w:rPr>
          <w:t xml:space="preserve">1082/06 </w:t>
        </w:r>
      </w:hyperlink>
      <w:r w:rsidR="00EC6A30">
        <w:rPr>
          <w:rFonts w:ascii="David" w:hAnsi="David" w:cs="David"/>
          <w:sz w:val="24"/>
          <w:szCs w:val="24"/>
          <w:rtl/>
        </w:rPr>
        <w:t xml:space="preserve"> </w:t>
      </w:r>
      <w:r>
        <w:rPr>
          <w:rFonts w:ascii="David" w:hAnsi="David" w:cs="David"/>
          <w:b/>
          <w:bCs/>
          <w:sz w:val="24"/>
          <w:szCs w:val="24"/>
          <w:rtl/>
        </w:rPr>
        <w:t xml:space="preserve">מיכאל שוראקי נ' מדינת ישראל </w:t>
      </w:r>
      <w:r>
        <w:rPr>
          <w:rFonts w:ascii="David" w:hAnsi="David" w:cs="David"/>
          <w:sz w:val="24"/>
          <w:szCs w:val="24"/>
          <w:rtl/>
        </w:rPr>
        <w:t>[פורסם בנבו] (20/06/06).</w:t>
      </w:r>
    </w:p>
    <w:p w14:paraId="4793A9AD" w14:textId="77777777" w:rsidR="00162FC0" w:rsidRDefault="00162FC0" w:rsidP="00162FC0">
      <w:pPr>
        <w:pStyle w:val="aa"/>
        <w:spacing w:after="0" w:line="360" w:lineRule="auto"/>
        <w:ind w:left="360"/>
        <w:jc w:val="both"/>
        <w:rPr>
          <w:rFonts w:ascii="David" w:hAnsi="David" w:cs="David"/>
          <w:sz w:val="24"/>
          <w:szCs w:val="24"/>
          <w:rtl/>
        </w:rPr>
      </w:pPr>
    </w:p>
    <w:p w14:paraId="06E132E2"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הלכה היא כי על המבקש לבטל את הרשעתו, הנטל להוכיח כי מתקיימים בעניינו שני תנאים מצטברים. הראשון, הוא שההרשעה תוביל לפגיעה חמורה בשיקומו. והשני, הוא שסוג העבירה מאפשר בנסיבות המקרה לבטל את ההרשעה מבלי לפגוע באופן מהותי בשיקולי הענישה האחרים וביניהם התועלת שתושג לאינטרס הציבורי-חברתי מההרשעה</w:t>
      </w:r>
      <w:r>
        <w:rPr>
          <w:sz w:val="24"/>
          <w:szCs w:val="24"/>
          <w:rtl/>
        </w:rPr>
        <w:t xml:space="preserve">. </w:t>
      </w:r>
      <w:r>
        <w:rPr>
          <w:rFonts w:ascii="David" w:hAnsi="David" w:cs="David"/>
          <w:sz w:val="24"/>
          <w:szCs w:val="24"/>
          <w:rtl/>
        </w:rPr>
        <w:t xml:space="preserve">(ראו </w:t>
      </w:r>
      <w:hyperlink r:id="rId33" w:history="1">
        <w:r w:rsidR="00EC6A30" w:rsidRPr="00EC6A30">
          <w:rPr>
            <w:rFonts w:ascii="David" w:hAnsi="David" w:cs="David"/>
            <w:color w:val="0000FF"/>
            <w:sz w:val="24"/>
            <w:szCs w:val="24"/>
            <w:u w:val="single"/>
            <w:rtl/>
          </w:rPr>
          <w:t>ע"פ 4318/20</w:t>
        </w:r>
      </w:hyperlink>
      <w:r>
        <w:rPr>
          <w:rFonts w:ascii="David" w:hAnsi="David" w:cs="David"/>
          <w:b/>
          <w:bCs/>
          <w:sz w:val="24"/>
          <w:szCs w:val="24"/>
          <w:rtl/>
        </w:rPr>
        <w:t xml:space="preserve"> מדינת ישראל נ' אלון חסן</w:t>
      </w:r>
      <w:r>
        <w:rPr>
          <w:rFonts w:ascii="David" w:hAnsi="David" w:cs="David"/>
          <w:sz w:val="24"/>
          <w:szCs w:val="24"/>
          <w:rtl/>
        </w:rPr>
        <w:t xml:space="preserve"> [פורסם בנבו] (18/04/21)).</w:t>
      </w:r>
    </w:p>
    <w:p w14:paraId="0869C433" w14:textId="77777777" w:rsidR="00162FC0" w:rsidRDefault="00162FC0" w:rsidP="00162FC0">
      <w:pPr>
        <w:pStyle w:val="aa"/>
        <w:rPr>
          <w:rFonts w:ascii="David" w:hAnsi="David" w:cs="David"/>
          <w:sz w:val="24"/>
          <w:szCs w:val="24"/>
        </w:rPr>
      </w:pPr>
    </w:p>
    <w:p w14:paraId="5C987F90"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בכל הנוגע לתנאי הפגיעה החמורה בשיקום. הרי שטרם בחינת הפגיעה האפשרית בשיקום, יש להידרש לשאלה, אם כלל היה הליך שיקום מוצלח שעלול להיפגע כתוצאה מההרשעה. עיון בתסקירי שירות המבחן מעלה כי מלבד הבעת מוטיבציה מילולית והשתתפות ביום הכנה והכוונה לטיפול, הנאשם טרם החל בהליך שיקומי, בשל העומס הקיים בשירות המבחן. אכן, שירות המבחן התרשם כי ביום ההכנה הנאשם שיתף פעולה ונמצא דומיננטי בשיח הקבוצתי, אולם זה כשלעצמו אינו יכול להעיד על מידת המחויבות להליך ממושך ובוודאי שאינו יכול להעיד על שיקום משמעותי המצדיק הימנעות מהרשעה. לא נעלמה מעיני העובדה כי הנאשם צפוי להשתלב בקבוצה טיפולית ביום 9.5.2023, אולם אינני סבור כי הרשעת הנאשם בדין תפגע פגיעה חמורה בהליך השיקומי אותו צפוי הנאשם לעבור. </w:t>
      </w:r>
    </w:p>
    <w:p w14:paraId="6162A980" w14:textId="77777777" w:rsidR="00162FC0" w:rsidRDefault="00162FC0" w:rsidP="00162FC0">
      <w:pPr>
        <w:spacing w:line="360" w:lineRule="auto"/>
        <w:jc w:val="both"/>
        <w:rPr>
          <w:rFonts w:ascii="David" w:hAnsi="David"/>
        </w:rPr>
      </w:pPr>
    </w:p>
    <w:p w14:paraId="210D8CD0"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זאת ועוד, על המבקש לבטל את הרשעתו להוכיח קיומו של נזק קונקרטי שעלול להיגרם לפרנסתו כתוצאה מהרשעתו. וכך נקבע ב</w:t>
      </w:r>
      <w:hyperlink r:id="rId34" w:history="1">
        <w:r w:rsidR="00EC6A30" w:rsidRPr="00EC6A30">
          <w:rPr>
            <w:rFonts w:ascii="David" w:hAnsi="David" w:cs="David"/>
            <w:color w:val="0000FF"/>
            <w:sz w:val="24"/>
            <w:szCs w:val="24"/>
            <w:u w:val="single"/>
            <w:rtl/>
          </w:rPr>
          <w:t>רע"פ 7224/14</w:t>
        </w:r>
      </w:hyperlink>
      <w:r>
        <w:rPr>
          <w:rFonts w:ascii="David" w:hAnsi="David" w:cs="David"/>
          <w:sz w:val="24"/>
          <w:szCs w:val="24"/>
          <w:rtl/>
        </w:rPr>
        <w:t xml:space="preserve"> </w:t>
      </w:r>
      <w:r>
        <w:rPr>
          <w:rFonts w:ascii="David" w:hAnsi="David" w:cs="David"/>
          <w:b/>
          <w:bCs/>
          <w:sz w:val="24"/>
          <w:szCs w:val="24"/>
          <w:rtl/>
        </w:rPr>
        <w:t>משה פרנסקי נ' מדינת ישראל</w:t>
      </w:r>
      <w:r>
        <w:rPr>
          <w:rFonts w:ascii="David" w:hAnsi="David" w:cs="David"/>
          <w:sz w:val="24"/>
          <w:szCs w:val="24"/>
          <w:rtl/>
        </w:rPr>
        <w:t xml:space="preserve"> [פורסם בנבו] (10/11/14): </w:t>
      </w:r>
      <w:r>
        <w:rPr>
          <w:rFonts w:ascii="David" w:hAnsi="David" w:cs="David"/>
          <w:b/>
          <w:bCs/>
          <w:sz w:val="24"/>
          <w:szCs w:val="24"/>
          <w:rtl/>
        </w:rPr>
        <w:t>"החובה להצביע על קיומו של נזק קונקרטי, מתיישבת עם אופיו המצומצם של החריג שעניינו הימנעות מהרשעה, אשר נועד לחול אך במקרים מיוחדים בהם קיימים טעמים כבדי משקל הנוגעים לצורכי שיקומו של הנאשם</w:t>
      </w:r>
      <w:r>
        <w:rPr>
          <w:rFonts w:ascii="David" w:hAnsi="David" w:cs="David"/>
          <w:sz w:val="24"/>
          <w:szCs w:val="24"/>
          <w:rtl/>
        </w:rPr>
        <w:t>".</w:t>
      </w:r>
    </w:p>
    <w:p w14:paraId="1FDFBDF6" w14:textId="77777777" w:rsidR="00162FC0" w:rsidRDefault="00162FC0" w:rsidP="00162FC0">
      <w:pPr>
        <w:spacing w:line="360" w:lineRule="auto"/>
        <w:jc w:val="both"/>
        <w:rPr>
          <w:rFonts w:ascii="David" w:hAnsi="David"/>
        </w:rPr>
      </w:pPr>
    </w:p>
    <w:p w14:paraId="65875B42" w14:textId="77777777" w:rsidR="00162FC0" w:rsidRDefault="00162FC0" w:rsidP="00162FC0">
      <w:pPr>
        <w:pStyle w:val="aa"/>
        <w:numPr>
          <w:ilvl w:val="0"/>
          <w:numId w:val="1"/>
        </w:numPr>
        <w:spacing w:after="0" w:line="360" w:lineRule="auto"/>
        <w:jc w:val="both"/>
        <w:rPr>
          <w:b/>
          <w:bCs/>
          <w:sz w:val="24"/>
          <w:szCs w:val="24"/>
          <w:rtl/>
        </w:rPr>
      </w:pPr>
      <w:r>
        <w:rPr>
          <w:rFonts w:ascii="David" w:hAnsi="David" w:cs="David"/>
          <w:sz w:val="24"/>
          <w:szCs w:val="24"/>
          <w:rtl/>
        </w:rPr>
        <w:t>לא מצאתי בטיעוני ב"כ הנאשם כל תימוכין לכך שלנאשם ייגרם נזק קונקרטי כתוצאה מהרשעתו. הנאשם עובד כאחראי מחלקת אחזקה במפעל "עוף עוז" וטענת באת כוחו כי הרשעה עלולה לפגוע באפשרויות קידומו בעבודה בעתיד ובשאיפותיו להשלים לימודיו לא נתמכה במסמכים והינה טענה תיאורטית בלבד. הלכה היא כי: "</w:t>
      </w:r>
      <w:r>
        <w:rPr>
          <w:rFonts w:ascii="David" w:hAnsi="David" w:cs="David"/>
          <w:b/>
          <w:bCs/>
          <w:sz w:val="24"/>
          <w:szCs w:val="24"/>
          <w:rtl/>
        </w:rPr>
        <w:t>אין להידרש לאפשרויות תיאורטיות, על פיהן עלול להיגרם נזק כלשהו בעתיד</w:t>
      </w:r>
      <w:r>
        <w:rPr>
          <w:rFonts w:ascii="David" w:hAnsi="David" w:cs="David"/>
          <w:sz w:val="24"/>
          <w:szCs w:val="24"/>
          <w:rtl/>
        </w:rPr>
        <w:t xml:space="preserve">". ובעניין זה ראו </w:t>
      </w:r>
      <w:hyperlink r:id="rId35" w:history="1">
        <w:r w:rsidR="00EC6A30" w:rsidRPr="00EC6A30">
          <w:rPr>
            <w:rFonts w:ascii="David" w:hAnsi="David" w:cs="David"/>
            <w:color w:val="0000FF"/>
            <w:sz w:val="24"/>
            <w:szCs w:val="24"/>
            <w:u w:val="single"/>
            <w:rtl/>
          </w:rPr>
          <w:t>רע"פ 5261/18</w:t>
        </w:r>
      </w:hyperlink>
      <w:r>
        <w:rPr>
          <w:rFonts w:ascii="David" w:hAnsi="David" w:cs="David"/>
          <w:sz w:val="24"/>
          <w:szCs w:val="24"/>
          <w:rtl/>
        </w:rPr>
        <w:t xml:space="preserve"> </w:t>
      </w:r>
      <w:r>
        <w:rPr>
          <w:rFonts w:ascii="David" w:hAnsi="David" w:cs="David"/>
          <w:b/>
          <w:bCs/>
          <w:sz w:val="24"/>
          <w:szCs w:val="24"/>
          <w:rtl/>
        </w:rPr>
        <w:t>דוידוף נ' מדינת ישראל</w:t>
      </w:r>
      <w:r>
        <w:rPr>
          <w:rFonts w:ascii="David" w:hAnsi="David" w:cs="David"/>
          <w:sz w:val="24"/>
          <w:szCs w:val="24"/>
          <w:rtl/>
        </w:rPr>
        <w:t xml:space="preserve"> [פורסם בנבו] (12/07/18) וכן רע"פ </w:t>
      </w:r>
      <w:hyperlink r:id="rId36" w:history="1">
        <w:r w:rsidR="00405753" w:rsidRPr="00405753">
          <w:rPr>
            <w:rFonts w:ascii="David" w:hAnsi="David" w:cs="David"/>
            <w:color w:val="0000FF"/>
            <w:sz w:val="24"/>
            <w:szCs w:val="24"/>
            <w:u w:val="single"/>
            <w:rtl/>
          </w:rPr>
          <w:t xml:space="preserve">54/15 </w:t>
        </w:r>
      </w:hyperlink>
      <w:r>
        <w:rPr>
          <w:rFonts w:ascii="David" w:hAnsi="David" w:cs="David"/>
          <w:sz w:val="24"/>
          <w:szCs w:val="24"/>
          <w:rtl/>
        </w:rPr>
        <w:t xml:space="preserve"> </w:t>
      </w:r>
      <w:r>
        <w:rPr>
          <w:rFonts w:ascii="David" w:hAnsi="David" w:cs="David"/>
          <w:b/>
          <w:bCs/>
          <w:sz w:val="24"/>
          <w:szCs w:val="24"/>
          <w:rtl/>
        </w:rPr>
        <w:t>פלוני</w:t>
      </w:r>
      <w:r>
        <w:rPr>
          <w:rFonts w:ascii="David" w:hAnsi="David" w:cs="David"/>
          <w:sz w:val="24"/>
          <w:szCs w:val="24"/>
          <w:rtl/>
        </w:rPr>
        <w:t xml:space="preserve"> </w:t>
      </w:r>
      <w:r>
        <w:rPr>
          <w:rFonts w:ascii="David" w:hAnsi="David" w:cs="David"/>
          <w:b/>
          <w:bCs/>
          <w:sz w:val="24"/>
          <w:szCs w:val="24"/>
          <w:rtl/>
        </w:rPr>
        <w:t>נ'</w:t>
      </w:r>
      <w:r>
        <w:rPr>
          <w:rFonts w:ascii="David" w:hAnsi="David" w:cs="David"/>
          <w:sz w:val="24"/>
          <w:szCs w:val="24"/>
          <w:rtl/>
        </w:rPr>
        <w:t xml:space="preserve"> </w:t>
      </w:r>
      <w:r>
        <w:rPr>
          <w:rFonts w:ascii="David" w:hAnsi="David" w:cs="David"/>
          <w:b/>
          <w:bCs/>
          <w:sz w:val="24"/>
          <w:szCs w:val="24"/>
          <w:rtl/>
        </w:rPr>
        <w:t>מדינת</w:t>
      </w:r>
      <w:r>
        <w:rPr>
          <w:rFonts w:ascii="David" w:hAnsi="David" w:cs="David"/>
          <w:sz w:val="24"/>
          <w:szCs w:val="24"/>
          <w:rtl/>
        </w:rPr>
        <w:t xml:space="preserve"> </w:t>
      </w:r>
      <w:r>
        <w:rPr>
          <w:rFonts w:ascii="David" w:hAnsi="David" w:cs="David"/>
          <w:b/>
          <w:bCs/>
          <w:sz w:val="24"/>
          <w:szCs w:val="24"/>
          <w:rtl/>
        </w:rPr>
        <w:t>ישראל</w:t>
      </w:r>
      <w:r>
        <w:rPr>
          <w:rFonts w:ascii="David" w:hAnsi="David" w:cs="David"/>
          <w:sz w:val="24"/>
          <w:szCs w:val="24"/>
          <w:rtl/>
        </w:rPr>
        <w:t xml:space="preserve"> [פורסם בנבו] (26/01/15).</w:t>
      </w:r>
    </w:p>
    <w:p w14:paraId="14C4EB77" w14:textId="77777777" w:rsidR="00162FC0" w:rsidRDefault="00162FC0" w:rsidP="00162FC0">
      <w:pPr>
        <w:pStyle w:val="aa"/>
        <w:spacing w:after="0" w:line="360" w:lineRule="auto"/>
        <w:ind w:left="360"/>
        <w:jc w:val="both"/>
        <w:rPr>
          <w:b/>
          <w:bCs/>
          <w:sz w:val="24"/>
          <w:szCs w:val="24"/>
        </w:rPr>
      </w:pPr>
    </w:p>
    <w:p w14:paraId="6189EAB4"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ב</w:t>
      </w:r>
      <w:hyperlink r:id="rId37" w:history="1">
        <w:r w:rsidR="00EC6A30" w:rsidRPr="00EC6A30">
          <w:rPr>
            <w:rFonts w:ascii="David" w:hAnsi="David" w:cs="David"/>
            <w:color w:val="0000FF"/>
            <w:sz w:val="24"/>
            <w:szCs w:val="24"/>
            <w:u w:val="single"/>
            <w:rtl/>
          </w:rPr>
          <w:t>רע"פ 3589/14</w:t>
        </w:r>
      </w:hyperlink>
      <w:r>
        <w:rPr>
          <w:rFonts w:ascii="David" w:hAnsi="David" w:cs="David"/>
          <w:sz w:val="24"/>
          <w:szCs w:val="24"/>
          <w:rtl/>
        </w:rPr>
        <w:t xml:space="preserve"> </w:t>
      </w:r>
      <w:r>
        <w:rPr>
          <w:rFonts w:ascii="David" w:hAnsi="David" w:cs="David"/>
          <w:b/>
          <w:bCs/>
          <w:sz w:val="24"/>
          <w:szCs w:val="24"/>
          <w:rtl/>
        </w:rPr>
        <w:t>שרון לוזון נ' מדינת ישראל</w:t>
      </w:r>
      <w:r>
        <w:rPr>
          <w:rFonts w:ascii="David" w:hAnsi="David" w:cs="David"/>
          <w:sz w:val="24"/>
          <w:szCs w:val="24"/>
          <w:rtl/>
        </w:rPr>
        <w:t xml:space="preserve"> [פורסם בנבו] (10/06/14) חזר בית המשפט העליון על ההלכה הידועה: </w:t>
      </w:r>
      <w:r>
        <w:rPr>
          <w:rFonts w:ascii="David" w:hAnsi="David" w:cs="David"/>
          <w:b/>
          <w:bCs/>
          <w:sz w:val="24"/>
          <w:szCs w:val="24"/>
          <w:rtl/>
        </w:rPr>
        <w:t xml:space="preserve">כי על העותר לאי-הרשעה מוטלת החובה להצביע על כך שהרשעתו תביא לפגיעה קשה וקונקרטית בסיכויי שיקומו, ולתמוך את טענותיו בתשתית ראייתית מתאימה" </w:t>
      </w:r>
    </w:p>
    <w:p w14:paraId="02FDD742" w14:textId="77777777" w:rsidR="00162FC0" w:rsidRDefault="00162FC0" w:rsidP="00162FC0">
      <w:pPr>
        <w:spacing w:line="360" w:lineRule="auto"/>
        <w:jc w:val="both"/>
        <w:rPr>
          <w:rFonts w:ascii="David" w:hAnsi="David"/>
        </w:rPr>
      </w:pPr>
    </w:p>
    <w:p w14:paraId="5F37A69D"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באת כוח הנאשם הפנתה לפסקי דין בהם ביטלו בתי המשפט הרשעות הנאשמים בעבירות סמים. בין השאר הפנתה ל</w:t>
      </w:r>
      <w:hyperlink r:id="rId38" w:history="1">
        <w:r w:rsidR="00EC6A30" w:rsidRPr="00EC6A30">
          <w:rPr>
            <w:rFonts w:ascii="David" w:hAnsi="David" w:cs="David"/>
            <w:color w:val="0000FF"/>
            <w:sz w:val="24"/>
            <w:szCs w:val="24"/>
            <w:u w:val="single"/>
            <w:rtl/>
          </w:rPr>
          <w:t>עפ"ג 53504-01-11</w:t>
        </w:r>
      </w:hyperlink>
      <w:r>
        <w:rPr>
          <w:rFonts w:ascii="David" w:hAnsi="David" w:cs="David"/>
          <w:sz w:val="24"/>
          <w:szCs w:val="24"/>
          <w:rtl/>
        </w:rPr>
        <w:t xml:space="preserve"> </w:t>
      </w:r>
      <w:r>
        <w:rPr>
          <w:rFonts w:ascii="David" w:hAnsi="David" w:cs="David"/>
          <w:b/>
          <w:bCs/>
          <w:sz w:val="24"/>
          <w:szCs w:val="24"/>
          <w:rtl/>
        </w:rPr>
        <w:t>אדם אלון נ' מדינת ישראל</w:t>
      </w:r>
      <w:r>
        <w:rPr>
          <w:rFonts w:ascii="David" w:hAnsi="David" w:cs="David"/>
          <w:sz w:val="24"/>
          <w:szCs w:val="24"/>
          <w:rtl/>
        </w:rPr>
        <w:t xml:space="preserve"> שם ביטל בית המשפט המחוזי את הרשעת הנאשם לאחר שסבר כי כתוצאה מהרשעתו היה צפוי להיגרם נזק חמור שאינו עומד במבחן המידתיות משלא יוכל לייצג את ישראל באולימפיאדה. ברי, כי נסיבותיו של הנאשם שם שונות מאלו של הנאשם שבפנינו. עוד הפנתה ל</w:t>
      </w:r>
      <w:hyperlink r:id="rId39" w:history="1">
        <w:r w:rsidR="00EC6A30" w:rsidRPr="00EC6A30">
          <w:rPr>
            <w:rFonts w:ascii="David" w:hAnsi="David" w:cs="David"/>
            <w:color w:val="0000FF"/>
            <w:sz w:val="24"/>
            <w:szCs w:val="24"/>
            <w:u w:val="single"/>
            <w:rtl/>
          </w:rPr>
          <w:t>ת"פ 72806-02-19</w:t>
        </w:r>
      </w:hyperlink>
      <w:r>
        <w:rPr>
          <w:rFonts w:ascii="David" w:hAnsi="David" w:cs="David"/>
          <w:sz w:val="24"/>
          <w:szCs w:val="24"/>
          <w:rtl/>
        </w:rPr>
        <w:t xml:space="preserve"> </w:t>
      </w:r>
      <w:r>
        <w:rPr>
          <w:rFonts w:ascii="David" w:hAnsi="David" w:cs="David"/>
          <w:b/>
          <w:bCs/>
          <w:sz w:val="24"/>
          <w:szCs w:val="24"/>
          <w:rtl/>
        </w:rPr>
        <w:t>מדינת ישראל נ' טובול</w:t>
      </w:r>
      <w:r>
        <w:rPr>
          <w:rFonts w:ascii="David" w:hAnsi="David" w:cs="David"/>
          <w:sz w:val="24"/>
          <w:szCs w:val="24"/>
          <w:rtl/>
        </w:rPr>
        <w:t xml:space="preserve"> </w:t>
      </w:r>
      <w:r>
        <w:rPr>
          <w:rFonts w:ascii="David" w:hAnsi="David" w:cs="David"/>
          <w:b/>
          <w:bCs/>
          <w:sz w:val="24"/>
          <w:szCs w:val="24"/>
          <w:rtl/>
        </w:rPr>
        <w:t>ואח'</w:t>
      </w:r>
      <w:r>
        <w:rPr>
          <w:rFonts w:ascii="David" w:hAnsi="David" w:cs="David"/>
          <w:sz w:val="24"/>
          <w:szCs w:val="24"/>
          <w:rtl/>
        </w:rPr>
        <w:t xml:space="preserve"> שם הסתפק בית המשפט ב"</w:t>
      </w:r>
      <w:r>
        <w:rPr>
          <w:rFonts w:ascii="David" w:hAnsi="David" w:cs="David"/>
          <w:b/>
          <w:bCs/>
          <w:sz w:val="24"/>
          <w:szCs w:val="24"/>
          <w:rtl/>
        </w:rPr>
        <w:t>פוטנציאל נזק לשיקום"</w:t>
      </w:r>
      <w:r>
        <w:rPr>
          <w:rFonts w:ascii="David" w:hAnsi="David" w:cs="David"/>
          <w:sz w:val="24"/>
          <w:szCs w:val="24"/>
          <w:rtl/>
        </w:rPr>
        <w:t xml:space="preserve"> משהיה הנאשם בעיצומו של לימודי הנדסה והופסק שילובו בשירות מילואים פעיל. </w:t>
      </w:r>
    </w:p>
    <w:p w14:paraId="74FFB23F" w14:textId="77777777" w:rsidR="00162FC0" w:rsidRDefault="00162FC0" w:rsidP="00162FC0">
      <w:pPr>
        <w:pStyle w:val="aa"/>
        <w:rPr>
          <w:rFonts w:ascii="David" w:hAnsi="David" w:cs="David"/>
          <w:sz w:val="24"/>
          <w:szCs w:val="24"/>
        </w:rPr>
      </w:pPr>
    </w:p>
    <w:p w14:paraId="10660A3C"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הנה כי כן, פסקי הדין אליה הפנתה ב"כ הנאשם, רובם במקרים פחות חמורים מענייננו, בהם תוארו נזקים ברמות קונקרטיות משתנות, וחשוב מכך - באף אחד מהם בית המשפט לא ביטל הרשעה בנסיבות בהן לא הוכח פוטנציאל לנזק שייגרם בעקבות ההרשעה. </w:t>
      </w:r>
    </w:p>
    <w:p w14:paraId="35A35047" w14:textId="77777777" w:rsidR="00162FC0" w:rsidRDefault="00162FC0" w:rsidP="00162FC0">
      <w:pPr>
        <w:spacing w:line="360" w:lineRule="auto"/>
        <w:jc w:val="both"/>
        <w:rPr>
          <w:rFonts w:ascii="David" w:hAnsi="David"/>
        </w:rPr>
      </w:pPr>
    </w:p>
    <w:p w14:paraId="554B7B46"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לא אוכל לקבל את הטענה לפיה קיימת בשנים האחרונות מגמה של הגמשה בדרישה לקיומו של נזק קונקרטי. ההלכה בדבר הצורך בקיומו של נזק קונקרטי נקבעה על ידי בית המשפט העליון בפסקי דין רבים והיא עומדת בעינה אף בימינו אנו. ראו למשל </w:t>
      </w:r>
      <w:hyperlink r:id="rId40" w:history="1">
        <w:r w:rsidR="00EC6A30" w:rsidRPr="00EC6A30">
          <w:rPr>
            <w:rFonts w:ascii="David" w:hAnsi="David" w:cs="David"/>
            <w:color w:val="0000FF"/>
            <w:sz w:val="24"/>
            <w:szCs w:val="24"/>
            <w:u w:val="single"/>
            <w:rtl/>
          </w:rPr>
          <w:t>רע"פ 6485/20</w:t>
        </w:r>
      </w:hyperlink>
      <w:r>
        <w:rPr>
          <w:rFonts w:ascii="David" w:hAnsi="David" w:cs="David"/>
          <w:sz w:val="24"/>
          <w:szCs w:val="24"/>
          <w:rtl/>
        </w:rPr>
        <w:t xml:space="preserve"> </w:t>
      </w:r>
      <w:r>
        <w:rPr>
          <w:rFonts w:ascii="David" w:hAnsi="David" w:cs="David"/>
          <w:b/>
          <w:bCs/>
          <w:sz w:val="24"/>
          <w:szCs w:val="24"/>
          <w:rtl/>
        </w:rPr>
        <w:t xml:space="preserve">ביטון נ' מדינת ישראל </w:t>
      </w:r>
      <w:r>
        <w:rPr>
          <w:rFonts w:ascii="David" w:hAnsi="David" w:cs="David"/>
          <w:sz w:val="24"/>
          <w:szCs w:val="24"/>
          <w:rtl/>
        </w:rPr>
        <w:t xml:space="preserve">[פורסם בנבו] (11/01/21), </w:t>
      </w:r>
      <w:hyperlink r:id="rId41" w:history="1">
        <w:r w:rsidR="00EC6A30" w:rsidRPr="00EC6A30">
          <w:rPr>
            <w:rFonts w:ascii="David" w:hAnsi="David" w:cs="David"/>
            <w:color w:val="0000FF"/>
            <w:sz w:val="24"/>
            <w:szCs w:val="24"/>
            <w:u w:val="single"/>
            <w:rtl/>
          </w:rPr>
          <w:t>רע"פ 5018/18</w:t>
        </w:r>
      </w:hyperlink>
      <w:r>
        <w:rPr>
          <w:rFonts w:ascii="David" w:hAnsi="David" w:cs="David"/>
          <w:sz w:val="24"/>
          <w:szCs w:val="24"/>
          <w:rtl/>
        </w:rPr>
        <w:t xml:space="preserve"> </w:t>
      </w:r>
      <w:r>
        <w:rPr>
          <w:rFonts w:ascii="David" w:hAnsi="David" w:cs="David"/>
          <w:b/>
          <w:bCs/>
          <w:sz w:val="24"/>
          <w:szCs w:val="24"/>
          <w:rtl/>
        </w:rPr>
        <w:t>בוזגלו נ' מדינת ישראל</w:t>
      </w:r>
      <w:r>
        <w:rPr>
          <w:rFonts w:ascii="David" w:hAnsi="David" w:cs="David"/>
          <w:sz w:val="24"/>
          <w:szCs w:val="24"/>
          <w:rtl/>
        </w:rPr>
        <w:t xml:space="preserve"> [פורסם בנבו] (21/10/18), </w:t>
      </w:r>
      <w:hyperlink r:id="rId42" w:history="1">
        <w:r w:rsidR="00EC6A30" w:rsidRPr="00EC6A30">
          <w:rPr>
            <w:rFonts w:ascii="David" w:hAnsi="David" w:cs="David"/>
            <w:color w:val="0000FF"/>
            <w:sz w:val="24"/>
            <w:szCs w:val="24"/>
            <w:u w:val="single"/>
            <w:rtl/>
          </w:rPr>
          <w:t>רע"פ 1097/18</w:t>
        </w:r>
      </w:hyperlink>
      <w:r>
        <w:rPr>
          <w:rFonts w:ascii="David" w:hAnsi="David" w:cs="David"/>
          <w:sz w:val="24"/>
          <w:szCs w:val="24"/>
          <w:rtl/>
        </w:rPr>
        <w:t xml:space="preserve"> </w:t>
      </w:r>
      <w:r>
        <w:rPr>
          <w:rFonts w:ascii="David" w:hAnsi="David" w:cs="David"/>
          <w:b/>
          <w:bCs/>
          <w:sz w:val="24"/>
          <w:szCs w:val="24"/>
          <w:rtl/>
        </w:rPr>
        <w:t>בצלאל נ' מדינת ישראל</w:t>
      </w:r>
      <w:r>
        <w:rPr>
          <w:rFonts w:ascii="David" w:hAnsi="David" w:cs="David"/>
          <w:sz w:val="24"/>
          <w:szCs w:val="24"/>
          <w:rtl/>
        </w:rPr>
        <w:t xml:space="preserve"> [פורסם בנבו] (18/04/18), </w:t>
      </w:r>
      <w:hyperlink r:id="rId43" w:history="1">
        <w:r w:rsidR="00EC6A30" w:rsidRPr="00EC6A30">
          <w:rPr>
            <w:rFonts w:ascii="David" w:hAnsi="David" w:cs="David"/>
            <w:color w:val="0000FF"/>
            <w:sz w:val="24"/>
            <w:szCs w:val="24"/>
            <w:u w:val="single"/>
            <w:rtl/>
          </w:rPr>
          <w:t>רע"פ 3589/14</w:t>
        </w:r>
      </w:hyperlink>
      <w:r>
        <w:rPr>
          <w:rFonts w:ascii="David" w:hAnsi="David" w:cs="David"/>
          <w:sz w:val="24"/>
          <w:szCs w:val="24"/>
          <w:rtl/>
        </w:rPr>
        <w:t xml:space="preserve"> </w:t>
      </w:r>
      <w:r>
        <w:rPr>
          <w:rFonts w:ascii="David" w:hAnsi="David" w:cs="David"/>
          <w:b/>
          <w:bCs/>
          <w:sz w:val="24"/>
          <w:szCs w:val="24"/>
          <w:rtl/>
        </w:rPr>
        <w:t>שרון לוזון נ' מדינת ישראל</w:t>
      </w:r>
      <w:r>
        <w:rPr>
          <w:rFonts w:ascii="David" w:hAnsi="David" w:cs="David"/>
          <w:sz w:val="24"/>
          <w:szCs w:val="24"/>
          <w:rtl/>
        </w:rPr>
        <w:t xml:space="preserve"> [פורסם בנבו] (10/06/14), </w:t>
      </w:r>
      <w:hyperlink r:id="rId44" w:history="1">
        <w:r w:rsidR="00EC6A30" w:rsidRPr="00EC6A30">
          <w:rPr>
            <w:rFonts w:ascii="David" w:hAnsi="David" w:cs="David"/>
            <w:color w:val="0000FF"/>
            <w:sz w:val="24"/>
            <w:szCs w:val="24"/>
            <w:u w:val="single"/>
            <w:rtl/>
          </w:rPr>
          <w:t>רע"פ 5860/15</w:t>
        </w:r>
      </w:hyperlink>
      <w:r>
        <w:rPr>
          <w:rFonts w:ascii="David" w:hAnsi="David" w:cs="David"/>
          <w:sz w:val="24"/>
          <w:szCs w:val="24"/>
          <w:rtl/>
        </w:rPr>
        <w:t xml:space="preserve"> </w:t>
      </w:r>
      <w:r>
        <w:rPr>
          <w:rFonts w:ascii="David" w:hAnsi="David" w:cs="David"/>
          <w:b/>
          <w:bCs/>
          <w:sz w:val="24"/>
          <w:szCs w:val="24"/>
          <w:rtl/>
        </w:rPr>
        <w:t xml:space="preserve">פלונית נ' מדינת ישראל </w:t>
      </w:r>
      <w:r>
        <w:rPr>
          <w:rFonts w:ascii="David" w:hAnsi="David" w:cs="David"/>
          <w:sz w:val="24"/>
          <w:szCs w:val="24"/>
          <w:rtl/>
        </w:rPr>
        <w:t xml:space="preserve">[פורסם בנבו] (07/09/15), </w:t>
      </w:r>
      <w:hyperlink r:id="rId45" w:history="1">
        <w:r w:rsidR="00EC6A30" w:rsidRPr="00EC6A30">
          <w:rPr>
            <w:rFonts w:ascii="David" w:hAnsi="David" w:cs="David"/>
            <w:color w:val="0000FF"/>
            <w:sz w:val="24"/>
            <w:szCs w:val="24"/>
            <w:u w:val="single"/>
            <w:rtl/>
          </w:rPr>
          <w:t>רע"פ 7224/14</w:t>
        </w:r>
      </w:hyperlink>
      <w:r>
        <w:rPr>
          <w:rFonts w:ascii="David" w:hAnsi="David" w:cs="David"/>
          <w:sz w:val="24"/>
          <w:szCs w:val="24"/>
          <w:rtl/>
        </w:rPr>
        <w:t xml:space="preserve"> </w:t>
      </w:r>
      <w:r>
        <w:rPr>
          <w:rFonts w:ascii="David" w:hAnsi="David" w:cs="David"/>
          <w:b/>
          <w:bCs/>
          <w:sz w:val="24"/>
          <w:szCs w:val="24"/>
          <w:rtl/>
        </w:rPr>
        <w:t xml:space="preserve">משה פרנסקי נ' מדינת ישראל </w:t>
      </w:r>
      <w:r>
        <w:rPr>
          <w:rFonts w:ascii="David" w:hAnsi="David" w:cs="David"/>
          <w:sz w:val="24"/>
          <w:szCs w:val="24"/>
          <w:rtl/>
        </w:rPr>
        <w:t>[פורסם בנבו] (10/11/14). ודוק, הדרישה לנזק קונקרטי בפסיקת בית המשפט העליון הינה כה נוקשה עד כי: "</w:t>
      </w:r>
      <w:r>
        <w:rPr>
          <w:rFonts w:ascii="David" w:hAnsi="David" w:cs="David"/>
          <w:b/>
          <w:bCs/>
          <w:sz w:val="24"/>
          <w:szCs w:val="24"/>
          <w:rtl/>
        </w:rPr>
        <w:t>גם כאשר מדובר בנאשם צעיר המצוי בתחילת חייו הבוגרים, יש להציג נזק מוחשי-קונקרטי שייגרם כתוצאה מההרשעה</w:t>
      </w:r>
      <w:r>
        <w:rPr>
          <w:rFonts w:ascii="David" w:hAnsi="David" w:cs="David"/>
          <w:sz w:val="24"/>
          <w:szCs w:val="24"/>
          <w:rtl/>
        </w:rPr>
        <w:t xml:space="preserve">." ראו </w:t>
      </w:r>
      <w:hyperlink r:id="rId46" w:history="1">
        <w:r w:rsidR="00EC6A30" w:rsidRPr="00EC6A30">
          <w:rPr>
            <w:rFonts w:ascii="David" w:hAnsi="David" w:cs="David"/>
            <w:color w:val="0000FF"/>
            <w:sz w:val="24"/>
            <w:szCs w:val="24"/>
            <w:u w:val="single"/>
            <w:rtl/>
          </w:rPr>
          <w:t>רע"פ 7109/14</w:t>
        </w:r>
      </w:hyperlink>
      <w:r>
        <w:rPr>
          <w:rFonts w:ascii="David" w:hAnsi="David" w:cs="David"/>
          <w:sz w:val="24"/>
          <w:szCs w:val="24"/>
          <w:rtl/>
        </w:rPr>
        <w:t xml:space="preserve"> </w:t>
      </w:r>
      <w:r>
        <w:rPr>
          <w:rFonts w:ascii="David" w:hAnsi="David" w:cs="David"/>
          <w:b/>
          <w:bCs/>
          <w:sz w:val="24"/>
          <w:szCs w:val="24"/>
          <w:rtl/>
        </w:rPr>
        <w:t xml:space="preserve">סייג נ' מדינת ישראל </w:t>
      </w:r>
      <w:r>
        <w:rPr>
          <w:rFonts w:ascii="David" w:hAnsi="David" w:cs="David"/>
          <w:sz w:val="24"/>
          <w:szCs w:val="24"/>
          <w:rtl/>
        </w:rPr>
        <w:t xml:space="preserve">[פורסם בנבו] (20/11/14). </w:t>
      </w:r>
    </w:p>
    <w:p w14:paraId="4BC51135" w14:textId="77777777" w:rsidR="00162FC0" w:rsidRDefault="00162FC0" w:rsidP="00162FC0">
      <w:pPr>
        <w:pStyle w:val="aa"/>
        <w:rPr>
          <w:rFonts w:ascii="David" w:hAnsi="David" w:cs="David"/>
          <w:sz w:val="24"/>
          <w:szCs w:val="24"/>
        </w:rPr>
      </w:pPr>
    </w:p>
    <w:p w14:paraId="623203DB"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יצוין, כי בית המשפט העליון חזר והדגיש כי אף לאחר כניסת תיקון 113 ל</w:t>
      </w:r>
      <w:hyperlink r:id="rId47" w:history="1">
        <w:r w:rsidR="00EC6A30" w:rsidRPr="00EC6A30">
          <w:rPr>
            <w:rFonts w:ascii="David" w:hAnsi="David" w:cs="David"/>
            <w:color w:val="0000FF"/>
            <w:sz w:val="24"/>
            <w:szCs w:val="24"/>
            <w:u w:val="single"/>
            <w:rtl/>
          </w:rPr>
          <w:t>חוק העונשין</w:t>
        </w:r>
      </w:hyperlink>
      <w:r>
        <w:rPr>
          <w:rFonts w:ascii="David" w:hAnsi="David" w:cs="David"/>
          <w:sz w:val="24"/>
          <w:szCs w:val="24"/>
          <w:rtl/>
        </w:rPr>
        <w:t xml:space="preserve"> לתוקף, תנאי בלעדיו אין לביטול הרשעה הוא שהרשעתו של הנאשם: "</w:t>
      </w:r>
      <w:r>
        <w:rPr>
          <w:rFonts w:ascii="David" w:hAnsi="David" w:cs="David"/>
          <w:b/>
          <w:bCs/>
          <w:sz w:val="24"/>
          <w:szCs w:val="24"/>
          <w:rtl/>
        </w:rPr>
        <w:t>צפויה לפגוע פגיעה חמורה בשיקומו או בעתידו</w:t>
      </w:r>
      <w:r>
        <w:rPr>
          <w:rFonts w:ascii="David" w:hAnsi="David" w:cs="David"/>
          <w:sz w:val="24"/>
          <w:szCs w:val="24"/>
          <w:rtl/>
        </w:rPr>
        <w:t xml:space="preserve">". ראו </w:t>
      </w:r>
      <w:hyperlink r:id="rId48" w:history="1">
        <w:r w:rsidR="00EC6A30" w:rsidRPr="00EC6A30">
          <w:rPr>
            <w:rFonts w:ascii="David" w:hAnsi="David" w:cs="David"/>
            <w:color w:val="0000FF"/>
            <w:sz w:val="24"/>
            <w:szCs w:val="24"/>
            <w:u w:val="single"/>
            <w:rtl/>
          </w:rPr>
          <w:t>רע"פ 2327/19</w:t>
        </w:r>
      </w:hyperlink>
      <w:r>
        <w:rPr>
          <w:rFonts w:ascii="David" w:hAnsi="David" w:cs="David"/>
          <w:sz w:val="24"/>
          <w:szCs w:val="24"/>
          <w:rtl/>
        </w:rPr>
        <w:t xml:space="preserve"> </w:t>
      </w:r>
      <w:r>
        <w:rPr>
          <w:rFonts w:ascii="David" w:hAnsi="David" w:cs="David"/>
          <w:b/>
          <w:bCs/>
          <w:sz w:val="24"/>
          <w:szCs w:val="24"/>
          <w:rtl/>
        </w:rPr>
        <w:t xml:space="preserve">אדוארדו נ' מדינת ישראל </w:t>
      </w:r>
      <w:r>
        <w:rPr>
          <w:rFonts w:ascii="David" w:hAnsi="David" w:cs="David"/>
          <w:sz w:val="24"/>
          <w:szCs w:val="24"/>
          <w:rtl/>
        </w:rPr>
        <w:t xml:space="preserve">פורסם בנבו] (19/05/19). </w:t>
      </w:r>
    </w:p>
    <w:p w14:paraId="33CACE16" w14:textId="77777777" w:rsidR="00162FC0" w:rsidRDefault="00162FC0" w:rsidP="00162FC0">
      <w:pPr>
        <w:pStyle w:val="aa"/>
        <w:rPr>
          <w:rFonts w:ascii="David" w:hAnsi="David" w:cs="David"/>
          <w:sz w:val="24"/>
          <w:szCs w:val="24"/>
        </w:rPr>
      </w:pPr>
    </w:p>
    <w:p w14:paraId="0651008E"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הנאשם שבפני לא רק שלא הוכיח קיומו של נזק קונקרטי, או נזק כללי, אלא אף לא הוכיח קיומה של "</w:t>
      </w:r>
      <w:r>
        <w:rPr>
          <w:rFonts w:ascii="David" w:hAnsi="David" w:cs="David"/>
          <w:b/>
          <w:bCs/>
          <w:sz w:val="24"/>
          <w:szCs w:val="24"/>
          <w:rtl/>
        </w:rPr>
        <w:t>השפעה שלילית</w:t>
      </w:r>
      <w:r>
        <w:rPr>
          <w:rFonts w:ascii="David" w:hAnsi="David" w:cs="David"/>
          <w:sz w:val="24"/>
          <w:szCs w:val="24"/>
          <w:rtl/>
        </w:rPr>
        <w:t>" על עתידו המקצועי, (כלשון בית המשפט ב</w:t>
      </w:r>
      <w:hyperlink r:id="rId49" w:history="1">
        <w:r w:rsidR="00EC6A30" w:rsidRPr="00EC6A30">
          <w:rPr>
            <w:rFonts w:ascii="David" w:hAnsi="David" w:cs="David"/>
            <w:color w:val="0000FF"/>
            <w:sz w:val="24"/>
            <w:szCs w:val="24"/>
            <w:u w:val="single"/>
            <w:rtl/>
          </w:rPr>
          <w:t>רע"פ 8215/16</w:t>
        </w:r>
      </w:hyperlink>
      <w:r>
        <w:rPr>
          <w:rFonts w:ascii="David" w:hAnsi="David" w:cs="David"/>
          <w:sz w:val="24"/>
          <w:szCs w:val="24"/>
          <w:rtl/>
        </w:rPr>
        <w:t xml:space="preserve"> </w:t>
      </w:r>
      <w:r>
        <w:rPr>
          <w:rFonts w:ascii="David" w:hAnsi="David" w:cs="David"/>
          <w:b/>
          <w:bCs/>
          <w:sz w:val="24"/>
          <w:szCs w:val="24"/>
          <w:rtl/>
        </w:rPr>
        <w:t xml:space="preserve">יצחק נ' מדינת ישראל </w:t>
      </w:r>
      <w:r>
        <w:rPr>
          <w:rFonts w:ascii="David" w:hAnsi="David" w:cs="David"/>
          <w:sz w:val="24"/>
          <w:szCs w:val="24"/>
          <w:rtl/>
        </w:rPr>
        <w:t>[פורסם בנבו] (29/03/17), שם היה מדובר בסטודנט ללימודי הנדסה אשר הרשעתו הייתה עלולה להשפיע על סיכוייו להיקלט בעבודה).</w:t>
      </w:r>
    </w:p>
    <w:p w14:paraId="6C8F03E7" w14:textId="77777777" w:rsidR="00162FC0" w:rsidRDefault="00162FC0" w:rsidP="00162FC0">
      <w:pPr>
        <w:rPr>
          <w:rFonts w:ascii="David" w:hAnsi="David"/>
        </w:rPr>
      </w:pPr>
    </w:p>
    <w:p w14:paraId="45959739"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בכל הנוגע לתנאי השני הנוגע לסוג העבירה וחומרתה, מדובר בנסיבות בהם החזיק הנאשם ברכבו סם מסוג קנבוס במשקל של 550 גרם, ובעת שנצפה על ידי השוטרים מתדלק את רכבו, נכנס במהירות לרכב וניסה להימלט בעוד שהשוטרים כרזו לו לעצור. סבורני כי, נסיבות המקרה בשילוב היעדר הליך שיקומי משמעותי, אינן מאפשרות לבטל את ההרשעה מבלי לפגוע באופן מהותי בשיקולי הענישה האחרים וביניהם התועלת שתושג לאינטרס הציבורי-חברתי מההרשעה. עוד יש לזכור כי גם אם מדובר בסם שאינו מן הקשים, עדיין המחוקק קבע לעבירה זו עונש מקסימום של 20 שנה ובעבירה של הפרעה לשוטר נקבע עונש מינימום, המעידים על חומרתם.</w:t>
      </w:r>
    </w:p>
    <w:p w14:paraId="16D74B8A" w14:textId="77777777" w:rsidR="00162FC0" w:rsidRPr="00162FC0" w:rsidRDefault="00162FC0" w:rsidP="00162FC0">
      <w:pPr>
        <w:pStyle w:val="aa"/>
        <w:spacing w:after="0" w:line="360" w:lineRule="auto"/>
        <w:jc w:val="both"/>
        <w:rPr>
          <w:rFonts w:ascii="David" w:hAnsi="David" w:cs="David"/>
          <w:sz w:val="24"/>
          <w:szCs w:val="24"/>
        </w:rPr>
      </w:pPr>
    </w:p>
    <w:p w14:paraId="5C799AD6"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לאור האמור לעיל דין בקשת הנאשם לביטול הרשעתו להידחות.  </w:t>
      </w:r>
    </w:p>
    <w:p w14:paraId="4035FC4D" w14:textId="77777777" w:rsidR="00162FC0" w:rsidRDefault="00162FC0" w:rsidP="00162FC0">
      <w:pPr>
        <w:pStyle w:val="aa"/>
        <w:rPr>
          <w:rFonts w:ascii="David" w:hAnsi="David" w:cs="David"/>
          <w:sz w:val="24"/>
          <w:szCs w:val="24"/>
        </w:rPr>
      </w:pPr>
    </w:p>
    <w:p w14:paraId="721CF9C6" w14:textId="77777777" w:rsidR="00162FC0" w:rsidRDefault="00162FC0" w:rsidP="00162FC0">
      <w:pPr>
        <w:pStyle w:val="aa"/>
        <w:spacing w:after="0" w:line="360" w:lineRule="auto"/>
        <w:jc w:val="both"/>
        <w:rPr>
          <w:rFonts w:ascii="David" w:hAnsi="David" w:cs="David"/>
          <w:sz w:val="24"/>
          <w:szCs w:val="24"/>
          <w:rtl/>
        </w:rPr>
      </w:pPr>
    </w:p>
    <w:p w14:paraId="5CA71F08" w14:textId="77777777" w:rsidR="00162FC0" w:rsidRDefault="00162FC0" w:rsidP="00162FC0">
      <w:pPr>
        <w:spacing w:line="360" w:lineRule="auto"/>
        <w:jc w:val="both"/>
        <w:rPr>
          <w:rFonts w:ascii="David" w:hAnsi="David"/>
          <w:b/>
          <w:bCs/>
          <w:u w:val="single"/>
        </w:rPr>
      </w:pPr>
      <w:r>
        <w:rPr>
          <w:rFonts w:ascii="David" w:hAnsi="David"/>
          <w:b/>
          <w:bCs/>
          <w:u w:val="single"/>
          <w:rtl/>
        </w:rPr>
        <w:t>קביעת מתחם העונש ההולם</w:t>
      </w:r>
    </w:p>
    <w:p w14:paraId="125E6AB9" w14:textId="77777777" w:rsidR="00162FC0" w:rsidRDefault="00162FC0" w:rsidP="00162FC0">
      <w:pPr>
        <w:pStyle w:val="aa"/>
        <w:numPr>
          <w:ilvl w:val="0"/>
          <w:numId w:val="1"/>
        </w:numPr>
        <w:spacing w:line="360" w:lineRule="auto"/>
        <w:jc w:val="both"/>
        <w:rPr>
          <w:rFonts w:ascii="David" w:hAnsi="David" w:cs="David"/>
          <w:b/>
          <w:bCs/>
          <w:sz w:val="24"/>
          <w:szCs w:val="24"/>
          <w:u w:val="single"/>
          <w:rtl/>
        </w:rPr>
      </w:pPr>
      <w:r>
        <w:rPr>
          <w:rFonts w:ascii="David" w:hAnsi="David" w:cs="David"/>
          <w:sz w:val="24"/>
          <w:szCs w:val="24"/>
          <w:rtl/>
        </w:rPr>
        <w:t>בקביעת מתחם העונש ההולם על בית המשפט להתחשב בערכים המוגנים, במידת הפגיעה בהם, בענישה הנוהגת ובנסיבות הקשורות בביצוע העבירה.</w:t>
      </w:r>
    </w:p>
    <w:p w14:paraId="4B30F580" w14:textId="77777777" w:rsidR="00162FC0" w:rsidRPr="00162FC0" w:rsidRDefault="00162FC0" w:rsidP="00162FC0">
      <w:pPr>
        <w:spacing w:line="360" w:lineRule="auto"/>
        <w:jc w:val="both"/>
        <w:rPr>
          <w:rFonts w:ascii="David" w:eastAsia="Calibri" w:hAnsi="David"/>
        </w:rPr>
      </w:pPr>
    </w:p>
    <w:p w14:paraId="3047157B" w14:textId="77777777" w:rsidR="00162FC0" w:rsidRDefault="00162FC0" w:rsidP="00162FC0">
      <w:pPr>
        <w:spacing w:line="360" w:lineRule="auto"/>
        <w:ind w:firstLine="360"/>
        <w:jc w:val="both"/>
        <w:rPr>
          <w:rFonts w:ascii="David" w:hAnsi="David"/>
          <w:u w:val="single"/>
          <w:rtl/>
        </w:rPr>
      </w:pPr>
      <w:r>
        <w:rPr>
          <w:rFonts w:ascii="David" w:hAnsi="David"/>
          <w:u w:val="single"/>
          <w:rtl/>
        </w:rPr>
        <w:t>הערכים המוגנים ומידת הפגיעה בהם</w:t>
      </w:r>
    </w:p>
    <w:p w14:paraId="320FCB54" w14:textId="77777777" w:rsidR="00162FC0" w:rsidRDefault="00162FC0" w:rsidP="00162FC0">
      <w:pPr>
        <w:pStyle w:val="aa"/>
        <w:numPr>
          <w:ilvl w:val="0"/>
          <w:numId w:val="1"/>
        </w:numPr>
        <w:spacing w:after="0" w:line="360" w:lineRule="auto"/>
        <w:jc w:val="both"/>
        <w:rPr>
          <w:rFonts w:ascii="David" w:hAnsi="David" w:cs="David"/>
          <w:sz w:val="24"/>
          <w:szCs w:val="24"/>
          <w:u w:val="single"/>
          <w:rtl/>
        </w:rPr>
      </w:pPr>
      <w:r>
        <w:rPr>
          <w:rFonts w:ascii="David" w:hAnsi="David" w:cs="David"/>
          <w:sz w:val="24"/>
          <w:szCs w:val="24"/>
          <w:rtl/>
        </w:rPr>
        <w:t xml:space="preserve">הערך המוגן בעבירות סמים הינו ההגנה מפני הנזקים הישירים והעקיפים אשר נגרמים לחברה בכללותה עקב השימוש בסמים. </w:t>
      </w:r>
      <w:r>
        <w:rPr>
          <w:rFonts w:cs="David"/>
          <w:sz w:val="24"/>
          <w:szCs w:val="24"/>
          <w:rtl/>
        </w:rPr>
        <w:t xml:space="preserve">שימוש ממושך בסם מסוכן עלול לגרום לפגיעה גופנית ונפשית של המשתמש בו, כזו שתצריך טיפול רפואי שעלותו נופלת על החברה. </w:t>
      </w:r>
      <w:r>
        <w:rPr>
          <w:rFonts w:ascii="David" w:hAnsi="David" w:cs="David"/>
          <w:sz w:val="24"/>
          <w:szCs w:val="24"/>
          <w:rtl/>
        </w:rPr>
        <w:t xml:space="preserve">על הצורך  להילחם בנגע הסמים, עמד בית המשפט העליון לא אחת פסיקתו, </w:t>
      </w:r>
      <w:r>
        <w:rPr>
          <w:rFonts w:ascii="David" w:hAnsi="David" w:cs="David"/>
          <w:b/>
          <w:sz w:val="24"/>
          <w:szCs w:val="24"/>
          <w:rtl/>
        </w:rPr>
        <w:t>ובין השאר ב</w:t>
      </w:r>
      <w:hyperlink r:id="rId50" w:history="1">
        <w:r w:rsidR="00EC6A30" w:rsidRPr="00EC6A30">
          <w:rPr>
            <w:rFonts w:ascii="David" w:hAnsi="David" w:cs="David"/>
            <w:b/>
            <w:color w:val="0000FF"/>
            <w:sz w:val="24"/>
            <w:szCs w:val="24"/>
            <w:u w:val="single"/>
            <w:rtl/>
          </w:rPr>
          <w:t>ע"פ 170/07</w:t>
        </w:r>
      </w:hyperlink>
      <w:r>
        <w:rPr>
          <w:rFonts w:ascii="David" w:hAnsi="David" w:cs="David"/>
          <w:b/>
          <w:sz w:val="24"/>
          <w:szCs w:val="24"/>
          <w:rtl/>
        </w:rPr>
        <w:t xml:space="preserve"> </w:t>
      </w:r>
      <w:r>
        <w:rPr>
          <w:rFonts w:ascii="David" w:hAnsi="David" w:cs="David"/>
          <w:bCs/>
          <w:sz w:val="24"/>
          <w:szCs w:val="24"/>
          <w:rtl/>
        </w:rPr>
        <w:t>מטיס נ' מדינת ישראל</w:t>
      </w:r>
      <w:r>
        <w:rPr>
          <w:rFonts w:ascii="David" w:hAnsi="David" w:cs="David"/>
          <w:b/>
          <w:sz w:val="24"/>
          <w:szCs w:val="24"/>
          <w:rtl/>
        </w:rPr>
        <w:t xml:space="preserve"> [פורסם בנבו] (19/11/07) ביחס שימוש עצמי בסמים מסוג קנאביס וחשיש: "</w:t>
      </w:r>
      <w:r>
        <w:rPr>
          <w:rFonts w:ascii="David" w:hAnsi="David" w:cs="David"/>
          <w:bCs/>
          <w:sz w:val="24"/>
          <w:szCs w:val="24"/>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Pr>
          <w:rFonts w:ascii="David" w:hAnsi="David" w:cs="David"/>
          <w:b/>
          <w:sz w:val="24"/>
          <w:szCs w:val="24"/>
          <w:rtl/>
        </w:rPr>
        <w:t>".</w:t>
      </w:r>
    </w:p>
    <w:p w14:paraId="22F81F79" w14:textId="77777777" w:rsidR="00162FC0" w:rsidRDefault="00162FC0" w:rsidP="00162FC0">
      <w:pPr>
        <w:pStyle w:val="aa"/>
        <w:spacing w:after="0" w:line="360" w:lineRule="auto"/>
        <w:jc w:val="both"/>
        <w:rPr>
          <w:rFonts w:ascii="David" w:hAnsi="David" w:cs="David"/>
          <w:sz w:val="24"/>
          <w:szCs w:val="24"/>
          <w:u w:val="single"/>
        </w:rPr>
      </w:pPr>
    </w:p>
    <w:p w14:paraId="23DC2326" w14:textId="77777777" w:rsidR="00162FC0" w:rsidRPr="00162FC0" w:rsidRDefault="00162FC0" w:rsidP="00162FC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לאחרונה, בית המשפט העליון שב והדגיש כי קנבוס היה ועודנו נותר סם מסוכן. ראו למשל </w:t>
      </w:r>
      <w:hyperlink r:id="rId51" w:history="1">
        <w:r w:rsidR="00EC6A30" w:rsidRPr="00EC6A30">
          <w:rPr>
            <w:rFonts w:ascii="David" w:hAnsi="David" w:cs="David"/>
            <w:color w:val="0000FF"/>
            <w:sz w:val="24"/>
            <w:szCs w:val="24"/>
            <w:u w:val="single"/>
            <w:rtl/>
          </w:rPr>
          <w:t>רע"פ 174/21</w:t>
        </w:r>
      </w:hyperlink>
      <w:r>
        <w:rPr>
          <w:rFonts w:ascii="David" w:hAnsi="David" w:cs="David"/>
          <w:sz w:val="24"/>
          <w:szCs w:val="24"/>
          <w:rtl/>
        </w:rPr>
        <w:t xml:space="preserve"> </w:t>
      </w:r>
      <w:r>
        <w:rPr>
          <w:rFonts w:ascii="David" w:hAnsi="David" w:cs="David"/>
          <w:b/>
          <w:bCs/>
          <w:sz w:val="24"/>
          <w:szCs w:val="24"/>
          <w:rtl/>
        </w:rPr>
        <w:t xml:space="preserve">סויסה נ' מדינת ישראל </w:t>
      </w:r>
      <w:r>
        <w:rPr>
          <w:rFonts w:ascii="David" w:hAnsi="David" w:cs="David"/>
          <w:sz w:val="24"/>
          <w:szCs w:val="24"/>
          <w:rtl/>
        </w:rPr>
        <w:t xml:space="preserve">[פורסם בנבו] (25/02/21), וכי ככלל מגמת הענישה בעבירות סמים, היא של החמרה והרתעה. ראו </w:t>
      </w:r>
      <w:hyperlink r:id="rId52" w:history="1">
        <w:r w:rsidR="00EC6A30" w:rsidRPr="00EC6A30">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
          <w:bCs/>
          <w:sz w:val="24"/>
          <w:szCs w:val="24"/>
          <w:rtl/>
        </w:rPr>
        <w:t xml:space="preserve">פיצ'חדזה נ' מדינת ישראל </w:t>
      </w:r>
      <w:r>
        <w:rPr>
          <w:rFonts w:ascii="David" w:hAnsi="David" w:cs="David"/>
          <w:sz w:val="24"/>
          <w:szCs w:val="24"/>
          <w:rtl/>
        </w:rPr>
        <w:t>[פורסם בנבו] (04/06/20).</w:t>
      </w:r>
    </w:p>
    <w:p w14:paraId="4F3D3980" w14:textId="77777777" w:rsidR="00162FC0" w:rsidRDefault="00162FC0" w:rsidP="00162FC0">
      <w:pPr>
        <w:spacing w:line="360" w:lineRule="auto"/>
        <w:jc w:val="both"/>
        <w:rPr>
          <w:rFonts w:ascii="David" w:hAnsi="David"/>
          <w:u w:val="single"/>
          <w:rtl/>
        </w:rPr>
      </w:pPr>
      <w:r>
        <w:rPr>
          <w:rFonts w:ascii="David" w:hAnsi="David"/>
          <w:u w:val="single"/>
          <w:rtl/>
        </w:rPr>
        <w:t>מדיניות הענישה הנוהגת</w:t>
      </w:r>
    </w:p>
    <w:p w14:paraId="7AD3D563"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cs="David"/>
          <w:sz w:val="24"/>
          <w:szCs w:val="24"/>
          <w:rtl/>
        </w:rPr>
        <w:t xml:space="preserve">בפתח הדברים יש לזכור כי מדובר בעבירת סמים שהמחוקק קבע בגינה עונש של 20 שנות מאסר. </w:t>
      </w:r>
      <w:r>
        <w:rPr>
          <w:rFonts w:ascii="David" w:hAnsi="David" w:cs="David"/>
          <w:sz w:val="24"/>
          <w:szCs w:val="24"/>
          <w:rtl/>
        </w:rPr>
        <w:t>בעבירה של הפרעה לשוטר במילוי תפקידו נקבע עונש</w:t>
      </w:r>
      <w:r>
        <w:rPr>
          <w:rFonts w:ascii="Arial" w:hAnsi="Arial" w:cs="David"/>
          <w:sz w:val="24"/>
          <w:szCs w:val="24"/>
          <w:rtl/>
        </w:rPr>
        <w:t xml:space="preserve"> מזערי בדמות מאסר בן שבועיים ועד שלוש שנות מאסר.</w:t>
      </w:r>
      <w:r>
        <w:rPr>
          <w:rFonts w:cs="David"/>
          <w:sz w:val="24"/>
          <w:szCs w:val="24"/>
          <w:rtl/>
        </w:rPr>
        <w:t xml:space="preserve"> נתונים אלה, יש בהם כדי ללמד על החומרה הרבה שמייחס המחוקק לעבירות מסוג זה.</w:t>
      </w:r>
    </w:p>
    <w:p w14:paraId="2BAE3AC4" w14:textId="77777777" w:rsidR="00162FC0" w:rsidRDefault="00162FC0" w:rsidP="00162FC0">
      <w:pPr>
        <w:pStyle w:val="aa"/>
        <w:spacing w:after="0" w:line="360" w:lineRule="auto"/>
        <w:jc w:val="both"/>
        <w:rPr>
          <w:rFonts w:ascii="David" w:hAnsi="David" w:cs="David"/>
          <w:sz w:val="24"/>
          <w:szCs w:val="24"/>
        </w:rPr>
      </w:pPr>
    </w:p>
    <w:p w14:paraId="56113829" w14:textId="77777777" w:rsidR="00162FC0" w:rsidRP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היות שבפניי כתב האישום מתאר השתלשלות של אירועים קרובים בזמן ובמקום, בעלי זיקה עניינית, הרי שמן הראוי לקבוע מתחם עונש אחד.</w:t>
      </w:r>
    </w:p>
    <w:p w14:paraId="6DA45741" w14:textId="77777777" w:rsidR="00162FC0" w:rsidRDefault="00162FC0" w:rsidP="00162FC0">
      <w:pPr>
        <w:pStyle w:val="aa"/>
        <w:spacing w:after="0" w:line="360" w:lineRule="auto"/>
        <w:jc w:val="both"/>
        <w:rPr>
          <w:rFonts w:ascii="David" w:hAnsi="David" w:cs="David"/>
          <w:sz w:val="24"/>
          <w:szCs w:val="24"/>
        </w:rPr>
      </w:pPr>
    </w:p>
    <w:p w14:paraId="54B45B10"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מדיניות הענישה הנהוגה בעבירות החזקת סם קנבוס שלא לצריכה עצמית, מלמדת כי המתחם נע בין מאסר קצר שיכול וירוצה בעבודות שירות ועד מאסר בפועל. </w:t>
      </w:r>
    </w:p>
    <w:p w14:paraId="261657CB" w14:textId="77777777" w:rsidR="00162FC0" w:rsidRDefault="00162FC0" w:rsidP="00162FC0">
      <w:pPr>
        <w:pStyle w:val="aa"/>
        <w:rPr>
          <w:rFonts w:ascii="David" w:hAnsi="David" w:cs="David"/>
          <w:sz w:val="24"/>
          <w:szCs w:val="24"/>
        </w:rPr>
      </w:pPr>
    </w:p>
    <w:p w14:paraId="4232DE90" w14:textId="77777777" w:rsidR="00162FC0" w:rsidRDefault="00162FC0" w:rsidP="00162FC0">
      <w:pPr>
        <w:pStyle w:val="aa"/>
        <w:spacing w:after="0" w:line="360" w:lineRule="auto"/>
        <w:jc w:val="both"/>
        <w:rPr>
          <w:rFonts w:ascii="David" w:hAnsi="David" w:cs="David"/>
          <w:sz w:val="24"/>
          <w:szCs w:val="24"/>
          <w:rtl/>
        </w:rPr>
      </w:pPr>
      <w:r>
        <w:rPr>
          <w:rFonts w:ascii="David" w:hAnsi="David" w:cs="David"/>
          <w:sz w:val="24"/>
          <w:szCs w:val="24"/>
          <w:rtl/>
        </w:rPr>
        <w:t>ב</w:t>
      </w:r>
      <w:hyperlink r:id="rId53" w:history="1">
        <w:r w:rsidR="00EC6A30" w:rsidRPr="00EC6A30">
          <w:rPr>
            <w:rFonts w:ascii="David" w:hAnsi="David" w:cs="David"/>
            <w:color w:val="0000FF"/>
            <w:sz w:val="24"/>
            <w:szCs w:val="24"/>
            <w:u w:val="single"/>
            <w:rtl/>
          </w:rPr>
          <w:t>רע"פ 8759/21</w:t>
        </w:r>
      </w:hyperlink>
      <w:r>
        <w:rPr>
          <w:rFonts w:ascii="David" w:hAnsi="David" w:cs="David"/>
          <w:sz w:val="24"/>
          <w:szCs w:val="24"/>
          <w:rtl/>
        </w:rPr>
        <w:t xml:space="preserve"> </w:t>
      </w:r>
      <w:r>
        <w:rPr>
          <w:rFonts w:ascii="David" w:hAnsi="David" w:cs="David"/>
          <w:b/>
          <w:bCs/>
          <w:sz w:val="24"/>
          <w:szCs w:val="24"/>
          <w:rtl/>
        </w:rPr>
        <w:t xml:space="preserve">אלעד קסלר נ' מדינת ישראל </w:t>
      </w:r>
      <w:r>
        <w:rPr>
          <w:rFonts w:ascii="David" w:hAnsi="David" w:cs="David"/>
          <w:sz w:val="24"/>
          <w:szCs w:val="24"/>
          <w:rtl/>
        </w:rPr>
        <w:t>[פורסם בנבו] (23/12/21) בעבירות של החזקת סם שלא לצריכה עצמית והחזקת אגרופן או סכין שלא כדין. הנאשם החזיק בביתו סם קנבוס במשקל כולל של 229.35 גרם, בית המשפט השלום קבע מתחם עונש הולם הנע בין מאסר על תנאי לצד צו של"צ, וענישה נלווית ועד ל-8 חודשי מאסר בפועל.</w:t>
      </w:r>
    </w:p>
    <w:p w14:paraId="34910FA8" w14:textId="77777777" w:rsidR="00162FC0" w:rsidRDefault="00162FC0" w:rsidP="00162FC0">
      <w:pPr>
        <w:pStyle w:val="aa"/>
        <w:spacing w:line="360" w:lineRule="auto"/>
        <w:jc w:val="both"/>
        <w:rPr>
          <w:rFonts w:ascii="David" w:hAnsi="David" w:cs="David"/>
          <w:sz w:val="24"/>
          <w:szCs w:val="24"/>
          <w:rtl/>
        </w:rPr>
      </w:pPr>
    </w:p>
    <w:p w14:paraId="3C12759A" w14:textId="77777777" w:rsidR="00162FC0" w:rsidRDefault="00162FC0" w:rsidP="00162FC0">
      <w:pPr>
        <w:pStyle w:val="aa"/>
        <w:spacing w:line="360" w:lineRule="auto"/>
        <w:jc w:val="both"/>
        <w:rPr>
          <w:rFonts w:ascii="David" w:hAnsi="David" w:cs="David"/>
          <w:sz w:val="24"/>
          <w:szCs w:val="24"/>
          <w:rtl/>
        </w:rPr>
      </w:pPr>
      <w:r>
        <w:rPr>
          <w:rFonts w:ascii="David" w:hAnsi="David" w:cs="David"/>
          <w:sz w:val="24"/>
          <w:szCs w:val="24"/>
          <w:rtl/>
        </w:rPr>
        <w:t>ב</w:t>
      </w:r>
      <w:hyperlink r:id="rId54" w:history="1">
        <w:r w:rsidR="00EC6A30" w:rsidRPr="00EC6A30">
          <w:rPr>
            <w:rFonts w:ascii="David" w:hAnsi="David" w:cs="David"/>
            <w:color w:val="0000FF"/>
            <w:sz w:val="24"/>
            <w:szCs w:val="24"/>
            <w:u w:val="single"/>
            <w:rtl/>
          </w:rPr>
          <w:t>רע"פ 322/15</w:t>
        </w:r>
      </w:hyperlink>
      <w:r>
        <w:rPr>
          <w:rFonts w:ascii="David" w:hAnsi="David" w:cs="David"/>
          <w:sz w:val="24"/>
          <w:szCs w:val="24"/>
          <w:rtl/>
        </w:rPr>
        <w:t xml:space="preserve"> </w:t>
      </w:r>
      <w:r>
        <w:rPr>
          <w:rFonts w:ascii="David" w:hAnsi="David" w:cs="David"/>
          <w:b/>
          <w:bCs/>
          <w:sz w:val="24"/>
          <w:szCs w:val="24"/>
          <w:rtl/>
        </w:rPr>
        <w:t>ג'אנח נ' מדינת ישראל</w:t>
      </w:r>
      <w:r>
        <w:rPr>
          <w:rFonts w:ascii="David" w:hAnsi="David" w:cs="David"/>
          <w:sz w:val="24"/>
          <w:szCs w:val="24"/>
          <w:rtl/>
        </w:rPr>
        <w:t xml:space="preserve"> [פורסם בנבו] (22/01/15 ) נדחה בקשת ערעורו של מי שהחזיק בסמים מסוג חשיש במשקל של כ-400 גרם והחזקת סכין. בעבירת הסמים נקבע מתחם ענישה בין 7-18 חודשי מאסר. ערעור הנאשם ובקשת רשות ערעור על חומרת עונשו נדחו. </w:t>
      </w:r>
    </w:p>
    <w:p w14:paraId="2B36590F" w14:textId="77777777" w:rsidR="00162FC0" w:rsidRDefault="00162FC0" w:rsidP="00162FC0">
      <w:pPr>
        <w:pStyle w:val="aa"/>
        <w:spacing w:line="360" w:lineRule="auto"/>
        <w:jc w:val="both"/>
        <w:rPr>
          <w:rFonts w:ascii="David" w:hAnsi="David" w:cs="David"/>
          <w:sz w:val="24"/>
          <w:szCs w:val="24"/>
          <w:rtl/>
        </w:rPr>
      </w:pPr>
    </w:p>
    <w:p w14:paraId="5F034C32" w14:textId="77777777" w:rsidR="00162FC0" w:rsidRDefault="00162FC0" w:rsidP="00162FC0">
      <w:pPr>
        <w:pStyle w:val="aa"/>
        <w:spacing w:line="360" w:lineRule="auto"/>
        <w:jc w:val="both"/>
        <w:rPr>
          <w:rFonts w:ascii="David" w:hAnsi="David" w:cs="David"/>
          <w:sz w:val="24"/>
          <w:szCs w:val="24"/>
          <w:rtl/>
        </w:rPr>
      </w:pPr>
      <w:r>
        <w:rPr>
          <w:rFonts w:ascii="David" w:hAnsi="David" w:cs="David"/>
          <w:sz w:val="24"/>
          <w:szCs w:val="24"/>
          <w:rtl/>
        </w:rPr>
        <w:t>ב</w:t>
      </w:r>
      <w:hyperlink r:id="rId55" w:history="1">
        <w:r w:rsidR="00EC6A30" w:rsidRPr="00EC6A30">
          <w:rPr>
            <w:rFonts w:ascii="David" w:hAnsi="David" w:cs="David"/>
            <w:color w:val="0000FF"/>
            <w:sz w:val="24"/>
            <w:szCs w:val="24"/>
            <w:u w:val="single"/>
            <w:rtl/>
          </w:rPr>
          <w:t>רע"פ 10423/09</w:t>
        </w:r>
      </w:hyperlink>
      <w:r w:rsidR="00EC6A30">
        <w:rPr>
          <w:rFonts w:ascii="David" w:hAnsi="David" w:cs="David"/>
          <w:sz w:val="24"/>
          <w:szCs w:val="24"/>
        </w:rPr>
        <w:t xml:space="preserve"> </w:t>
      </w:r>
      <w:r>
        <w:rPr>
          <w:rFonts w:ascii="David" w:hAnsi="David" w:cs="David"/>
          <w:b/>
          <w:bCs/>
          <w:sz w:val="24"/>
          <w:szCs w:val="24"/>
          <w:rtl/>
        </w:rPr>
        <w:t xml:space="preserve">שורר נ' </w:t>
      </w:r>
      <w:hyperlink r:id="rId56" w:history="1">
        <w:r w:rsidR="00EC6A30" w:rsidRPr="00EC6A30">
          <w:rPr>
            <w:rFonts w:ascii="David" w:hAnsi="David" w:cs="David"/>
            <w:b/>
            <w:bCs/>
            <w:color w:val="0000FF"/>
            <w:sz w:val="24"/>
            <w:szCs w:val="24"/>
            <w:u w:val="single"/>
            <w:rtl/>
          </w:rPr>
          <w:t>מ"י [פורסם בנבו] (26/04/10</w:t>
        </w:r>
      </w:hyperlink>
      <w:r>
        <w:rPr>
          <w:rFonts w:ascii="David" w:hAnsi="David" w:cs="David"/>
          <w:sz w:val="24"/>
          <w:szCs w:val="24"/>
          <w:rtl/>
        </w:rPr>
        <w:t xml:space="preserve">) (אליו הפנתה המאשימה), נדחתה בקשת המבקש שהורשע בהחזקת סם מסוכן מסוג קנבוס במשקל של 574, עליו נגזרו 6 חודשי מאסר על דרך עבודות שירות בניגוד להמלצת שירות המבחן להימנע מהרשעתו. </w:t>
      </w:r>
    </w:p>
    <w:p w14:paraId="1C8EF967" w14:textId="77777777" w:rsidR="00162FC0" w:rsidRDefault="00162FC0" w:rsidP="00162FC0">
      <w:pPr>
        <w:pStyle w:val="aa"/>
        <w:spacing w:line="360" w:lineRule="auto"/>
        <w:jc w:val="both"/>
        <w:rPr>
          <w:rFonts w:ascii="David" w:hAnsi="David" w:cs="David"/>
          <w:sz w:val="24"/>
          <w:szCs w:val="24"/>
          <w:rtl/>
        </w:rPr>
      </w:pPr>
    </w:p>
    <w:p w14:paraId="340292BA" w14:textId="77777777" w:rsidR="00162FC0" w:rsidRDefault="00162FC0" w:rsidP="00162FC0">
      <w:pPr>
        <w:pStyle w:val="aa"/>
        <w:spacing w:line="360" w:lineRule="auto"/>
        <w:jc w:val="both"/>
        <w:rPr>
          <w:rFonts w:ascii="David" w:hAnsi="David" w:cs="David"/>
          <w:sz w:val="24"/>
          <w:szCs w:val="24"/>
          <w:rtl/>
        </w:rPr>
      </w:pPr>
      <w:r>
        <w:rPr>
          <w:rFonts w:ascii="David" w:hAnsi="David" w:cs="David"/>
          <w:sz w:val="24"/>
          <w:szCs w:val="24"/>
          <w:rtl/>
        </w:rPr>
        <w:t>ב</w:t>
      </w:r>
      <w:hyperlink r:id="rId57" w:history="1">
        <w:r w:rsidR="00EC6A30" w:rsidRPr="00EC6A30">
          <w:rPr>
            <w:rFonts w:ascii="David" w:hAnsi="David" w:cs="David"/>
            <w:color w:val="0000FF"/>
            <w:sz w:val="24"/>
            <w:szCs w:val="24"/>
            <w:u w:val="single"/>
            <w:rtl/>
          </w:rPr>
          <w:t>עפ"ג 24043-04-17</w:t>
        </w:r>
      </w:hyperlink>
      <w:r w:rsidR="00EC6A30">
        <w:rPr>
          <w:rFonts w:ascii="David" w:hAnsi="David" w:cs="David"/>
          <w:sz w:val="24"/>
          <w:szCs w:val="24"/>
        </w:rPr>
        <w:t xml:space="preserve"> </w:t>
      </w:r>
      <w:r>
        <w:rPr>
          <w:rFonts w:ascii="David" w:hAnsi="David" w:cs="David"/>
          <w:b/>
          <w:bCs/>
          <w:sz w:val="24"/>
          <w:szCs w:val="24"/>
          <w:rtl/>
        </w:rPr>
        <w:t>אל קשכר נגד מדינת ישראל</w:t>
      </w:r>
      <w:r w:rsidR="00EC6A30">
        <w:rPr>
          <w:rFonts w:ascii="David" w:hAnsi="David" w:cs="David"/>
          <w:sz w:val="24"/>
          <w:szCs w:val="24"/>
          <w:rtl/>
        </w:rPr>
        <w:t xml:space="preserve"> </w:t>
      </w:r>
      <w:r>
        <w:rPr>
          <w:rFonts w:ascii="David" w:hAnsi="David" w:cs="David"/>
          <w:sz w:val="24"/>
          <w:szCs w:val="24"/>
          <w:rtl/>
        </w:rPr>
        <w:t>(לא פורסם) נדחה ערעור נאשם שהורשע בהחזקת קנאביס במשקל של 922.40 גרם. נקבע מתחם הנע בין 6-12 חודשי מאסר בפועל והוטלו על הנאשם, שהיה בעל עבר פלילי, שבעה חודשי מאסר בפועל.</w:t>
      </w:r>
    </w:p>
    <w:p w14:paraId="61C3A6C9" w14:textId="77777777" w:rsidR="00162FC0" w:rsidRPr="00162FC0" w:rsidRDefault="00162FC0" w:rsidP="00162FC0">
      <w:pPr>
        <w:pStyle w:val="aa"/>
        <w:spacing w:line="360" w:lineRule="auto"/>
        <w:jc w:val="both"/>
        <w:rPr>
          <w:rFonts w:ascii="David" w:hAnsi="David" w:cs="David"/>
          <w:sz w:val="24"/>
          <w:szCs w:val="24"/>
        </w:rPr>
      </w:pPr>
    </w:p>
    <w:p w14:paraId="29E25638" w14:textId="77777777" w:rsidR="00162FC0" w:rsidRDefault="00162FC0" w:rsidP="00162FC0">
      <w:pPr>
        <w:pStyle w:val="aa"/>
        <w:spacing w:line="360" w:lineRule="auto"/>
        <w:jc w:val="both"/>
        <w:rPr>
          <w:rFonts w:ascii="David" w:hAnsi="David" w:cs="David"/>
          <w:sz w:val="24"/>
          <w:szCs w:val="24"/>
          <w:rtl/>
        </w:rPr>
      </w:pPr>
      <w:r>
        <w:rPr>
          <w:rFonts w:ascii="David" w:hAnsi="David" w:cs="David"/>
          <w:sz w:val="24"/>
          <w:szCs w:val="24"/>
          <w:rtl/>
        </w:rPr>
        <w:t>ב</w:t>
      </w:r>
      <w:hyperlink r:id="rId58" w:history="1">
        <w:r w:rsidR="00EC6A30" w:rsidRPr="00EC6A30">
          <w:rPr>
            <w:rFonts w:ascii="David" w:hAnsi="David" w:cs="David"/>
            <w:color w:val="0000FF"/>
            <w:sz w:val="24"/>
            <w:szCs w:val="24"/>
            <w:u w:val="single"/>
            <w:rtl/>
          </w:rPr>
          <w:t>ת"פ 39829-08-21</w:t>
        </w:r>
      </w:hyperlink>
      <w:r>
        <w:rPr>
          <w:rFonts w:ascii="David" w:hAnsi="David" w:cs="David"/>
          <w:sz w:val="24"/>
          <w:szCs w:val="24"/>
          <w:rtl/>
        </w:rPr>
        <w:t xml:space="preserve"> </w:t>
      </w:r>
      <w:r>
        <w:rPr>
          <w:rFonts w:ascii="David" w:hAnsi="David" w:cs="David"/>
          <w:b/>
          <w:bCs/>
          <w:sz w:val="24"/>
          <w:szCs w:val="24"/>
          <w:rtl/>
        </w:rPr>
        <w:t>מדינת ישראל נ' אלקשחר</w:t>
      </w:r>
      <w:r>
        <w:rPr>
          <w:rFonts w:ascii="David" w:hAnsi="David" w:cs="David"/>
          <w:sz w:val="24"/>
          <w:szCs w:val="24"/>
          <w:rtl/>
        </w:rPr>
        <w:t xml:space="preserve"> [פורסם בנבו] (26/03/23) הורשע הנאשם בעבירה של החזקת סמים והפרעה לשוטר בכך שהחזיק בביתו סם מסוג קנבוס במשקל של 300 גרם והפריע לשוטרים בכך שזרק מחלון ביתו את הסמים עת הגיעו שוטרים לביתו. מתחם העונש נקבע בין מספר חודשי מאסר שיכול וירוצו בדרך של עבודות שירות ועד 12 חודשי מאסר בפועל ועונשו של הנאשם נגזר ל-6 חודשי מאסר בדרך של עבודות שירות ובנוסף הפעלת מאסר על תנאי.</w:t>
      </w:r>
    </w:p>
    <w:p w14:paraId="6B127D14" w14:textId="77777777" w:rsidR="00162FC0" w:rsidRDefault="00162FC0" w:rsidP="00162FC0">
      <w:pPr>
        <w:pStyle w:val="aa"/>
        <w:spacing w:line="360" w:lineRule="auto"/>
        <w:jc w:val="both"/>
        <w:rPr>
          <w:rFonts w:ascii="David" w:hAnsi="David" w:cs="David"/>
          <w:sz w:val="24"/>
          <w:szCs w:val="24"/>
          <w:rtl/>
        </w:rPr>
      </w:pPr>
    </w:p>
    <w:p w14:paraId="3F556732" w14:textId="77777777" w:rsidR="00162FC0" w:rsidRDefault="00162FC0" w:rsidP="00162FC0">
      <w:pPr>
        <w:pStyle w:val="aa"/>
        <w:spacing w:line="360" w:lineRule="auto"/>
        <w:jc w:val="both"/>
        <w:rPr>
          <w:rFonts w:ascii="David" w:hAnsi="David" w:cs="David"/>
          <w:sz w:val="24"/>
          <w:szCs w:val="24"/>
          <w:rtl/>
        </w:rPr>
      </w:pPr>
      <w:r>
        <w:rPr>
          <w:rFonts w:ascii="David" w:hAnsi="David" w:cs="David"/>
          <w:sz w:val="24"/>
          <w:szCs w:val="24"/>
          <w:rtl/>
        </w:rPr>
        <w:t>ב</w:t>
      </w:r>
      <w:hyperlink r:id="rId59" w:history="1">
        <w:r w:rsidR="00EC6A30" w:rsidRPr="00EC6A30">
          <w:rPr>
            <w:rFonts w:ascii="David" w:hAnsi="David" w:cs="David"/>
            <w:color w:val="0000FF"/>
            <w:sz w:val="24"/>
            <w:szCs w:val="24"/>
            <w:u w:val="single"/>
            <w:rtl/>
          </w:rPr>
          <w:t>ת"פ 14656-12-20</w:t>
        </w:r>
      </w:hyperlink>
      <w:r>
        <w:rPr>
          <w:rFonts w:ascii="David" w:hAnsi="David" w:cs="David"/>
          <w:sz w:val="24"/>
          <w:szCs w:val="24"/>
          <w:rtl/>
        </w:rPr>
        <w:t xml:space="preserve"> </w:t>
      </w:r>
      <w:r>
        <w:rPr>
          <w:rFonts w:ascii="David" w:hAnsi="David" w:cs="David"/>
          <w:b/>
          <w:bCs/>
          <w:sz w:val="24"/>
          <w:szCs w:val="24"/>
          <w:rtl/>
        </w:rPr>
        <w:t>מדינת ישראל נ' אלעלאוין</w:t>
      </w:r>
      <w:r>
        <w:rPr>
          <w:rFonts w:ascii="David" w:hAnsi="David" w:cs="David"/>
          <w:sz w:val="24"/>
          <w:szCs w:val="24"/>
          <w:rtl/>
        </w:rPr>
        <w:t xml:space="preserve"> (לא פורסם) הורשע נאשם בעבירה של החזקת סמים בכך שהחזיק בביתו סם מסוג קנביס במשל של 457 גרם. מתחם העונש נקבע בין מספר חודשים ועד 18 חודשי מאסר בפועל ועונשו נגזר ל- 8</w:t>
      </w:r>
      <w:r>
        <w:rPr>
          <w:rFonts w:ascii="David" w:hAnsi="David" w:cs="David"/>
          <w:color w:val="000000"/>
          <w:sz w:val="24"/>
          <w:szCs w:val="24"/>
          <w:shd w:val="clear" w:color="auto" w:fill="FFFFFF"/>
          <w:rtl/>
        </w:rPr>
        <w:t xml:space="preserve"> חודשים והופעל מאסר על תנאי בן 4 חודשים כך שחציו ירוצה בחופף וחציו במצטבר</w:t>
      </w:r>
      <w:r>
        <w:rPr>
          <w:rFonts w:ascii="David" w:hAnsi="David" w:cs="David"/>
          <w:color w:val="000000"/>
          <w:sz w:val="24"/>
          <w:szCs w:val="24"/>
          <w:shd w:val="clear" w:color="auto" w:fill="FFFFFF"/>
        </w:rPr>
        <w:t>.</w:t>
      </w:r>
    </w:p>
    <w:p w14:paraId="4A64B79D" w14:textId="77777777" w:rsidR="00162FC0" w:rsidRDefault="00162FC0" w:rsidP="00162FC0">
      <w:pPr>
        <w:pStyle w:val="aa"/>
        <w:rPr>
          <w:rFonts w:ascii="David" w:hAnsi="David" w:cs="David"/>
          <w:sz w:val="24"/>
          <w:szCs w:val="24"/>
        </w:rPr>
      </w:pPr>
    </w:p>
    <w:p w14:paraId="14E4E2B2" w14:textId="77777777" w:rsidR="00162FC0" w:rsidRDefault="00162FC0" w:rsidP="00162FC0">
      <w:pPr>
        <w:pStyle w:val="aa"/>
        <w:numPr>
          <w:ilvl w:val="0"/>
          <w:numId w:val="1"/>
        </w:numPr>
        <w:spacing w:after="0" w:line="360" w:lineRule="auto"/>
        <w:jc w:val="both"/>
        <w:rPr>
          <w:rFonts w:ascii="Arial" w:hAnsi="Arial" w:cs="David"/>
          <w:sz w:val="24"/>
          <w:szCs w:val="24"/>
          <w:rtl/>
        </w:rPr>
      </w:pPr>
      <w:r>
        <w:rPr>
          <w:rFonts w:ascii="David" w:hAnsi="David" w:cs="David"/>
          <w:sz w:val="24"/>
          <w:szCs w:val="24"/>
          <w:rtl/>
        </w:rPr>
        <w:t xml:space="preserve">ביחס לעבירות הכשלת השוטר </w:t>
      </w:r>
      <w:r>
        <w:rPr>
          <w:rFonts w:ascii="Arial" w:hAnsi="Arial" w:cs="David"/>
          <w:sz w:val="24"/>
          <w:szCs w:val="24"/>
          <w:rtl/>
        </w:rPr>
        <w:t xml:space="preserve">בעבר מדיניות הענישה הנוהגת הייתה במרבית המקרים לעונש מאסר על תנאי, קנס, שירות לתועלת הציבור. ראו למשל </w:t>
      </w:r>
      <w:hyperlink r:id="rId60" w:history="1">
        <w:r w:rsidR="00EC6A30" w:rsidRPr="00EC6A30">
          <w:rPr>
            <w:rFonts w:ascii="Arial" w:hAnsi="Arial" w:cs="David"/>
            <w:color w:val="0000FF"/>
            <w:sz w:val="24"/>
            <w:szCs w:val="24"/>
            <w:u w:val="single"/>
            <w:rtl/>
          </w:rPr>
          <w:t>ע"פ (י-ם) 28716-12-12</w:t>
        </w:r>
      </w:hyperlink>
      <w:r>
        <w:rPr>
          <w:rFonts w:ascii="Arial" w:hAnsi="Arial" w:cs="David"/>
          <w:sz w:val="24"/>
          <w:szCs w:val="24"/>
          <w:rtl/>
        </w:rPr>
        <w:t xml:space="preserve"> </w:t>
      </w:r>
      <w:r>
        <w:rPr>
          <w:rFonts w:ascii="Arial" w:hAnsi="Arial" w:cs="David"/>
          <w:b/>
          <w:bCs/>
          <w:sz w:val="24"/>
          <w:szCs w:val="24"/>
          <w:rtl/>
        </w:rPr>
        <w:t>כהן נ' מדינת ישראל</w:t>
      </w:r>
      <w:r>
        <w:rPr>
          <w:rFonts w:ascii="Arial" w:hAnsi="Arial" w:cs="David"/>
          <w:sz w:val="24"/>
          <w:szCs w:val="24"/>
          <w:rtl/>
        </w:rPr>
        <w:t xml:space="preserve"> [פורסם בנבו] (24/05/13) ; </w:t>
      </w:r>
      <w:hyperlink r:id="rId61" w:history="1">
        <w:r w:rsidR="00EC6A30" w:rsidRPr="00EC6A30">
          <w:rPr>
            <w:rFonts w:ascii="Arial" w:hAnsi="Arial" w:cs="David"/>
            <w:color w:val="0000FF"/>
            <w:sz w:val="24"/>
            <w:szCs w:val="24"/>
            <w:u w:val="single"/>
            <w:rtl/>
          </w:rPr>
          <w:t>ת"פ (שלום רמלה) 53938-12-12</w:t>
        </w:r>
      </w:hyperlink>
      <w:r>
        <w:rPr>
          <w:rFonts w:ascii="Arial" w:hAnsi="Arial" w:cs="David"/>
          <w:sz w:val="24"/>
          <w:szCs w:val="24"/>
          <w:rtl/>
        </w:rPr>
        <w:t xml:space="preserve"> </w:t>
      </w:r>
      <w:r>
        <w:rPr>
          <w:rFonts w:ascii="Arial" w:hAnsi="Arial" w:cs="David"/>
          <w:b/>
          <w:bCs/>
          <w:sz w:val="24"/>
          <w:szCs w:val="24"/>
          <w:rtl/>
        </w:rPr>
        <w:t>מדינת ישראל פרקליטות מחוז מרכז נ' נתנאל הברי</w:t>
      </w:r>
      <w:r>
        <w:rPr>
          <w:rFonts w:ascii="Arial" w:hAnsi="Arial" w:cs="David"/>
          <w:sz w:val="24"/>
          <w:szCs w:val="24"/>
          <w:rtl/>
        </w:rPr>
        <w:t xml:space="preserve"> [פורסם בנבו] (26/11/15); </w:t>
      </w:r>
      <w:hyperlink r:id="rId62" w:history="1">
        <w:r w:rsidR="00EC6A30" w:rsidRPr="00EC6A30">
          <w:rPr>
            <w:rFonts w:ascii="Arial" w:hAnsi="Arial" w:cs="David"/>
            <w:color w:val="0000FF"/>
            <w:sz w:val="24"/>
            <w:szCs w:val="24"/>
            <w:u w:val="single"/>
            <w:rtl/>
          </w:rPr>
          <w:t>ת"פ (שלום רמלה) 32722-06-13</w:t>
        </w:r>
      </w:hyperlink>
      <w:r>
        <w:rPr>
          <w:rFonts w:ascii="Arial" w:hAnsi="Arial" w:cs="David"/>
          <w:sz w:val="24"/>
          <w:szCs w:val="24"/>
          <w:rtl/>
        </w:rPr>
        <w:t xml:space="preserve"> </w:t>
      </w:r>
      <w:r>
        <w:rPr>
          <w:rFonts w:ascii="Arial" w:hAnsi="Arial" w:cs="David"/>
          <w:b/>
          <w:bCs/>
          <w:sz w:val="24"/>
          <w:szCs w:val="24"/>
          <w:rtl/>
        </w:rPr>
        <w:t>מדינת ישראל משטרת ישראל תביעות –שלוחת רמלה נ' עלי זמאערה</w:t>
      </w:r>
      <w:r>
        <w:rPr>
          <w:rFonts w:ascii="Arial" w:hAnsi="Arial" w:cs="David"/>
          <w:sz w:val="24"/>
          <w:szCs w:val="24"/>
          <w:rtl/>
        </w:rPr>
        <w:t xml:space="preserve"> [פורסם בנבו] (10/07/13); ת"פ (י-ם) </w:t>
      </w:r>
      <w:hyperlink r:id="rId63" w:history="1">
        <w:r w:rsidR="00405753" w:rsidRPr="00405753">
          <w:rPr>
            <w:rFonts w:ascii="Arial" w:hAnsi="Arial" w:cs="David"/>
            <w:color w:val="0000FF"/>
            <w:sz w:val="24"/>
            <w:szCs w:val="24"/>
            <w:u w:val="single"/>
            <w:rtl/>
          </w:rPr>
          <w:t xml:space="preserve">4110/09 </w:t>
        </w:r>
      </w:hyperlink>
      <w:r>
        <w:rPr>
          <w:rFonts w:ascii="Arial" w:hAnsi="Arial" w:cs="David"/>
          <w:sz w:val="24"/>
          <w:szCs w:val="24"/>
          <w:rtl/>
        </w:rPr>
        <w:t xml:space="preserve"> </w:t>
      </w:r>
      <w:r>
        <w:rPr>
          <w:rFonts w:ascii="Arial" w:hAnsi="Arial" w:cs="David"/>
          <w:b/>
          <w:bCs/>
          <w:sz w:val="24"/>
          <w:szCs w:val="24"/>
          <w:rtl/>
        </w:rPr>
        <w:t>מדינת ישראל נ' עליאן</w:t>
      </w:r>
      <w:r>
        <w:rPr>
          <w:rFonts w:ascii="Arial" w:hAnsi="Arial" w:cs="David"/>
          <w:sz w:val="24"/>
          <w:szCs w:val="24"/>
          <w:rtl/>
        </w:rPr>
        <w:t xml:space="preserve"> [פורסם בנבו (14/11/13); </w:t>
      </w:r>
      <w:hyperlink r:id="rId64" w:history="1">
        <w:r w:rsidR="00EC6A30" w:rsidRPr="00EC6A30">
          <w:rPr>
            <w:rFonts w:ascii="Arial" w:hAnsi="Arial" w:cs="David"/>
            <w:color w:val="0000FF"/>
            <w:sz w:val="24"/>
            <w:szCs w:val="24"/>
            <w:u w:val="single"/>
            <w:rtl/>
          </w:rPr>
          <w:t>ת"פ 13053-08-19</w:t>
        </w:r>
      </w:hyperlink>
      <w:r>
        <w:rPr>
          <w:rFonts w:ascii="Arial" w:hAnsi="Arial" w:cs="David"/>
          <w:sz w:val="24"/>
          <w:szCs w:val="24"/>
          <w:rtl/>
        </w:rPr>
        <w:t xml:space="preserve"> </w:t>
      </w:r>
      <w:r>
        <w:rPr>
          <w:rFonts w:ascii="Arial" w:hAnsi="Arial" w:cs="David"/>
          <w:b/>
          <w:bCs/>
          <w:sz w:val="24"/>
          <w:szCs w:val="24"/>
          <w:rtl/>
        </w:rPr>
        <w:t>מדינת ישראל נ' דורון</w:t>
      </w:r>
      <w:r>
        <w:rPr>
          <w:rFonts w:ascii="Arial" w:hAnsi="Arial" w:cs="David"/>
          <w:sz w:val="24"/>
          <w:szCs w:val="24"/>
          <w:rtl/>
        </w:rPr>
        <w:t xml:space="preserve"> [פורסם בנבו] (07/02/22). יחד עם זאת, מרגע שהמחוקק קבע עונש מזערי בדמות מאסר בן שבועיים, לא יכול עוד מתחם העונש ההולם להתחיל מעונש של מאסר על תנאי, אלא מטעמים מיוחדים בלבד. ובעניין זה ראו למשל </w:t>
      </w:r>
      <w:hyperlink r:id="rId65" w:history="1">
        <w:r w:rsidR="00EC6A30" w:rsidRPr="00EC6A30">
          <w:rPr>
            <w:rFonts w:ascii="David" w:hAnsi="David" w:cs="David"/>
            <w:color w:val="0000FF"/>
            <w:sz w:val="24"/>
            <w:szCs w:val="24"/>
            <w:u w:val="single"/>
            <w:rtl/>
            <w:lang w:eastAsia="he-IL"/>
          </w:rPr>
          <w:t>ע"פ 1605/13</w:t>
        </w:r>
      </w:hyperlink>
      <w:r>
        <w:rPr>
          <w:rFonts w:ascii="David" w:hAnsi="David" w:cs="David"/>
          <w:sz w:val="24"/>
          <w:szCs w:val="24"/>
          <w:rtl/>
          <w:lang w:eastAsia="he-IL"/>
        </w:rPr>
        <w:t xml:space="preserve"> </w:t>
      </w:r>
      <w:r>
        <w:rPr>
          <w:rFonts w:ascii="David" w:hAnsi="David" w:cs="David"/>
          <w:b/>
          <w:bCs/>
          <w:sz w:val="24"/>
          <w:szCs w:val="24"/>
          <w:rtl/>
          <w:lang w:eastAsia="he-IL"/>
        </w:rPr>
        <w:t>פלוני נ' מדינת ישראל</w:t>
      </w:r>
      <w:r>
        <w:rPr>
          <w:rFonts w:ascii="Arial" w:hAnsi="Arial" w:cs="David"/>
          <w:sz w:val="24"/>
          <w:szCs w:val="24"/>
          <w:rtl/>
        </w:rPr>
        <w:t xml:space="preserve"> [פורסם בנבו] (27/08/14).</w:t>
      </w:r>
    </w:p>
    <w:p w14:paraId="2BD98648" w14:textId="77777777" w:rsidR="00162FC0" w:rsidRDefault="00162FC0" w:rsidP="00162FC0">
      <w:pPr>
        <w:pStyle w:val="aa"/>
        <w:spacing w:after="0" w:line="360" w:lineRule="auto"/>
        <w:jc w:val="both"/>
        <w:rPr>
          <w:rFonts w:ascii="David" w:hAnsi="David" w:cs="David"/>
          <w:sz w:val="24"/>
          <w:szCs w:val="24"/>
        </w:rPr>
      </w:pPr>
    </w:p>
    <w:p w14:paraId="530133CC" w14:textId="77777777" w:rsidR="00162FC0" w:rsidRPr="00162FC0" w:rsidRDefault="00162FC0" w:rsidP="00162FC0">
      <w:pPr>
        <w:spacing w:line="360" w:lineRule="auto"/>
        <w:jc w:val="both"/>
        <w:rPr>
          <w:rFonts w:ascii="David" w:eastAsia="Calibri" w:hAnsi="David"/>
          <w:u w:val="single"/>
        </w:rPr>
      </w:pPr>
      <w:r>
        <w:rPr>
          <w:rFonts w:ascii="David" w:hAnsi="David"/>
          <w:u w:val="single"/>
          <w:rtl/>
        </w:rPr>
        <w:t>הנסיבות הקשורות בביצוע העבירה</w:t>
      </w:r>
    </w:p>
    <w:p w14:paraId="702D096D" w14:textId="77777777" w:rsidR="00162FC0" w:rsidRDefault="00162FC0" w:rsidP="00162FC0">
      <w:pPr>
        <w:pStyle w:val="aa"/>
        <w:numPr>
          <w:ilvl w:val="0"/>
          <w:numId w:val="1"/>
        </w:numPr>
        <w:spacing w:line="360" w:lineRule="auto"/>
        <w:jc w:val="both"/>
        <w:rPr>
          <w:rFonts w:ascii="David" w:hAnsi="David" w:cs="David"/>
          <w:sz w:val="24"/>
          <w:szCs w:val="24"/>
          <w:u w:val="single"/>
          <w:rtl/>
        </w:rPr>
      </w:pPr>
      <w:r>
        <w:rPr>
          <w:rFonts w:ascii="David" w:hAnsi="David" w:cs="David"/>
          <w:sz w:val="24"/>
          <w:szCs w:val="24"/>
          <w:rtl/>
        </w:rPr>
        <w:t xml:space="preserve">במסגרת בחינת הנסיבות הקשורות בביצוע העבירה בהתאם לסעיף </w:t>
      </w:r>
      <w:hyperlink r:id="rId66" w:history="1">
        <w:r w:rsidR="007812E5" w:rsidRPr="007812E5">
          <w:rPr>
            <w:rStyle w:val="Hyperlink"/>
            <w:rFonts w:ascii="David" w:hAnsi="David" w:cs="David"/>
            <w:sz w:val="24"/>
            <w:szCs w:val="24"/>
            <w:rtl/>
          </w:rPr>
          <w:t>40 ט'</w:t>
        </w:r>
      </w:hyperlink>
      <w:r>
        <w:rPr>
          <w:rFonts w:ascii="David" w:hAnsi="David" w:cs="David"/>
          <w:sz w:val="24"/>
          <w:szCs w:val="24"/>
          <w:rtl/>
        </w:rPr>
        <w:t xml:space="preserve"> לחוק, ענייננו בהחזקת סם מסוג קנבוס שאמנם אינו נחשב מן הקשים שבפקודת הסמים, אולם היה ועודנו נותר סם מסוכן. הנאשם החזיק בכמות סם שאינה מבוטלת במשקל של 550 גרם, וזו נמצאה ברכבו בעוד הוא מתדלק את רכבו בתחנת דלק. יצוין כי גם אם לא עולה כך מכתב האישום, לדברי הנאשם עצמו, הוא אינו משתמש בסמים, והחבילה הייתה צפויה להגיע לידי אחר. כך, שעל פניו הנאשם שימש כחלק משרשרת הפצת הסם.</w:t>
      </w:r>
    </w:p>
    <w:p w14:paraId="0ACF7F28" w14:textId="77777777" w:rsidR="00162FC0" w:rsidRDefault="00162FC0" w:rsidP="00162FC0">
      <w:pPr>
        <w:pStyle w:val="aa"/>
        <w:spacing w:line="360" w:lineRule="auto"/>
        <w:jc w:val="both"/>
        <w:rPr>
          <w:rFonts w:ascii="David" w:hAnsi="David" w:cs="David"/>
          <w:sz w:val="24"/>
          <w:szCs w:val="24"/>
          <w:u w:val="single"/>
        </w:rPr>
      </w:pPr>
    </w:p>
    <w:p w14:paraId="554DCC04" w14:textId="77777777" w:rsidR="00162FC0" w:rsidRDefault="00162FC0" w:rsidP="00162FC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אם בכך לא די, הרי שבעת שהבחין בשוטרים, נכנס במהירות לרכבו, החל בנסיעה ולא שעה לבקשת השוטרים לעצור. מנוסתו של הנאשם מהשוטרים עם רכבו הינה חמורה. לא זו בלבד שהיא מבטאת את מטרתו של הנאשם להימלט מאימת הדין, אלא שהיא מלמדת על התעוזה של הנאשם לברוח מגורמי החוק. </w:t>
      </w:r>
    </w:p>
    <w:p w14:paraId="24988EEB" w14:textId="77777777" w:rsidR="00162FC0" w:rsidRDefault="00162FC0" w:rsidP="00162FC0">
      <w:pPr>
        <w:pStyle w:val="aa"/>
        <w:rPr>
          <w:rFonts w:ascii="David" w:hAnsi="David" w:cs="David"/>
          <w:sz w:val="24"/>
          <w:szCs w:val="24"/>
        </w:rPr>
      </w:pPr>
    </w:p>
    <w:p w14:paraId="0BAFA291" w14:textId="77777777" w:rsidR="00162FC0" w:rsidRDefault="00162FC0" w:rsidP="00162FC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נתתי דעתי לכך שהנאשם הסגיר עצמו לאחר שברח מהשוטרים, וגם אם אין בכך משום חרטה במובנו של </w:t>
      </w:r>
      <w:hyperlink r:id="rId67" w:history="1">
        <w:r w:rsidR="007812E5" w:rsidRPr="007812E5">
          <w:rPr>
            <w:rStyle w:val="Hyperlink"/>
            <w:rFonts w:ascii="David" w:hAnsi="David" w:cs="David"/>
            <w:sz w:val="24"/>
            <w:szCs w:val="24"/>
            <w:rtl/>
          </w:rPr>
          <w:t>סעיף 28</w:t>
        </w:r>
      </w:hyperlink>
      <w:r>
        <w:rPr>
          <w:rFonts w:ascii="David" w:hAnsi="David" w:cs="David"/>
          <w:sz w:val="24"/>
          <w:szCs w:val="24"/>
          <w:rtl/>
        </w:rPr>
        <w:t xml:space="preserve"> ל</w:t>
      </w:r>
      <w:hyperlink r:id="rId68" w:history="1">
        <w:r w:rsidR="00EC6A30" w:rsidRPr="00EC6A30">
          <w:rPr>
            <w:rFonts w:ascii="David" w:hAnsi="David" w:cs="David"/>
            <w:color w:val="0000FF"/>
            <w:sz w:val="24"/>
            <w:szCs w:val="24"/>
            <w:u w:val="single"/>
            <w:rtl/>
          </w:rPr>
          <w:t>חוק העונשין</w:t>
        </w:r>
      </w:hyperlink>
      <w:r>
        <w:rPr>
          <w:rFonts w:ascii="David" w:hAnsi="David" w:cs="David"/>
          <w:sz w:val="24"/>
          <w:szCs w:val="24"/>
          <w:rtl/>
        </w:rPr>
        <w:t xml:space="preserve"> ואף לא קרבה לכך, יש בכך כדי ללמד על הלך רוח המצדיק התחשבות מסוימת בבחינת נסיבות שאינן קשורות לביצוע העבירה. יוער כי ע"פ 27326-12-21 קיזר נ' מדינת ישראל, אינו יפה לענייננו משום ששם  בסופו של יום הנאשם לא פנה אל חברת הביטוח ועל כן מטרתו לא התממשה.  </w:t>
      </w:r>
    </w:p>
    <w:p w14:paraId="6BFC5C4E" w14:textId="77777777" w:rsidR="00162FC0" w:rsidRDefault="00162FC0" w:rsidP="00162FC0">
      <w:pPr>
        <w:pStyle w:val="aa"/>
        <w:spacing w:line="360" w:lineRule="auto"/>
        <w:ind w:left="360"/>
        <w:jc w:val="both"/>
        <w:rPr>
          <w:rFonts w:ascii="David" w:hAnsi="David" w:cs="David"/>
          <w:sz w:val="24"/>
          <w:szCs w:val="24"/>
          <w:u w:val="single"/>
          <w:rtl/>
        </w:rPr>
      </w:pPr>
    </w:p>
    <w:p w14:paraId="4B6E0F0D"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לפיכך, אני קובע כי מתחם העונש ההולם נע בין מאסר קצר שיכול  וירוצה בעבודות שירות, בצירוף ענישה נלווית ועד 12 חודשי מאסר בפועל.</w:t>
      </w:r>
    </w:p>
    <w:p w14:paraId="58444328" w14:textId="77777777" w:rsidR="00162FC0" w:rsidRPr="00162FC0" w:rsidRDefault="00162FC0" w:rsidP="00162FC0">
      <w:pPr>
        <w:spacing w:line="360" w:lineRule="auto"/>
        <w:jc w:val="both"/>
        <w:rPr>
          <w:rFonts w:ascii="David" w:eastAsia="Calibri" w:hAnsi="David"/>
          <w:bCs/>
          <w:u w:val="single"/>
        </w:rPr>
      </w:pPr>
    </w:p>
    <w:p w14:paraId="4DD142C7" w14:textId="77777777" w:rsidR="00162FC0" w:rsidRDefault="00162FC0" w:rsidP="00162FC0">
      <w:pPr>
        <w:spacing w:line="360" w:lineRule="auto"/>
        <w:jc w:val="both"/>
        <w:rPr>
          <w:rFonts w:ascii="David" w:hAnsi="David"/>
          <w:bCs/>
          <w:u w:val="single"/>
          <w:rtl/>
        </w:rPr>
      </w:pPr>
      <w:r>
        <w:rPr>
          <w:rFonts w:ascii="David" w:hAnsi="David"/>
          <w:bCs/>
          <w:u w:val="single"/>
          <w:rtl/>
        </w:rPr>
        <w:t>סטייה ממתחם העונש ההולם</w:t>
      </w:r>
    </w:p>
    <w:p w14:paraId="6FFB9FB0" w14:textId="77777777" w:rsidR="00162FC0" w:rsidRDefault="00162FC0" w:rsidP="00162FC0">
      <w:pPr>
        <w:spacing w:line="360" w:lineRule="auto"/>
        <w:jc w:val="both"/>
        <w:rPr>
          <w:rFonts w:ascii="David" w:hAnsi="David"/>
          <w:bCs/>
          <w:u w:val="single"/>
          <w:rtl/>
        </w:rPr>
      </w:pPr>
    </w:p>
    <w:p w14:paraId="232A0326"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בעניינו לא מצאתי מקום לחרוג ממתחם הענישה שקבעתי וזאת משום שעל נאשם המבקש לסטות לקולא ממתחם העונש ההולם הנטל להציג ראיות לכך שעבר הליך שיקומי משמעותי. ראו למשל </w:t>
      </w:r>
      <w:hyperlink r:id="rId69" w:history="1">
        <w:r w:rsidR="00EC6A30" w:rsidRPr="00EC6A30">
          <w:rPr>
            <w:rFonts w:ascii="David" w:hAnsi="David" w:cs="David"/>
            <w:color w:val="0000FF"/>
            <w:sz w:val="24"/>
            <w:szCs w:val="24"/>
            <w:u w:val="single"/>
            <w:rtl/>
          </w:rPr>
          <w:t>רע"פ 1705/22</w:t>
        </w:r>
      </w:hyperlink>
      <w:r>
        <w:rPr>
          <w:rFonts w:ascii="David" w:hAnsi="David" w:cs="David"/>
          <w:sz w:val="24"/>
          <w:szCs w:val="24"/>
          <w:rtl/>
        </w:rPr>
        <w:t xml:space="preserve"> </w:t>
      </w:r>
      <w:r>
        <w:rPr>
          <w:rFonts w:ascii="David" w:hAnsi="David" w:cs="David"/>
          <w:b/>
          <w:bCs/>
          <w:sz w:val="24"/>
          <w:szCs w:val="24"/>
          <w:rtl/>
        </w:rPr>
        <w:t>אלצראיעה נ' מדינת ישראל</w:t>
      </w:r>
      <w:r>
        <w:rPr>
          <w:rFonts w:ascii="David" w:hAnsi="David" w:cs="David"/>
          <w:sz w:val="24"/>
          <w:szCs w:val="24"/>
          <w:rtl/>
        </w:rPr>
        <w:t xml:space="preserve"> [פורסם בנבו] (14/03/22), כידוע, הלכה היא כי: "</w:t>
      </w:r>
      <w:r>
        <w:rPr>
          <w:rFonts w:ascii="David" w:hAnsi="David" w:cs="David"/>
          <w:b/>
          <w:bCs/>
          <w:sz w:val="24"/>
          <w:szCs w:val="24"/>
          <w:rtl/>
        </w:rPr>
        <w:t>לא בכל מקרה שבו תהליך טיפולי מתקדם בכיוון חיובי, יש להפעיל את הסמכות הקבועה בסעיף 40ד, שאחרת בא החריג ומרוקן את הכלל מתוכן</w:t>
      </w:r>
      <w:r>
        <w:rPr>
          <w:rFonts w:ascii="David" w:hAnsi="David" w:cs="David"/>
          <w:sz w:val="24"/>
          <w:szCs w:val="24"/>
          <w:rtl/>
        </w:rPr>
        <w:t xml:space="preserve">". ראו למשל </w:t>
      </w:r>
      <w:hyperlink r:id="rId70" w:history="1">
        <w:r w:rsidR="00EC6A30" w:rsidRPr="00EC6A30">
          <w:rPr>
            <w:rFonts w:ascii="David" w:hAnsi="David" w:cs="David"/>
            <w:color w:val="0000FF"/>
            <w:sz w:val="24"/>
            <w:szCs w:val="24"/>
            <w:u w:val="single"/>
            <w:rtl/>
          </w:rPr>
          <w:t>ע"פ 7757/21</w:t>
        </w:r>
      </w:hyperlink>
      <w:r>
        <w:rPr>
          <w:rFonts w:ascii="David" w:hAnsi="David" w:cs="David"/>
          <w:sz w:val="24"/>
          <w:szCs w:val="24"/>
          <w:rtl/>
        </w:rPr>
        <w:t xml:space="preserve"> </w:t>
      </w:r>
      <w:r>
        <w:rPr>
          <w:rFonts w:ascii="David" w:hAnsi="David" w:cs="David"/>
          <w:b/>
          <w:bCs/>
          <w:sz w:val="24"/>
          <w:szCs w:val="24"/>
          <w:rtl/>
        </w:rPr>
        <w:t xml:space="preserve">אהרון קיי מרזוקי נ' מדינת ישראל </w:t>
      </w:r>
      <w:r>
        <w:rPr>
          <w:rFonts w:ascii="David" w:hAnsi="David" w:cs="David"/>
          <w:sz w:val="24"/>
          <w:szCs w:val="24"/>
          <w:rtl/>
        </w:rPr>
        <w:t xml:space="preserve">[פורסם בנבו] (24/05/22). </w:t>
      </w:r>
    </w:p>
    <w:p w14:paraId="1DC784F9" w14:textId="77777777" w:rsidR="00162FC0" w:rsidRDefault="00162FC0" w:rsidP="00162FC0">
      <w:pPr>
        <w:pStyle w:val="aa"/>
        <w:spacing w:after="0" w:line="360" w:lineRule="auto"/>
        <w:jc w:val="both"/>
        <w:rPr>
          <w:rFonts w:ascii="David" w:hAnsi="David" w:cs="David"/>
          <w:sz w:val="24"/>
          <w:szCs w:val="24"/>
        </w:rPr>
      </w:pPr>
    </w:p>
    <w:p w14:paraId="0A4518D4"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בענייננו, הנאשם טרם עבר הליך טיפולי או שיקומי מכל סוג שהוא. אמנם היעדר שילובו בקבוצה אינו נזקף לחובתו ונבע משיקולים שאין לנאשם שליטה עליהם, בשל העומס הקיים אצל שירות המבחן. יחד עם זאת, מקום בו הנאשם טרם החל בטיפול, בית המשפט אינו יכול להתרשם אם ההליך הטיפולי יעלה כדי שיקום ממשי, או למצער, ילמד על סיכוי שיקומו (בעניין זה ראו </w:t>
      </w:r>
      <w:hyperlink r:id="rId71" w:history="1">
        <w:r w:rsidR="00EC6A30" w:rsidRPr="00EC6A30">
          <w:rPr>
            <w:rFonts w:ascii="David" w:hAnsi="David" w:cs="David"/>
            <w:color w:val="0000FF"/>
            <w:sz w:val="24"/>
            <w:szCs w:val="24"/>
            <w:u w:val="single"/>
            <w:rtl/>
          </w:rPr>
          <w:t>רע"פ 7150/21</w:t>
        </w:r>
      </w:hyperlink>
      <w:r>
        <w:rPr>
          <w:rFonts w:ascii="David" w:hAnsi="David" w:cs="David"/>
          <w:sz w:val="24"/>
          <w:szCs w:val="24"/>
          <w:rtl/>
        </w:rPr>
        <w:t xml:space="preserve"> </w:t>
      </w:r>
      <w:r>
        <w:rPr>
          <w:rFonts w:ascii="David" w:hAnsi="David" w:cs="David"/>
          <w:b/>
          <w:bCs/>
          <w:sz w:val="24"/>
          <w:szCs w:val="24"/>
          <w:rtl/>
        </w:rPr>
        <w:t>מנשירוב נ' מדינת ישראל</w:t>
      </w:r>
      <w:r>
        <w:rPr>
          <w:rFonts w:ascii="David" w:hAnsi="David" w:cs="David"/>
          <w:sz w:val="24"/>
          <w:szCs w:val="24"/>
          <w:rtl/>
        </w:rPr>
        <w:t xml:space="preserve"> [פורסם בנבו] (28/10/21)). </w:t>
      </w:r>
    </w:p>
    <w:p w14:paraId="17D644BA" w14:textId="77777777" w:rsidR="00162FC0" w:rsidRDefault="00162FC0" w:rsidP="00162FC0">
      <w:pPr>
        <w:spacing w:line="360" w:lineRule="auto"/>
        <w:jc w:val="both"/>
        <w:rPr>
          <w:rFonts w:ascii="David" w:hAnsi="David"/>
        </w:rPr>
      </w:pPr>
    </w:p>
    <w:p w14:paraId="12174088"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בנסיבות המתוארות לעיל, אין בידי לקבל את המלצת שירות המבחן לענישה שיקומית בלבד. בעניין זה ראו </w:t>
      </w:r>
      <w:hyperlink r:id="rId72" w:history="1">
        <w:r w:rsidR="00EC6A30" w:rsidRPr="00EC6A30">
          <w:rPr>
            <w:rFonts w:ascii="David" w:hAnsi="David" w:cs="David"/>
            <w:color w:val="0000FF"/>
            <w:sz w:val="24"/>
            <w:szCs w:val="24"/>
            <w:u w:val="single"/>
            <w:rtl/>
          </w:rPr>
          <w:t>ע"פ 3183/16</w:t>
        </w:r>
      </w:hyperlink>
      <w:r>
        <w:rPr>
          <w:rFonts w:ascii="David" w:hAnsi="David" w:cs="David"/>
          <w:sz w:val="24"/>
          <w:szCs w:val="24"/>
          <w:rtl/>
        </w:rPr>
        <w:t xml:space="preserve"> </w:t>
      </w:r>
      <w:r>
        <w:rPr>
          <w:rFonts w:ascii="David" w:hAnsi="David" w:cs="David"/>
          <w:b/>
          <w:bCs/>
          <w:sz w:val="24"/>
          <w:szCs w:val="24"/>
          <w:rtl/>
        </w:rPr>
        <w:t xml:space="preserve">עופרי נ' מדינת ישראל </w:t>
      </w:r>
      <w:r>
        <w:rPr>
          <w:rFonts w:ascii="David" w:hAnsi="David" w:cs="David"/>
          <w:sz w:val="24"/>
          <w:szCs w:val="24"/>
          <w:rtl/>
        </w:rPr>
        <w:t xml:space="preserve">[פורסם בנבו] (08/03/17) שם חזר בית המשפט על ההלכה הידועה </w:t>
      </w:r>
      <w:r>
        <w:rPr>
          <w:rFonts w:ascii="David" w:hAnsi="David" w:cs="David"/>
          <w:b/>
          <w:bCs/>
          <w:sz w:val="24"/>
          <w:szCs w:val="24"/>
          <w:rtl/>
        </w:rPr>
        <w:t>"לפיה תסקיר שירות המבחן, על אף הערכת מקצועיותו הרבה, מהווה המלצה בלבד ובית המשפט רשאי להפעיל את שיקול דעתו בהתחשב בכלל האינטרסים העומדים לפניו"</w:t>
      </w:r>
      <w:r>
        <w:rPr>
          <w:rFonts w:ascii="David" w:hAnsi="David" w:cs="David"/>
          <w:sz w:val="24"/>
          <w:szCs w:val="24"/>
          <w:rtl/>
        </w:rPr>
        <w:t>. הדברים אמורים ביתר שאת שעה שהמלצת שירות המבחן לשקול את ביטול הרשעת הנאשם הובאה כבר בתסקיר הראשון ובטרם החל בהליך טיפולי כלשהו.</w:t>
      </w:r>
    </w:p>
    <w:p w14:paraId="21135449" w14:textId="77777777" w:rsidR="00162FC0" w:rsidRDefault="00162FC0" w:rsidP="00162FC0">
      <w:pPr>
        <w:pStyle w:val="aa"/>
        <w:rPr>
          <w:rFonts w:ascii="David" w:hAnsi="David" w:cs="David"/>
          <w:sz w:val="24"/>
          <w:szCs w:val="24"/>
        </w:rPr>
      </w:pPr>
    </w:p>
    <w:p w14:paraId="7D9534CE"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זאת ועוד, בענייננו הנאשם ביצע את העבירות תוך הפעלת שיקול רציונלי, שלא על יסוד התמכרות כלשהי, ומכאן שסוגיית השיקום גם אם לא בלתי רלוונטית, הינה על פניה בעלת משקל פחות ביחס לאינטרס הציבורי.   </w:t>
      </w:r>
    </w:p>
    <w:p w14:paraId="6017BD31" w14:textId="77777777" w:rsidR="00162FC0" w:rsidRDefault="00162FC0" w:rsidP="00162FC0">
      <w:pPr>
        <w:spacing w:line="360" w:lineRule="auto"/>
        <w:jc w:val="both"/>
        <w:rPr>
          <w:rFonts w:ascii="David" w:hAnsi="David"/>
        </w:rPr>
      </w:pPr>
    </w:p>
    <w:p w14:paraId="09C1F278"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עוד יש  לזכור כי שיקולי שיקום אינם חזות הכל, ולצד אלה נדרש בית המשפט ליתן דעתו לשיקולי ענישה נוספים, ובכלל זה שיקולי גמול, הרתעה והגנה על שלום הציבור ובשים לב לחומרת העבירות המבוצעות בענייננו. ראו למשל </w:t>
      </w:r>
      <w:hyperlink r:id="rId73" w:history="1">
        <w:r w:rsidR="00EC6A30" w:rsidRPr="00EC6A30">
          <w:rPr>
            <w:rFonts w:ascii="David" w:hAnsi="David" w:cs="David"/>
            <w:color w:val="0000FF"/>
            <w:sz w:val="24"/>
            <w:szCs w:val="24"/>
            <w:u w:val="single"/>
            <w:rtl/>
          </w:rPr>
          <w:t>רע"פ 4079/21</w:t>
        </w:r>
      </w:hyperlink>
      <w:r>
        <w:rPr>
          <w:rFonts w:ascii="David" w:hAnsi="David" w:cs="David"/>
          <w:sz w:val="24"/>
          <w:szCs w:val="24"/>
          <w:rtl/>
        </w:rPr>
        <w:t xml:space="preserve"> </w:t>
      </w:r>
      <w:r>
        <w:rPr>
          <w:rFonts w:ascii="David" w:hAnsi="David" w:cs="David" w:hint="cs"/>
          <w:b/>
          <w:bCs/>
          <w:sz w:val="24"/>
          <w:szCs w:val="24"/>
          <w:rtl/>
        </w:rPr>
        <w:t xml:space="preserve">פלוני נ' מדינת ישראל </w:t>
      </w:r>
      <w:r>
        <w:rPr>
          <w:rFonts w:ascii="David" w:hAnsi="David" w:cs="David" w:hint="cs"/>
          <w:sz w:val="24"/>
          <w:szCs w:val="24"/>
          <w:rtl/>
        </w:rPr>
        <w:t>[פורסם בנבו] (20/06/21).</w:t>
      </w:r>
      <w:r>
        <w:rPr>
          <w:rFonts w:ascii="David" w:hAnsi="David" w:cs="David" w:hint="cs"/>
          <w:b/>
          <w:bCs/>
          <w:sz w:val="24"/>
          <w:szCs w:val="24"/>
          <w:rtl/>
        </w:rPr>
        <w:t xml:space="preserve"> </w:t>
      </w:r>
    </w:p>
    <w:p w14:paraId="707FAE1F" w14:textId="77777777" w:rsidR="00162FC0" w:rsidRDefault="00162FC0" w:rsidP="00162FC0">
      <w:pPr>
        <w:spacing w:line="360" w:lineRule="auto"/>
        <w:jc w:val="both"/>
        <w:rPr>
          <w:rFonts w:ascii="David" w:hAnsi="David"/>
        </w:rPr>
      </w:pPr>
    </w:p>
    <w:p w14:paraId="6D47D4DE" w14:textId="77777777" w:rsidR="00162FC0" w:rsidRDefault="00162FC0" w:rsidP="00162FC0">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טענת ב"כ הנאשם לדחייה נוספת של הדיון על מנת ללמוד על שילובו של הנאשם בקבוצה הטיפולית, אינה עולה בקנה אחד עם עיקרון סופיות הדיון ובשים לב כי מדובר בתיק שנפתח בשנת 2019, הפגיעה הנגרמת להרתעת היחיד והרבים מכך שהעונש ירוצה זמן מה  ושיקולים נוספים עליהם עמד לא אחת בית המשפט העליון. ראו למשל </w:t>
      </w:r>
      <w:hyperlink r:id="rId74" w:history="1">
        <w:r w:rsidR="00EC6A30" w:rsidRPr="00EC6A30">
          <w:rPr>
            <w:rFonts w:ascii="David" w:hAnsi="David" w:cs="David"/>
            <w:color w:val="0000FF"/>
            <w:sz w:val="24"/>
            <w:szCs w:val="24"/>
            <w:u w:val="single"/>
            <w:rtl/>
          </w:rPr>
          <w:t>ע"פ 3183/16</w:t>
        </w:r>
      </w:hyperlink>
      <w:r>
        <w:rPr>
          <w:rFonts w:ascii="David" w:hAnsi="David" w:cs="David"/>
          <w:sz w:val="24"/>
          <w:szCs w:val="24"/>
          <w:rtl/>
        </w:rPr>
        <w:t xml:space="preserve"> </w:t>
      </w:r>
      <w:r>
        <w:rPr>
          <w:rFonts w:ascii="David" w:hAnsi="David" w:cs="David"/>
          <w:b/>
          <w:bCs/>
          <w:sz w:val="24"/>
          <w:szCs w:val="24"/>
          <w:rtl/>
        </w:rPr>
        <w:t>עופרי נ' מדינת ישראל</w:t>
      </w:r>
      <w:r>
        <w:rPr>
          <w:rFonts w:ascii="David" w:hAnsi="David" w:cs="David"/>
          <w:sz w:val="24"/>
          <w:szCs w:val="24"/>
          <w:rtl/>
        </w:rPr>
        <w:t xml:space="preserve"> [פורסם בנבו] (08/03/17).</w:t>
      </w:r>
    </w:p>
    <w:p w14:paraId="77BE415B" w14:textId="77777777" w:rsidR="00162FC0" w:rsidRDefault="00162FC0" w:rsidP="00162FC0">
      <w:pPr>
        <w:pStyle w:val="aa"/>
        <w:rPr>
          <w:rFonts w:ascii="David" w:hAnsi="David" w:cs="David"/>
          <w:sz w:val="24"/>
          <w:szCs w:val="24"/>
        </w:rPr>
      </w:pPr>
    </w:p>
    <w:p w14:paraId="58DE31E0"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לאור האמור לעיל, מצאתי כי אין מקום לסטות ממתחם העונש ההולם </w:t>
      </w:r>
    </w:p>
    <w:p w14:paraId="5F2C34EA" w14:textId="77777777" w:rsidR="00162FC0" w:rsidRDefault="00162FC0" w:rsidP="00162FC0">
      <w:pPr>
        <w:pStyle w:val="aa"/>
        <w:rPr>
          <w:rFonts w:ascii="David" w:hAnsi="David" w:cs="David"/>
          <w:sz w:val="24"/>
          <w:szCs w:val="24"/>
        </w:rPr>
      </w:pPr>
    </w:p>
    <w:p w14:paraId="3DF6ED58" w14:textId="77777777" w:rsidR="00162FC0" w:rsidRDefault="00162FC0" w:rsidP="00162FC0">
      <w:pPr>
        <w:spacing w:line="360" w:lineRule="auto"/>
        <w:jc w:val="both"/>
        <w:rPr>
          <w:rFonts w:ascii="David" w:hAnsi="David"/>
          <w:b/>
          <w:bCs/>
          <w:u w:val="single"/>
          <w:rtl/>
        </w:rPr>
      </w:pPr>
      <w:r>
        <w:rPr>
          <w:rFonts w:ascii="David" w:hAnsi="David"/>
          <w:b/>
          <w:bCs/>
          <w:u w:val="single"/>
          <w:rtl/>
        </w:rPr>
        <w:t xml:space="preserve">קביעת העונש ההולם בתוך המתחם </w:t>
      </w:r>
    </w:p>
    <w:p w14:paraId="44FC17DE" w14:textId="77777777" w:rsidR="00162FC0" w:rsidRDefault="00162FC0" w:rsidP="00162FC0">
      <w:pPr>
        <w:pStyle w:val="aa"/>
        <w:numPr>
          <w:ilvl w:val="0"/>
          <w:numId w:val="1"/>
        </w:numPr>
        <w:spacing w:line="360" w:lineRule="auto"/>
        <w:jc w:val="both"/>
        <w:rPr>
          <w:rFonts w:ascii="David" w:hAnsi="David" w:cs="David"/>
          <w:b/>
          <w:bCs/>
          <w:sz w:val="24"/>
          <w:szCs w:val="24"/>
          <w:u w:val="single"/>
          <w:rtl/>
        </w:rPr>
      </w:pPr>
      <w:r>
        <w:rPr>
          <w:rFonts w:ascii="David" w:hAnsi="David" w:cs="David"/>
          <w:sz w:val="24"/>
          <w:szCs w:val="24"/>
          <w:rtl/>
        </w:rPr>
        <w:t xml:space="preserve">לשם קביעת העונש ההולם, בגדרי מתחם העונש, על בית המשפט להידרש לנסיבות שאינן קשורות בביצוע העבירה:  </w:t>
      </w:r>
    </w:p>
    <w:p w14:paraId="162C83C1" w14:textId="77777777" w:rsidR="00162FC0" w:rsidRDefault="00162FC0" w:rsidP="00162FC0">
      <w:pPr>
        <w:pStyle w:val="aa"/>
        <w:spacing w:after="0" w:line="360" w:lineRule="auto"/>
        <w:jc w:val="both"/>
        <w:rPr>
          <w:rFonts w:ascii="David" w:hAnsi="David" w:cs="David"/>
          <w:sz w:val="24"/>
          <w:szCs w:val="24"/>
        </w:rPr>
      </w:pPr>
    </w:p>
    <w:p w14:paraId="44C7505D" w14:textId="77777777" w:rsidR="00162FC0" w:rsidRDefault="00162FC0" w:rsidP="00162FC0">
      <w:pPr>
        <w:pStyle w:val="aa"/>
        <w:numPr>
          <w:ilvl w:val="0"/>
          <w:numId w:val="2"/>
        </w:numPr>
        <w:spacing w:after="0" w:line="360" w:lineRule="auto"/>
        <w:jc w:val="both"/>
        <w:rPr>
          <w:rFonts w:ascii="David" w:hAnsi="David" w:cs="David"/>
          <w:sz w:val="24"/>
          <w:szCs w:val="24"/>
        </w:rPr>
      </w:pPr>
      <w:r>
        <w:rPr>
          <w:rFonts w:ascii="David" w:hAnsi="David" w:cs="David"/>
          <w:sz w:val="24"/>
          <w:szCs w:val="24"/>
          <w:rtl/>
        </w:rPr>
        <w:t>מדובר בנאשם נעדר עבר פלילי, אשר הודה במיוחס לו ובמובן מסוים אף שיתף פעולה עם רשויות אכיפת החוק בכך שחזר לשוטרים לאחר שברח מהם.</w:t>
      </w:r>
    </w:p>
    <w:p w14:paraId="2D62E40A" w14:textId="77777777" w:rsidR="00162FC0" w:rsidRDefault="00162FC0" w:rsidP="00162FC0">
      <w:pPr>
        <w:spacing w:line="360" w:lineRule="auto"/>
        <w:ind w:left="720"/>
        <w:contextualSpacing/>
        <w:jc w:val="both"/>
        <w:rPr>
          <w:rFonts w:ascii="David" w:hAnsi="David"/>
          <w:rtl/>
        </w:rPr>
      </w:pPr>
    </w:p>
    <w:p w14:paraId="45D32ED2" w14:textId="77777777" w:rsidR="00162FC0" w:rsidRDefault="00162FC0" w:rsidP="00162FC0">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שירות המבחן התרשם מרמת סיכון נמוכה להישנות העבירות. הנאשם הביע מוטיבציה לעבור הליך שיקומי, השתתף ביום הכנה והכוונה ונמצא מתאים לשילוב בקבוצה טיפולית ושירות המבחן התרשם כי הנאשם יוכל להיתרם מהמסגרת.</w:t>
      </w:r>
    </w:p>
    <w:p w14:paraId="51B80A4D" w14:textId="77777777" w:rsidR="00162FC0" w:rsidRDefault="00162FC0" w:rsidP="00162FC0">
      <w:pPr>
        <w:spacing w:line="360" w:lineRule="auto"/>
        <w:ind w:firstLine="720"/>
        <w:contextualSpacing/>
        <w:jc w:val="both"/>
        <w:rPr>
          <w:rFonts w:ascii="David" w:hAnsi="David"/>
          <w:rtl/>
        </w:rPr>
      </w:pPr>
    </w:p>
    <w:p w14:paraId="1C7007EA" w14:textId="77777777" w:rsidR="00162FC0" w:rsidRDefault="00162FC0" w:rsidP="00162FC0">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שקלתי את חלוף הזמן מביצוע המעשים בשנת 2018 ולכך שלא הסתבך שוב בפלילים. </w:t>
      </w:r>
    </w:p>
    <w:p w14:paraId="10EC4A9E" w14:textId="77777777" w:rsidR="00162FC0" w:rsidRDefault="00162FC0" w:rsidP="00162FC0">
      <w:pPr>
        <w:spacing w:line="360" w:lineRule="auto"/>
        <w:contextualSpacing/>
        <w:jc w:val="both"/>
        <w:rPr>
          <w:rFonts w:ascii="David" w:hAnsi="David"/>
          <w:rtl/>
        </w:rPr>
      </w:pPr>
    </w:p>
    <w:p w14:paraId="53F74220" w14:textId="77777777" w:rsidR="00162FC0" w:rsidRDefault="00162FC0" w:rsidP="00162FC0">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לאחר בחינת כלל השיקולים, התרשמתי כי יש לקבוע את העונש הראוי בתחתית המתחם.  </w:t>
      </w:r>
    </w:p>
    <w:p w14:paraId="4FB09E57" w14:textId="77777777" w:rsidR="00162FC0" w:rsidRDefault="00162FC0" w:rsidP="00162FC0">
      <w:pPr>
        <w:pStyle w:val="aa"/>
        <w:spacing w:line="360" w:lineRule="auto"/>
        <w:ind w:left="360"/>
        <w:jc w:val="both"/>
        <w:rPr>
          <w:rFonts w:ascii="David" w:hAnsi="David" w:cs="David"/>
          <w:b/>
          <w:bCs/>
          <w:sz w:val="24"/>
          <w:szCs w:val="24"/>
          <w:rtl/>
        </w:rPr>
      </w:pPr>
    </w:p>
    <w:p w14:paraId="45B74BD8" w14:textId="77777777" w:rsidR="00162FC0" w:rsidRDefault="00162FC0" w:rsidP="00162FC0">
      <w:pPr>
        <w:pStyle w:val="aa"/>
        <w:spacing w:line="360" w:lineRule="auto"/>
        <w:ind w:left="360"/>
        <w:jc w:val="both"/>
        <w:rPr>
          <w:rFonts w:ascii="David" w:hAnsi="David" w:cs="David"/>
          <w:b/>
          <w:bCs/>
          <w:sz w:val="24"/>
          <w:szCs w:val="24"/>
          <w:u w:val="single"/>
          <w:rtl/>
        </w:rPr>
      </w:pPr>
      <w:r>
        <w:rPr>
          <w:rFonts w:ascii="David" w:hAnsi="David" w:cs="David"/>
          <w:b/>
          <w:bCs/>
          <w:sz w:val="24"/>
          <w:szCs w:val="24"/>
          <w:u w:val="single"/>
          <w:rtl/>
        </w:rPr>
        <w:t xml:space="preserve">סוף דבר </w:t>
      </w:r>
    </w:p>
    <w:p w14:paraId="23E567F3" w14:textId="77777777" w:rsidR="00162FC0" w:rsidRDefault="00162FC0" w:rsidP="00162FC0">
      <w:pPr>
        <w:pStyle w:val="aa"/>
        <w:numPr>
          <w:ilvl w:val="0"/>
          <w:numId w:val="1"/>
        </w:numPr>
        <w:spacing w:line="360" w:lineRule="auto"/>
        <w:jc w:val="both"/>
        <w:rPr>
          <w:rFonts w:ascii="David" w:hAnsi="David" w:cs="David"/>
          <w:sz w:val="24"/>
          <w:szCs w:val="24"/>
          <w:rtl/>
        </w:rPr>
      </w:pPr>
      <w:r>
        <w:rPr>
          <w:rFonts w:ascii="David" w:hAnsi="David" w:cs="David"/>
          <w:sz w:val="24"/>
          <w:szCs w:val="24"/>
          <w:rtl/>
        </w:rPr>
        <w:t>אשר על-כן, הריני גוזר על הנאשם את העונשים הבאים:</w:t>
      </w:r>
    </w:p>
    <w:p w14:paraId="32D19DE2" w14:textId="77777777" w:rsidR="00162FC0" w:rsidRDefault="00162FC0" w:rsidP="00162FC0">
      <w:pPr>
        <w:pStyle w:val="aa"/>
        <w:spacing w:line="360" w:lineRule="auto"/>
        <w:ind w:left="360"/>
        <w:jc w:val="both"/>
        <w:rPr>
          <w:rFonts w:ascii="David" w:hAnsi="David" w:cs="David"/>
          <w:sz w:val="24"/>
          <w:szCs w:val="24"/>
        </w:rPr>
      </w:pPr>
    </w:p>
    <w:p w14:paraId="2EA2C151" w14:textId="77777777" w:rsidR="00162FC0" w:rsidRDefault="00162FC0" w:rsidP="00162FC0">
      <w:pPr>
        <w:pStyle w:val="aa"/>
        <w:numPr>
          <w:ilvl w:val="0"/>
          <w:numId w:val="3"/>
        </w:numPr>
        <w:spacing w:line="360" w:lineRule="auto"/>
        <w:jc w:val="both"/>
        <w:rPr>
          <w:rFonts w:ascii="David" w:hAnsi="David" w:cs="David"/>
          <w:sz w:val="24"/>
          <w:szCs w:val="24"/>
        </w:rPr>
      </w:pPr>
      <w:r>
        <w:rPr>
          <w:rFonts w:ascii="David" w:hAnsi="David" w:cs="David"/>
          <w:sz w:val="24"/>
          <w:szCs w:val="24"/>
          <w:rtl/>
        </w:rPr>
        <w:t>2 חודשי מאסר בפועל שירוצה בדרך של עבודות שירות ב</w:t>
      </w:r>
      <w:r>
        <w:rPr>
          <w:rFonts w:ascii="David" w:hAnsi="David" w:cs="David" w:hint="cs"/>
          <w:sz w:val="24"/>
          <w:szCs w:val="24"/>
          <w:rtl/>
        </w:rPr>
        <w:t xml:space="preserve">פארק עירוני באר שבע ברח' גרשון דוינבוים 29 באר שבע </w:t>
      </w:r>
      <w:r>
        <w:rPr>
          <w:rFonts w:ascii="David" w:hAnsi="David" w:cs="David"/>
          <w:sz w:val="24"/>
          <w:szCs w:val="24"/>
          <w:rtl/>
        </w:rPr>
        <w:t xml:space="preserve">החל מיום </w:t>
      </w:r>
      <w:r>
        <w:rPr>
          <w:rFonts w:ascii="David" w:hAnsi="David" w:cs="David" w:hint="cs"/>
          <w:sz w:val="24"/>
          <w:szCs w:val="24"/>
          <w:rtl/>
        </w:rPr>
        <w:t>29.8.2023.</w:t>
      </w:r>
    </w:p>
    <w:p w14:paraId="34DF0E94" w14:textId="77777777" w:rsidR="00162FC0" w:rsidRDefault="00162FC0" w:rsidP="00162FC0">
      <w:pPr>
        <w:pStyle w:val="aa"/>
        <w:spacing w:line="360" w:lineRule="auto"/>
        <w:ind w:left="1080"/>
        <w:jc w:val="both"/>
        <w:rPr>
          <w:rFonts w:ascii="David" w:hAnsi="David" w:cs="David"/>
          <w:sz w:val="24"/>
          <w:szCs w:val="24"/>
        </w:rPr>
      </w:pPr>
      <w:r>
        <w:rPr>
          <w:rFonts w:ascii="David" w:hAnsi="David" w:cs="David"/>
          <w:sz w:val="24"/>
          <w:szCs w:val="24"/>
          <w:rtl/>
        </w:rPr>
        <w:t>אני מזהיר את הנאשם, כי עליו לנהוג בהתאם לכללים ולתנאים שתקבע הממונה על עבודות השירות, ושאם לא יעשה כן, יכול ויופסקו עבודות השירות, והוא יידרש לרצות את יתרת עונשו בכלא.</w:t>
      </w:r>
    </w:p>
    <w:p w14:paraId="6C3F088C" w14:textId="77777777" w:rsidR="00162FC0" w:rsidRDefault="00162FC0" w:rsidP="00162FC0">
      <w:pPr>
        <w:pStyle w:val="aa"/>
        <w:rPr>
          <w:rFonts w:ascii="David" w:hAnsi="David" w:cs="David"/>
          <w:sz w:val="24"/>
          <w:szCs w:val="24"/>
        </w:rPr>
      </w:pPr>
    </w:p>
    <w:p w14:paraId="4937D952" w14:textId="77777777" w:rsidR="00162FC0" w:rsidRDefault="00162FC0" w:rsidP="00162FC0">
      <w:pPr>
        <w:pStyle w:val="aa"/>
        <w:numPr>
          <w:ilvl w:val="0"/>
          <w:numId w:val="3"/>
        </w:numPr>
        <w:spacing w:line="360" w:lineRule="auto"/>
        <w:jc w:val="both"/>
        <w:rPr>
          <w:rFonts w:ascii="David" w:hAnsi="David" w:cs="David"/>
          <w:sz w:val="24"/>
          <w:szCs w:val="24"/>
          <w:rtl/>
        </w:rPr>
      </w:pPr>
      <w:r>
        <w:rPr>
          <w:rFonts w:ascii="David" w:hAnsi="David" w:cs="David"/>
          <w:sz w:val="24"/>
          <w:szCs w:val="24"/>
          <w:rtl/>
        </w:rPr>
        <w:t>3 חודשי מאסר על תנאי למשך שלוש שנים, שהנאשם לא יבצע עבירת סמים מסוג עוון.</w:t>
      </w:r>
    </w:p>
    <w:p w14:paraId="7E98FF5E" w14:textId="77777777" w:rsidR="00162FC0" w:rsidRDefault="00162FC0" w:rsidP="00162FC0">
      <w:pPr>
        <w:pStyle w:val="aa"/>
        <w:spacing w:line="360" w:lineRule="auto"/>
        <w:ind w:left="1080"/>
        <w:jc w:val="both"/>
        <w:rPr>
          <w:rFonts w:ascii="David" w:hAnsi="David" w:cs="David"/>
          <w:sz w:val="24"/>
          <w:szCs w:val="24"/>
        </w:rPr>
      </w:pPr>
    </w:p>
    <w:p w14:paraId="4E89BE85" w14:textId="77777777" w:rsidR="00162FC0" w:rsidRDefault="00162FC0" w:rsidP="00162FC0">
      <w:pPr>
        <w:pStyle w:val="aa"/>
        <w:numPr>
          <w:ilvl w:val="0"/>
          <w:numId w:val="3"/>
        </w:numPr>
        <w:spacing w:line="360" w:lineRule="auto"/>
        <w:jc w:val="both"/>
        <w:rPr>
          <w:rFonts w:ascii="David" w:hAnsi="David" w:cs="David"/>
          <w:sz w:val="24"/>
          <w:szCs w:val="24"/>
        </w:rPr>
      </w:pPr>
      <w:r>
        <w:rPr>
          <w:rFonts w:ascii="David" w:hAnsi="David" w:cs="David"/>
          <w:sz w:val="24"/>
          <w:szCs w:val="24"/>
          <w:rtl/>
        </w:rPr>
        <w:t>6 חודשי מאסר על תנאי למשך שלוש שנים, שהנאשם לא יבצע עבירת סמים מסוג פשע.</w:t>
      </w:r>
    </w:p>
    <w:p w14:paraId="155EDA72" w14:textId="77777777" w:rsidR="00162FC0" w:rsidRDefault="00162FC0" w:rsidP="00162FC0">
      <w:pPr>
        <w:pStyle w:val="aa"/>
        <w:numPr>
          <w:ilvl w:val="0"/>
          <w:numId w:val="3"/>
        </w:numPr>
        <w:spacing w:line="360" w:lineRule="auto"/>
        <w:jc w:val="both"/>
        <w:rPr>
          <w:rFonts w:ascii="David" w:hAnsi="David" w:cs="David"/>
          <w:sz w:val="24"/>
          <w:szCs w:val="24"/>
        </w:rPr>
      </w:pPr>
      <w:r>
        <w:rPr>
          <w:rFonts w:ascii="David" w:hAnsi="David" w:cs="David"/>
          <w:sz w:val="24"/>
          <w:szCs w:val="24"/>
          <w:rtl/>
        </w:rPr>
        <w:t>אני פוסל את הנאשם, מלהחזיק או לקבל רישיון נהיגה, פסילה בפועל בת חודשיים מהיום.</w:t>
      </w:r>
    </w:p>
    <w:p w14:paraId="72EF10FE" w14:textId="77777777" w:rsidR="00162FC0" w:rsidRDefault="00162FC0" w:rsidP="00162FC0">
      <w:pPr>
        <w:pStyle w:val="aa"/>
        <w:spacing w:line="360" w:lineRule="auto"/>
        <w:ind w:left="1080"/>
        <w:jc w:val="both"/>
        <w:rPr>
          <w:rFonts w:ascii="David" w:hAnsi="David" w:cs="David"/>
          <w:sz w:val="24"/>
          <w:szCs w:val="24"/>
        </w:rPr>
      </w:pPr>
    </w:p>
    <w:p w14:paraId="586BC859" w14:textId="77777777" w:rsidR="00162FC0" w:rsidRDefault="00162FC0" w:rsidP="00162FC0">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אני פוסל את הנאשם, מלהחזיק או לקבל רישיון נהיגה, פסילה על תנאי בת 3 חודשים, והתנאי שלא יעבור בתוך 3 שנים מהיום כל עבירה בה הורשע. </w:t>
      </w:r>
    </w:p>
    <w:p w14:paraId="39F1E3B6" w14:textId="77777777" w:rsidR="00162FC0" w:rsidRDefault="00162FC0" w:rsidP="00162FC0">
      <w:pPr>
        <w:spacing w:line="360" w:lineRule="auto"/>
        <w:jc w:val="both"/>
        <w:rPr>
          <w:rFonts w:ascii="David" w:hAnsi="David"/>
          <w:rtl/>
        </w:rPr>
      </w:pPr>
      <w:r>
        <w:rPr>
          <w:rFonts w:ascii="David" w:hAnsi="David"/>
          <w:rtl/>
        </w:rPr>
        <w:t xml:space="preserve">הסמים, יושמדו. </w:t>
      </w:r>
    </w:p>
    <w:p w14:paraId="0FB98DBE" w14:textId="77777777" w:rsidR="00162FC0" w:rsidRDefault="00162FC0" w:rsidP="00162FC0">
      <w:pPr>
        <w:spacing w:line="360" w:lineRule="auto"/>
        <w:jc w:val="both"/>
        <w:rPr>
          <w:rFonts w:ascii="David" w:hAnsi="David"/>
        </w:rPr>
      </w:pPr>
    </w:p>
    <w:p w14:paraId="5C7F7695" w14:textId="77777777" w:rsidR="00162FC0" w:rsidRPr="009E6E8A" w:rsidRDefault="00EC6A30" w:rsidP="00162FC0">
      <w:pPr>
        <w:spacing w:line="360" w:lineRule="auto"/>
        <w:jc w:val="both"/>
        <w:rPr>
          <w:rFonts w:ascii="David" w:hAnsi="David"/>
          <w:b/>
          <w:bCs/>
          <w:rtl/>
        </w:rPr>
      </w:pPr>
      <w:r w:rsidRPr="00EC6A30">
        <w:rPr>
          <w:rFonts w:ascii="David" w:hAnsi="David"/>
          <w:b/>
          <w:bCs/>
          <w:color w:val="FFFFFF"/>
          <w:sz w:val="2"/>
          <w:szCs w:val="2"/>
          <w:rtl/>
        </w:rPr>
        <w:t>5129371</w:t>
      </w:r>
      <w:r w:rsidR="00162FC0" w:rsidRPr="009E6E8A">
        <w:rPr>
          <w:rFonts w:ascii="David" w:hAnsi="David"/>
          <w:b/>
          <w:bCs/>
          <w:rtl/>
        </w:rPr>
        <w:t xml:space="preserve">הודעה זכות ערעור לבית-המשפט המחוזי תוך 45 ימים. </w:t>
      </w:r>
    </w:p>
    <w:p w14:paraId="20F513B0" w14:textId="77777777" w:rsidR="00162FC0" w:rsidRPr="00EC6A30" w:rsidRDefault="00EC6A30" w:rsidP="00162FC0">
      <w:pPr>
        <w:rPr>
          <w:rFonts w:ascii="Arial" w:hAnsi="Arial"/>
          <w:b/>
          <w:bCs/>
          <w:color w:val="FFFFFF"/>
          <w:sz w:val="2"/>
          <w:szCs w:val="2"/>
          <w:rtl/>
        </w:rPr>
      </w:pPr>
      <w:r w:rsidRPr="00EC6A30">
        <w:rPr>
          <w:rFonts w:ascii="Arial" w:hAnsi="Arial"/>
          <w:b/>
          <w:bCs/>
          <w:color w:val="FFFFFF"/>
          <w:sz w:val="2"/>
          <w:szCs w:val="2"/>
          <w:rtl/>
        </w:rPr>
        <w:t>54678313</w:t>
      </w:r>
    </w:p>
    <w:p w14:paraId="75010D71" w14:textId="77777777" w:rsidR="00162FC0" w:rsidRPr="000F2247" w:rsidRDefault="00162FC0" w:rsidP="00162FC0">
      <w:pPr>
        <w:rPr>
          <w:rFonts w:ascii="Arial" w:hAnsi="Arial"/>
          <w:b/>
          <w:bCs/>
          <w:sz w:val="26"/>
          <w:szCs w:val="26"/>
          <w:rtl/>
        </w:rPr>
      </w:pPr>
    </w:p>
    <w:p w14:paraId="446DA555" w14:textId="77777777" w:rsidR="00162FC0" w:rsidRPr="000F2247" w:rsidRDefault="00EC6A30" w:rsidP="00162FC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ל' סיוון תשפ"ג, 19 יוני 2023, במעמד הצדדים. </w:t>
      </w:r>
      <w:bookmarkEnd w:id="8"/>
      <w:r w:rsidR="00162FC0">
        <w:rPr>
          <w:rFonts w:ascii="Arial" w:hAnsi="Arial"/>
          <w:b/>
          <w:bCs/>
          <w:sz w:val="26"/>
          <w:szCs w:val="26"/>
          <w:rtl/>
        </w:rPr>
        <w:tab/>
      </w:r>
      <w:r w:rsidR="00162FC0">
        <w:rPr>
          <w:rFonts w:ascii="Arial" w:hAnsi="Arial"/>
          <w:b/>
          <w:bCs/>
          <w:sz w:val="26"/>
          <w:szCs w:val="26"/>
          <w:rtl/>
        </w:rPr>
        <w:tab/>
      </w:r>
      <w:r w:rsidR="00162FC0">
        <w:rPr>
          <w:rFonts w:ascii="Arial" w:hAnsi="Arial"/>
          <w:b/>
          <w:bCs/>
          <w:sz w:val="26"/>
          <w:szCs w:val="26"/>
          <w:rtl/>
        </w:rPr>
        <w:tab/>
      </w:r>
      <w:r w:rsidR="00162FC0">
        <w:rPr>
          <w:rFonts w:ascii="Arial" w:hAnsi="Arial"/>
          <w:b/>
          <w:bCs/>
          <w:sz w:val="26"/>
          <w:szCs w:val="26"/>
          <w:rtl/>
        </w:rPr>
        <w:tab/>
      </w:r>
      <w:r w:rsidR="00162FC0">
        <w:rPr>
          <w:rFonts w:ascii="Arial" w:hAnsi="Arial"/>
          <w:b/>
          <w:bCs/>
          <w:sz w:val="26"/>
          <w:szCs w:val="26"/>
          <w:rtl/>
        </w:rPr>
        <w:tab/>
      </w:r>
      <w:r w:rsidR="00162FC0">
        <w:rPr>
          <w:rFonts w:ascii="Arial" w:hAnsi="Arial"/>
          <w:b/>
          <w:bCs/>
          <w:sz w:val="26"/>
          <w:szCs w:val="26"/>
          <w:rtl/>
        </w:rPr>
        <w:tab/>
      </w:r>
      <w:r w:rsidR="00162FC0">
        <w:rPr>
          <w:rFonts w:ascii="Arial" w:hAnsi="Arial"/>
          <w:b/>
          <w:bCs/>
          <w:sz w:val="26"/>
          <w:szCs w:val="26"/>
          <w:rtl/>
        </w:rPr>
        <w:tab/>
      </w:r>
      <w:r w:rsidR="00162FC0">
        <w:rPr>
          <w:rFonts w:ascii="Arial" w:hAnsi="Arial" w:hint="cs"/>
          <w:b/>
          <w:bCs/>
          <w:sz w:val="26"/>
          <w:szCs w:val="26"/>
          <w:rtl/>
        </w:rPr>
        <w:t xml:space="preserve">         </w:t>
      </w:r>
    </w:p>
    <w:p w14:paraId="3D6C7C54" w14:textId="77777777" w:rsidR="00162FC0" w:rsidRPr="000F2247" w:rsidRDefault="00162FC0" w:rsidP="00EC6A3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5EA832D" w14:textId="77777777" w:rsidR="00162FC0" w:rsidRPr="000F2247" w:rsidRDefault="00162FC0" w:rsidP="00162FC0">
      <w:pPr>
        <w:jc w:val="center"/>
        <w:rPr>
          <w:rFonts w:ascii="Arial" w:hAnsi="Arial"/>
          <w:b/>
          <w:bCs/>
          <w:sz w:val="26"/>
          <w:szCs w:val="26"/>
          <w:rtl/>
        </w:rPr>
      </w:pPr>
    </w:p>
    <w:p w14:paraId="10B714F7" w14:textId="77777777" w:rsidR="007A2A70" w:rsidRPr="00EC6A30" w:rsidRDefault="007A2A70" w:rsidP="00EC6A30">
      <w:pPr>
        <w:keepNext/>
        <w:rPr>
          <w:rFonts w:ascii="David" w:hAnsi="David"/>
          <w:color w:val="000000"/>
          <w:sz w:val="22"/>
          <w:szCs w:val="22"/>
          <w:rtl/>
        </w:rPr>
      </w:pPr>
    </w:p>
    <w:p w14:paraId="5AAC035F" w14:textId="77777777" w:rsidR="00EC6A30" w:rsidRPr="00EC6A30" w:rsidRDefault="00EC6A30" w:rsidP="00EC6A30">
      <w:pPr>
        <w:keepNext/>
        <w:rPr>
          <w:rFonts w:ascii="David" w:hAnsi="David"/>
          <w:color w:val="000000"/>
          <w:sz w:val="22"/>
          <w:szCs w:val="22"/>
          <w:rtl/>
        </w:rPr>
      </w:pPr>
      <w:r w:rsidRPr="00EC6A30">
        <w:rPr>
          <w:rFonts w:ascii="David" w:hAnsi="David"/>
          <w:color w:val="000000"/>
          <w:sz w:val="22"/>
          <w:szCs w:val="22"/>
          <w:rtl/>
        </w:rPr>
        <w:t>יניב בן הרוש 54678313</w:t>
      </w:r>
    </w:p>
    <w:p w14:paraId="140A43D5" w14:textId="77777777" w:rsidR="00EC6A30" w:rsidRDefault="00EC6A30" w:rsidP="00EC6A30">
      <w:r w:rsidRPr="00EC6A30">
        <w:rPr>
          <w:color w:val="000000"/>
          <w:rtl/>
        </w:rPr>
        <w:t>נוסח מסמך זה כפוף לשינויי ניסוח ועריכה</w:t>
      </w:r>
    </w:p>
    <w:p w14:paraId="68D90091" w14:textId="77777777" w:rsidR="00EC6A30" w:rsidRDefault="00EC6A30" w:rsidP="00EC6A30">
      <w:pPr>
        <w:rPr>
          <w:rtl/>
        </w:rPr>
      </w:pPr>
    </w:p>
    <w:p w14:paraId="67F7B1BC" w14:textId="77777777" w:rsidR="00EC6A30" w:rsidRDefault="00EC6A30" w:rsidP="00EC6A30">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246A6B31" w14:textId="77777777" w:rsidR="00EC6A30" w:rsidRPr="00EC6A30" w:rsidRDefault="00EC6A30" w:rsidP="00EC6A30">
      <w:pPr>
        <w:jc w:val="center"/>
        <w:rPr>
          <w:color w:val="0000FF"/>
          <w:u w:val="single"/>
        </w:rPr>
      </w:pPr>
    </w:p>
    <w:sectPr w:rsidR="00EC6A30" w:rsidRPr="00EC6A30" w:rsidSect="00EC6A30">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5883F" w14:textId="77777777" w:rsidR="00AC6AA0" w:rsidRDefault="00AC6AA0" w:rsidP="00B178C7">
      <w:r>
        <w:separator/>
      </w:r>
    </w:p>
  </w:endnote>
  <w:endnote w:type="continuationSeparator" w:id="0">
    <w:p w14:paraId="3BB5BA8A" w14:textId="77777777" w:rsidR="00AC6AA0" w:rsidRDefault="00AC6AA0" w:rsidP="00B1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CC546" w14:textId="77777777" w:rsidR="00EC6A30" w:rsidRDefault="00EC6A30" w:rsidP="00EC6A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98E054" w14:textId="77777777" w:rsidR="003A6F1F" w:rsidRPr="00EC6A30" w:rsidRDefault="00EC6A30" w:rsidP="00EC6A3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103A3" w14:textId="77777777" w:rsidR="00EC6A30" w:rsidRDefault="00EC6A30" w:rsidP="00EC6A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7BF6">
      <w:rPr>
        <w:rFonts w:ascii="FrankRuehl" w:hAnsi="FrankRuehl" w:cs="FrankRuehl"/>
        <w:noProof/>
        <w:rtl/>
      </w:rPr>
      <w:t>1</w:t>
    </w:r>
    <w:r>
      <w:rPr>
        <w:rFonts w:ascii="FrankRuehl" w:hAnsi="FrankRuehl" w:cs="FrankRuehl"/>
        <w:rtl/>
      </w:rPr>
      <w:fldChar w:fldCharType="end"/>
    </w:r>
  </w:p>
  <w:p w14:paraId="67E57787" w14:textId="77777777" w:rsidR="003A6F1F" w:rsidRPr="00EC6A30" w:rsidRDefault="00EC6A30" w:rsidP="00EC6A3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C4DF0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87141" w14:textId="77777777" w:rsidR="00AC6AA0" w:rsidRDefault="00AC6AA0" w:rsidP="00B178C7">
      <w:r>
        <w:separator/>
      </w:r>
    </w:p>
  </w:footnote>
  <w:footnote w:type="continuationSeparator" w:id="0">
    <w:p w14:paraId="302350B9" w14:textId="77777777" w:rsidR="00AC6AA0" w:rsidRDefault="00AC6AA0" w:rsidP="00B17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4382A" w14:textId="77777777" w:rsidR="00EC6A30" w:rsidRPr="00EC6A30" w:rsidRDefault="00EC6A30" w:rsidP="00EC6A3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19988-08-19</w:t>
    </w:r>
    <w:r>
      <w:rPr>
        <w:rFonts w:ascii="David" w:hAnsi="David"/>
        <w:color w:val="000000"/>
        <w:sz w:val="22"/>
        <w:szCs w:val="22"/>
        <w:rtl/>
      </w:rPr>
      <w:tab/>
      <w:t xml:space="preserve"> מדינת ישראל-תביעות נגב נ' אוסמאמא אבו לקימה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AC3D7" w14:textId="77777777" w:rsidR="00EC6A30" w:rsidRPr="00EC6A30" w:rsidRDefault="00EC6A30" w:rsidP="00EC6A3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19988-08-19</w:t>
    </w:r>
    <w:r>
      <w:rPr>
        <w:rFonts w:ascii="David" w:hAnsi="David"/>
        <w:color w:val="000000"/>
        <w:sz w:val="22"/>
        <w:szCs w:val="22"/>
        <w:rtl/>
      </w:rPr>
      <w:tab/>
      <w:t xml:space="preserve"> מדינת ישראל-תביעות נגב נ' אוסמאמא אבו לקימה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5D89"/>
    <w:multiLevelType w:val="hybridMultilevel"/>
    <w:tmpl w:val="F0C65DF2"/>
    <w:lvl w:ilvl="0" w:tplc="814E171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440C2D"/>
    <w:multiLevelType w:val="hybridMultilevel"/>
    <w:tmpl w:val="95FA2442"/>
    <w:lvl w:ilvl="0" w:tplc="6F78C5E0">
      <w:start w:val="1"/>
      <w:numFmt w:val="hebrew1"/>
      <w:lvlText w:val="%1."/>
      <w:lvlJc w:val="left"/>
      <w:pPr>
        <w:ind w:left="1080" w:hanging="360"/>
      </w:pPr>
      <w:rPr>
        <w:rFonts w:eastAsia="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D18610D"/>
    <w:multiLevelType w:val="hybridMultilevel"/>
    <w:tmpl w:val="EB2ED682"/>
    <w:lvl w:ilvl="0" w:tplc="9D2640FC">
      <w:start w:val="1"/>
      <w:numFmt w:val="hebrew1"/>
      <w:lvlText w:val="%1."/>
      <w:lvlJc w:val="left"/>
      <w:pPr>
        <w:ind w:left="1080" w:hanging="360"/>
      </w:pPr>
      <w:rPr>
        <w:rFonts w:ascii="David" w:eastAsia="Calibri" w:hAnsi="David" w:cs="David"/>
        <w:b/>
        <w:bCs/>
        <w:i w:val="0"/>
        <w:i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89658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8243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1198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2FC0"/>
    <w:rsid w:val="00162FC0"/>
    <w:rsid w:val="001B5A3B"/>
    <w:rsid w:val="002D7BF6"/>
    <w:rsid w:val="00352ABE"/>
    <w:rsid w:val="003A6F1F"/>
    <w:rsid w:val="00405753"/>
    <w:rsid w:val="00727154"/>
    <w:rsid w:val="007812E5"/>
    <w:rsid w:val="007A2A70"/>
    <w:rsid w:val="00AC6AA0"/>
    <w:rsid w:val="00B178C7"/>
    <w:rsid w:val="00C475C4"/>
    <w:rsid w:val="00CA0A6C"/>
    <w:rsid w:val="00D42509"/>
    <w:rsid w:val="00EA6206"/>
    <w:rsid w:val="00EC6A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BC0387"/>
  <w15:chartTrackingRefBased/>
  <w15:docId w15:val="{11C48DB2-F4CA-4F09-8AB5-37AFA142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2F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2FC0"/>
    <w:pPr>
      <w:tabs>
        <w:tab w:val="center" w:pos="4153"/>
        <w:tab w:val="right" w:pos="8306"/>
      </w:tabs>
    </w:pPr>
  </w:style>
  <w:style w:type="character" w:customStyle="1" w:styleId="a4">
    <w:name w:val="כותרת עליונה תו"/>
    <w:link w:val="a3"/>
    <w:rsid w:val="00162FC0"/>
    <w:rPr>
      <w:rFonts w:ascii="Times New Roman" w:eastAsia="Times New Roman" w:hAnsi="Times New Roman" w:cs="David"/>
      <w:sz w:val="24"/>
      <w:szCs w:val="24"/>
    </w:rPr>
  </w:style>
  <w:style w:type="paragraph" w:styleId="a5">
    <w:name w:val="footer"/>
    <w:basedOn w:val="a"/>
    <w:link w:val="a6"/>
    <w:rsid w:val="00162FC0"/>
    <w:pPr>
      <w:tabs>
        <w:tab w:val="center" w:pos="4153"/>
        <w:tab w:val="right" w:pos="8306"/>
      </w:tabs>
    </w:pPr>
  </w:style>
  <w:style w:type="character" w:customStyle="1" w:styleId="a6">
    <w:name w:val="כותרת תחתונה תו"/>
    <w:link w:val="a5"/>
    <w:rsid w:val="00162FC0"/>
    <w:rPr>
      <w:rFonts w:ascii="Times New Roman" w:eastAsia="Times New Roman" w:hAnsi="Times New Roman" w:cs="David"/>
      <w:sz w:val="24"/>
      <w:szCs w:val="24"/>
    </w:rPr>
  </w:style>
  <w:style w:type="table" w:styleId="a7">
    <w:name w:val="Table Grid"/>
    <w:basedOn w:val="a1"/>
    <w:rsid w:val="00162F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2FC0"/>
  </w:style>
  <w:style w:type="character" w:styleId="Hyperlink">
    <w:name w:val="Hyperlink"/>
    <w:rsid w:val="00162FC0"/>
    <w:rPr>
      <w:color w:val="0000FF"/>
      <w:u w:val="single"/>
    </w:rPr>
  </w:style>
  <w:style w:type="character" w:customStyle="1" w:styleId="a9">
    <w:name w:val="פיסקת רשימה תו"/>
    <w:link w:val="aa"/>
    <w:locked/>
    <w:rsid w:val="00162FC0"/>
  </w:style>
  <w:style w:type="paragraph" w:styleId="aa">
    <w:name w:val="List Paragraph"/>
    <w:basedOn w:val="a"/>
    <w:link w:val="a9"/>
    <w:qFormat/>
    <w:rsid w:val="00162FC0"/>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1553/1.2"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3746048"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8289601"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4903/192a" TargetMode="External"/><Relationship Id="rId11" Type="http://schemas.openxmlformats.org/officeDocument/2006/relationships/hyperlink" Target="http://www.nevo.co.il/law/70301/28" TargetMode="External"/><Relationship Id="rId32" Type="http://schemas.openxmlformats.org/officeDocument/2006/relationships/hyperlink" Target="http://www.nevo.co.il/case/483240" TargetMode="External"/><Relationship Id="rId37" Type="http://schemas.openxmlformats.org/officeDocument/2006/relationships/hyperlink" Target="http://www.nevo.co.il/case/16941543" TargetMode="External"/><Relationship Id="rId53" Type="http://schemas.openxmlformats.org/officeDocument/2006/relationships/hyperlink" Target="http://www.nevo.co.il/case/28190928" TargetMode="External"/><Relationship Id="rId58" Type="http://schemas.openxmlformats.org/officeDocument/2006/relationships/hyperlink" Target="http://www.nevo.co.il/case/27871630" TargetMode="External"/><Relationship Id="rId74" Type="http://schemas.openxmlformats.org/officeDocument/2006/relationships/hyperlink" Target="http://www.nevo.co.il/case/21473281"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4129354"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1553" TargetMode="External"/><Relationship Id="rId30" Type="http://schemas.openxmlformats.org/officeDocument/2006/relationships/hyperlink" Target="http://www.nevo.co.il/case/5810781" TargetMode="External"/><Relationship Id="rId35" Type="http://schemas.openxmlformats.org/officeDocument/2006/relationships/hyperlink" Target="http://www.nevo.co.il/case/24492956" TargetMode="External"/><Relationship Id="rId43" Type="http://schemas.openxmlformats.org/officeDocument/2006/relationships/hyperlink" Target="http://www.nevo.co.il/case/16941543" TargetMode="External"/><Relationship Id="rId48" Type="http://schemas.openxmlformats.org/officeDocument/2006/relationships/hyperlink" Target="http://www.nevo.co.il/case/25585375" TargetMode="External"/><Relationship Id="rId56" Type="http://schemas.openxmlformats.org/officeDocument/2006/relationships/hyperlink" Target="http://www.nevo.co.il/case/5327085" TargetMode="External"/><Relationship Id="rId64" Type="http://schemas.openxmlformats.org/officeDocument/2006/relationships/hyperlink" Target="http://www.nevo.co.il/case/25932004" TargetMode="External"/><Relationship Id="rId69" Type="http://schemas.openxmlformats.org/officeDocument/2006/relationships/hyperlink" Target="http://www.nevo.co.il/case/28388215" TargetMode="External"/><Relationship Id="rId77"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27313460" TargetMode="External"/><Relationship Id="rId72" Type="http://schemas.openxmlformats.org/officeDocument/2006/relationships/hyperlink" Target="http://www.nevo.co.il/case/21473281"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1553" TargetMode="External"/><Relationship Id="rId25" Type="http://schemas.openxmlformats.org/officeDocument/2006/relationships/hyperlink" Target="http://www.nevo.co.il/law/74903" TargetMode="External"/><Relationship Id="rId33" Type="http://schemas.openxmlformats.org/officeDocument/2006/relationships/hyperlink" Target="http://www.nevo.co.il/case/26793458" TargetMode="External"/><Relationship Id="rId38" Type="http://schemas.openxmlformats.org/officeDocument/2006/relationships/hyperlink" Target="http://www.nevo.co.il/case/5633505" TargetMode="External"/><Relationship Id="rId46" Type="http://schemas.openxmlformats.org/officeDocument/2006/relationships/hyperlink" Target="http://www.nevo.co.il/case/18107808" TargetMode="External"/><Relationship Id="rId59" Type="http://schemas.openxmlformats.org/officeDocument/2006/relationships/hyperlink" Target="http://www.nevo.co.il/case/27217205" TargetMode="External"/><Relationship Id="rId67" Type="http://schemas.openxmlformats.org/officeDocument/2006/relationships/hyperlink" Target="http://www.nevo.co.il/law/70301/28"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24345651" TargetMode="External"/><Relationship Id="rId54" Type="http://schemas.openxmlformats.org/officeDocument/2006/relationships/hyperlink" Target="http://www.nevo.co.il/case/19999565" TargetMode="External"/><Relationship Id="rId62" Type="http://schemas.openxmlformats.org/officeDocument/2006/relationships/hyperlink" Target="http://www.nevo.co.il/case/7846343" TargetMode="External"/><Relationship Id="rId70" Type="http://schemas.openxmlformats.org/officeDocument/2006/relationships/hyperlink" Target="http://www.nevo.co.il/case/28092391"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71a" TargetMode="External"/><Relationship Id="rId36" Type="http://schemas.openxmlformats.org/officeDocument/2006/relationships/hyperlink" Target="http://www.nevo.co.il/case/19994809" TargetMode="External"/><Relationship Id="rId49" Type="http://schemas.openxmlformats.org/officeDocument/2006/relationships/hyperlink" Target="http://www.nevo.co.il/case/21511777" TargetMode="External"/><Relationship Id="rId57" Type="http://schemas.openxmlformats.org/officeDocument/2006/relationships/hyperlink" Target="http://www.nevo.co.il/case/22535152"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5849797" TargetMode="External"/><Relationship Id="rId44" Type="http://schemas.openxmlformats.org/officeDocument/2006/relationships/hyperlink" Target="http://www.nevo.co.il/case/20567094" TargetMode="External"/><Relationship Id="rId52" Type="http://schemas.openxmlformats.org/officeDocument/2006/relationships/hyperlink" Target="http://www.nevo.co.il/case/26246488" TargetMode="External"/><Relationship Id="rId60" Type="http://schemas.openxmlformats.org/officeDocument/2006/relationships/hyperlink" Target="http://www.nevo.co.il/case/4104026" TargetMode="External"/><Relationship Id="rId65" Type="http://schemas.openxmlformats.org/officeDocument/2006/relationships/hyperlink" Target="http://www.nevo.co.il/case/6708658" TargetMode="External"/><Relationship Id="rId73" Type="http://schemas.openxmlformats.org/officeDocument/2006/relationships/hyperlink" Target="http://www.nevo.co.il/case/27693610"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71a" TargetMode="External"/><Relationship Id="rId18" Type="http://schemas.openxmlformats.org/officeDocument/2006/relationships/hyperlink" Target="http://www.nevo.co.il/law/71553/1.2" TargetMode="External"/><Relationship Id="rId39" Type="http://schemas.openxmlformats.org/officeDocument/2006/relationships/hyperlink" Target="http://www.nevo.co.il/case/25496997" TargetMode="External"/><Relationship Id="rId34" Type="http://schemas.openxmlformats.org/officeDocument/2006/relationships/hyperlink" Target="http://www.nevo.co.il/case/18118854" TargetMode="External"/><Relationship Id="rId50" Type="http://schemas.openxmlformats.org/officeDocument/2006/relationships/hyperlink" Target="http://www.nevo.co.il/case/5681787" TargetMode="External"/><Relationship Id="rId55" Type="http://schemas.openxmlformats.org/officeDocument/2006/relationships/hyperlink" Target="http://www.nevo.co.il/case/6169989" TargetMode="External"/><Relationship Id="rId76" Type="http://schemas.openxmlformats.org/officeDocument/2006/relationships/header" Target="header1.xml"/><Relationship Id="rId7" Type="http://schemas.openxmlformats.org/officeDocument/2006/relationships/hyperlink" Target="http://www.nevo.co.il/law/4216" TargetMode="External"/><Relationship Id="rId71" Type="http://schemas.openxmlformats.org/officeDocument/2006/relationships/hyperlink" Target="http://www.nevo.co.il/case/28032816"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4903/192a" TargetMode="External"/><Relationship Id="rId40" Type="http://schemas.openxmlformats.org/officeDocument/2006/relationships/hyperlink" Target="http://www.nevo.co.il/case/27008094" TargetMode="External"/><Relationship Id="rId45" Type="http://schemas.openxmlformats.org/officeDocument/2006/relationships/hyperlink" Target="http://www.nevo.co.il/case/18118854" TargetMode="External"/><Relationship Id="rId66"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3822</Words>
  <Characters>19111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22888</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3997808</vt:i4>
      </vt:variant>
      <vt:variant>
        <vt:i4>201</vt:i4>
      </vt:variant>
      <vt:variant>
        <vt:i4>0</vt:i4>
      </vt:variant>
      <vt:variant>
        <vt:i4>5</vt:i4>
      </vt:variant>
      <vt:variant>
        <vt:lpwstr>http://www.nevo.co.il/case/21473281</vt:lpwstr>
      </vt:variant>
      <vt:variant>
        <vt:lpwstr/>
      </vt:variant>
      <vt:variant>
        <vt:i4>3539068</vt:i4>
      </vt:variant>
      <vt:variant>
        <vt:i4>198</vt:i4>
      </vt:variant>
      <vt:variant>
        <vt:i4>0</vt:i4>
      </vt:variant>
      <vt:variant>
        <vt:i4>5</vt:i4>
      </vt:variant>
      <vt:variant>
        <vt:lpwstr>http://www.nevo.co.il/case/27693610</vt:lpwstr>
      </vt:variant>
      <vt:variant>
        <vt:lpwstr/>
      </vt:variant>
      <vt:variant>
        <vt:i4>3997808</vt:i4>
      </vt:variant>
      <vt:variant>
        <vt:i4>195</vt:i4>
      </vt:variant>
      <vt:variant>
        <vt:i4>0</vt:i4>
      </vt:variant>
      <vt:variant>
        <vt:i4>5</vt:i4>
      </vt:variant>
      <vt:variant>
        <vt:lpwstr>http://www.nevo.co.il/case/21473281</vt:lpwstr>
      </vt:variant>
      <vt:variant>
        <vt:lpwstr/>
      </vt:variant>
      <vt:variant>
        <vt:i4>3211383</vt:i4>
      </vt:variant>
      <vt:variant>
        <vt:i4>192</vt:i4>
      </vt:variant>
      <vt:variant>
        <vt:i4>0</vt:i4>
      </vt:variant>
      <vt:variant>
        <vt:i4>5</vt:i4>
      </vt:variant>
      <vt:variant>
        <vt:lpwstr>http://www.nevo.co.il/case/28032816</vt:lpwstr>
      </vt:variant>
      <vt:variant>
        <vt:lpwstr/>
      </vt:variant>
      <vt:variant>
        <vt:i4>3735670</vt:i4>
      </vt:variant>
      <vt:variant>
        <vt:i4>189</vt:i4>
      </vt:variant>
      <vt:variant>
        <vt:i4>0</vt:i4>
      </vt:variant>
      <vt:variant>
        <vt:i4>5</vt:i4>
      </vt:variant>
      <vt:variant>
        <vt:lpwstr>http://www.nevo.co.il/case/28092391</vt:lpwstr>
      </vt:variant>
      <vt:variant>
        <vt:lpwstr/>
      </vt:variant>
      <vt:variant>
        <vt:i4>3670134</vt:i4>
      </vt:variant>
      <vt:variant>
        <vt:i4>186</vt:i4>
      </vt:variant>
      <vt:variant>
        <vt:i4>0</vt:i4>
      </vt:variant>
      <vt:variant>
        <vt:i4>5</vt:i4>
      </vt:variant>
      <vt:variant>
        <vt:lpwstr>http://www.nevo.co.il/case/28388215</vt:lpwstr>
      </vt:variant>
      <vt:variant>
        <vt:lpwstr/>
      </vt:variant>
      <vt:variant>
        <vt:i4>7995492</vt:i4>
      </vt:variant>
      <vt:variant>
        <vt:i4>183</vt:i4>
      </vt:variant>
      <vt:variant>
        <vt:i4>0</vt:i4>
      </vt:variant>
      <vt:variant>
        <vt:i4>5</vt:i4>
      </vt:variant>
      <vt:variant>
        <vt:lpwstr>http://www.nevo.co.il/law/70301</vt:lpwstr>
      </vt:variant>
      <vt:variant>
        <vt:lpwstr/>
      </vt:variant>
      <vt:variant>
        <vt:i4>7143527</vt:i4>
      </vt:variant>
      <vt:variant>
        <vt:i4>180</vt:i4>
      </vt:variant>
      <vt:variant>
        <vt:i4>0</vt:i4>
      </vt:variant>
      <vt:variant>
        <vt:i4>5</vt:i4>
      </vt:variant>
      <vt:variant>
        <vt:lpwstr>http://www.nevo.co.il/law/70301/28</vt:lpwstr>
      </vt:variant>
      <vt:variant>
        <vt:lpwstr/>
      </vt:variant>
      <vt:variant>
        <vt:i4>6619233</vt:i4>
      </vt:variant>
      <vt:variant>
        <vt:i4>177</vt:i4>
      </vt:variant>
      <vt:variant>
        <vt:i4>0</vt:i4>
      </vt:variant>
      <vt:variant>
        <vt:i4>5</vt:i4>
      </vt:variant>
      <vt:variant>
        <vt:lpwstr>http://www.nevo.co.il/law/70301/40i</vt:lpwstr>
      </vt:variant>
      <vt:variant>
        <vt:lpwstr/>
      </vt:variant>
      <vt:variant>
        <vt:i4>3670142</vt:i4>
      </vt:variant>
      <vt:variant>
        <vt:i4>174</vt:i4>
      </vt:variant>
      <vt:variant>
        <vt:i4>0</vt:i4>
      </vt:variant>
      <vt:variant>
        <vt:i4>5</vt:i4>
      </vt:variant>
      <vt:variant>
        <vt:lpwstr>http://www.nevo.co.il/case/6708658</vt:lpwstr>
      </vt:variant>
      <vt:variant>
        <vt:lpwstr/>
      </vt:variant>
      <vt:variant>
        <vt:i4>3735666</vt:i4>
      </vt:variant>
      <vt:variant>
        <vt:i4>171</vt:i4>
      </vt:variant>
      <vt:variant>
        <vt:i4>0</vt:i4>
      </vt:variant>
      <vt:variant>
        <vt:i4>5</vt:i4>
      </vt:variant>
      <vt:variant>
        <vt:lpwstr>http://www.nevo.co.il/case/25932004</vt:lpwstr>
      </vt:variant>
      <vt:variant>
        <vt:lpwstr/>
      </vt:variant>
      <vt:variant>
        <vt:i4>3604607</vt:i4>
      </vt:variant>
      <vt:variant>
        <vt:i4>168</vt:i4>
      </vt:variant>
      <vt:variant>
        <vt:i4>0</vt:i4>
      </vt:variant>
      <vt:variant>
        <vt:i4>5</vt:i4>
      </vt:variant>
      <vt:variant>
        <vt:lpwstr>http://www.nevo.co.il/case/8289601</vt:lpwstr>
      </vt:variant>
      <vt:variant>
        <vt:lpwstr/>
      </vt:variant>
      <vt:variant>
        <vt:i4>3342462</vt:i4>
      </vt:variant>
      <vt:variant>
        <vt:i4>165</vt:i4>
      </vt:variant>
      <vt:variant>
        <vt:i4>0</vt:i4>
      </vt:variant>
      <vt:variant>
        <vt:i4>5</vt:i4>
      </vt:variant>
      <vt:variant>
        <vt:lpwstr>http://www.nevo.co.il/case/7846343</vt:lpwstr>
      </vt:variant>
      <vt:variant>
        <vt:lpwstr/>
      </vt:variant>
      <vt:variant>
        <vt:i4>3211385</vt:i4>
      </vt:variant>
      <vt:variant>
        <vt:i4>162</vt:i4>
      </vt:variant>
      <vt:variant>
        <vt:i4>0</vt:i4>
      </vt:variant>
      <vt:variant>
        <vt:i4>5</vt:i4>
      </vt:variant>
      <vt:variant>
        <vt:lpwstr>http://www.nevo.co.il/case/4129354</vt:lpwstr>
      </vt:variant>
      <vt:variant>
        <vt:lpwstr/>
      </vt:variant>
      <vt:variant>
        <vt:i4>3276915</vt:i4>
      </vt:variant>
      <vt:variant>
        <vt:i4>159</vt:i4>
      </vt:variant>
      <vt:variant>
        <vt:i4>0</vt:i4>
      </vt:variant>
      <vt:variant>
        <vt:i4>5</vt:i4>
      </vt:variant>
      <vt:variant>
        <vt:lpwstr>http://www.nevo.co.il/case/4104026</vt:lpwstr>
      </vt:variant>
      <vt:variant>
        <vt:lpwstr/>
      </vt:variant>
      <vt:variant>
        <vt:i4>3604592</vt:i4>
      </vt:variant>
      <vt:variant>
        <vt:i4>156</vt:i4>
      </vt:variant>
      <vt:variant>
        <vt:i4>0</vt:i4>
      </vt:variant>
      <vt:variant>
        <vt:i4>5</vt:i4>
      </vt:variant>
      <vt:variant>
        <vt:lpwstr>http://www.nevo.co.il/case/27217205</vt:lpwstr>
      </vt:variant>
      <vt:variant>
        <vt:lpwstr/>
      </vt:variant>
      <vt:variant>
        <vt:i4>3670130</vt:i4>
      </vt:variant>
      <vt:variant>
        <vt:i4>153</vt:i4>
      </vt:variant>
      <vt:variant>
        <vt:i4>0</vt:i4>
      </vt:variant>
      <vt:variant>
        <vt:i4>5</vt:i4>
      </vt:variant>
      <vt:variant>
        <vt:lpwstr>http://www.nevo.co.il/case/27871630</vt:lpwstr>
      </vt:variant>
      <vt:variant>
        <vt:lpwstr/>
      </vt:variant>
      <vt:variant>
        <vt:i4>3604596</vt:i4>
      </vt:variant>
      <vt:variant>
        <vt:i4>150</vt:i4>
      </vt:variant>
      <vt:variant>
        <vt:i4>0</vt:i4>
      </vt:variant>
      <vt:variant>
        <vt:i4>5</vt:i4>
      </vt:variant>
      <vt:variant>
        <vt:lpwstr>http://www.nevo.co.il/case/22535152</vt:lpwstr>
      </vt:variant>
      <vt:variant>
        <vt:lpwstr/>
      </vt:variant>
      <vt:variant>
        <vt:i4>3276920</vt:i4>
      </vt:variant>
      <vt:variant>
        <vt:i4>147</vt:i4>
      </vt:variant>
      <vt:variant>
        <vt:i4>0</vt:i4>
      </vt:variant>
      <vt:variant>
        <vt:i4>5</vt:i4>
      </vt:variant>
      <vt:variant>
        <vt:lpwstr>http://www.nevo.co.il/case/5327085</vt:lpwstr>
      </vt:variant>
      <vt:variant>
        <vt:lpwstr/>
      </vt:variant>
      <vt:variant>
        <vt:i4>3145844</vt:i4>
      </vt:variant>
      <vt:variant>
        <vt:i4>144</vt:i4>
      </vt:variant>
      <vt:variant>
        <vt:i4>0</vt:i4>
      </vt:variant>
      <vt:variant>
        <vt:i4>5</vt:i4>
      </vt:variant>
      <vt:variant>
        <vt:lpwstr>http://www.nevo.co.il/case/6169989</vt:lpwstr>
      </vt:variant>
      <vt:variant>
        <vt:lpwstr/>
      </vt:variant>
      <vt:variant>
        <vt:i4>3604593</vt:i4>
      </vt:variant>
      <vt:variant>
        <vt:i4>141</vt:i4>
      </vt:variant>
      <vt:variant>
        <vt:i4>0</vt:i4>
      </vt:variant>
      <vt:variant>
        <vt:i4>5</vt:i4>
      </vt:variant>
      <vt:variant>
        <vt:lpwstr>http://www.nevo.co.il/case/19999565</vt:lpwstr>
      </vt:variant>
      <vt:variant>
        <vt:lpwstr/>
      </vt:variant>
      <vt:variant>
        <vt:i4>3211388</vt:i4>
      </vt:variant>
      <vt:variant>
        <vt:i4>138</vt:i4>
      </vt:variant>
      <vt:variant>
        <vt:i4>0</vt:i4>
      </vt:variant>
      <vt:variant>
        <vt:i4>5</vt:i4>
      </vt:variant>
      <vt:variant>
        <vt:lpwstr>http://www.nevo.co.il/case/28190928</vt:lpwstr>
      </vt:variant>
      <vt:variant>
        <vt:lpwstr/>
      </vt:variant>
      <vt:variant>
        <vt:i4>4063346</vt:i4>
      </vt:variant>
      <vt:variant>
        <vt:i4>135</vt:i4>
      </vt:variant>
      <vt:variant>
        <vt:i4>0</vt:i4>
      </vt:variant>
      <vt:variant>
        <vt:i4>5</vt:i4>
      </vt:variant>
      <vt:variant>
        <vt:lpwstr>http://www.nevo.co.il/case/26246488</vt:lpwstr>
      </vt:variant>
      <vt:variant>
        <vt:lpwstr/>
      </vt:variant>
      <vt:variant>
        <vt:i4>3407990</vt:i4>
      </vt:variant>
      <vt:variant>
        <vt:i4>132</vt:i4>
      </vt:variant>
      <vt:variant>
        <vt:i4>0</vt:i4>
      </vt:variant>
      <vt:variant>
        <vt:i4>5</vt:i4>
      </vt:variant>
      <vt:variant>
        <vt:lpwstr>http://www.nevo.co.il/case/27313460</vt:lpwstr>
      </vt:variant>
      <vt:variant>
        <vt:lpwstr/>
      </vt:variant>
      <vt:variant>
        <vt:i4>3997819</vt:i4>
      </vt:variant>
      <vt:variant>
        <vt:i4>129</vt:i4>
      </vt:variant>
      <vt:variant>
        <vt:i4>0</vt:i4>
      </vt:variant>
      <vt:variant>
        <vt:i4>5</vt:i4>
      </vt:variant>
      <vt:variant>
        <vt:lpwstr>http://www.nevo.co.il/case/5681787</vt:lpwstr>
      </vt:variant>
      <vt:variant>
        <vt:lpwstr/>
      </vt:variant>
      <vt:variant>
        <vt:i4>3211379</vt:i4>
      </vt:variant>
      <vt:variant>
        <vt:i4>126</vt:i4>
      </vt:variant>
      <vt:variant>
        <vt:i4>0</vt:i4>
      </vt:variant>
      <vt:variant>
        <vt:i4>5</vt:i4>
      </vt:variant>
      <vt:variant>
        <vt:lpwstr>http://www.nevo.co.il/case/21511777</vt:lpwstr>
      </vt:variant>
      <vt:variant>
        <vt:lpwstr/>
      </vt:variant>
      <vt:variant>
        <vt:i4>3473530</vt:i4>
      </vt:variant>
      <vt:variant>
        <vt:i4>123</vt:i4>
      </vt:variant>
      <vt:variant>
        <vt:i4>0</vt:i4>
      </vt:variant>
      <vt:variant>
        <vt:i4>5</vt:i4>
      </vt:variant>
      <vt:variant>
        <vt:lpwstr>http://www.nevo.co.il/case/25585375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3604596</vt:i4>
      </vt:variant>
      <vt:variant>
        <vt:i4>117</vt:i4>
      </vt:variant>
      <vt:variant>
        <vt:i4>0</vt:i4>
      </vt:variant>
      <vt:variant>
        <vt:i4>5</vt:i4>
      </vt:variant>
      <vt:variant>
        <vt:lpwstr>http://www.nevo.co.il/case/18107808</vt:lpwstr>
      </vt:variant>
      <vt:variant>
        <vt:lpwstr/>
      </vt:variant>
      <vt:variant>
        <vt:i4>3997813</vt:i4>
      </vt:variant>
      <vt:variant>
        <vt:i4>114</vt:i4>
      </vt:variant>
      <vt:variant>
        <vt:i4>0</vt:i4>
      </vt:variant>
      <vt:variant>
        <vt:i4>5</vt:i4>
      </vt:variant>
      <vt:variant>
        <vt:lpwstr>http://www.nevo.co.il/case/18118854</vt:lpwstr>
      </vt:variant>
      <vt:variant>
        <vt:lpwstr/>
      </vt:variant>
      <vt:variant>
        <vt:i4>3735666</vt:i4>
      </vt:variant>
      <vt:variant>
        <vt:i4>111</vt:i4>
      </vt:variant>
      <vt:variant>
        <vt:i4>0</vt:i4>
      </vt:variant>
      <vt:variant>
        <vt:i4>5</vt:i4>
      </vt:variant>
      <vt:variant>
        <vt:lpwstr>http://www.nevo.co.il/case/20567094</vt:lpwstr>
      </vt:variant>
      <vt:variant>
        <vt:lpwstr/>
      </vt:variant>
      <vt:variant>
        <vt:i4>3997811</vt:i4>
      </vt:variant>
      <vt:variant>
        <vt:i4>108</vt:i4>
      </vt:variant>
      <vt:variant>
        <vt:i4>0</vt:i4>
      </vt:variant>
      <vt:variant>
        <vt:i4>5</vt:i4>
      </vt:variant>
      <vt:variant>
        <vt:lpwstr>http://www.nevo.co.il/case/16941543</vt:lpwstr>
      </vt:variant>
      <vt:variant>
        <vt:lpwstr/>
      </vt:variant>
      <vt:variant>
        <vt:i4>3604595</vt:i4>
      </vt:variant>
      <vt:variant>
        <vt:i4>105</vt:i4>
      </vt:variant>
      <vt:variant>
        <vt:i4>0</vt:i4>
      </vt:variant>
      <vt:variant>
        <vt:i4>5</vt:i4>
      </vt:variant>
      <vt:variant>
        <vt:lpwstr>http://www.nevo.co.il/case/23746048</vt:lpwstr>
      </vt:variant>
      <vt:variant>
        <vt:lpwstr/>
      </vt:variant>
      <vt:variant>
        <vt:i4>3211378</vt:i4>
      </vt:variant>
      <vt:variant>
        <vt:i4>102</vt:i4>
      </vt:variant>
      <vt:variant>
        <vt:i4>0</vt:i4>
      </vt:variant>
      <vt:variant>
        <vt:i4>5</vt:i4>
      </vt:variant>
      <vt:variant>
        <vt:lpwstr>http://www.nevo.co.il/case/24345651</vt:lpwstr>
      </vt:variant>
      <vt:variant>
        <vt:lpwstr/>
      </vt:variant>
      <vt:variant>
        <vt:i4>3342451</vt:i4>
      </vt:variant>
      <vt:variant>
        <vt:i4>99</vt:i4>
      </vt:variant>
      <vt:variant>
        <vt:i4>0</vt:i4>
      </vt:variant>
      <vt:variant>
        <vt:i4>5</vt:i4>
      </vt:variant>
      <vt:variant>
        <vt:lpwstr>http://www.nevo.co.il/case/27008094</vt:lpwstr>
      </vt:variant>
      <vt:variant>
        <vt:lpwstr/>
      </vt:variant>
      <vt:variant>
        <vt:i4>3735665</vt:i4>
      </vt:variant>
      <vt:variant>
        <vt:i4>96</vt:i4>
      </vt:variant>
      <vt:variant>
        <vt:i4>0</vt:i4>
      </vt:variant>
      <vt:variant>
        <vt:i4>5</vt:i4>
      </vt:variant>
      <vt:variant>
        <vt:lpwstr>http://www.nevo.co.il/case/25496997</vt:lpwstr>
      </vt:variant>
      <vt:variant>
        <vt:lpwstr/>
      </vt:variant>
      <vt:variant>
        <vt:i4>3539057</vt:i4>
      </vt:variant>
      <vt:variant>
        <vt:i4>93</vt:i4>
      </vt:variant>
      <vt:variant>
        <vt:i4>0</vt:i4>
      </vt:variant>
      <vt:variant>
        <vt:i4>5</vt:i4>
      </vt:variant>
      <vt:variant>
        <vt:lpwstr>http://www.nevo.co.il/case/5633505</vt:lpwstr>
      </vt:variant>
      <vt:variant>
        <vt:lpwstr/>
      </vt:variant>
      <vt:variant>
        <vt:i4>3997811</vt:i4>
      </vt:variant>
      <vt:variant>
        <vt:i4>90</vt:i4>
      </vt:variant>
      <vt:variant>
        <vt:i4>0</vt:i4>
      </vt:variant>
      <vt:variant>
        <vt:i4>5</vt:i4>
      </vt:variant>
      <vt:variant>
        <vt:lpwstr>http://www.nevo.co.il/case/16941543</vt:lpwstr>
      </vt:variant>
      <vt:variant>
        <vt:lpwstr/>
      </vt:variant>
      <vt:variant>
        <vt:i4>3932284</vt:i4>
      </vt:variant>
      <vt:variant>
        <vt:i4>87</vt:i4>
      </vt:variant>
      <vt:variant>
        <vt:i4>0</vt:i4>
      </vt:variant>
      <vt:variant>
        <vt:i4>5</vt:i4>
      </vt:variant>
      <vt:variant>
        <vt:lpwstr>http://www.nevo.co.il/case/19994809</vt:lpwstr>
      </vt:variant>
      <vt:variant>
        <vt:lpwstr/>
      </vt:variant>
      <vt:variant>
        <vt:i4>3211376</vt:i4>
      </vt:variant>
      <vt:variant>
        <vt:i4>84</vt:i4>
      </vt:variant>
      <vt:variant>
        <vt:i4>0</vt:i4>
      </vt:variant>
      <vt:variant>
        <vt:i4>5</vt:i4>
      </vt:variant>
      <vt:variant>
        <vt:lpwstr>http://www.nevo.co.il/case/24492956</vt:lpwstr>
      </vt:variant>
      <vt:variant>
        <vt:lpwstr/>
      </vt:variant>
      <vt:variant>
        <vt:i4>3997813</vt:i4>
      </vt:variant>
      <vt:variant>
        <vt:i4>81</vt:i4>
      </vt:variant>
      <vt:variant>
        <vt:i4>0</vt:i4>
      </vt:variant>
      <vt:variant>
        <vt:i4>5</vt:i4>
      </vt:variant>
      <vt:variant>
        <vt:lpwstr>http://www.nevo.co.il/case/18118854</vt:lpwstr>
      </vt:variant>
      <vt:variant>
        <vt:lpwstr/>
      </vt:variant>
      <vt:variant>
        <vt:i4>3342463</vt:i4>
      </vt:variant>
      <vt:variant>
        <vt:i4>78</vt:i4>
      </vt:variant>
      <vt:variant>
        <vt:i4>0</vt:i4>
      </vt:variant>
      <vt:variant>
        <vt:i4>5</vt:i4>
      </vt:variant>
      <vt:variant>
        <vt:lpwstr>http://www.nevo.co.il/case/26793458</vt:lpwstr>
      </vt:variant>
      <vt:variant>
        <vt:lpwstr/>
      </vt:variant>
      <vt:variant>
        <vt:i4>196686</vt:i4>
      </vt:variant>
      <vt:variant>
        <vt:i4>75</vt:i4>
      </vt:variant>
      <vt:variant>
        <vt:i4>0</vt:i4>
      </vt:variant>
      <vt:variant>
        <vt:i4>5</vt:i4>
      </vt:variant>
      <vt:variant>
        <vt:lpwstr>http://www.nevo.co.il/case/483240</vt:lpwstr>
      </vt:variant>
      <vt:variant>
        <vt:lpwstr/>
      </vt:variant>
      <vt:variant>
        <vt:i4>3211388</vt:i4>
      </vt:variant>
      <vt:variant>
        <vt:i4>72</vt:i4>
      </vt:variant>
      <vt:variant>
        <vt:i4>0</vt:i4>
      </vt:variant>
      <vt:variant>
        <vt:i4>5</vt:i4>
      </vt:variant>
      <vt:variant>
        <vt:lpwstr>http://www.nevo.co.il/case/5849797</vt:lpwstr>
      </vt:variant>
      <vt:variant>
        <vt:lpwstr/>
      </vt:variant>
      <vt:variant>
        <vt:i4>3276916</vt:i4>
      </vt:variant>
      <vt:variant>
        <vt:i4>69</vt:i4>
      </vt:variant>
      <vt:variant>
        <vt:i4>0</vt:i4>
      </vt:variant>
      <vt:variant>
        <vt:i4>5</vt:i4>
      </vt:variant>
      <vt:variant>
        <vt:lpwstr>http://www.nevo.co.il/case/5810781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6553698</vt:i4>
      </vt:variant>
      <vt:variant>
        <vt:i4>63</vt:i4>
      </vt:variant>
      <vt:variant>
        <vt:i4>0</vt:i4>
      </vt:variant>
      <vt:variant>
        <vt:i4>5</vt:i4>
      </vt:variant>
      <vt:variant>
        <vt:lpwstr>http://www.nevo.co.il/law/70301/71a</vt:lpwstr>
      </vt:variant>
      <vt:variant>
        <vt:lpwstr/>
      </vt:variant>
      <vt:variant>
        <vt:i4>8257634</vt:i4>
      </vt:variant>
      <vt:variant>
        <vt:i4>60</vt:i4>
      </vt:variant>
      <vt:variant>
        <vt:i4>0</vt:i4>
      </vt:variant>
      <vt:variant>
        <vt:i4>5</vt:i4>
      </vt:variant>
      <vt:variant>
        <vt:lpwstr>http://www.nevo.co.il/law/71553</vt:lpwstr>
      </vt:variant>
      <vt:variant>
        <vt:lpwstr/>
      </vt:variant>
      <vt:variant>
        <vt:i4>8323168</vt:i4>
      </vt:variant>
      <vt:variant>
        <vt:i4>57</vt:i4>
      </vt:variant>
      <vt:variant>
        <vt:i4>0</vt:i4>
      </vt:variant>
      <vt:variant>
        <vt:i4>5</vt:i4>
      </vt:variant>
      <vt:variant>
        <vt:lpwstr>http://www.nevo.co.il/law/71553/1.2</vt:lpwstr>
      </vt:variant>
      <vt:variant>
        <vt:lpwstr/>
      </vt:variant>
      <vt:variant>
        <vt:i4>8257646</vt:i4>
      </vt:variant>
      <vt:variant>
        <vt:i4>54</vt:i4>
      </vt:variant>
      <vt:variant>
        <vt:i4>0</vt:i4>
      </vt:variant>
      <vt:variant>
        <vt:i4>5</vt:i4>
      </vt:variant>
      <vt:variant>
        <vt:lpwstr>http://www.nevo.co.il/law/74903</vt:lpwstr>
      </vt:variant>
      <vt:variant>
        <vt:lpwstr/>
      </vt:variant>
      <vt:variant>
        <vt:i4>589918</vt:i4>
      </vt:variant>
      <vt:variant>
        <vt:i4>51</vt:i4>
      </vt:variant>
      <vt:variant>
        <vt:i4>0</vt:i4>
      </vt:variant>
      <vt:variant>
        <vt:i4>5</vt:i4>
      </vt:variant>
      <vt:variant>
        <vt:lpwstr>http://www.nevo.co.il/law/74903/192a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8323168</vt:i4>
      </vt:variant>
      <vt:variant>
        <vt:i4>33</vt:i4>
      </vt:variant>
      <vt:variant>
        <vt:i4>0</vt:i4>
      </vt:variant>
      <vt:variant>
        <vt:i4>5</vt:i4>
      </vt:variant>
      <vt:variant>
        <vt:lpwstr>http://www.nevo.co.il/law/71553/1.2</vt:lpwstr>
      </vt:variant>
      <vt:variant>
        <vt:lpwstr/>
      </vt:variant>
      <vt:variant>
        <vt:i4>8257634</vt:i4>
      </vt:variant>
      <vt:variant>
        <vt:i4>30</vt:i4>
      </vt:variant>
      <vt:variant>
        <vt:i4>0</vt:i4>
      </vt:variant>
      <vt:variant>
        <vt:i4>5</vt:i4>
      </vt:variant>
      <vt:variant>
        <vt:lpwstr>http://www.nevo.co.il/law/71553</vt:lpwstr>
      </vt:variant>
      <vt:variant>
        <vt:lpwstr/>
      </vt:variant>
      <vt:variant>
        <vt:i4>589918</vt:i4>
      </vt:variant>
      <vt:variant>
        <vt:i4>27</vt:i4>
      </vt:variant>
      <vt:variant>
        <vt:i4>0</vt:i4>
      </vt:variant>
      <vt:variant>
        <vt:i4>5</vt:i4>
      </vt:variant>
      <vt:variant>
        <vt:lpwstr>http://www.nevo.co.il/law/74903/192a</vt:lpwstr>
      </vt:variant>
      <vt:variant>
        <vt:lpwstr/>
      </vt:variant>
      <vt:variant>
        <vt:i4>8257646</vt:i4>
      </vt:variant>
      <vt:variant>
        <vt:i4>24</vt:i4>
      </vt:variant>
      <vt:variant>
        <vt:i4>0</vt:i4>
      </vt:variant>
      <vt:variant>
        <vt:i4>5</vt:i4>
      </vt:variant>
      <vt:variant>
        <vt:lpwstr>http://www.nevo.co.il/law/74903</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6553698</vt:i4>
      </vt:variant>
      <vt:variant>
        <vt:i4>18</vt:i4>
      </vt:variant>
      <vt:variant>
        <vt:i4>0</vt:i4>
      </vt:variant>
      <vt:variant>
        <vt:i4>5</vt:i4>
      </vt:variant>
      <vt:variant>
        <vt:lpwstr>http://www.nevo.co.il/law/70301/71a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7143527</vt:i4>
      </vt:variant>
      <vt:variant>
        <vt:i4>12</vt:i4>
      </vt:variant>
      <vt:variant>
        <vt:i4>0</vt:i4>
      </vt:variant>
      <vt:variant>
        <vt:i4>5</vt:i4>
      </vt:variant>
      <vt:variant>
        <vt:lpwstr>http://www.nevo.co.il/law/70301/28</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2025-04-23T00:15:00Z</dcterms:created>
  <dcterms:modified xsi:type="dcterms:W3CDTF">2025-04-23T00:15:00Z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19988</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ישראל-תביעות נגב</vt:lpwstr>
  </property>
  <property fmtid="{D5CDD505-2E9C-101B-9397-08002B2CF9AE}" pid="9" name="APPELLEE">
    <vt:lpwstr>אוסמאמא אבו לקימה</vt:lpwstr>
  </property>
  <property fmtid="{D5CDD505-2E9C-101B-9397-08002B2CF9AE}" pid="10" name="LAWYER">
    <vt:lpwstr>מאירי לב;פאולה ברוש</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20230619</vt:lpwstr>
  </property>
  <property fmtid="{D5CDD505-2E9C-101B-9397-08002B2CF9AE}" pid="14" name="TYPE_N_DATE">
    <vt:lpwstr>38020230619</vt:lpwstr>
  </property>
  <property fmtid="{D5CDD505-2E9C-101B-9397-08002B2CF9AE}" pid="15" name="WORDNUMPAGES">
    <vt:lpwstr>11</vt:lpwstr>
  </property>
  <property fmtid="{D5CDD505-2E9C-101B-9397-08002B2CF9AE}" pid="16" name="TYPE_ABS_DATE">
    <vt:lpwstr>380020230619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5810781;5849797;483240;26793458;18118854:2;24492956;19994809;16941543:2;5633505;25496997;27008094;24345651;23746048;20567094;18107808;25585375;21511777;5681787;27313460;26246488;28190928;19999565;6169989;5327085;22535152;27871630;27217205;4104026</vt:lpwstr>
  </property>
  <property fmtid="{D5CDD505-2E9C-101B-9397-08002B2CF9AE}" pid="36" name="CASESLISTTMP2">
    <vt:lpwstr>4129354;7846343;8289601;25932004;6708658;28388215;28092391;28032816;21473281:2;27693610</vt:lpwstr>
  </property>
  <property fmtid="{D5CDD505-2E9C-101B-9397-08002B2CF9AE}" pid="37" name="LAWLISTTMP1">
    <vt:lpwstr>4216/007.a;007.c</vt:lpwstr>
  </property>
  <property fmtid="{D5CDD505-2E9C-101B-9397-08002B2CF9AE}" pid="38" name="LAWLISTTMP2">
    <vt:lpwstr>70301/275;071a;040i;028</vt:lpwstr>
  </property>
  <property fmtid="{D5CDD505-2E9C-101B-9397-08002B2CF9AE}" pid="39" name="LAWLISTTMP3">
    <vt:lpwstr>74903/192a</vt:lpwstr>
  </property>
  <property fmtid="{D5CDD505-2E9C-101B-9397-08002B2CF9AE}" pid="40" name="LAWLISTTMP4">
    <vt:lpwstr>71553/001.2</vt:lpwstr>
  </property>
</Properties>
</file>