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613F1" w:rsidRPr="00AA734D" w14:paraId="0493BAD7" w14:textId="77777777" w:rsidTr="00921D6E">
        <w:trPr>
          <w:trHeight w:hRule="exact" w:val="418"/>
          <w:jc w:val="center"/>
        </w:trPr>
        <w:tc>
          <w:tcPr>
            <w:tcW w:w="8721" w:type="dxa"/>
            <w:gridSpan w:val="2"/>
          </w:tcPr>
          <w:p w14:paraId="5B591BFE" w14:textId="77777777" w:rsidR="008613F1" w:rsidRPr="00AA734D" w:rsidRDefault="008613F1" w:rsidP="006A2E63">
            <w:pPr>
              <w:pStyle w:val="a3"/>
              <w:jc w:val="center"/>
              <w:rPr>
                <w:rFonts w:ascii="David" w:hAnsi="David"/>
                <w:b/>
                <w:bCs/>
                <w:color w:val="000080"/>
                <w:rtl/>
              </w:rPr>
            </w:pPr>
            <w:bookmarkStart w:id="0" w:name="LastJudge"/>
            <w:r w:rsidRPr="00AA734D">
              <w:rPr>
                <w:rFonts w:ascii="David" w:hAnsi="David"/>
                <w:b/>
                <w:bCs/>
                <w:color w:val="000080"/>
                <w:rtl/>
              </w:rPr>
              <w:t>בית משפט השלום בבאר שבע</w:t>
            </w:r>
          </w:p>
        </w:tc>
      </w:tr>
      <w:tr w:rsidR="008613F1" w:rsidRPr="00AA734D" w14:paraId="4EFC73DC" w14:textId="77777777" w:rsidTr="00921D6E">
        <w:trPr>
          <w:trHeight w:val="337"/>
          <w:jc w:val="center"/>
        </w:trPr>
        <w:tc>
          <w:tcPr>
            <w:tcW w:w="5055" w:type="dxa"/>
          </w:tcPr>
          <w:p w14:paraId="32737C3C" w14:textId="77777777" w:rsidR="008613F1" w:rsidRPr="00AA734D" w:rsidRDefault="008613F1" w:rsidP="006A2E63">
            <w:pPr>
              <w:rPr>
                <w:rFonts w:ascii="David" w:hAnsi="David"/>
                <w:b/>
                <w:bCs/>
                <w:sz w:val="28"/>
                <w:szCs w:val="28"/>
                <w:rtl/>
              </w:rPr>
            </w:pPr>
            <w:r w:rsidRPr="00AA734D">
              <w:rPr>
                <w:rFonts w:ascii="David" w:hAnsi="David"/>
                <w:b/>
                <w:bCs/>
                <w:sz w:val="28"/>
                <w:szCs w:val="28"/>
                <w:rtl/>
              </w:rPr>
              <w:t>תפ"ק 22029-08-19 מדינת ישראל נ' רודיגין</w:t>
            </w:r>
          </w:p>
          <w:p w14:paraId="1371D122" w14:textId="77777777" w:rsidR="008613F1" w:rsidRPr="00AA734D" w:rsidRDefault="008613F1" w:rsidP="006A2E63">
            <w:pPr>
              <w:pStyle w:val="a3"/>
              <w:rPr>
                <w:rFonts w:ascii="David" w:hAnsi="David"/>
                <w:b/>
                <w:bCs/>
                <w:sz w:val="28"/>
                <w:szCs w:val="28"/>
                <w:rtl/>
              </w:rPr>
            </w:pPr>
          </w:p>
        </w:tc>
        <w:tc>
          <w:tcPr>
            <w:tcW w:w="3666" w:type="dxa"/>
          </w:tcPr>
          <w:p w14:paraId="1070B5D5" w14:textId="77777777" w:rsidR="008613F1" w:rsidRPr="00AA734D" w:rsidRDefault="008613F1" w:rsidP="006A2E63">
            <w:pPr>
              <w:pStyle w:val="a3"/>
              <w:jc w:val="right"/>
              <w:rPr>
                <w:rFonts w:ascii="David" w:hAnsi="David"/>
                <w:b/>
                <w:bCs/>
                <w:sz w:val="28"/>
                <w:szCs w:val="28"/>
                <w:rtl/>
              </w:rPr>
            </w:pPr>
          </w:p>
        </w:tc>
      </w:tr>
    </w:tbl>
    <w:p w14:paraId="45F5A3B3" w14:textId="77777777" w:rsidR="008613F1" w:rsidRPr="00AA734D" w:rsidRDefault="008613F1" w:rsidP="008613F1">
      <w:pPr>
        <w:pStyle w:val="a3"/>
        <w:rPr>
          <w:rtl/>
        </w:rPr>
      </w:pPr>
      <w:r w:rsidRPr="00AA734D">
        <w:rPr>
          <w:rFonts w:hint="cs"/>
          <w:rtl/>
        </w:rPr>
        <w:t xml:space="preserve"> </w:t>
      </w:r>
    </w:p>
    <w:p w14:paraId="7B95EFA0" w14:textId="77777777" w:rsidR="008613F1" w:rsidRPr="00AA734D" w:rsidRDefault="008613F1" w:rsidP="008613F1">
      <w:pPr>
        <w:rPr>
          <w:rtl/>
        </w:rPr>
      </w:pPr>
    </w:p>
    <w:p w14:paraId="4216D904" w14:textId="77777777" w:rsidR="008613F1" w:rsidRPr="00AA734D" w:rsidRDefault="008613F1" w:rsidP="008613F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613F1" w:rsidRPr="00AA734D" w14:paraId="035E558C" w14:textId="77777777" w:rsidTr="008613F1">
        <w:trPr>
          <w:trHeight w:val="295"/>
          <w:jc w:val="center"/>
        </w:trPr>
        <w:tc>
          <w:tcPr>
            <w:tcW w:w="923" w:type="dxa"/>
            <w:tcBorders>
              <w:top w:val="nil"/>
              <w:left w:val="nil"/>
              <w:bottom w:val="nil"/>
              <w:right w:val="nil"/>
            </w:tcBorders>
            <w:shd w:val="clear" w:color="auto" w:fill="auto"/>
          </w:tcPr>
          <w:p w14:paraId="01904D17" w14:textId="77777777" w:rsidR="008613F1" w:rsidRPr="00AA734D" w:rsidRDefault="008613F1" w:rsidP="008613F1">
            <w:pPr>
              <w:jc w:val="both"/>
              <w:rPr>
                <w:rFonts w:ascii="David" w:hAnsi="David"/>
                <w:b/>
                <w:bCs/>
              </w:rPr>
            </w:pPr>
            <w:r w:rsidRPr="00AA734D">
              <w:rPr>
                <w:rFonts w:ascii="David" w:hAnsi="David" w:hint="cs"/>
                <w:b/>
                <w:bCs/>
                <w:rtl/>
              </w:rPr>
              <w:t>ל</w:t>
            </w:r>
            <w:r w:rsidRPr="00AA734D">
              <w:rPr>
                <w:rFonts w:ascii="David" w:hAnsi="David"/>
                <w:b/>
                <w:bCs/>
                <w:rtl/>
              </w:rPr>
              <w:t xml:space="preserve">פני </w:t>
            </w:r>
          </w:p>
        </w:tc>
        <w:tc>
          <w:tcPr>
            <w:tcW w:w="7897" w:type="dxa"/>
            <w:gridSpan w:val="2"/>
            <w:tcBorders>
              <w:top w:val="nil"/>
              <w:left w:val="nil"/>
              <w:bottom w:val="nil"/>
              <w:right w:val="nil"/>
            </w:tcBorders>
            <w:shd w:val="clear" w:color="auto" w:fill="auto"/>
          </w:tcPr>
          <w:p w14:paraId="17EA2EA5" w14:textId="77777777" w:rsidR="008613F1" w:rsidRPr="00AA734D" w:rsidRDefault="008613F1" w:rsidP="006A2E63">
            <w:pPr>
              <w:rPr>
                <w:rFonts w:ascii="David" w:hAnsi="David"/>
                <w:b/>
                <w:bCs/>
                <w:rtl/>
              </w:rPr>
            </w:pPr>
            <w:r w:rsidRPr="00AA734D">
              <w:rPr>
                <w:rFonts w:ascii="David" w:hAnsi="David"/>
                <w:b/>
                <w:bCs/>
                <w:rtl/>
              </w:rPr>
              <w:t>כב</w:t>
            </w:r>
            <w:r w:rsidRPr="00AA734D">
              <w:rPr>
                <w:rFonts w:ascii="David" w:hAnsi="David" w:hint="cs"/>
                <w:b/>
                <w:bCs/>
                <w:rtl/>
              </w:rPr>
              <w:t>'</w:t>
            </w:r>
            <w:r w:rsidRPr="00AA734D">
              <w:rPr>
                <w:rFonts w:ascii="David" w:hAnsi="David"/>
                <w:b/>
                <w:bCs/>
                <w:rtl/>
              </w:rPr>
              <w:t xml:space="preserve"> </w:t>
            </w:r>
            <w:r w:rsidRPr="00AA734D">
              <w:rPr>
                <w:rFonts w:ascii="David" w:hAnsi="David" w:hint="cs"/>
                <w:b/>
                <w:bCs/>
                <w:rtl/>
              </w:rPr>
              <w:t>השופט הבכיר</w:t>
            </w:r>
            <w:r w:rsidRPr="00AA734D">
              <w:rPr>
                <w:rFonts w:ascii="David" w:hAnsi="David"/>
                <w:b/>
                <w:bCs/>
                <w:rtl/>
              </w:rPr>
              <w:t xml:space="preserve">  אור אדם</w:t>
            </w:r>
          </w:p>
          <w:p w14:paraId="0E0C27C4" w14:textId="77777777" w:rsidR="008613F1" w:rsidRPr="00AA734D" w:rsidRDefault="008613F1" w:rsidP="008613F1">
            <w:pPr>
              <w:jc w:val="both"/>
              <w:rPr>
                <w:rFonts w:ascii="David" w:hAnsi="David"/>
                <w:b/>
                <w:bCs/>
              </w:rPr>
            </w:pPr>
          </w:p>
        </w:tc>
      </w:tr>
      <w:tr w:rsidR="008613F1" w:rsidRPr="00AA734D" w14:paraId="0A642702" w14:textId="77777777" w:rsidTr="008613F1">
        <w:trPr>
          <w:trHeight w:val="355"/>
          <w:jc w:val="center"/>
        </w:trPr>
        <w:tc>
          <w:tcPr>
            <w:tcW w:w="923" w:type="dxa"/>
            <w:tcBorders>
              <w:top w:val="nil"/>
              <w:left w:val="nil"/>
              <w:bottom w:val="nil"/>
              <w:right w:val="nil"/>
            </w:tcBorders>
            <w:shd w:val="clear" w:color="auto" w:fill="auto"/>
          </w:tcPr>
          <w:p w14:paraId="550494B1" w14:textId="77777777" w:rsidR="008613F1" w:rsidRPr="00AA734D" w:rsidRDefault="008613F1" w:rsidP="008613F1">
            <w:pPr>
              <w:jc w:val="both"/>
              <w:rPr>
                <w:rFonts w:ascii="David" w:hAnsi="David"/>
                <w:b/>
                <w:bCs/>
              </w:rPr>
            </w:pPr>
            <w:bookmarkStart w:id="1" w:name="FirstAppellant"/>
            <w:bookmarkStart w:id="2" w:name="FirstLawyer"/>
          </w:p>
        </w:tc>
        <w:tc>
          <w:tcPr>
            <w:tcW w:w="3219" w:type="dxa"/>
            <w:tcBorders>
              <w:top w:val="nil"/>
              <w:left w:val="nil"/>
              <w:bottom w:val="nil"/>
              <w:right w:val="nil"/>
            </w:tcBorders>
            <w:shd w:val="clear" w:color="auto" w:fill="auto"/>
          </w:tcPr>
          <w:p w14:paraId="2BC92EAB" w14:textId="77777777" w:rsidR="008613F1" w:rsidRPr="00AA734D" w:rsidRDefault="008613F1" w:rsidP="008613F1">
            <w:pPr>
              <w:suppressLineNumbers/>
              <w:rPr>
                <w:b/>
                <w:bCs/>
              </w:rPr>
            </w:pPr>
            <w:r w:rsidRPr="00AA734D">
              <w:rPr>
                <w:rFonts w:ascii="Arial" w:hAnsi="Arial" w:hint="cs"/>
                <w:b/>
                <w:bCs/>
                <w:rtl/>
              </w:rPr>
              <w:t>ה</w:t>
            </w:r>
            <w:r w:rsidRPr="00AA734D">
              <w:rPr>
                <w:rFonts w:ascii="Arial" w:hAnsi="Arial"/>
                <w:b/>
                <w:bCs/>
                <w:rtl/>
              </w:rPr>
              <w:t>מאשימה</w:t>
            </w:r>
          </w:p>
          <w:p w14:paraId="6010288A" w14:textId="77777777" w:rsidR="008613F1" w:rsidRPr="00AA734D" w:rsidRDefault="008613F1" w:rsidP="006A2E63">
            <w:pPr>
              <w:rPr>
                <w:rFonts w:ascii="David" w:hAnsi="David"/>
                <w:b/>
                <w:bCs/>
              </w:rPr>
            </w:pPr>
          </w:p>
        </w:tc>
        <w:tc>
          <w:tcPr>
            <w:tcW w:w="4678" w:type="dxa"/>
            <w:tcBorders>
              <w:top w:val="nil"/>
              <w:left w:val="nil"/>
              <w:bottom w:val="nil"/>
              <w:right w:val="nil"/>
            </w:tcBorders>
            <w:shd w:val="clear" w:color="auto" w:fill="auto"/>
            <w:vAlign w:val="center"/>
          </w:tcPr>
          <w:p w14:paraId="66F02ED7" w14:textId="77777777" w:rsidR="008613F1" w:rsidRPr="00AA734D" w:rsidRDefault="008613F1" w:rsidP="008613F1">
            <w:pPr>
              <w:suppressLineNumbers/>
              <w:rPr>
                <w:rFonts w:ascii="Arial" w:hAnsi="Arial"/>
                <w:b/>
                <w:bCs/>
                <w:rtl/>
              </w:rPr>
            </w:pPr>
            <w:r w:rsidRPr="00AA734D">
              <w:rPr>
                <w:rFonts w:ascii="Arial" w:hAnsi="Arial"/>
                <w:b/>
                <w:bCs/>
                <w:rtl/>
              </w:rPr>
              <w:t>מדינת ישראל</w:t>
            </w:r>
            <w:r w:rsidRPr="00AA734D">
              <w:rPr>
                <w:rFonts w:ascii="Arial" w:hAnsi="Arial" w:hint="cs"/>
                <w:b/>
                <w:bCs/>
                <w:rtl/>
              </w:rPr>
              <w:t xml:space="preserve"> </w:t>
            </w:r>
          </w:p>
          <w:p w14:paraId="2741DFD9" w14:textId="77777777" w:rsidR="008613F1" w:rsidRPr="00AA734D" w:rsidRDefault="008613F1" w:rsidP="008613F1">
            <w:pPr>
              <w:suppressLineNumbers/>
              <w:rPr>
                <w:b/>
                <w:bCs/>
              </w:rPr>
            </w:pPr>
            <w:r w:rsidRPr="00AA734D">
              <w:rPr>
                <w:rFonts w:ascii="Arial" w:hAnsi="Arial"/>
                <w:b/>
                <w:bCs/>
                <w:rtl/>
              </w:rPr>
              <w:t>ע"י ב"כ עו"ד</w:t>
            </w:r>
            <w:r w:rsidRPr="00AA734D">
              <w:rPr>
                <w:rFonts w:hint="cs"/>
                <w:b/>
                <w:bCs/>
                <w:rtl/>
              </w:rPr>
              <w:t xml:space="preserve"> זגורי גיל לשכת תביעות נגב</w:t>
            </w:r>
          </w:p>
          <w:p w14:paraId="25355755" w14:textId="77777777" w:rsidR="008613F1" w:rsidRPr="00AA734D" w:rsidRDefault="008613F1" w:rsidP="006A2E63">
            <w:pPr>
              <w:rPr>
                <w:rFonts w:ascii="David" w:hAnsi="David"/>
                <w:b/>
                <w:bCs/>
              </w:rPr>
            </w:pPr>
          </w:p>
        </w:tc>
      </w:tr>
      <w:bookmarkEnd w:id="1"/>
      <w:bookmarkEnd w:id="2"/>
      <w:tr w:rsidR="008613F1" w:rsidRPr="00AA734D" w14:paraId="0B49A027" w14:textId="77777777" w:rsidTr="008613F1">
        <w:trPr>
          <w:trHeight w:val="355"/>
          <w:jc w:val="center"/>
        </w:trPr>
        <w:tc>
          <w:tcPr>
            <w:tcW w:w="923" w:type="dxa"/>
            <w:tcBorders>
              <w:top w:val="nil"/>
              <w:left w:val="nil"/>
              <w:bottom w:val="nil"/>
              <w:right w:val="nil"/>
            </w:tcBorders>
            <w:shd w:val="clear" w:color="auto" w:fill="auto"/>
          </w:tcPr>
          <w:p w14:paraId="3F392402" w14:textId="77777777" w:rsidR="008613F1" w:rsidRPr="00AA734D" w:rsidRDefault="008613F1" w:rsidP="008613F1">
            <w:pPr>
              <w:jc w:val="both"/>
              <w:rPr>
                <w:rFonts w:ascii="David" w:hAnsi="David"/>
                <w:b/>
                <w:bCs/>
                <w:rtl/>
              </w:rPr>
            </w:pPr>
          </w:p>
        </w:tc>
        <w:tc>
          <w:tcPr>
            <w:tcW w:w="7897" w:type="dxa"/>
            <w:gridSpan w:val="2"/>
            <w:tcBorders>
              <w:top w:val="nil"/>
              <w:left w:val="nil"/>
              <w:bottom w:val="nil"/>
              <w:right w:val="nil"/>
            </w:tcBorders>
            <w:shd w:val="clear" w:color="auto" w:fill="auto"/>
          </w:tcPr>
          <w:p w14:paraId="0E2747FB" w14:textId="77777777" w:rsidR="008613F1" w:rsidRPr="00AA734D" w:rsidRDefault="008613F1" w:rsidP="008613F1">
            <w:pPr>
              <w:jc w:val="center"/>
              <w:rPr>
                <w:rFonts w:ascii="David" w:hAnsi="David"/>
                <w:b/>
                <w:bCs/>
                <w:rtl/>
              </w:rPr>
            </w:pPr>
            <w:r w:rsidRPr="00AA734D">
              <w:rPr>
                <w:rFonts w:ascii="David" w:hAnsi="David"/>
                <w:b/>
                <w:bCs/>
                <w:rtl/>
              </w:rPr>
              <w:t>נגד</w:t>
            </w:r>
          </w:p>
          <w:p w14:paraId="14012734" w14:textId="77777777" w:rsidR="008613F1" w:rsidRPr="00AA734D" w:rsidRDefault="008613F1" w:rsidP="008613F1">
            <w:pPr>
              <w:jc w:val="both"/>
              <w:rPr>
                <w:rFonts w:ascii="David" w:hAnsi="David"/>
                <w:b/>
                <w:bCs/>
              </w:rPr>
            </w:pPr>
          </w:p>
        </w:tc>
      </w:tr>
      <w:tr w:rsidR="008613F1" w:rsidRPr="00AA734D" w14:paraId="627E9F80" w14:textId="77777777" w:rsidTr="008613F1">
        <w:trPr>
          <w:trHeight w:val="355"/>
          <w:jc w:val="center"/>
        </w:trPr>
        <w:tc>
          <w:tcPr>
            <w:tcW w:w="923" w:type="dxa"/>
            <w:tcBorders>
              <w:top w:val="nil"/>
              <w:left w:val="nil"/>
              <w:bottom w:val="nil"/>
              <w:right w:val="nil"/>
            </w:tcBorders>
            <w:shd w:val="clear" w:color="auto" w:fill="auto"/>
          </w:tcPr>
          <w:p w14:paraId="2291BCBB" w14:textId="77777777" w:rsidR="008613F1" w:rsidRPr="00AA734D" w:rsidRDefault="008613F1" w:rsidP="006A2E63">
            <w:pPr>
              <w:rPr>
                <w:rFonts w:ascii="David" w:hAnsi="David"/>
                <w:b/>
                <w:bCs/>
                <w:rtl/>
              </w:rPr>
            </w:pPr>
          </w:p>
        </w:tc>
        <w:tc>
          <w:tcPr>
            <w:tcW w:w="3219" w:type="dxa"/>
            <w:tcBorders>
              <w:top w:val="nil"/>
              <w:left w:val="nil"/>
              <w:bottom w:val="nil"/>
              <w:right w:val="nil"/>
            </w:tcBorders>
            <w:shd w:val="clear" w:color="auto" w:fill="auto"/>
          </w:tcPr>
          <w:p w14:paraId="4C020D20" w14:textId="77777777" w:rsidR="008613F1" w:rsidRPr="00AA734D" w:rsidRDefault="008613F1" w:rsidP="006A2E63">
            <w:pPr>
              <w:rPr>
                <w:rFonts w:ascii="Arial" w:hAnsi="Arial"/>
                <w:b/>
                <w:bCs/>
                <w:rtl/>
              </w:rPr>
            </w:pPr>
            <w:r w:rsidRPr="00AA734D">
              <w:rPr>
                <w:rFonts w:ascii="Arial" w:hAnsi="Arial"/>
                <w:b/>
                <w:bCs/>
                <w:rtl/>
              </w:rPr>
              <w:t>הנאשמ</w:t>
            </w:r>
            <w:r w:rsidRPr="00AA734D">
              <w:rPr>
                <w:rFonts w:ascii="Arial" w:hAnsi="Arial" w:hint="cs"/>
                <w:b/>
                <w:bCs/>
                <w:rtl/>
              </w:rPr>
              <w:t>ת</w:t>
            </w:r>
          </w:p>
        </w:tc>
        <w:tc>
          <w:tcPr>
            <w:tcW w:w="4678" w:type="dxa"/>
            <w:tcBorders>
              <w:top w:val="nil"/>
              <w:left w:val="nil"/>
              <w:bottom w:val="nil"/>
              <w:right w:val="nil"/>
            </w:tcBorders>
            <w:shd w:val="clear" w:color="auto" w:fill="auto"/>
            <w:vAlign w:val="center"/>
          </w:tcPr>
          <w:p w14:paraId="05BE7180" w14:textId="77777777" w:rsidR="008613F1" w:rsidRPr="00AA734D" w:rsidRDefault="008613F1" w:rsidP="008613F1">
            <w:pPr>
              <w:suppressLineNumbers/>
              <w:rPr>
                <w:rFonts w:ascii="Arial" w:hAnsi="Arial"/>
                <w:b/>
                <w:bCs/>
                <w:rtl/>
              </w:rPr>
            </w:pPr>
            <w:r w:rsidRPr="00AA734D">
              <w:rPr>
                <w:rFonts w:ascii="Arial" w:hAnsi="Arial"/>
                <w:b/>
                <w:bCs/>
                <w:rtl/>
              </w:rPr>
              <w:t>אלכסנדרה רודיגין</w:t>
            </w:r>
            <w:r w:rsidRPr="00AA734D">
              <w:rPr>
                <w:rFonts w:ascii="Arial" w:hAnsi="Arial" w:hint="cs"/>
                <w:b/>
                <w:bCs/>
                <w:rtl/>
              </w:rPr>
              <w:t xml:space="preserve"> </w:t>
            </w:r>
          </w:p>
          <w:p w14:paraId="7614EC0D" w14:textId="77777777" w:rsidR="008613F1" w:rsidRPr="00AA734D" w:rsidRDefault="008613F1" w:rsidP="008613F1">
            <w:pPr>
              <w:suppressLineNumbers/>
              <w:rPr>
                <w:b/>
                <w:bCs/>
              </w:rPr>
            </w:pPr>
            <w:r w:rsidRPr="00AA734D">
              <w:rPr>
                <w:rFonts w:ascii="Arial" w:hAnsi="Arial"/>
                <w:b/>
                <w:bCs/>
                <w:rtl/>
              </w:rPr>
              <w:t>ע"י ב"כ עו"ד</w:t>
            </w:r>
            <w:r w:rsidRPr="00AA734D">
              <w:rPr>
                <w:rFonts w:ascii="Arial" w:hAnsi="Arial" w:hint="cs"/>
                <w:b/>
                <w:bCs/>
                <w:rtl/>
              </w:rPr>
              <w:t xml:space="preserve"> טל ארד מהסניגוריה הציבורית</w:t>
            </w:r>
          </w:p>
          <w:p w14:paraId="1BB0A38A" w14:textId="77777777" w:rsidR="008613F1" w:rsidRPr="00AA734D" w:rsidRDefault="008613F1" w:rsidP="006A2E63">
            <w:pPr>
              <w:rPr>
                <w:rFonts w:ascii="David" w:hAnsi="David"/>
                <w:b/>
                <w:bCs/>
              </w:rPr>
            </w:pPr>
          </w:p>
        </w:tc>
      </w:tr>
    </w:tbl>
    <w:p w14:paraId="2EB9DE72" w14:textId="77777777" w:rsidR="00921D6E" w:rsidRPr="00921D6E" w:rsidRDefault="00921D6E" w:rsidP="00921D6E">
      <w:pPr>
        <w:spacing w:before="120" w:after="120" w:line="240" w:lineRule="exact"/>
        <w:ind w:left="283" w:hanging="283"/>
        <w:jc w:val="both"/>
        <w:rPr>
          <w:rFonts w:ascii="FrankRuehl" w:hAnsi="FrankRuehl" w:cs="FrankRuehl"/>
          <w:rtl/>
        </w:rPr>
      </w:pPr>
    </w:p>
    <w:p w14:paraId="2B97994D" w14:textId="77777777" w:rsidR="005F00FE" w:rsidRPr="005F00FE" w:rsidRDefault="005F00FE" w:rsidP="005F00FE">
      <w:pPr>
        <w:spacing w:before="120" w:after="120" w:line="240" w:lineRule="exact"/>
        <w:ind w:left="283" w:hanging="283"/>
        <w:jc w:val="both"/>
        <w:rPr>
          <w:rFonts w:ascii="FrankRuehl" w:hAnsi="FrankRuehl" w:cs="FrankRuehl"/>
          <w:rtl/>
        </w:rPr>
      </w:pPr>
    </w:p>
    <w:p w14:paraId="71E0E94C" w14:textId="77777777" w:rsidR="00C511A6" w:rsidRDefault="00C511A6" w:rsidP="00C511A6">
      <w:pPr>
        <w:rPr>
          <w:rtl/>
        </w:rPr>
      </w:pPr>
      <w:bookmarkStart w:id="3" w:name="LawTable"/>
      <w:bookmarkEnd w:id="3"/>
    </w:p>
    <w:p w14:paraId="5C631001" w14:textId="77777777" w:rsidR="00C511A6" w:rsidRPr="00C511A6" w:rsidRDefault="00C511A6" w:rsidP="00C511A6">
      <w:pPr>
        <w:spacing w:before="120" w:after="120" w:line="240" w:lineRule="exact"/>
        <w:ind w:left="283" w:hanging="283"/>
        <w:jc w:val="both"/>
        <w:rPr>
          <w:rFonts w:ascii="FrankRuehl" w:hAnsi="FrankRuehl" w:cs="FrankRuehl"/>
          <w:rtl/>
        </w:rPr>
      </w:pPr>
    </w:p>
    <w:p w14:paraId="5F69D8E4" w14:textId="77777777" w:rsidR="00C511A6" w:rsidRPr="00C511A6" w:rsidRDefault="00C511A6" w:rsidP="00C511A6">
      <w:pPr>
        <w:spacing w:before="120" w:after="120" w:line="240" w:lineRule="exact"/>
        <w:ind w:left="283" w:hanging="283"/>
        <w:jc w:val="both"/>
        <w:rPr>
          <w:rFonts w:ascii="FrankRuehl" w:hAnsi="FrankRuehl" w:cs="FrankRuehl"/>
          <w:rtl/>
        </w:rPr>
      </w:pPr>
    </w:p>
    <w:p w14:paraId="7AB29D8F" w14:textId="77777777" w:rsidR="00C511A6" w:rsidRPr="00C511A6" w:rsidRDefault="00C511A6" w:rsidP="00C511A6">
      <w:pPr>
        <w:spacing w:before="120" w:after="120" w:line="240" w:lineRule="exact"/>
        <w:ind w:left="283" w:hanging="283"/>
        <w:jc w:val="both"/>
        <w:rPr>
          <w:rFonts w:ascii="FrankRuehl" w:hAnsi="FrankRuehl" w:cs="FrankRuehl"/>
          <w:rtl/>
        </w:rPr>
      </w:pPr>
      <w:r w:rsidRPr="00C511A6">
        <w:rPr>
          <w:rFonts w:ascii="FrankRuehl" w:hAnsi="FrankRuehl" w:cs="FrankRuehl"/>
          <w:rtl/>
        </w:rPr>
        <w:t xml:space="preserve">חקיקה שאוזכרה: </w:t>
      </w:r>
    </w:p>
    <w:p w14:paraId="31536505" w14:textId="77777777" w:rsidR="00C511A6" w:rsidRPr="00C511A6" w:rsidRDefault="00C511A6" w:rsidP="00C511A6">
      <w:pPr>
        <w:spacing w:before="120" w:after="120" w:line="240" w:lineRule="exact"/>
        <w:ind w:left="283" w:hanging="283"/>
        <w:jc w:val="both"/>
        <w:rPr>
          <w:rFonts w:ascii="FrankRuehl" w:hAnsi="FrankRuehl" w:cs="FrankRuehl"/>
          <w:rtl/>
        </w:rPr>
      </w:pPr>
      <w:hyperlink r:id="rId7" w:history="1">
        <w:r w:rsidRPr="00C511A6">
          <w:rPr>
            <w:rFonts w:ascii="FrankRuehl" w:hAnsi="FrankRuehl" w:cs="FrankRuehl"/>
            <w:color w:val="0000FF"/>
            <w:rtl/>
          </w:rPr>
          <w:t>חוק העונשין, תשל"ז-1977</w:t>
        </w:r>
      </w:hyperlink>
      <w:r w:rsidRPr="00C511A6">
        <w:rPr>
          <w:rFonts w:ascii="FrankRuehl" w:hAnsi="FrankRuehl" w:cs="FrankRuehl"/>
          <w:rtl/>
        </w:rPr>
        <w:t xml:space="preserve">: סע'  </w:t>
      </w:r>
      <w:hyperlink r:id="rId8" w:history="1">
        <w:r w:rsidRPr="00C511A6">
          <w:rPr>
            <w:rFonts w:ascii="FrankRuehl" w:hAnsi="FrankRuehl" w:cs="FrankRuehl"/>
            <w:color w:val="0000FF"/>
            <w:rtl/>
          </w:rPr>
          <w:t>52(ג)</w:t>
        </w:r>
      </w:hyperlink>
      <w:r w:rsidRPr="00C511A6">
        <w:rPr>
          <w:rFonts w:ascii="FrankRuehl" w:hAnsi="FrankRuehl" w:cs="FrankRuehl"/>
          <w:rtl/>
        </w:rPr>
        <w:t xml:space="preserve">, </w:t>
      </w:r>
      <w:hyperlink r:id="rId9" w:history="1">
        <w:r w:rsidRPr="00C511A6">
          <w:rPr>
            <w:rFonts w:ascii="FrankRuehl" w:hAnsi="FrankRuehl" w:cs="FrankRuehl"/>
            <w:color w:val="0000FF"/>
            <w:rtl/>
          </w:rPr>
          <w:t>56 (א)</w:t>
        </w:r>
      </w:hyperlink>
      <w:r w:rsidRPr="00C511A6">
        <w:rPr>
          <w:rFonts w:ascii="FrankRuehl" w:hAnsi="FrankRuehl" w:cs="FrankRuehl"/>
          <w:rtl/>
        </w:rPr>
        <w:t xml:space="preserve">, </w:t>
      </w:r>
      <w:hyperlink r:id="rId10" w:history="1">
        <w:r w:rsidRPr="00C511A6">
          <w:rPr>
            <w:rFonts w:ascii="FrankRuehl" w:hAnsi="FrankRuehl" w:cs="FrankRuehl"/>
            <w:color w:val="0000FF"/>
            <w:rtl/>
          </w:rPr>
          <w:t>58</w:t>
        </w:r>
      </w:hyperlink>
      <w:r w:rsidRPr="00C511A6">
        <w:rPr>
          <w:rFonts w:ascii="FrankRuehl" w:hAnsi="FrankRuehl" w:cs="FrankRuehl"/>
          <w:rtl/>
        </w:rPr>
        <w:t xml:space="preserve">, </w:t>
      </w:r>
      <w:hyperlink r:id="rId11" w:history="1">
        <w:r w:rsidRPr="00C511A6">
          <w:rPr>
            <w:rFonts w:ascii="FrankRuehl" w:hAnsi="FrankRuehl" w:cs="FrankRuehl"/>
            <w:color w:val="0000FF"/>
            <w:rtl/>
          </w:rPr>
          <w:t>186 (א)</w:t>
        </w:r>
      </w:hyperlink>
      <w:r w:rsidRPr="00C511A6">
        <w:rPr>
          <w:rFonts w:ascii="FrankRuehl" w:hAnsi="FrankRuehl" w:cs="FrankRuehl"/>
          <w:rtl/>
        </w:rPr>
        <w:t xml:space="preserve">, </w:t>
      </w:r>
      <w:hyperlink r:id="rId12" w:history="1">
        <w:r w:rsidRPr="00C511A6">
          <w:rPr>
            <w:rFonts w:ascii="FrankRuehl" w:hAnsi="FrankRuehl" w:cs="FrankRuehl"/>
            <w:color w:val="0000FF"/>
            <w:rtl/>
          </w:rPr>
          <w:t>192</w:t>
        </w:r>
      </w:hyperlink>
      <w:r w:rsidRPr="00C511A6">
        <w:rPr>
          <w:rFonts w:ascii="FrankRuehl" w:hAnsi="FrankRuehl" w:cs="FrankRuehl"/>
          <w:rtl/>
        </w:rPr>
        <w:t xml:space="preserve">, </w:t>
      </w:r>
      <w:hyperlink r:id="rId13" w:history="1">
        <w:r w:rsidRPr="00C511A6">
          <w:rPr>
            <w:rFonts w:ascii="FrankRuehl" w:hAnsi="FrankRuehl" w:cs="FrankRuehl"/>
            <w:color w:val="0000FF"/>
            <w:rtl/>
          </w:rPr>
          <w:t>244</w:t>
        </w:r>
      </w:hyperlink>
      <w:r w:rsidRPr="00C511A6">
        <w:rPr>
          <w:rFonts w:ascii="FrankRuehl" w:hAnsi="FrankRuehl" w:cs="FrankRuehl"/>
          <w:rtl/>
        </w:rPr>
        <w:t xml:space="preserve">, </w:t>
      </w:r>
      <w:hyperlink r:id="rId14" w:history="1">
        <w:r w:rsidRPr="00C511A6">
          <w:rPr>
            <w:rFonts w:ascii="FrankRuehl" w:hAnsi="FrankRuehl" w:cs="FrankRuehl"/>
            <w:color w:val="0000FF"/>
            <w:rtl/>
          </w:rPr>
          <w:t>273</w:t>
        </w:r>
      </w:hyperlink>
      <w:r w:rsidRPr="00C511A6">
        <w:rPr>
          <w:rFonts w:ascii="FrankRuehl" w:hAnsi="FrankRuehl" w:cs="FrankRuehl"/>
          <w:rtl/>
        </w:rPr>
        <w:t xml:space="preserve">, </w:t>
      </w:r>
      <w:hyperlink r:id="rId15" w:history="1">
        <w:r w:rsidRPr="00C511A6">
          <w:rPr>
            <w:rFonts w:ascii="FrankRuehl" w:hAnsi="FrankRuehl" w:cs="FrankRuehl"/>
            <w:color w:val="0000FF"/>
            <w:rtl/>
          </w:rPr>
          <w:t>275</w:t>
        </w:r>
      </w:hyperlink>
      <w:r w:rsidRPr="00C511A6">
        <w:rPr>
          <w:rFonts w:ascii="FrankRuehl" w:hAnsi="FrankRuehl" w:cs="FrankRuehl"/>
          <w:rtl/>
        </w:rPr>
        <w:t xml:space="preserve">, </w:t>
      </w:r>
      <w:hyperlink r:id="rId16" w:history="1">
        <w:r w:rsidRPr="00C511A6">
          <w:rPr>
            <w:rFonts w:ascii="FrankRuehl" w:hAnsi="FrankRuehl" w:cs="FrankRuehl"/>
            <w:color w:val="0000FF"/>
            <w:rtl/>
          </w:rPr>
          <w:t>40 יג'</w:t>
        </w:r>
      </w:hyperlink>
      <w:r w:rsidRPr="00C511A6">
        <w:rPr>
          <w:rFonts w:ascii="FrankRuehl" w:hAnsi="FrankRuehl" w:cs="FrankRuehl"/>
          <w:rtl/>
        </w:rPr>
        <w:t xml:space="preserve">, </w:t>
      </w:r>
      <w:hyperlink r:id="rId17" w:history="1">
        <w:r w:rsidRPr="00C511A6">
          <w:rPr>
            <w:rFonts w:ascii="FrankRuehl" w:hAnsi="FrankRuehl" w:cs="FrankRuehl"/>
            <w:color w:val="0000FF"/>
            <w:rtl/>
          </w:rPr>
          <w:t>452</w:t>
        </w:r>
      </w:hyperlink>
    </w:p>
    <w:p w14:paraId="67574436" w14:textId="77777777" w:rsidR="00C511A6" w:rsidRPr="00C511A6" w:rsidRDefault="00C511A6" w:rsidP="00C511A6">
      <w:pPr>
        <w:spacing w:before="120" w:after="120" w:line="240" w:lineRule="exact"/>
        <w:ind w:left="283" w:hanging="283"/>
        <w:jc w:val="both"/>
        <w:rPr>
          <w:rFonts w:ascii="FrankRuehl" w:hAnsi="FrankRuehl" w:cs="FrankRuehl"/>
          <w:rtl/>
        </w:rPr>
      </w:pPr>
      <w:hyperlink r:id="rId18" w:history="1">
        <w:r w:rsidRPr="00C511A6">
          <w:rPr>
            <w:rFonts w:ascii="FrankRuehl" w:hAnsi="FrankRuehl" w:cs="FrankRuehl"/>
            <w:color w:val="0000FF"/>
            <w:rtl/>
          </w:rPr>
          <w:t>פקודת סדר הדין הפלילי (מעצר וחיפוש) [נוסח חדש], תשכ"ט-1969</w:t>
        </w:r>
      </w:hyperlink>
      <w:r w:rsidRPr="00C511A6">
        <w:rPr>
          <w:rFonts w:ascii="FrankRuehl" w:hAnsi="FrankRuehl" w:cs="FrankRuehl"/>
          <w:rtl/>
        </w:rPr>
        <w:t xml:space="preserve">: סע'  </w:t>
      </w:r>
      <w:hyperlink r:id="rId19" w:history="1">
        <w:r w:rsidRPr="00C511A6">
          <w:rPr>
            <w:rFonts w:ascii="FrankRuehl" w:hAnsi="FrankRuehl" w:cs="FrankRuehl"/>
            <w:color w:val="0000FF"/>
            <w:rtl/>
          </w:rPr>
          <w:t>47 (א)</w:t>
        </w:r>
      </w:hyperlink>
    </w:p>
    <w:p w14:paraId="19E0ABD4" w14:textId="77777777" w:rsidR="00C511A6" w:rsidRPr="00C511A6" w:rsidRDefault="00C511A6" w:rsidP="00C511A6">
      <w:pPr>
        <w:spacing w:before="120" w:after="120" w:line="240" w:lineRule="exact"/>
        <w:ind w:left="283" w:hanging="283"/>
        <w:jc w:val="both"/>
        <w:rPr>
          <w:rFonts w:ascii="FrankRuehl" w:hAnsi="FrankRuehl" w:cs="FrankRuehl"/>
          <w:rtl/>
        </w:rPr>
      </w:pPr>
      <w:hyperlink r:id="rId20" w:history="1">
        <w:r w:rsidRPr="00C511A6">
          <w:rPr>
            <w:rFonts w:ascii="FrankRuehl" w:hAnsi="FrankRuehl" w:cs="FrankRuehl"/>
            <w:color w:val="0000FF"/>
            <w:rtl/>
          </w:rPr>
          <w:t>פקודת הסמים המסוכנים [נוסח חדש], תשל"ג-1973</w:t>
        </w:r>
      </w:hyperlink>
      <w:r w:rsidRPr="00C511A6">
        <w:rPr>
          <w:rFonts w:ascii="FrankRuehl" w:hAnsi="FrankRuehl" w:cs="FrankRuehl"/>
          <w:rtl/>
        </w:rPr>
        <w:t xml:space="preserve">: סע'  </w:t>
      </w:r>
      <w:hyperlink r:id="rId21" w:history="1">
        <w:r w:rsidRPr="00C511A6">
          <w:rPr>
            <w:rFonts w:ascii="FrankRuehl" w:hAnsi="FrankRuehl" w:cs="FrankRuehl"/>
            <w:color w:val="0000FF"/>
            <w:rtl/>
          </w:rPr>
          <w:t>7 (א)</w:t>
        </w:r>
      </w:hyperlink>
      <w:r w:rsidRPr="00C511A6">
        <w:rPr>
          <w:rFonts w:ascii="FrankRuehl" w:hAnsi="FrankRuehl" w:cs="FrankRuehl"/>
          <w:rtl/>
        </w:rPr>
        <w:t xml:space="preserve">, </w:t>
      </w:r>
      <w:hyperlink r:id="rId22" w:history="1">
        <w:r w:rsidRPr="00C511A6">
          <w:rPr>
            <w:rFonts w:ascii="FrankRuehl" w:hAnsi="FrankRuehl" w:cs="FrankRuehl"/>
            <w:color w:val="0000FF"/>
            <w:rtl/>
          </w:rPr>
          <w:t>7 (א) (ג)</w:t>
        </w:r>
      </w:hyperlink>
      <w:r w:rsidRPr="00C511A6">
        <w:rPr>
          <w:rFonts w:ascii="FrankRuehl" w:hAnsi="FrankRuehl" w:cs="FrankRuehl"/>
          <w:rtl/>
        </w:rPr>
        <w:t xml:space="preserve">, </w:t>
      </w:r>
      <w:hyperlink r:id="rId23" w:history="1">
        <w:r w:rsidRPr="00C511A6">
          <w:rPr>
            <w:rFonts w:ascii="FrankRuehl" w:hAnsi="FrankRuehl" w:cs="FrankRuehl"/>
            <w:color w:val="0000FF"/>
            <w:rtl/>
          </w:rPr>
          <w:t>7 (ג)</w:t>
        </w:r>
      </w:hyperlink>
      <w:r w:rsidRPr="00C511A6">
        <w:rPr>
          <w:rFonts w:ascii="FrankRuehl" w:hAnsi="FrankRuehl" w:cs="FrankRuehl"/>
          <w:rtl/>
        </w:rPr>
        <w:t xml:space="preserve">, </w:t>
      </w:r>
      <w:hyperlink r:id="rId24" w:history="1">
        <w:r w:rsidRPr="00C511A6">
          <w:rPr>
            <w:rFonts w:ascii="FrankRuehl" w:hAnsi="FrankRuehl" w:cs="FrankRuehl"/>
            <w:color w:val="0000FF"/>
            <w:rtl/>
          </w:rPr>
          <w:t>36א'</w:t>
        </w:r>
      </w:hyperlink>
    </w:p>
    <w:p w14:paraId="5B2CA02F" w14:textId="77777777" w:rsidR="00C511A6" w:rsidRPr="00C511A6" w:rsidRDefault="00C511A6" w:rsidP="00C511A6">
      <w:pPr>
        <w:rPr>
          <w:rtl/>
        </w:rPr>
      </w:pPr>
      <w:bookmarkStart w:id="4" w:name="LawTable_End"/>
      <w:bookmarkEnd w:id="4"/>
    </w:p>
    <w:p w14:paraId="5A09FF71" w14:textId="77777777" w:rsidR="00AA734D" w:rsidRPr="005F00FE" w:rsidRDefault="00AA734D" w:rsidP="005F00F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13F1" w14:paraId="0051455F" w14:textId="77777777" w:rsidTr="008613F1">
        <w:trPr>
          <w:trHeight w:val="355"/>
          <w:jc w:val="center"/>
        </w:trPr>
        <w:tc>
          <w:tcPr>
            <w:tcW w:w="8820" w:type="dxa"/>
            <w:tcBorders>
              <w:top w:val="nil"/>
              <w:left w:val="nil"/>
              <w:bottom w:val="nil"/>
              <w:right w:val="nil"/>
            </w:tcBorders>
            <w:shd w:val="clear" w:color="auto" w:fill="auto"/>
          </w:tcPr>
          <w:p w14:paraId="4C99801F" w14:textId="77777777" w:rsidR="00AA734D" w:rsidRPr="00AA734D" w:rsidRDefault="00AA734D" w:rsidP="00AA734D">
            <w:pPr>
              <w:jc w:val="center"/>
              <w:rPr>
                <w:rFonts w:ascii="David" w:hAnsi="David"/>
                <w:b/>
                <w:bCs/>
                <w:sz w:val="32"/>
                <w:szCs w:val="32"/>
                <w:u w:val="single"/>
                <w:rtl/>
              </w:rPr>
            </w:pPr>
            <w:bookmarkStart w:id="5" w:name="PsakDin" w:colFirst="0" w:colLast="0"/>
            <w:bookmarkEnd w:id="0"/>
            <w:r w:rsidRPr="00AA734D">
              <w:rPr>
                <w:rFonts w:ascii="David" w:hAnsi="David"/>
                <w:b/>
                <w:bCs/>
                <w:sz w:val="32"/>
                <w:szCs w:val="32"/>
                <w:u w:val="single"/>
                <w:rtl/>
              </w:rPr>
              <w:t>גזר דין</w:t>
            </w:r>
          </w:p>
          <w:p w14:paraId="37D4F895" w14:textId="77777777" w:rsidR="008613F1" w:rsidRPr="00AA734D" w:rsidRDefault="008613F1" w:rsidP="00AA734D">
            <w:pPr>
              <w:jc w:val="center"/>
              <w:rPr>
                <w:rFonts w:ascii="David" w:hAnsi="David"/>
                <w:bCs/>
                <w:sz w:val="32"/>
                <w:szCs w:val="32"/>
                <w:u w:val="single"/>
                <w:rtl/>
              </w:rPr>
            </w:pPr>
          </w:p>
        </w:tc>
      </w:tr>
    </w:tbl>
    <w:bookmarkEnd w:id="5"/>
    <w:p w14:paraId="48DF0DCD" w14:textId="77777777" w:rsidR="008613F1" w:rsidRDefault="008613F1" w:rsidP="008613F1">
      <w:pPr>
        <w:pStyle w:val="a9"/>
        <w:numPr>
          <w:ilvl w:val="0"/>
          <w:numId w:val="1"/>
        </w:numPr>
        <w:contextualSpacing w:val="0"/>
        <w:jc w:val="both"/>
        <w:rPr>
          <w:rtl/>
        </w:rPr>
      </w:pPr>
      <w:r>
        <w:rPr>
          <w:rFonts w:hint="cs"/>
          <w:rtl/>
        </w:rPr>
        <w:t>הנאשמת הורשעה ע"פ הודאתה בתיקים הבאים:</w:t>
      </w:r>
    </w:p>
    <w:p w14:paraId="30214578" w14:textId="77777777" w:rsidR="008613F1" w:rsidRDefault="008613F1" w:rsidP="008613F1">
      <w:pPr>
        <w:pStyle w:val="a9"/>
        <w:numPr>
          <w:ilvl w:val="1"/>
          <w:numId w:val="1"/>
        </w:numPr>
        <w:contextualSpacing w:val="0"/>
        <w:jc w:val="both"/>
      </w:pPr>
      <w:bookmarkStart w:id="6" w:name="ABSTRACT_START"/>
      <w:bookmarkEnd w:id="6"/>
      <w:r>
        <w:rPr>
          <w:rFonts w:hint="cs"/>
          <w:rtl/>
        </w:rPr>
        <w:t>ב</w:t>
      </w:r>
      <w:hyperlink r:id="rId25" w:history="1">
        <w:r w:rsidR="00AA734D" w:rsidRPr="00AA734D">
          <w:rPr>
            <w:color w:val="0000FF"/>
            <w:u w:val="single"/>
            <w:rtl/>
          </w:rPr>
          <w:t>ת"פ 33815-10-20</w:t>
        </w:r>
      </w:hyperlink>
      <w:r>
        <w:rPr>
          <w:rFonts w:hint="cs"/>
          <w:rtl/>
        </w:rPr>
        <w:t xml:space="preserve"> הורשעה בעבירות של החזקת סכין, איומים והיזק, בניגוד לסעיפים </w:t>
      </w:r>
      <w:hyperlink r:id="rId26" w:history="1">
        <w:r w:rsidR="00921D6E" w:rsidRPr="00921D6E">
          <w:rPr>
            <w:rStyle w:val="Hyperlink"/>
            <w:rtl/>
          </w:rPr>
          <w:t>186 (א),</w:t>
        </w:r>
      </w:hyperlink>
      <w:r>
        <w:rPr>
          <w:rFonts w:hint="cs"/>
          <w:rtl/>
        </w:rPr>
        <w:t xml:space="preserve"> </w:t>
      </w:r>
      <w:hyperlink r:id="rId27" w:history="1">
        <w:r w:rsidR="00921D6E" w:rsidRPr="00921D6E">
          <w:rPr>
            <w:rStyle w:val="Hyperlink"/>
            <w:rtl/>
          </w:rPr>
          <w:t>192</w:t>
        </w:r>
      </w:hyperlink>
      <w:r>
        <w:rPr>
          <w:rFonts w:hint="cs"/>
          <w:rtl/>
        </w:rPr>
        <w:t xml:space="preserve">, </w:t>
      </w:r>
      <w:hyperlink r:id="rId28" w:history="1">
        <w:r w:rsidR="00921D6E" w:rsidRPr="00921D6E">
          <w:rPr>
            <w:rStyle w:val="Hyperlink"/>
            <w:rtl/>
          </w:rPr>
          <w:t>452</w:t>
        </w:r>
      </w:hyperlink>
      <w:r>
        <w:rPr>
          <w:rFonts w:hint="cs"/>
          <w:rtl/>
        </w:rPr>
        <w:t xml:space="preserve"> ל</w:t>
      </w:r>
      <w:hyperlink r:id="rId29" w:history="1">
        <w:r w:rsidR="00AA734D" w:rsidRPr="00AA734D">
          <w:rPr>
            <w:color w:val="0000FF"/>
            <w:u w:val="single"/>
            <w:rtl/>
          </w:rPr>
          <w:t>חוק העונשין</w:t>
        </w:r>
      </w:hyperlink>
      <w:r>
        <w:rPr>
          <w:rFonts w:hint="cs"/>
          <w:rtl/>
        </w:rPr>
        <w:t xml:space="preserve">, תשל"ז 1977, בכך שביום 12.2.19 החזיקה סכין מחוץ לביתה, איימה על שוטר, ולאחר מעצרה, שברה שולחן במשטרה. </w:t>
      </w:r>
    </w:p>
    <w:p w14:paraId="0772E636" w14:textId="77777777" w:rsidR="008613F1" w:rsidRDefault="008613F1" w:rsidP="008613F1">
      <w:pPr>
        <w:pStyle w:val="a9"/>
        <w:numPr>
          <w:ilvl w:val="1"/>
          <w:numId w:val="1"/>
        </w:numPr>
        <w:contextualSpacing w:val="0"/>
        <w:jc w:val="both"/>
      </w:pPr>
      <w:bookmarkStart w:id="7" w:name="ABSTRACT_END"/>
      <w:bookmarkEnd w:id="7"/>
      <w:r>
        <w:rPr>
          <w:rFonts w:hint="cs"/>
          <w:rtl/>
        </w:rPr>
        <w:t>ב</w:t>
      </w:r>
      <w:hyperlink r:id="rId30" w:history="1">
        <w:r w:rsidR="00AA734D" w:rsidRPr="00AA734D">
          <w:rPr>
            <w:color w:val="0000FF"/>
            <w:u w:val="single"/>
            <w:rtl/>
          </w:rPr>
          <w:t>תפ"ק 22029-08-19</w:t>
        </w:r>
      </w:hyperlink>
      <w:r>
        <w:rPr>
          <w:rFonts w:hint="cs"/>
          <w:rtl/>
        </w:rPr>
        <w:t xml:space="preserve"> הורשעה בביצוע עבירות  של תקיפת שוטר, הפרעה לשוטר ושימוש בכוח למנוע מעצר, בניגוד להוראות </w:t>
      </w:r>
      <w:hyperlink r:id="rId31" w:history="1">
        <w:r w:rsidR="00921D6E" w:rsidRPr="00921D6E">
          <w:rPr>
            <w:rStyle w:val="Hyperlink"/>
            <w:rFonts w:hint="eastAsia"/>
            <w:rtl/>
          </w:rPr>
          <w:t>סעיפים</w:t>
        </w:r>
        <w:r w:rsidR="00921D6E" w:rsidRPr="00921D6E">
          <w:rPr>
            <w:rStyle w:val="Hyperlink"/>
            <w:rtl/>
          </w:rPr>
          <w:t xml:space="preserve"> 273</w:t>
        </w:r>
      </w:hyperlink>
      <w:r>
        <w:rPr>
          <w:rFonts w:hint="cs"/>
          <w:rtl/>
        </w:rPr>
        <w:t xml:space="preserve">, </w:t>
      </w:r>
      <w:hyperlink r:id="rId32" w:history="1">
        <w:r w:rsidR="00921D6E" w:rsidRPr="00921D6E">
          <w:rPr>
            <w:rStyle w:val="Hyperlink"/>
            <w:rtl/>
          </w:rPr>
          <w:t>275</w:t>
        </w:r>
      </w:hyperlink>
      <w:r>
        <w:rPr>
          <w:rFonts w:hint="cs"/>
          <w:rtl/>
        </w:rPr>
        <w:t xml:space="preserve"> ל</w:t>
      </w:r>
      <w:hyperlink r:id="rId33" w:history="1">
        <w:r w:rsidR="00AA734D" w:rsidRPr="00AA734D">
          <w:rPr>
            <w:color w:val="0000FF"/>
            <w:u w:val="single"/>
            <w:rtl/>
          </w:rPr>
          <w:t>חוק העונשין</w:t>
        </w:r>
      </w:hyperlink>
      <w:r>
        <w:rPr>
          <w:rFonts w:hint="cs"/>
          <w:rtl/>
        </w:rPr>
        <w:t xml:space="preserve"> תשל"ז 1977 וסעיף </w:t>
      </w:r>
      <w:hyperlink r:id="rId34" w:history="1">
        <w:r w:rsidR="00921D6E" w:rsidRPr="00921D6E">
          <w:rPr>
            <w:rStyle w:val="Hyperlink"/>
            <w:rtl/>
          </w:rPr>
          <w:t>47 (א)</w:t>
        </w:r>
      </w:hyperlink>
      <w:r>
        <w:rPr>
          <w:rFonts w:hint="cs"/>
          <w:rtl/>
        </w:rPr>
        <w:t xml:space="preserve"> ל</w:t>
      </w:r>
      <w:hyperlink r:id="rId35" w:history="1">
        <w:r w:rsidR="00AA734D" w:rsidRPr="00AA734D">
          <w:rPr>
            <w:color w:val="0000FF"/>
            <w:u w:val="single"/>
            <w:rtl/>
          </w:rPr>
          <w:t>פקודת סדר הדין הפלילי (מעצר וחיפוש)</w:t>
        </w:r>
      </w:hyperlink>
      <w:r>
        <w:rPr>
          <w:rFonts w:hint="cs"/>
          <w:rtl/>
        </w:rPr>
        <w:t xml:space="preserve">, בכך שביום 8.8.19 </w:t>
      </w:r>
      <w:r>
        <w:rPr>
          <w:rFonts w:hint="cs"/>
          <w:rtl/>
        </w:rPr>
        <w:lastRenderedPageBreak/>
        <w:t>לאחר עימות עם בן זוגה, תקפה הנאשמת את השוטרת טל פרץ, בכך שמשכה את ידה ונשכה אותה, כדי להתנגד למעצר.</w:t>
      </w:r>
    </w:p>
    <w:p w14:paraId="5DF66262" w14:textId="77777777" w:rsidR="008613F1" w:rsidRDefault="008613F1" w:rsidP="008613F1">
      <w:pPr>
        <w:pStyle w:val="a9"/>
        <w:numPr>
          <w:ilvl w:val="1"/>
          <w:numId w:val="1"/>
        </w:numPr>
        <w:contextualSpacing w:val="0"/>
        <w:jc w:val="both"/>
      </w:pPr>
      <w:r>
        <w:rPr>
          <w:rFonts w:hint="cs"/>
          <w:rtl/>
        </w:rPr>
        <w:t>ב</w:t>
      </w:r>
      <w:hyperlink r:id="rId36" w:history="1">
        <w:r w:rsidR="00AA734D" w:rsidRPr="00AA734D">
          <w:rPr>
            <w:color w:val="0000FF"/>
            <w:u w:val="single"/>
            <w:rtl/>
          </w:rPr>
          <w:t>ת"פ 8041-12-21</w:t>
        </w:r>
      </w:hyperlink>
      <w:r>
        <w:rPr>
          <w:rFonts w:hint="cs"/>
          <w:rtl/>
        </w:rPr>
        <w:t xml:space="preserve"> הורשעה בעבירות של החזקת סם לצריכה עצמית, איומים ושיבוש הליכי משפט, בניגוד לסעיפים </w:t>
      </w:r>
      <w:hyperlink r:id="rId37" w:history="1">
        <w:r w:rsidR="00921D6E" w:rsidRPr="00921D6E">
          <w:rPr>
            <w:rStyle w:val="Hyperlink"/>
            <w:rtl/>
          </w:rPr>
          <w:t>7 (א) (ג)</w:t>
        </w:r>
      </w:hyperlink>
      <w:r>
        <w:rPr>
          <w:rFonts w:hint="cs"/>
          <w:rtl/>
        </w:rPr>
        <w:t xml:space="preserve"> סיפה ל</w:t>
      </w:r>
      <w:hyperlink r:id="rId38" w:history="1">
        <w:r w:rsidR="00AA734D" w:rsidRPr="00AA734D">
          <w:rPr>
            <w:color w:val="0000FF"/>
            <w:u w:val="single"/>
            <w:rtl/>
          </w:rPr>
          <w:t>פקודת הסמים המסוכנים</w:t>
        </w:r>
      </w:hyperlink>
      <w:r>
        <w:rPr>
          <w:rFonts w:hint="cs"/>
          <w:rtl/>
        </w:rPr>
        <w:t xml:space="preserve"> (נוסח חדש) תשל"ג – 1973, וכן 192 ו- </w:t>
      </w:r>
      <w:hyperlink r:id="rId39" w:history="1">
        <w:r w:rsidR="00921D6E" w:rsidRPr="00921D6E">
          <w:rPr>
            <w:rStyle w:val="Hyperlink"/>
            <w:rtl/>
          </w:rPr>
          <w:t>244</w:t>
        </w:r>
      </w:hyperlink>
      <w:r>
        <w:rPr>
          <w:rFonts w:hint="cs"/>
          <w:rtl/>
        </w:rPr>
        <w:t xml:space="preserve"> ל</w:t>
      </w:r>
      <w:hyperlink r:id="rId40" w:history="1">
        <w:r w:rsidR="00AA734D" w:rsidRPr="00AA734D">
          <w:rPr>
            <w:color w:val="0000FF"/>
            <w:u w:val="single"/>
            <w:rtl/>
          </w:rPr>
          <w:t>חוק העונשין</w:t>
        </w:r>
      </w:hyperlink>
      <w:r>
        <w:rPr>
          <w:rFonts w:hint="cs"/>
          <w:rtl/>
        </w:rPr>
        <w:t xml:space="preserve">, תשל"ז 1977, בכך שביום 29.1.21 דפקה על דלת שכנתה בחוזקה, תוך שהיא מקללת אותה ובועטת בדלת, וכן החזיקה סם אותו השליכה מחלון ביתה לאחר שהתבקשה למסור אותו. כמו כן איימה על השוטרת שתרצח את משפחה ולאחר מכן איימה שתקפוץ מחלון ביתה יחד עם ילדיה. </w:t>
      </w:r>
    </w:p>
    <w:p w14:paraId="50292F5B" w14:textId="77777777" w:rsidR="008613F1" w:rsidRDefault="008613F1" w:rsidP="008613F1">
      <w:pPr>
        <w:pStyle w:val="a9"/>
        <w:numPr>
          <w:ilvl w:val="1"/>
          <w:numId w:val="1"/>
        </w:numPr>
        <w:contextualSpacing w:val="0"/>
        <w:jc w:val="both"/>
      </w:pPr>
      <w:r>
        <w:rPr>
          <w:rFonts w:hint="cs"/>
          <w:rtl/>
        </w:rPr>
        <w:t>ב</w:t>
      </w:r>
      <w:hyperlink r:id="rId41" w:history="1">
        <w:r w:rsidR="00AA734D" w:rsidRPr="00AA734D">
          <w:rPr>
            <w:color w:val="0000FF"/>
            <w:u w:val="single"/>
            <w:rtl/>
          </w:rPr>
          <w:t>ת"פ 56713-06-22</w:t>
        </w:r>
      </w:hyperlink>
      <w:r>
        <w:rPr>
          <w:rFonts w:hint="cs"/>
          <w:rtl/>
        </w:rPr>
        <w:t xml:space="preserve"> הורשעה בביצוע עבירה של החזקת סם שלא לצריכה עצמית, בניגוד לסעיף </w:t>
      </w:r>
      <w:hyperlink r:id="rId42" w:history="1">
        <w:r w:rsidR="00921D6E" w:rsidRPr="00921D6E">
          <w:rPr>
            <w:rStyle w:val="Hyperlink"/>
            <w:rtl/>
          </w:rPr>
          <w:t>7 (א)</w:t>
        </w:r>
      </w:hyperlink>
      <w:r>
        <w:rPr>
          <w:rFonts w:hint="cs"/>
          <w:rtl/>
        </w:rPr>
        <w:t xml:space="preserve"> + </w:t>
      </w:r>
      <w:hyperlink r:id="rId43" w:history="1">
        <w:r w:rsidR="00921D6E" w:rsidRPr="00921D6E">
          <w:rPr>
            <w:rStyle w:val="Hyperlink"/>
            <w:rtl/>
          </w:rPr>
          <w:t>7 (ג)</w:t>
        </w:r>
      </w:hyperlink>
      <w:r>
        <w:rPr>
          <w:rFonts w:hint="cs"/>
          <w:rtl/>
        </w:rPr>
        <w:t xml:space="preserve"> רישה ל</w:t>
      </w:r>
      <w:hyperlink r:id="rId44" w:history="1">
        <w:r w:rsidR="00AA734D" w:rsidRPr="00AA734D">
          <w:rPr>
            <w:color w:val="0000FF"/>
            <w:u w:val="single"/>
            <w:rtl/>
          </w:rPr>
          <w:t>פקודת הסמים המסוכנים</w:t>
        </w:r>
      </w:hyperlink>
      <w:r>
        <w:rPr>
          <w:rFonts w:hint="cs"/>
          <w:rtl/>
        </w:rPr>
        <w:t>, בכך שביום 28.11.21 החזיקה חומר החשוד כסם מסוג</w:t>
      </w:r>
      <w:r>
        <w:t xml:space="preserve">F5 MDMB-PICA </w:t>
      </w:r>
      <w:r>
        <w:rPr>
          <w:rFonts w:hint="cs"/>
          <w:rtl/>
        </w:rPr>
        <w:t xml:space="preserve"> במשקל כולל של 650 גרם שלא לצריכה עצמית, וכן שקיות חלוקה ומשקל קטן. בנוסף נתפס סך של 1,270 ₪ על גופה. </w:t>
      </w:r>
    </w:p>
    <w:p w14:paraId="570A8329" w14:textId="77777777" w:rsidR="008613F1" w:rsidRDefault="008613F1" w:rsidP="008613F1">
      <w:pPr>
        <w:pStyle w:val="a9"/>
        <w:numPr>
          <w:ilvl w:val="0"/>
          <w:numId w:val="1"/>
        </w:numPr>
        <w:contextualSpacing w:val="0"/>
        <w:jc w:val="both"/>
      </w:pPr>
      <w:r>
        <w:rPr>
          <w:rFonts w:hint="cs"/>
          <w:rtl/>
        </w:rPr>
        <w:t>הנאשמת שולבה בבית המשפט הקהילתי, ניתנו לה הזדמנויות רבות, אולם היא לא ניצלה אותן ולא צלחה את ההליך השיקומי.</w:t>
      </w:r>
    </w:p>
    <w:p w14:paraId="49569236" w14:textId="77777777" w:rsidR="008613F1" w:rsidRDefault="008613F1" w:rsidP="008613F1">
      <w:pPr>
        <w:pStyle w:val="a9"/>
        <w:numPr>
          <w:ilvl w:val="0"/>
          <w:numId w:val="1"/>
        </w:numPr>
        <w:contextualSpacing w:val="0"/>
        <w:jc w:val="both"/>
      </w:pPr>
      <w:r>
        <w:rPr>
          <w:rFonts w:hint="cs"/>
          <w:rtl/>
        </w:rPr>
        <w:t xml:space="preserve">גיליון הרישום הפלילי מלמד כי לחובתה של הנאשמת שלוש הרשעות קודמות מהשנים 2019  - 2020 בגין עבירות אלימות בהם נידונה לעונשי מאסר בעבודות שירות, קנס ופיצוי. </w:t>
      </w:r>
    </w:p>
    <w:p w14:paraId="1934050D" w14:textId="77777777" w:rsidR="008613F1" w:rsidRDefault="008613F1" w:rsidP="008613F1">
      <w:pPr>
        <w:pStyle w:val="a9"/>
        <w:numPr>
          <w:ilvl w:val="0"/>
          <w:numId w:val="1"/>
        </w:numPr>
        <w:contextualSpacing w:val="0"/>
        <w:jc w:val="both"/>
      </w:pPr>
      <w:r>
        <w:rPr>
          <w:rFonts w:hint="cs"/>
          <w:rtl/>
        </w:rPr>
        <w:t xml:space="preserve">בין השאר תלויים ועומדים נגד הנאשמת מאסרים על תנאי שהם ברי הפעלה בענייננו: </w:t>
      </w:r>
    </w:p>
    <w:p w14:paraId="7BB2789E" w14:textId="77777777" w:rsidR="008613F1" w:rsidRDefault="00AA734D" w:rsidP="008613F1">
      <w:pPr>
        <w:pStyle w:val="a9"/>
        <w:numPr>
          <w:ilvl w:val="1"/>
          <w:numId w:val="1"/>
        </w:numPr>
        <w:contextualSpacing w:val="0"/>
        <w:jc w:val="both"/>
      </w:pPr>
      <w:hyperlink r:id="rId45" w:history="1">
        <w:r w:rsidRPr="00AA734D">
          <w:rPr>
            <w:color w:val="0000FF"/>
            <w:u w:val="single"/>
            <w:rtl/>
          </w:rPr>
          <w:t>ת"פ 56087-03-19</w:t>
        </w:r>
      </w:hyperlink>
      <w:r w:rsidR="008613F1">
        <w:rPr>
          <w:rFonts w:hint="cs"/>
          <w:rtl/>
        </w:rPr>
        <w:t xml:space="preserve"> מיום 24.12.19 – עשרה חודשי מאסר על תנאי על כל עבירת סמים שהיא פשע, ושלושה חודשי מאסר על תנאי על כל עבירת סמים שהיא עוון. </w:t>
      </w:r>
    </w:p>
    <w:p w14:paraId="08CA4EBF" w14:textId="77777777" w:rsidR="008613F1" w:rsidRDefault="00AA734D" w:rsidP="008613F1">
      <w:pPr>
        <w:pStyle w:val="a9"/>
        <w:numPr>
          <w:ilvl w:val="1"/>
          <w:numId w:val="1"/>
        </w:numPr>
        <w:contextualSpacing w:val="0"/>
        <w:jc w:val="both"/>
      </w:pPr>
      <w:hyperlink r:id="rId46" w:history="1">
        <w:r w:rsidRPr="00AA734D">
          <w:rPr>
            <w:color w:val="0000FF"/>
            <w:u w:val="single"/>
            <w:rtl/>
          </w:rPr>
          <w:t>ת"פ 60747-08-18</w:t>
        </w:r>
      </w:hyperlink>
      <w:r w:rsidR="008613F1">
        <w:rPr>
          <w:rFonts w:hint="cs"/>
          <w:rtl/>
        </w:rPr>
        <w:t xml:space="preserve"> מיום 10.5.20 – ארבעה חודשי מאסר על תנאי על עבירת אלימות, איומים, הפרעה לשוטר או היזק לרכוש.</w:t>
      </w:r>
    </w:p>
    <w:p w14:paraId="543BA6EA" w14:textId="77777777" w:rsidR="008613F1" w:rsidRDefault="00AA734D" w:rsidP="008613F1">
      <w:pPr>
        <w:pStyle w:val="a9"/>
        <w:numPr>
          <w:ilvl w:val="1"/>
          <w:numId w:val="1"/>
        </w:numPr>
        <w:contextualSpacing w:val="0"/>
        <w:jc w:val="both"/>
      </w:pPr>
      <w:hyperlink r:id="rId47" w:history="1">
        <w:r w:rsidRPr="00AA734D">
          <w:rPr>
            <w:color w:val="0000FF"/>
            <w:u w:val="single"/>
            <w:rtl/>
          </w:rPr>
          <w:t>ת"פ 4707-01-20</w:t>
        </w:r>
      </w:hyperlink>
      <w:r w:rsidR="008613F1">
        <w:rPr>
          <w:rFonts w:hint="cs"/>
          <w:rtl/>
        </w:rPr>
        <w:t xml:space="preserve"> מיום מיום 24.2.20 – ארבעה חודשי מאסר על תנאי על כל עבירות אלימות או איומים.</w:t>
      </w:r>
    </w:p>
    <w:p w14:paraId="0F7F3B53" w14:textId="77777777" w:rsidR="008613F1" w:rsidRDefault="008613F1" w:rsidP="008613F1">
      <w:pPr>
        <w:pStyle w:val="a9"/>
        <w:numPr>
          <w:ilvl w:val="0"/>
          <w:numId w:val="1"/>
        </w:numPr>
        <w:contextualSpacing w:val="0"/>
        <w:jc w:val="both"/>
      </w:pPr>
      <w:r>
        <w:rPr>
          <w:rFonts w:hint="cs"/>
          <w:rtl/>
        </w:rPr>
        <w:t>כמו כן ישנה התחייבויות כספיות ע"ס 1,000 ₪ מ</w:t>
      </w:r>
      <w:hyperlink r:id="rId48" w:history="1">
        <w:r w:rsidR="00AA734D" w:rsidRPr="00AA734D">
          <w:rPr>
            <w:color w:val="0000FF"/>
            <w:u w:val="single"/>
            <w:rtl/>
          </w:rPr>
          <w:t>ת"פ 56087-03-19</w:t>
        </w:r>
      </w:hyperlink>
      <w:r>
        <w:rPr>
          <w:rFonts w:hint="cs"/>
          <w:rtl/>
        </w:rPr>
        <w:t xml:space="preserve"> מיום 24.12.19.</w:t>
      </w:r>
    </w:p>
    <w:p w14:paraId="1F138A3D" w14:textId="77777777" w:rsidR="008613F1" w:rsidRDefault="008613F1" w:rsidP="008613F1">
      <w:pPr>
        <w:pStyle w:val="a9"/>
        <w:numPr>
          <w:ilvl w:val="0"/>
          <w:numId w:val="1"/>
        </w:numPr>
        <w:contextualSpacing w:val="0"/>
        <w:jc w:val="both"/>
      </w:pPr>
      <w:r>
        <w:rPr>
          <w:rFonts w:hint="cs"/>
          <w:rtl/>
        </w:rPr>
        <w:t xml:space="preserve">תסקיר שירות המבחן מפרט כי מדובר בנאשמת שסבלה מהתמכרות לסמים ואלכוהול, חוסר בכלים ומיומנויות להתמודדות עם מצבי קושי ומצוקה, חוסר במערכות תמיכה, </w:t>
      </w:r>
      <w:r>
        <w:rPr>
          <w:rFonts w:hint="cs"/>
          <w:rtl/>
        </w:rPr>
        <w:lastRenderedPageBreak/>
        <w:t xml:space="preserve">קשיים והתמודדויות במסגרת תפקוד הורי, היעדר תעסוקה, חובות ומיצוי זכויות. </w:t>
      </w:r>
      <w:r>
        <w:rPr>
          <w:rtl/>
        </w:rPr>
        <w:tab/>
      </w:r>
      <w:r>
        <w:rPr>
          <w:rtl/>
        </w:rPr>
        <w:br/>
      </w:r>
      <w:r>
        <w:rPr>
          <w:rFonts w:hint="cs"/>
          <w:rtl/>
        </w:rPr>
        <w:t xml:space="preserve">הנאשמת לא שמרה על קשר רציף עם שירות המבחן. לאחר ניסיונות רבים, החלה לשמור על קשר רציף בין החודשים מרץ 21 ועד לאוגוסט 21. לאחר מכן נותק הקשר למשך כמה חודשים בהם לא הגיעה הנאשמת למפגשים שנקבעו עמה או לדיונים בבית המשפט. באוקטובר 21' יצרה שוב קשר וביקשה לחזור לשירות המבחן. ניתן לנאשמת ניסיון נוסף להשתלב בבית המשפט הקהילתי אך הנאשמת לא עמדה במשימות ובינואר 23' ביקש שירות המבחן לסיים את ההליך הקהילתי בעניינה. לבקשתה ניתנה לה הזדמנות נוספת והנאשמת חזרה לבית המשפט הקהילתי למשך חודשיים, אולם שוב לא עמדה בתנאי הטיפול, ובמאי 23' שירות המבחן הודיע לבית המשפט כי מצבה איננו מתאים להליך בבית המשפט הקהילתי, לנוכח התמכרויות וחוסר בשלות לשיקום מקיף. ביוני 23' החלה הנאשמת ביוזמתה הליך בקהילה טיפולית לנשים, ובספטמבר 23' הוחלט כי עליה להיכנס לגמילה באשפוזית. ואולם, עקב התנהגות לא ראויה הופסקה השתתפותה באשפוזית. לאור על האמור לעיל, התרשם שירות המבחן כי אין לנאשמת יכולת לקיים תהליך שיקומי ארוך טווח. ניכר חוסר שיתוף פעולה, חוסר אמון וחוסר אפשרות להתקדמות. </w:t>
      </w:r>
      <w:r>
        <w:rPr>
          <w:rtl/>
        </w:rPr>
        <w:tab/>
      </w:r>
      <w:r>
        <w:rPr>
          <w:rtl/>
        </w:rPr>
        <w:br/>
      </w:r>
      <w:r>
        <w:rPr>
          <w:rFonts w:hint="cs"/>
          <w:b/>
          <w:bCs/>
          <w:rtl/>
        </w:rPr>
        <w:t>מבחינת ההתמכרות</w:t>
      </w:r>
      <w:r>
        <w:rPr>
          <w:rFonts w:hint="cs"/>
          <w:rtl/>
        </w:rPr>
        <w:t xml:space="preserve">, הנאשמת שיתפה כי היא משתמשת בסמי רחוב, היא  הופנתה לאבחון ולבדיקות גילוי שרידי סם - אך לא הגיעה. נעשה ניסיון לשילובה במרכז לנפגעי אלכוהול והימורים, אולם שירות המבחן התרשם כי רק קהילה סגורה תיתן מענה לבעיית ההתמכרות. בפברואר 23' הסכימה הנאשמת להשתלב במרכז יום, אך לא הגיעה לפגישות ולא הייתה זמינה לגורמי הטיפול. בנוסף התנהגותה הייתה תוקפנית. במרץ 23' ביקשה הנאשמת להשתלב שוב בהליך, אך גם לאחר שניתנה לה הזדמנות חוזרת לא עמדה בדרישות. בנוסף, לא התייצבה במועד שנקבע לה לקליטה וגם לא הגיע לשני מועדים נוספים שנקבעו לה. הנאשמת פנתה מספר פעמים נוספות לגורמי הקהילה שנתנו לה הזדמנויות נוספות פעם אחר פעם ורק בחודש נובמבר 23' שולבה באשפוזית ובחודש דצמבר 23' סיימה בהצלחה את שלבי הגמילה אך בחרה שלא להמשיך בטיפול בקהילה סגורה. </w:t>
      </w:r>
      <w:r>
        <w:rPr>
          <w:rtl/>
        </w:rPr>
        <w:tab/>
      </w:r>
      <w:r>
        <w:rPr>
          <w:rtl/>
        </w:rPr>
        <w:br/>
      </w:r>
      <w:r>
        <w:rPr>
          <w:rFonts w:hint="cs"/>
          <w:b/>
          <w:bCs/>
          <w:rtl/>
        </w:rPr>
        <w:t>מבחינת קשר עם גורמי הרווחה</w:t>
      </w:r>
      <w:r>
        <w:rPr>
          <w:rFonts w:hint="cs"/>
          <w:rtl/>
        </w:rPr>
        <w:t xml:space="preserve">, היה ניסיון לתווך בין הנאשמת לבין גורמי הטיפול הנוגעים לילדיה, אך הנאשמת התקשתה לווסת את התנהגותה מול ילדיה. גורמי הטיפול דיווחו כי הנאשמת מתקשה לשמור על קשר, מנתקת את הקשר באופן תדיר ונוקטת בהתבטאויות קשות כלפי גורמי הטיפול והחינוך של ילדיה. </w:t>
      </w:r>
      <w:r>
        <w:rPr>
          <w:rFonts w:hint="cs"/>
          <w:rtl/>
        </w:rPr>
        <w:tab/>
      </w:r>
      <w:r>
        <w:rPr>
          <w:rFonts w:hint="cs"/>
          <w:rtl/>
        </w:rPr>
        <w:br/>
      </w:r>
      <w:r>
        <w:rPr>
          <w:rFonts w:hint="cs"/>
          <w:b/>
          <w:bCs/>
          <w:rtl/>
        </w:rPr>
        <w:t xml:space="preserve">מבחינת התייחסות לעבירות, </w:t>
      </w:r>
      <w:r>
        <w:rPr>
          <w:rFonts w:hint="cs"/>
          <w:rtl/>
        </w:rPr>
        <w:t xml:space="preserve"> לנאשמת שלוש הרשעות קודמות מהשנים 2019 - 2020 בגין עבירות אלימות. כמו כן, תלויים ועומדים כנגדה מאסרים על תנאי בגין עבירות של אלימות, תקיפה והפרעה לשוטר, איומים, צריכת סמים לשימוש עצמי והחזקה של סמים שלא לשימוש עצמי. </w:t>
      </w:r>
      <w:r>
        <w:rPr>
          <w:rFonts w:hint="cs"/>
          <w:rtl/>
        </w:rPr>
        <w:tab/>
      </w:r>
      <w:r>
        <w:rPr>
          <w:rFonts w:hint="cs"/>
          <w:rtl/>
        </w:rPr>
        <w:br/>
      </w:r>
      <w:r>
        <w:rPr>
          <w:rFonts w:hint="cs"/>
          <w:b/>
          <w:bCs/>
          <w:rtl/>
        </w:rPr>
        <w:t>בסיכומו של דבר</w:t>
      </w:r>
      <w:r>
        <w:rPr>
          <w:rFonts w:hint="cs"/>
          <w:rtl/>
        </w:rPr>
        <w:t xml:space="preserve">, מדגיש התסקיר כי הנאשמת התקשתה להתמיד בטיפול למרות נסיונות חוזרים ונשנים. ניכר כי היא מתקשה במתן אמון בגורמי הטיפול השונים ובשירות המבחן. על אף שהביעה רצון להשתקם - לא עשתה כל צעד משמעותי לשינוי על אף הצהרותיה, כאשר שוב ושוב לא נטלה אחריות על התנהלותה והטיחה האשמות בגורמי הטיפול. התסקיר הדגיש כי ניתנו לנאשמת מספר פעמים הזדמנויות להשתלב במסגרות שונות בקהילה, אך הנאשמת לא פעלה לשם ביצוע התהליך. </w:t>
      </w:r>
      <w:r>
        <w:rPr>
          <w:rFonts w:hint="cs"/>
          <w:rtl/>
        </w:rPr>
        <w:tab/>
      </w:r>
      <w:r>
        <w:rPr>
          <w:rFonts w:hint="cs"/>
          <w:rtl/>
        </w:rPr>
        <w:br/>
        <w:t xml:space="preserve">בנסיבות אלה, אין המלצה טיפולית או עונשית, ושירות המבחן עתר להורות על הוצאתה של הנאשמת מבית המשפט הקהילתי, והטלת עונש של מאסר בפועל לאור דפוסים עבריינים מושרשים לצד התמכרויות לחומרים. </w:t>
      </w:r>
    </w:p>
    <w:p w14:paraId="4BAB0AA5" w14:textId="77777777" w:rsidR="008613F1" w:rsidRDefault="008613F1" w:rsidP="008613F1">
      <w:pPr>
        <w:pStyle w:val="a9"/>
        <w:numPr>
          <w:ilvl w:val="0"/>
          <w:numId w:val="1"/>
        </w:numPr>
        <w:contextualSpacing w:val="0"/>
        <w:jc w:val="both"/>
      </w:pPr>
      <w:r>
        <w:rPr>
          <w:rFonts w:hint="cs"/>
          <w:rtl/>
        </w:rPr>
        <w:t>התובעת טענה כי מדובר בנאשמת אשר שולבה בבית המשפט הקהילתי כשלוש שנים. ניתנו לה הזדמנויות רבות מאד, אולם היא כשלה לערוך שינוי משמעותי בחייה. פעם אחר פעם, כאשר עמד ההליך לפני סיום – הביעה הנאשמת לפתע מוטיבציה, אולם פעם אחר פעם לא עמדה בהתחייבויותיה. בנסיבות אלה, כאשר למרות כל ההזדמנויות מעלה הנאשמת באמון שניתן בה – טענה התובעת כי ראוי לדון את הנאשמת לכף חומרה. התובעת טענה כי מדובר בארבעה אירועים שונים המחייבים לקבוע מתחם עונש הולם בנפרד לכל אחד מכתבי האישום. נטען כי מדובר בפגיעה משמעותית בערכים המוגנים של שלום הציבור ושלטון החוק, והיא הפנתה לשורה של פסקי דין מחמירים בעבירות דומות לאלה בהן הורשעה הנאשמת. בייחוד הודגשה החומרה שבפגיעה בשוטרים, תוך גרימת חבלה לשוטרת ואיומים על שוטרים המלמדים על העדר כל עכבות. בנסיבות אלה, נפרשו מתחמי ענישה מחמירים ע"י המאשימה. בתוך מתחם הענישה נטען כי לנוכח ניסיונות השיקום שכשלו למרות ההזדמנויות הרבות, אין תוחלת לשיקום ויש להעדיף את האינטרס הציבורי, ע"י ענישה כוללת של כ- 36 חודשי מאסר תוך הפעלה מצטברת של המאסרים על תנאי, הפעלת ההתחייבות, מאסרים על תנאי, פיצוי וחילוט.</w:t>
      </w:r>
    </w:p>
    <w:p w14:paraId="7BC43687" w14:textId="77777777" w:rsidR="008613F1" w:rsidRDefault="008613F1" w:rsidP="008613F1">
      <w:pPr>
        <w:pStyle w:val="a9"/>
        <w:numPr>
          <w:ilvl w:val="0"/>
          <w:numId w:val="1"/>
        </w:numPr>
        <w:contextualSpacing w:val="0"/>
        <w:jc w:val="both"/>
      </w:pPr>
      <w:r>
        <w:rPr>
          <w:rFonts w:hint="cs"/>
          <w:rtl/>
        </w:rPr>
        <w:t>הסניגור טען, כי לנוכח פסיקה מרובה, יש לראות בכל העבירות רצף עברייני אחד ולקבוע מתחם עונש הולם משותף לכלל העבירות. עוד נטען, כי הנאשמת מצויה כרגע בקהילה טיפולית סגורה, ויש לאפשר לה להשלים את הטיפול בטרם ייגזר דינה. לחלופין, בנסיבות אלה, יש מקום לסטות ממתחם העונש ההולם משיקולי שיקום, או משיקולי צדק, לנוכח הזמן הרב שעבר במירב האישומים מביצוע העבירות ועד להגשת כתבי האישום. הסניגור הוסיף וציין כי מהתסקיר עולות נסיבות חיים קשות ביותר ששומה להביאן בחשבון בגזירת הדין: מצב בריאותי מורכב, לחץ נפשי, התמכרות לסמים, חובות גדולים, בעיות משפחתיות רבות וקשות, והוצאת ילדיה מהבית, שהוא כשלעצמו עונש כבד מנשוא. כאמור לעיל, ציין הסניגור את העובדה שהנאשמת מצוייה כעת בקהילה טיפולית סגורה והפנה לשורה של פסקי דין, בהם בנסיבות כאלה הועדף השיקול השיקומי, תוך סטייה ממתחם העונש ההולם. הסניגור הדגיש, כי לאחרונה מתרחבת המגמה להימנע ככל הניתן מעונשי מאסר בפועל, אשר אין בהם תועלת של ממש. המאסר חייב להיות הפתרון האחרון, כפי שנקבע בדוח וועדת דורנר, אשר אף אוזכר בהלכה הפסוקה.</w:t>
      </w:r>
    </w:p>
    <w:p w14:paraId="316CCA09" w14:textId="77777777" w:rsidR="008613F1" w:rsidRDefault="008613F1" w:rsidP="008613F1">
      <w:pPr>
        <w:pStyle w:val="a9"/>
        <w:numPr>
          <w:ilvl w:val="0"/>
          <w:numId w:val="1"/>
        </w:numPr>
        <w:contextualSpacing w:val="0"/>
        <w:jc w:val="both"/>
      </w:pPr>
      <w:r>
        <w:rPr>
          <w:rFonts w:hint="cs"/>
          <w:b/>
          <w:bCs/>
          <w:rtl/>
        </w:rPr>
        <w:t>הליכים לאחר הטיעון לעונש</w:t>
      </w:r>
      <w:r>
        <w:rPr>
          <w:rFonts w:hint="cs"/>
          <w:rtl/>
        </w:rPr>
        <w:tab/>
      </w:r>
      <w:r>
        <w:rPr>
          <w:rFonts w:hint="cs"/>
          <w:rtl/>
        </w:rPr>
        <w:br/>
        <w:t xml:space="preserve">לאחר הגשת התסקיר המסכם, ולפני שמיעת הטיעון לעונש, לאחר שהנאשמת לא התייצבה לדיון בטיעון לעונש בעניינה, היא השתלבה בקהילה טיפולית סגורה באופן עצמאי. בנסיבות אלה, לאחר שמיעת הטיעון לעונש, בית המשפט דחה את מועד גזר הדין בחודשיים, כדי לבחון אם הנאשמת מתמידה בהליך הטיפולי. </w:t>
      </w:r>
      <w:r>
        <w:rPr>
          <w:rtl/>
        </w:rPr>
        <w:tab/>
      </w:r>
      <w:r>
        <w:rPr>
          <w:rtl/>
        </w:rPr>
        <w:br/>
      </w:r>
      <w:r>
        <w:rPr>
          <w:rFonts w:hint="cs"/>
          <w:rtl/>
        </w:rPr>
        <w:t>מהודעת הסניגור מיום 10.4.24 עולה כי הנאשמת עזבה את הקהילה הטיפולית. אין פירוט כמה זמן החזיקה הנאשמת במקום ומדוע הופסק הטיפול. הסניגור הוסיף וטען כי למרות כשלון ההליך השיקומי, אין לזקוף זאת לחובתה של הנאשמת שעשתה מאמצים של ממש, ויש להביא בחשבון את העובדה שלקחה אחריות, הודתה בכל התיקים התלויים ועומדים וחסכה זמן שיפוטי, כאשר מאסר בפועל לתקופה ממושכת כפי שמבקשת התביעה תחטיא את האינטרס הציבורי.</w:t>
      </w:r>
    </w:p>
    <w:p w14:paraId="358F91D0" w14:textId="77777777" w:rsidR="008613F1" w:rsidRDefault="008613F1" w:rsidP="008613F1">
      <w:pPr>
        <w:pStyle w:val="a9"/>
        <w:contextualSpacing w:val="0"/>
        <w:jc w:val="both"/>
        <w:rPr>
          <w:b/>
          <w:bCs/>
        </w:rPr>
      </w:pPr>
    </w:p>
    <w:p w14:paraId="5FD9AA88" w14:textId="77777777" w:rsidR="008613F1" w:rsidRDefault="008613F1" w:rsidP="008613F1">
      <w:pPr>
        <w:pStyle w:val="a9"/>
        <w:contextualSpacing w:val="0"/>
        <w:jc w:val="both"/>
        <w:rPr>
          <w:b/>
          <w:bCs/>
          <w:rtl/>
        </w:rPr>
      </w:pPr>
      <w:r>
        <w:rPr>
          <w:rFonts w:hint="cs"/>
          <w:b/>
          <w:bCs/>
          <w:rtl/>
        </w:rPr>
        <w:t>מתחם אחד או כמה מתחמים</w:t>
      </w:r>
    </w:p>
    <w:p w14:paraId="3C7018AB" w14:textId="77777777" w:rsidR="008613F1" w:rsidRDefault="008613F1" w:rsidP="008613F1">
      <w:pPr>
        <w:pStyle w:val="a9"/>
        <w:numPr>
          <w:ilvl w:val="0"/>
          <w:numId w:val="1"/>
        </w:numPr>
        <w:contextualSpacing w:val="0"/>
        <w:jc w:val="both"/>
      </w:pPr>
      <w:r>
        <w:rPr>
          <w:rFonts w:hint="cs"/>
          <w:rtl/>
        </w:rPr>
        <w:t>ראשית יש לקבוע את מתחם העונש ההולם, כאשר התביעה ביקשה לקבוע מתחם נפרד לכל אישום ואילו הסניגור טען כי ניתן לראות במכלול האירועים קשר הדוק המאפשר קביעת מתחם אחד.</w:t>
      </w:r>
    </w:p>
    <w:p w14:paraId="336F3C3A" w14:textId="77777777" w:rsidR="008613F1" w:rsidRDefault="008613F1" w:rsidP="008613F1">
      <w:pPr>
        <w:pStyle w:val="a9"/>
        <w:numPr>
          <w:ilvl w:val="0"/>
          <w:numId w:val="1"/>
        </w:numPr>
        <w:contextualSpacing w:val="0"/>
        <w:jc w:val="both"/>
      </w:pPr>
      <w:r>
        <w:rPr>
          <w:rFonts w:hint="cs"/>
          <w:rtl/>
        </w:rPr>
        <w:t xml:space="preserve">סעיף </w:t>
      </w:r>
      <w:hyperlink r:id="rId49" w:history="1">
        <w:r w:rsidR="00921D6E" w:rsidRPr="00921D6E">
          <w:rPr>
            <w:rStyle w:val="Hyperlink"/>
            <w:rtl/>
          </w:rPr>
          <w:t>40 יג'</w:t>
        </w:r>
      </w:hyperlink>
      <w:r>
        <w:rPr>
          <w:rFonts w:hint="cs"/>
          <w:rtl/>
        </w:rPr>
        <w:t xml:space="preserve"> ל</w:t>
      </w:r>
      <w:hyperlink r:id="rId50" w:history="1">
        <w:r w:rsidR="00AA734D" w:rsidRPr="00AA734D">
          <w:rPr>
            <w:color w:val="0000FF"/>
            <w:u w:val="single"/>
            <w:rtl/>
          </w:rPr>
          <w:t>חוק העונשין</w:t>
        </w:r>
      </w:hyperlink>
      <w:r>
        <w:rPr>
          <w:rFonts w:hint="cs"/>
          <w:rtl/>
        </w:rPr>
        <w:t xml:space="preserve">, קובע כי אם הרשיע בית המשפט נאשם בכמה עבירות המהוות כמה אירועים, עליו לקבוע מתחם עונש לכל אירוע בנפרד, ולאחר מכן רשאי הוא לגזור עונש נפרד לכל אירוע או עונש כולל לכל האירועים. </w:t>
      </w:r>
      <w:r>
        <w:rPr>
          <w:rFonts w:hint="cs"/>
          <w:rtl/>
        </w:rPr>
        <w:tab/>
      </w:r>
      <w:r>
        <w:rPr>
          <w:rFonts w:hint="cs"/>
          <w:rtl/>
        </w:rPr>
        <w:br/>
        <w:t>הפסיקה דנה רבות בשאלה מה ייחשב בגדר "אירוע אחד". נפסק כי ישנה חשיבות לאבחנה בין אירוע אחד לכמה אירועים, משיקולי הלימה ובעקבותיה גם הרתעה. עבירות שיש ביניהן "קשר ענייני הדוק" ואשר ניתן להשקיף עליהן כמסכת עבריינית אחת, יֵחשבו לאירוע אחד. הפסיקה גם הדגישה מספר אבני בוחן לאבחנה זו: תכנון משותף, שיטתיות, סמיכות זמן או מקום וקשר מהותי בין האירועים. עם זאת, נקבע כי ניתן לנקוט בפרשנות רחבה למושג "קשר הדוק" (</w:t>
      </w:r>
      <w:hyperlink r:id="rId51" w:history="1">
        <w:r w:rsidR="00AA734D" w:rsidRPr="00AA734D">
          <w:rPr>
            <w:color w:val="0000FF"/>
            <w:u w:val="single"/>
            <w:rtl/>
          </w:rPr>
          <w:t>ע"פ 1261/15</w:t>
        </w:r>
      </w:hyperlink>
      <w:r>
        <w:rPr>
          <w:rFonts w:hint="cs"/>
          <w:rtl/>
        </w:rPr>
        <w:t xml:space="preserve"> </w:t>
      </w:r>
      <w:r>
        <w:rPr>
          <w:rFonts w:hint="cs"/>
          <w:b/>
          <w:bCs/>
          <w:rtl/>
        </w:rPr>
        <w:t>מדינת ישראל נ' יוסף דלאל</w:t>
      </w:r>
      <w:r>
        <w:rPr>
          <w:rFonts w:hint="cs"/>
          <w:rtl/>
        </w:rPr>
        <w:t xml:space="preserve"> (03.09.2015)‏, פסקה 20 – 26 לפסה"ד ; </w:t>
      </w:r>
      <w:hyperlink r:id="rId52" w:history="1">
        <w:r w:rsidR="00AA734D" w:rsidRPr="00AA734D">
          <w:rPr>
            <w:color w:val="0000FF"/>
            <w:u w:val="single"/>
            <w:rtl/>
          </w:rPr>
          <w:t>ע"פ 1127/13</w:t>
        </w:r>
      </w:hyperlink>
      <w:r>
        <w:rPr>
          <w:rFonts w:hint="cs"/>
          <w:rtl/>
        </w:rPr>
        <w:t xml:space="preserve"> </w:t>
      </w:r>
      <w:r>
        <w:rPr>
          <w:rFonts w:hint="cs"/>
          <w:b/>
          <w:bCs/>
          <w:rtl/>
        </w:rPr>
        <w:t>עמנואל גברזגיי נ' מדינת ישראל</w:t>
      </w:r>
      <w:r>
        <w:rPr>
          <w:rFonts w:hint="cs"/>
          <w:rtl/>
        </w:rPr>
        <w:t xml:space="preserve"> (15.01.2014)‏‏ ; </w:t>
      </w:r>
      <w:hyperlink r:id="rId53" w:history="1">
        <w:r w:rsidR="00AA734D" w:rsidRPr="00AA734D">
          <w:rPr>
            <w:color w:val="0000FF"/>
            <w:u w:val="single"/>
            <w:rtl/>
          </w:rPr>
          <w:t>ע"פ 3506/13</w:t>
        </w:r>
      </w:hyperlink>
      <w:r>
        <w:rPr>
          <w:rFonts w:hint="cs"/>
          <w:rtl/>
        </w:rPr>
        <w:t xml:space="preserve"> </w:t>
      </w:r>
      <w:r>
        <w:rPr>
          <w:rFonts w:hint="cs"/>
          <w:b/>
          <w:bCs/>
          <w:rtl/>
        </w:rPr>
        <w:t>דוד הבי נ' מדינת ישראל</w:t>
      </w:r>
      <w:r>
        <w:rPr>
          <w:rFonts w:hint="cs"/>
          <w:rtl/>
        </w:rPr>
        <w:t xml:space="preserve"> (12.01.2016)‏‏ פסקה 640 לפסה"ד)). </w:t>
      </w:r>
      <w:r>
        <w:rPr>
          <w:rFonts w:hint="cs"/>
          <w:rtl/>
        </w:rPr>
        <w:tab/>
      </w:r>
      <w:r>
        <w:rPr>
          <w:rFonts w:hint="cs"/>
          <w:rtl/>
        </w:rPr>
        <w:br/>
        <w:t>כך למשל במספר מקרים של העברת חלקי רכב באותו אופן, אושר מתחם אחד (</w:t>
      </w:r>
      <w:hyperlink r:id="rId54" w:history="1">
        <w:r w:rsidR="00AA734D" w:rsidRPr="00AA734D">
          <w:rPr>
            <w:color w:val="0000FF"/>
            <w:u w:val="single"/>
            <w:rtl/>
          </w:rPr>
          <w:t>ע"פ 6958/18</w:t>
        </w:r>
      </w:hyperlink>
      <w:r>
        <w:rPr>
          <w:rFonts w:hint="cs"/>
          <w:rtl/>
        </w:rPr>
        <w:t xml:space="preserve"> </w:t>
      </w:r>
      <w:r>
        <w:rPr>
          <w:rFonts w:hint="cs"/>
          <w:b/>
          <w:bCs/>
          <w:rtl/>
        </w:rPr>
        <w:t>סעיד מצלאח נ' מדינת ישראל</w:t>
      </w:r>
      <w:r>
        <w:rPr>
          <w:rFonts w:hint="cs"/>
          <w:rtl/>
        </w:rPr>
        <w:t xml:space="preserve"> (22.01.2020)).</w:t>
      </w:r>
      <w:r>
        <w:rPr>
          <w:rFonts w:hint="cs"/>
          <w:rtl/>
        </w:rPr>
        <w:tab/>
      </w:r>
      <w:r>
        <w:rPr>
          <w:rFonts w:hint="cs"/>
          <w:rtl/>
        </w:rPr>
        <w:br/>
        <w:t>לעומת זאת, כאשר נאשם ביצע עבירות מים בשלושה מתלוננים שונים, נקבע כי יש לקבוע מתחם עונש מפרד לגבי כל אחד מהם. נפסק כי יש לבחון אם ביצוען של העבירות מאופיין בתכנון ובשיטתיות, את סמיכות הזמן והמקום, את הקשר בין העבירות, את זהות הנפגעים, ובסופו של יום, להעמיד את השאלה אם השקפה על העבירות כעל כמה אירועים תהא מלאכותית, באופן שיגרע ממהות העניין בכללותו (</w:t>
      </w:r>
      <w:hyperlink r:id="rId55" w:history="1">
        <w:r w:rsidR="00AA734D" w:rsidRPr="00AA734D">
          <w:rPr>
            <w:color w:val="0000FF"/>
            <w:u w:val="single"/>
            <w:rtl/>
          </w:rPr>
          <w:t>ע"פ 2240/21</w:t>
        </w:r>
      </w:hyperlink>
      <w:r>
        <w:rPr>
          <w:rFonts w:hint="cs"/>
          <w:rtl/>
        </w:rPr>
        <w:t xml:space="preserve"> </w:t>
      </w:r>
      <w:r>
        <w:rPr>
          <w:rFonts w:hint="cs"/>
          <w:b/>
          <w:bCs/>
          <w:rtl/>
        </w:rPr>
        <w:t>מדינת ישראל נ' שמואל חיים שחר</w:t>
      </w:r>
      <w:r>
        <w:rPr>
          <w:rFonts w:hint="cs"/>
          <w:rtl/>
        </w:rPr>
        <w:t xml:space="preserve"> (8.11.2021) פסקה 13 לפסה"ד).</w:t>
      </w:r>
    </w:p>
    <w:p w14:paraId="4D664A52" w14:textId="77777777" w:rsidR="008613F1" w:rsidRDefault="008613F1" w:rsidP="008613F1">
      <w:pPr>
        <w:pStyle w:val="a9"/>
        <w:numPr>
          <w:ilvl w:val="0"/>
          <w:numId w:val="1"/>
        </w:numPr>
        <w:contextualSpacing w:val="0"/>
        <w:jc w:val="both"/>
      </w:pPr>
      <w:r>
        <w:rPr>
          <w:rFonts w:hint="cs"/>
          <w:rtl/>
        </w:rPr>
        <w:t>אשר לזמנים – מדובר בשני אישומים משנת 2019 מפברואר ומאוגוסט, ובשני אישומים משנת 2021 מינואר ומנובמבר. היינו מדובר בפערים משמעותיים בזמן של חודשים ארוכים ואף שנים. אשר לנפגעים – מדובר בנפגעים שונים. אשר לעבירות – מדובר בעבירות שונות. גם אם במקרה אחד איימה על שוטר ובמקרה אחר תקפה שוטרת, הרי שלא מדובר בקשר ענייני הדוק כפי שמחייבת הפסיקה.</w:t>
      </w:r>
    </w:p>
    <w:p w14:paraId="683E100A" w14:textId="77777777" w:rsidR="008613F1" w:rsidRDefault="008613F1" w:rsidP="008613F1">
      <w:pPr>
        <w:pStyle w:val="a9"/>
        <w:numPr>
          <w:ilvl w:val="0"/>
          <w:numId w:val="1"/>
        </w:numPr>
        <w:contextualSpacing w:val="0"/>
        <w:jc w:val="both"/>
      </w:pPr>
      <w:r>
        <w:rPr>
          <w:rFonts w:hint="cs"/>
          <w:rtl/>
        </w:rPr>
        <w:t>מכל האמור לעיל עולה כי יש לקבוע מתחם עונש נפרד לכל אחת מהעבירות.</w:t>
      </w:r>
    </w:p>
    <w:p w14:paraId="2FFA512F" w14:textId="77777777" w:rsidR="008613F1" w:rsidRDefault="008613F1" w:rsidP="008613F1">
      <w:pPr>
        <w:pStyle w:val="a9"/>
        <w:contextualSpacing w:val="0"/>
        <w:jc w:val="both"/>
        <w:rPr>
          <w:b/>
          <w:bCs/>
        </w:rPr>
      </w:pPr>
    </w:p>
    <w:p w14:paraId="31095416" w14:textId="77777777" w:rsidR="008613F1" w:rsidRDefault="008613F1" w:rsidP="008613F1">
      <w:pPr>
        <w:pStyle w:val="a9"/>
        <w:contextualSpacing w:val="0"/>
        <w:jc w:val="both"/>
        <w:rPr>
          <w:b/>
          <w:bCs/>
          <w:rtl/>
        </w:rPr>
      </w:pPr>
      <w:r>
        <w:rPr>
          <w:rFonts w:hint="cs"/>
          <w:b/>
          <w:bCs/>
          <w:rtl/>
        </w:rPr>
        <w:t>מתחם העונש ההולם</w:t>
      </w:r>
    </w:p>
    <w:p w14:paraId="4DEBABEE" w14:textId="77777777" w:rsidR="008613F1" w:rsidRDefault="008613F1" w:rsidP="008613F1">
      <w:pPr>
        <w:pStyle w:val="a9"/>
        <w:numPr>
          <w:ilvl w:val="0"/>
          <w:numId w:val="1"/>
        </w:numPr>
        <w:contextualSpacing w:val="0"/>
        <w:jc w:val="both"/>
      </w:pPr>
      <w:r>
        <w:rPr>
          <w:rFonts w:hint="cs"/>
          <w:rtl/>
        </w:rPr>
        <w:t>כמתואר לעיל, מדובר בארבעה אירועים בהפרשי זמנים ניכרים, בעבירות אחרות וכנגד נפגעים שונים, אשר מחייבים קביעה נפרדת של מתחם העונש ההולם לגבי כל אישום. במאמר מוסגר יצויין כי בפסיקת בתי משפט השלום ניתן למצוא פסיקה נוהגת בטווחים נרחבים מאד, ולכן מצופה כי הצדדים יגישו פסיקה מערכאות גבוהות יותר.</w:t>
      </w:r>
    </w:p>
    <w:p w14:paraId="652F9E6D" w14:textId="77777777" w:rsidR="008613F1" w:rsidRDefault="00AA734D" w:rsidP="008613F1">
      <w:pPr>
        <w:pStyle w:val="a9"/>
        <w:numPr>
          <w:ilvl w:val="1"/>
          <w:numId w:val="1"/>
        </w:numPr>
        <w:contextualSpacing w:val="0"/>
        <w:jc w:val="both"/>
      </w:pPr>
      <w:hyperlink r:id="rId56" w:history="1">
        <w:r w:rsidRPr="00AA734D">
          <w:rPr>
            <w:color w:val="0000FF"/>
            <w:u w:val="single"/>
            <w:rtl/>
          </w:rPr>
          <w:t>תפ"ק 22029-08-19</w:t>
        </w:r>
      </w:hyperlink>
      <w:r w:rsidR="008613F1">
        <w:rPr>
          <w:rFonts w:hint="cs"/>
          <w:rtl/>
        </w:rPr>
        <w:t xml:space="preserve"> עוסק בנשיכת שוטרת בעת התנגדות למעצר. נשיכה של שוטרת איננה דבר של מה בכך והפגיעה בערך המוגן היא אפוא משמעותית. אם זאת מדובר באירוע שלא נגרמה בו חבלה חמורה וכן חלף זמן ניכר מאז ביצוע העבירות. נראה כי בהתחשב בפסיקה שהציגו הצדדים ובנסיבות האירוע, מתחם העונש ההולם עומד על חודש עד עשרה חודשי מאסר בפועל. </w:t>
      </w:r>
    </w:p>
    <w:p w14:paraId="6EDDBB0C" w14:textId="77777777" w:rsidR="008613F1" w:rsidRDefault="00AA734D" w:rsidP="008613F1">
      <w:pPr>
        <w:pStyle w:val="a9"/>
        <w:numPr>
          <w:ilvl w:val="1"/>
          <w:numId w:val="1"/>
        </w:numPr>
        <w:contextualSpacing w:val="0"/>
        <w:jc w:val="both"/>
      </w:pPr>
      <w:hyperlink r:id="rId57" w:history="1">
        <w:r w:rsidRPr="00AA734D">
          <w:rPr>
            <w:color w:val="0000FF"/>
            <w:u w:val="single"/>
            <w:rtl/>
          </w:rPr>
          <w:t>ת"פ 8041-12-21</w:t>
        </w:r>
      </w:hyperlink>
      <w:r w:rsidR="008613F1">
        <w:rPr>
          <w:rFonts w:hint="cs"/>
          <w:rtl/>
        </w:rPr>
        <w:t xml:space="preserve"> נוגע בהחזקת סם לצריכה עצמית והשלכתו בנסיון למנוע תפיסתו, וכן איומים של שוטרת. בהתחשב בנסיבות העניין ובפסיקה הנוהגת, מתחם העונש ההולם עומד על חודש עד לשבעה חודשים בפועל.</w:t>
      </w:r>
    </w:p>
    <w:p w14:paraId="4B5DBA70" w14:textId="77777777" w:rsidR="008613F1" w:rsidRDefault="00AA734D" w:rsidP="008613F1">
      <w:pPr>
        <w:pStyle w:val="a9"/>
        <w:numPr>
          <w:ilvl w:val="1"/>
          <w:numId w:val="1"/>
        </w:numPr>
        <w:contextualSpacing w:val="0"/>
        <w:jc w:val="both"/>
      </w:pPr>
      <w:hyperlink r:id="rId58" w:history="1">
        <w:r w:rsidRPr="00AA734D">
          <w:rPr>
            <w:color w:val="0000FF"/>
            <w:u w:val="single"/>
            <w:rtl/>
          </w:rPr>
          <w:t>ת"פ 56713-06-22</w:t>
        </w:r>
      </w:hyperlink>
      <w:r w:rsidR="008613F1">
        <w:rPr>
          <w:rFonts w:hint="cs"/>
          <w:rtl/>
        </w:rPr>
        <w:t xml:space="preserve"> נוגע להחזקת סם כימי בכמות ניכרת של 650 גר' העובדה שנתפסו גם שקיות חלוקה ומשקל, והכסף שנתפס, מלמדים כי הסם נועד למכירה. לא אחת נקבעה החומרה היתרה בשימוש בסמים הכימיים שאינם סמים קלים, שכן השפעתם על המוח חמורה (ר' למשל </w:t>
      </w:r>
      <w:hyperlink r:id="rId59" w:history="1">
        <w:r w:rsidRPr="00AA734D">
          <w:rPr>
            <w:color w:val="0000FF"/>
            <w:u w:val="single"/>
            <w:rtl/>
          </w:rPr>
          <w:t>עפ"ג (מחוזי ב"ש) 36558-08-21</w:t>
        </w:r>
      </w:hyperlink>
      <w:r w:rsidR="008613F1">
        <w:rPr>
          <w:rFonts w:hint="cs"/>
          <w:rtl/>
        </w:rPr>
        <w:t xml:space="preserve"> </w:t>
      </w:r>
      <w:r w:rsidR="008613F1">
        <w:rPr>
          <w:rFonts w:hint="cs"/>
          <w:b/>
          <w:bCs/>
          <w:rtl/>
        </w:rPr>
        <w:t>טולר גוסיינוב נ' מדינת ישראל</w:t>
      </w:r>
      <w:r w:rsidR="008613F1">
        <w:rPr>
          <w:rFonts w:hint="cs"/>
          <w:rtl/>
        </w:rPr>
        <w:t xml:space="preserve"> (12.01.2022)‏‏, שם אושר עונש של שנה מאסר בגין כמויות קטנות יותר, אם כי שם היתה גם מכירה של קנאבוס ; </w:t>
      </w:r>
      <w:hyperlink r:id="rId60" w:history="1">
        <w:r w:rsidRPr="00AA734D">
          <w:rPr>
            <w:color w:val="0000FF"/>
            <w:u w:val="single"/>
            <w:rtl/>
          </w:rPr>
          <w:t>עפ"ג (מחוזי י-ם) 25919-04-19</w:t>
        </w:r>
      </w:hyperlink>
      <w:r w:rsidR="008613F1">
        <w:rPr>
          <w:rFonts w:hint="cs"/>
          <w:rtl/>
        </w:rPr>
        <w:t xml:space="preserve"> </w:t>
      </w:r>
      <w:r w:rsidR="008613F1">
        <w:rPr>
          <w:rFonts w:hint="cs"/>
          <w:b/>
          <w:bCs/>
          <w:rtl/>
        </w:rPr>
        <w:t>אחמד גאבר נ' מדינת ישראל</w:t>
      </w:r>
      <w:r w:rsidR="008613F1">
        <w:rPr>
          <w:rFonts w:hint="cs"/>
          <w:rtl/>
        </w:rPr>
        <w:t xml:space="preserve"> (08.01.2020) ; </w:t>
      </w:r>
      <w:hyperlink r:id="rId61" w:history="1">
        <w:r w:rsidRPr="00AA734D">
          <w:rPr>
            <w:color w:val="0000FF"/>
            <w:u w:val="single"/>
            <w:rtl/>
          </w:rPr>
          <w:t>עפ"ג (מחוזי י-ם) 69415-02-20</w:t>
        </w:r>
      </w:hyperlink>
      <w:r w:rsidR="008613F1">
        <w:rPr>
          <w:rFonts w:hint="cs"/>
          <w:rtl/>
        </w:rPr>
        <w:t xml:space="preserve"> </w:t>
      </w:r>
      <w:r w:rsidR="008613F1">
        <w:rPr>
          <w:rFonts w:hint="cs"/>
          <w:b/>
          <w:bCs/>
          <w:rtl/>
        </w:rPr>
        <w:t>פראס ג'אבר נ' מדינת ישראל</w:t>
      </w:r>
      <w:r w:rsidR="008613F1">
        <w:rPr>
          <w:rFonts w:hint="cs"/>
          <w:rtl/>
        </w:rPr>
        <w:t xml:space="preserve"> (18.07.2020)).</w:t>
      </w:r>
      <w:r w:rsidR="008613F1">
        <w:rPr>
          <w:rFonts w:hint="cs"/>
          <w:rtl/>
        </w:rPr>
        <w:tab/>
      </w:r>
      <w:r w:rsidR="008613F1">
        <w:rPr>
          <w:rFonts w:hint="cs"/>
          <w:rtl/>
        </w:rPr>
        <w:br/>
        <w:t xml:space="preserve">לאחר שאני שוקל את נסיבות העניין והפסיקה הנוהגת בעבירות מעין אלה, אני קובע כי מתחם העונש ההולם בעבירה חמורה זו נע בין שבעה חודשי מאסר ועד לתקופה של 24 חודשים.‏‏ </w:t>
      </w:r>
    </w:p>
    <w:p w14:paraId="65C636EC" w14:textId="77777777" w:rsidR="008613F1" w:rsidRDefault="00AA734D" w:rsidP="008613F1">
      <w:pPr>
        <w:pStyle w:val="a9"/>
        <w:numPr>
          <w:ilvl w:val="1"/>
          <w:numId w:val="1"/>
        </w:numPr>
        <w:contextualSpacing w:val="0"/>
        <w:jc w:val="both"/>
      </w:pPr>
      <w:hyperlink r:id="rId62" w:history="1">
        <w:r w:rsidRPr="00AA734D">
          <w:rPr>
            <w:color w:val="0000FF"/>
            <w:u w:val="single"/>
            <w:rtl/>
          </w:rPr>
          <w:t>ת"פ 33815-10-20</w:t>
        </w:r>
      </w:hyperlink>
      <w:r w:rsidR="008613F1">
        <w:rPr>
          <w:rFonts w:hint="cs"/>
          <w:rtl/>
        </w:rPr>
        <w:t xml:space="preserve"> עוסק בהחזקת סכין, איום על שוטר ושבירת שולחן. מתחם העונש ההולם בעניין הוא בין חודש מאסר ועד לשבעה חודשי מאסר. </w:t>
      </w:r>
    </w:p>
    <w:p w14:paraId="0035EC95" w14:textId="77777777" w:rsidR="008613F1" w:rsidRDefault="008613F1" w:rsidP="008613F1">
      <w:pPr>
        <w:pStyle w:val="a9"/>
        <w:contextualSpacing w:val="0"/>
        <w:jc w:val="both"/>
      </w:pPr>
    </w:p>
    <w:p w14:paraId="2FC1B25F" w14:textId="77777777" w:rsidR="008613F1" w:rsidRDefault="008613F1" w:rsidP="008613F1">
      <w:pPr>
        <w:pStyle w:val="a9"/>
        <w:contextualSpacing w:val="0"/>
        <w:jc w:val="both"/>
        <w:rPr>
          <w:b/>
          <w:bCs/>
          <w:rtl/>
        </w:rPr>
      </w:pPr>
      <w:r>
        <w:rPr>
          <w:rFonts w:hint="cs"/>
          <w:b/>
          <w:bCs/>
          <w:rtl/>
        </w:rPr>
        <w:t>גזירת הדין</w:t>
      </w:r>
    </w:p>
    <w:p w14:paraId="34E4C0BA" w14:textId="77777777" w:rsidR="008613F1" w:rsidRDefault="008613F1" w:rsidP="008613F1">
      <w:pPr>
        <w:pStyle w:val="a9"/>
        <w:numPr>
          <w:ilvl w:val="0"/>
          <w:numId w:val="1"/>
        </w:numPr>
        <w:contextualSpacing w:val="0"/>
        <w:jc w:val="both"/>
      </w:pPr>
      <w:r>
        <w:rPr>
          <w:rFonts w:hint="cs"/>
          <w:rtl/>
        </w:rPr>
        <w:t xml:space="preserve">אכן, לאחר מספר רב מאד של הזדמנויות שלא צלחו, ולאחר שהנאשמת לא התייצבה לטיעונים לעונש, ממש ימים ספורים לפני הדיון הנדחה בטיעון לעונש היא שילבה את עצמה בקהילה טיפולית סגורה. </w:t>
      </w:r>
      <w:r>
        <w:rPr>
          <w:rFonts w:hint="cs"/>
          <w:rtl/>
        </w:rPr>
        <w:tab/>
      </w:r>
      <w:r>
        <w:rPr>
          <w:rFonts w:hint="cs"/>
          <w:rtl/>
        </w:rPr>
        <w:br/>
        <w:t>בית המשפט נתן לנאשמת הזדמנות נוספת להוכיח את רצינות כוונותיה, ע"י דחיית גזר הדין לתקופה של חודשיים לאחר שמיעת הטיעון לעונש, כדי לבחון אם הפעם תתמיד הנאשמת בהליך הטיפולי - אולם שוב נתברר כי מאחרי המוטיבציה המילולית של הנאשמת לשיקום אין יכולת או רצון למהלך משמעותי, ומן הסתם ניתן לשער כי השתלבותה בקהילה נועדה רק לצרכי הטיעון לעונש, ללא שינוי פנימי ומהותי.</w:t>
      </w:r>
      <w:r>
        <w:rPr>
          <w:rFonts w:hint="cs"/>
          <w:rtl/>
        </w:rPr>
        <w:tab/>
      </w:r>
      <w:r>
        <w:rPr>
          <w:rFonts w:hint="cs"/>
          <w:rtl/>
        </w:rPr>
        <w:br/>
        <w:t>יודגש כי שירות המבחן הוא הגורם המקצועי והמוסמך להערכת הצלחת הליך שיקומי. בית המשפט העליון הדגיש כי שירות המבחן הוא בבחינת "עיניו" של בית המשפט (</w:t>
      </w:r>
      <w:hyperlink r:id="rId63" w:history="1">
        <w:r w:rsidR="00AA734D" w:rsidRPr="00AA734D">
          <w:rPr>
            <w:color w:val="0000FF"/>
            <w:u w:val="single"/>
            <w:rtl/>
          </w:rPr>
          <w:t>בש"פ 6426/09</w:t>
        </w:r>
      </w:hyperlink>
      <w:r>
        <w:rPr>
          <w:rFonts w:hint="cs"/>
          <w:rtl/>
        </w:rPr>
        <w:t xml:space="preserve"> </w:t>
      </w:r>
      <w:r>
        <w:rPr>
          <w:rFonts w:hint="cs"/>
          <w:b/>
          <w:bCs/>
          <w:rtl/>
        </w:rPr>
        <w:t>מדינת ישראל נ' פלונית</w:t>
      </w:r>
      <w:r>
        <w:rPr>
          <w:rFonts w:hint="cs"/>
          <w:rtl/>
        </w:rPr>
        <w:t xml:space="preserve"> (12.08.2009)). בענייננו, שירות המבחן התרשם כי הנאשמת נעדרת בשלות להליך טיפולי, וכי נכונותה לפנות לקהילה היא מן הפה לחוץ, לצרכי העונש, ולא מתוך מודעות פנימית אמיתית.</w:t>
      </w:r>
    </w:p>
    <w:p w14:paraId="46C27C1B" w14:textId="77777777" w:rsidR="008613F1" w:rsidRDefault="008613F1" w:rsidP="008613F1">
      <w:pPr>
        <w:pStyle w:val="a9"/>
        <w:numPr>
          <w:ilvl w:val="0"/>
          <w:numId w:val="1"/>
        </w:numPr>
        <w:contextualSpacing w:val="0"/>
        <w:jc w:val="both"/>
      </w:pPr>
      <w:r>
        <w:rPr>
          <w:rFonts w:hint="cs"/>
          <w:rtl/>
        </w:rPr>
        <w:t xml:space="preserve">בהעדר נתיב שיקומי, אין מקום לחרוג ממתחם העונש ההולם, ויש לגזור את עונשה של הנאשמת בתוך מתחמי הענישה שנקבעו לעיל. </w:t>
      </w:r>
      <w:r>
        <w:rPr>
          <w:rFonts w:hint="cs"/>
          <w:rtl/>
        </w:rPr>
        <w:tab/>
      </w:r>
      <w:r>
        <w:rPr>
          <w:rFonts w:hint="cs"/>
          <w:rtl/>
        </w:rPr>
        <w:br/>
        <w:t>בתוך מתחם העונש ההולם, מחד גיסא, יש להביא בחשבון את נסיבותיה האישיות הקשות של הנאשמת, את העובדה שבעבר לא ריצתה עונשי מאסר, את הזמן שחלף מאז ביצוע העבירות וכן את הניסיונות השיקומיים, אף אם לא צלחו. מאידך גיסא, יש להביא בחשבון את ריבוי העבירות, את העובדה שתוך כדי הליך שיקומי עברה הנאשמת עבירות חמורות, ואת העובדה שניתנו לה הזדמנויות רבות והיא סרבה ליטול אותן ודחתה את היד שהושטה לעברה.</w:t>
      </w:r>
      <w:r>
        <w:rPr>
          <w:rFonts w:hint="cs"/>
          <w:rtl/>
        </w:rPr>
        <w:tab/>
      </w:r>
      <w:r>
        <w:rPr>
          <w:rFonts w:hint="cs"/>
          <w:rtl/>
        </w:rPr>
        <w:br/>
        <w:t xml:space="preserve">בנסיבות אלה, גזירת הדין תעשה לא ברף העליון של מתחמי הענישה, וגם לא ברף התחתון של המתחמים, אלא בתווך. </w:t>
      </w:r>
    </w:p>
    <w:p w14:paraId="2E1FFE29" w14:textId="77777777" w:rsidR="008613F1" w:rsidRDefault="008613F1" w:rsidP="008613F1">
      <w:pPr>
        <w:pStyle w:val="a9"/>
        <w:numPr>
          <w:ilvl w:val="0"/>
          <w:numId w:val="1"/>
        </w:numPr>
        <w:contextualSpacing w:val="0"/>
        <w:jc w:val="both"/>
      </w:pPr>
      <w:r>
        <w:rPr>
          <w:rFonts w:hint="cs"/>
          <w:rtl/>
        </w:rPr>
        <w:t xml:space="preserve">יש ממש בטענת הסניגור כי שני התיקים משנת 2019 הם תיקים ישנים מלפני כחמש שנים, אשר כשלעצמם אינם כה חמורים, והנאשמת הורשעה לאחר מכן בתיקים אחרים, שאם היתה מצרפת תיקים אלה, כבר היתה מסיימת לרצות את עונשה. עם זאת, תיק הסמים מנובמבר 2021, נעבר לאחר שהנאשמת כבר שולבה בבית המשפט הקהילתי, והתמשכות ההליכים נבעה בעיקרה מכך ששוב ושוב ניתנו לנאשמת הזדמנויות להוכיח את רצינותה בהליך שיקומי בקהילה סגורה, כאשר שוב ושוב היא מעדה, כך שלא ניתן לזקוף לזכותה את חלוף הזמן. </w:t>
      </w:r>
      <w:r>
        <w:rPr>
          <w:rFonts w:hint="cs"/>
          <w:rtl/>
        </w:rPr>
        <w:tab/>
      </w:r>
    </w:p>
    <w:p w14:paraId="1C664962" w14:textId="77777777" w:rsidR="008613F1" w:rsidRDefault="008613F1" w:rsidP="008613F1">
      <w:pPr>
        <w:pStyle w:val="a9"/>
        <w:numPr>
          <w:ilvl w:val="0"/>
          <w:numId w:val="1"/>
        </w:numPr>
        <w:contextualSpacing w:val="0"/>
        <w:jc w:val="both"/>
      </w:pPr>
      <w:r>
        <w:rPr>
          <w:rFonts w:hint="cs"/>
          <w:rtl/>
        </w:rPr>
        <w:t xml:space="preserve">אשר להפעלת המאסרים על תנאי, ההלכה הפסוקה קבעה כי ככלל, ראוי להפעיל מאסר על תנאי כאשר מבוצעת עבירה תוך כדי תקופת התנאי, שכן מאסר על תנאי הוא למעשה עונש בגין העבירה הקודמת, שרק ביצועו נדחה והותנה בתנאי של ביצוע עבירה נוספת תוך תקופת התנאי. </w:t>
      </w:r>
      <w:r>
        <w:rPr>
          <w:rFonts w:hint="cs"/>
          <w:rtl/>
        </w:rPr>
        <w:tab/>
      </w:r>
      <w:r>
        <w:rPr>
          <w:rFonts w:hint="cs"/>
          <w:rtl/>
        </w:rPr>
        <w:br/>
        <w:t xml:space="preserve">סעיף </w:t>
      </w:r>
      <w:hyperlink r:id="rId64" w:history="1">
        <w:r w:rsidR="00921D6E" w:rsidRPr="00921D6E">
          <w:rPr>
            <w:rStyle w:val="Hyperlink"/>
            <w:rtl/>
          </w:rPr>
          <w:t>56 (א)</w:t>
        </w:r>
      </w:hyperlink>
      <w:r>
        <w:rPr>
          <w:rFonts w:hint="cs"/>
          <w:rtl/>
        </w:rPr>
        <w:t xml:space="preserve"> ל</w:t>
      </w:r>
      <w:hyperlink r:id="rId65" w:history="1">
        <w:r w:rsidR="00AA734D" w:rsidRPr="00AA734D">
          <w:rPr>
            <w:color w:val="0000FF"/>
            <w:u w:val="single"/>
            <w:rtl/>
          </w:rPr>
          <w:t>חוק העונשין</w:t>
        </w:r>
      </w:hyperlink>
      <w:r>
        <w:rPr>
          <w:rFonts w:hint="cs"/>
          <w:rtl/>
        </w:rPr>
        <w:t xml:space="preserve"> תשל"ז – 1977, מאפשר אמנם להאריך מאסר על תנאי, אם בית המשפט לא מטיל עונש מאסר, אולם על בית המשפט נקבע לנקוט בדרך זו רק אם: </w:t>
      </w:r>
      <w:r>
        <w:rPr>
          <w:rFonts w:hint="cs"/>
          <w:b/>
          <w:bCs/>
          <w:rtl/>
        </w:rPr>
        <w:t>"שוכנע בית המשפט כי בנסיבות העניין לא יהיה צודק להפעיל את המאסר על תנאי"</w:t>
      </w:r>
      <w:r>
        <w:rPr>
          <w:rFonts w:hint="cs"/>
          <w:rtl/>
        </w:rPr>
        <w:t>. מכאן שהכלל הוא הפעלת מאסר על תנאי והחריג, שנטל השכנוע בגינו מוטל על הנאשם הוא הארכת המאסר על תנאי. בית המשפט העליון הדגיש שאם בתי המשפט ימעטו לחרוג מן הכלל של הפעלת התנאי, כך יגדל כוחו המרתיע של המאסר המותנה (</w:t>
      </w:r>
      <w:hyperlink r:id="rId66" w:history="1">
        <w:r w:rsidR="00AA734D" w:rsidRPr="00AA734D">
          <w:rPr>
            <w:color w:val="0000FF"/>
            <w:u w:val="single"/>
            <w:rtl/>
          </w:rPr>
          <w:t>ע"פ 11092/07</w:t>
        </w:r>
      </w:hyperlink>
      <w:r>
        <w:rPr>
          <w:rFonts w:hint="cs"/>
          <w:rtl/>
        </w:rPr>
        <w:t xml:space="preserve"> </w:t>
      </w:r>
      <w:r>
        <w:rPr>
          <w:rFonts w:hint="cs"/>
          <w:b/>
          <w:bCs/>
          <w:rtl/>
        </w:rPr>
        <w:t>פלונית נ' מדינת ישראל</w:t>
      </w:r>
      <w:r>
        <w:rPr>
          <w:rFonts w:hint="cs"/>
          <w:rtl/>
        </w:rPr>
        <w:t>, (02/06/2011)).</w:t>
      </w:r>
    </w:p>
    <w:p w14:paraId="1B19E9F4" w14:textId="77777777" w:rsidR="008613F1" w:rsidRDefault="008613F1" w:rsidP="008613F1">
      <w:pPr>
        <w:pStyle w:val="a9"/>
        <w:numPr>
          <w:ilvl w:val="0"/>
          <w:numId w:val="1"/>
        </w:numPr>
        <w:contextualSpacing w:val="0"/>
        <w:jc w:val="both"/>
      </w:pPr>
      <w:r>
        <w:rPr>
          <w:rFonts w:hint="cs"/>
          <w:rtl/>
        </w:rPr>
        <w:t xml:space="preserve">עוד קבעה הפסיקה, כי עונש של מאסר על תנאי, אשר מופעל בעקבות ביצוע עבירת התנאי, יופעל בדרך כלל במצטבר לעונש המושת בגין אותה עבירה שהפעילה אותו – קרי העבירה הנוספת, כפי שעולה </w:t>
      </w:r>
      <w:hyperlink r:id="rId67" w:history="1">
        <w:r w:rsidR="00921D6E" w:rsidRPr="00921D6E">
          <w:rPr>
            <w:rStyle w:val="Hyperlink"/>
            <w:rFonts w:hint="eastAsia"/>
            <w:rtl/>
          </w:rPr>
          <w:t>מסעיף</w:t>
        </w:r>
        <w:r w:rsidR="00921D6E" w:rsidRPr="00921D6E">
          <w:rPr>
            <w:rStyle w:val="Hyperlink"/>
            <w:rtl/>
          </w:rPr>
          <w:t xml:space="preserve"> 58</w:t>
        </w:r>
      </w:hyperlink>
      <w:r>
        <w:rPr>
          <w:rFonts w:hint="cs"/>
          <w:rtl/>
        </w:rPr>
        <w:t xml:space="preserve"> לחוק (</w:t>
      </w:r>
      <w:hyperlink r:id="rId68" w:history="1">
        <w:r w:rsidR="00AA734D" w:rsidRPr="00AA734D">
          <w:rPr>
            <w:color w:val="0000FF"/>
            <w:u w:val="single"/>
            <w:rtl/>
          </w:rPr>
          <w:t>רע"פ 4935/12</w:t>
        </w:r>
      </w:hyperlink>
      <w:r>
        <w:rPr>
          <w:rFonts w:hint="cs"/>
          <w:rtl/>
        </w:rPr>
        <w:t xml:space="preserve"> </w:t>
      </w:r>
      <w:r>
        <w:rPr>
          <w:rFonts w:hint="cs"/>
          <w:b/>
          <w:bCs/>
          <w:rtl/>
        </w:rPr>
        <w:t>מוחמד עמאר נ' מדינת ישראל</w:t>
      </w:r>
      <w:r>
        <w:rPr>
          <w:rFonts w:hint="cs"/>
          <w:rtl/>
        </w:rPr>
        <w:t xml:space="preserve"> (13.01.2013), ‏‏פסקה כ' לפסה"ד). מכאן שהכלל הוא הצטברות מאסר על תנאי לעונש המוטל בגין העבירה החדשה, והחריג הוא חפיפה.</w:t>
      </w:r>
    </w:p>
    <w:p w14:paraId="4C30F5B4" w14:textId="77777777" w:rsidR="008613F1" w:rsidRDefault="008613F1" w:rsidP="008613F1">
      <w:pPr>
        <w:pStyle w:val="a9"/>
        <w:numPr>
          <w:ilvl w:val="0"/>
          <w:numId w:val="1"/>
        </w:numPr>
        <w:contextualSpacing w:val="0"/>
        <w:jc w:val="both"/>
      </w:pPr>
      <w:r>
        <w:rPr>
          <w:rFonts w:hint="cs"/>
          <w:rtl/>
        </w:rPr>
        <w:t xml:space="preserve">אכן, לא פשוט לשלוח נאשמת שהחיים לא הקלו עימה, למאסר ממושך. מדובר במי ששולבה בבית המשפט הקהילתי לשם טיפול במכלול הבעיות שהביאו אותה לעבריינות, ופרק זמן ממושך נערכו נסיונות חוזרים ונשנים לשקמה. </w:t>
      </w:r>
      <w:r>
        <w:rPr>
          <w:rtl/>
        </w:rPr>
        <w:tab/>
      </w:r>
      <w:r>
        <w:rPr>
          <w:rtl/>
        </w:rPr>
        <w:br/>
      </w:r>
      <w:r>
        <w:rPr>
          <w:rFonts w:hint="cs"/>
          <w:rtl/>
        </w:rPr>
        <w:t xml:space="preserve">ואולם, נראה כי בנסיבות העניין, לאחר שניתנו לנאשמת הזדמנויות רבות, אין מנוס משליחתה אל מאחורי סורג ובריח, הכול תוך התחשבות מירבית בנסיבותיה, והטלת עונש קל ביחס לחומרת העבירות ולכמות המאסרים על תנאי. </w:t>
      </w:r>
      <w:r>
        <w:rPr>
          <w:rtl/>
        </w:rPr>
        <w:tab/>
      </w:r>
      <w:r>
        <w:rPr>
          <w:rtl/>
        </w:rPr>
        <w:br/>
      </w:r>
      <w:r>
        <w:rPr>
          <w:rFonts w:hint="cs"/>
          <w:rtl/>
        </w:rPr>
        <w:t>בית המשפט מקווה כי הנאשמת תשכיל ללמוד את הלקח, לשנות את התנהלותה ולשוב לדרך הישר.</w:t>
      </w:r>
    </w:p>
    <w:p w14:paraId="0D4EDFD9" w14:textId="77777777" w:rsidR="008613F1" w:rsidRDefault="008613F1" w:rsidP="008613F1">
      <w:pPr>
        <w:pStyle w:val="a9"/>
        <w:numPr>
          <w:ilvl w:val="0"/>
          <w:numId w:val="1"/>
        </w:numPr>
        <w:contextualSpacing w:val="0"/>
        <w:jc w:val="both"/>
      </w:pPr>
      <w:r>
        <w:rPr>
          <w:rFonts w:hint="cs"/>
          <w:rtl/>
        </w:rPr>
        <w:t>לאחר שאני שוקל את כל השיקולים לחומרה ולקולה, אני גוזר על הנאשמת את העונשים הבאים:</w:t>
      </w:r>
    </w:p>
    <w:p w14:paraId="25EE3910" w14:textId="77777777" w:rsidR="008613F1" w:rsidRDefault="008613F1" w:rsidP="008613F1">
      <w:pPr>
        <w:pStyle w:val="a9"/>
        <w:numPr>
          <w:ilvl w:val="1"/>
          <w:numId w:val="1"/>
        </w:numPr>
        <w:contextualSpacing w:val="0"/>
        <w:jc w:val="both"/>
      </w:pPr>
      <w:r>
        <w:rPr>
          <w:rFonts w:hint="cs"/>
          <w:rtl/>
        </w:rPr>
        <w:t>12 חודשי מאסר בפועל בגין כל התיקים בגינם הורשעה.</w:t>
      </w:r>
    </w:p>
    <w:p w14:paraId="3F0FDB40" w14:textId="77777777" w:rsidR="008613F1" w:rsidRDefault="008613F1" w:rsidP="008613F1">
      <w:pPr>
        <w:pStyle w:val="a9"/>
        <w:numPr>
          <w:ilvl w:val="1"/>
          <w:numId w:val="1"/>
        </w:numPr>
        <w:contextualSpacing w:val="0"/>
        <w:jc w:val="both"/>
      </w:pPr>
      <w:r>
        <w:rPr>
          <w:rFonts w:hint="cs"/>
          <w:rtl/>
        </w:rPr>
        <w:t>הפעלת שני מאסרים על תנאי מ</w:t>
      </w:r>
      <w:hyperlink r:id="rId69" w:history="1">
        <w:r w:rsidR="00AA734D" w:rsidRPr="00AA734D">
          <w:rPr>
            <w:color w:val="0000FF"/>
            <w:u w:val="single"/>
            <w:rtl/>
          </w:rPr>
          <w:t>ת"פ 56087-03-19</w:t>
        </w:r>
      </w:hyperlink>
      <w:r>
        <w:rPr>
          <w:rFonts w:hint="cs"/>
          <w:rtl/>
        </w:rPr>
        <w:t xml:space="preserve"> של עשרה חודשים ושל שלושה חודשים, הפעלת מאסר על תנאי מ</w:t>
      </w:r>
      <w:hyperlink r:id="rId70" w:history="1">
        <w:r w:rsidR="00AA734D" w:rsidRPr="00AA734D">
          <w:rPr>
            <w:color w:val="0000FF"/>
            <w:u w:val="single"/>
            <w:rtl/>
          </w:rPr>
          <w:t>ת"פ 60747-08-18</w:t>
        </w:r>
      </w:hyperlink>
      <w:r>
        <w:rPr>
          <w:rFonts w:hint="cs"/>
          <w:rtl/>
        </w:rPr>
        <w:t xml:space="preserve"> של ארבעה חודשים, והפעלת מאסר על תנאי מ</w:t>
      </w:r>
      <w:hyperlink r:id="rId71" w:history="1">
        <w:r w:rsidR="00AA734D" w:rsidRPr="00AA734D">
          <w:rPr>
            <w:color w:val="0000FF"/>
            <w:u w:val="single"/>
            <w:rtl/>
          </w:rPr>
          <w:t>ת"פ 4707-01-20</w:t>
        </w:r>
      </w:hyperlink>
      <w:r>
        <w:rPr>
          <w:rFonts w:hint="cs"/>
          <w:rtl/>
        </w:rPr>
        <w:t xml:space="preserve"> של ארבעה חודשים. כל ארבעה המאסרים על תנאי יופעלו בחופף בינם לבין עצמם, היינו בס"ה הפעלה של 10 חודשי מאסר, כאשר המחצית של חמישה חודשים תרוצה במצטבר למאסר שהוטל בגין העבירות הנוכחיות, והמחצית בחופף לעונש בן השנה שהוטל בגין הרשעתה כעת. בס"ה תרצה הנאשמת עונש כולל של 17 חודשי מאסר, בניכוי כל ימי המעצר בכל התיקים הללו.</w:t>
      </w:r>
    </w:p>
    <w:p w14:paraId="5E5B082E" w14:textId="77777777" w:rsidR="008613F1" w:rsidRDefault="008613F1" w:rsidP="008613F1">
      <w:pPr>
        <w:pStyle w:val="a9"/>
        <w:numPr>
          <w:ilvl w:val="1"/>
          <w:numId w:val="1"/>
        </w:numPr>
        <w:contextualSpacing w:val="0"/>
        <w:jc w:val="both"/>
      </w:pPr>
      <w:r>
        <w:rPr>
          <w:rFonts w:hint="cs"/>
          <w:rtl/>
        </w:rPr>
        <w:t xml:space="preserve">שמונה חודשי מאסר על תנאי לשלוש שנים מתום המאסר בהתאם להוראות </w:t>
      </w:r>
      <w:hyperlink r:id="rId72" w:history="1">
        <w:r w:rsidR="00921D6E" w:rsidRPr="00921D6E">
          <w:rPr>
            <w:rStyle w:val="Hyperlink"/>
            <w:rFonts w:hint="eastAsia"/>
            <w:rtl/>
          </w:rPr>
          <w:t>סעיף</w:t>
        </w:r>
        <w:r w:rsidR="00921D6E" w:rsidRPr="00921D6E">
          <w:rPr>
            <w:rStyle w:val="Hyperlink"/>
            <w:rtl/>
          </w:rPr>
          <w:t xml:space="preserve"> 52(ג)</w:t>
        </w:r>
      </w:hyperlink>
      <w:r>
        <w:rPr>
          <w:rFonts w:hint="cs"/>
          <w:rtl/>
        </w:rPr>
        <w:t xml:space="preserve"> ל</w:t>
      </w:r>
      <w:hyperlink r:id="rId73" w:history="1">
        <w:r w:rsidR="00AA734D" w:rsidRPr="00AA734D">
          <w:rPr>
            <w:color w:val="0000FF"/>
            <w:u w:val="single"/>
            <w:rtl/>
          </w:rPr>
          <w:t>חוק העונשין</w:t>
        </w:r>
      </w:hyperlink>
      <w:r>
        <w:rPr>
          <w:rFonts w:hint="cs"/>
          <w:rtl/>
        </w:rPr>
        <w:t>, שלא תעבור עבירת סמים שהיא פשע.</w:t>
      </w:r>
    </w:p>
    <w:p w14:paraId="6555B60F" w14:textId="77777777" w:rsidR="008613F1" w:rsidRDefault="008613F1" w:rsidP="008613F1">
      <w:pPr>
        <w:pStyle w:val="a9"/>
        <w:numPr>
          <w:ilvl w:val="1"/>
          <w:numId w:val="1"/>
        </w:numPr>
        <w:contextualSpacing w:val="0"/>
        <w:jc w:val="both"/>
      </w:pPr>
      <w:r>
        <w:rPr>
          <w:rFonts w:hint="cs"/>
          <w:rtl/>
        </w:rPr>
        <w:t xml:space="preserve">ארבעה חודשי מאסר על תנאי לשלוש שנים מתום המאסר בהתאם להוראות </w:t>
      </w:r>
      <w:hyperlink r:id="rId74" w:history="1">
        <w:r w:rsidR="00921D6E" w:rsidRPr="00921D6E">
          <w:rPr>
            <w:rStyle w:val="Hyperlink"/>
            <w:rFonts w:hint="eastAsia"/>
            <w:rtl/>
          </w:rPr>
          <w:t>סעיף</w:t>
        </w:r>
        <w:r w:rsidR="00921D6E" w:rsidRPr="00921D6E">
          <w:rPr>
            <w:rStyle w:val="Hyperlink"/>
            <w:rtl/>
          </w:rPr>
          <w:t xml:space="preserve"> 52(ג)</w:t>
        </w:r>
      </w:hyperlink>
      <w:r>
        <w:rPr>
          <w:rFonts w:hint="cs"/>
          <w:rtl/>
        </w:rPr>
        <w:t xml:space="preserve"> ל</w:t>
      </w:r>
      <w:hyperlink r:id="rId75" w:history="1">
        <w:r w:rsidR="00AA734D" w:rsidRPr="00AA734D">
          <w:rPr>
            <w:color w:val="0000FF"/>
            <w:u w:val="single"/>
            <w:rtl/>
          </w:rPr>
          <w:t>חוק העונשין</w:t>
        </w:r>
      </w:hyperlink>
      <w:r>
        <w:rPr>
          <w:rFonts w:hint="cs"/>
          <w:rtl/>
        </w:rPr>
        <w:t>, שלא תעבור עבירת סמים שהיא עוון, או עבירה של איומים או עבירה של תקיפה או עבירה של הפרעה לשוטר.</w:t>
      </w:r>
    </w:p>
    <w:p w14:paraId="24364620" w14:textId="77777777" w:rsidR="008613F1" w:rsidRDefault="008613F1" w:rsidP="008613F1">
      <w:pPr>
        <w:pStyle w:val="a9"/>
        <w:numPr>
          <w:ilvl w:val="1"/>
          <w:numId w:val="1"/>
        </w:numPr>
        <w:contextualSpacing w:val="0"/>
        <w:jc w:val="both"/>
      </w:pPr>
      <w:r>
        <w:rPr>
          <w:rFonts w:hint="cs"/>
          <w:rtl/>
        </w:rPr>
        <w:t>הפעלת התחייבות בסך ע"ס 1,000 ₪ מ</w:t>
      </w:r>
      <w:hyperlink r:id="rId76" w:history="1">
        <w:r w:rsidR="00AA734D" w:rsidRPr="00AA734D">
          <w:rPr>
            <w:color w:val="0000FF"/>
            <w:u w:val="single"/>
            <w:rtl/>
          </w:rPr>
          <w:t>ת"פ 56087-03-19</w:t>
        </w:r>
      </w:hyperlink>
      <w:r>
        <w:rPr>
          <w:rFonts w:hint="cs"/>
          <w:rtl/>
        </w:rPr>
        <w:t xml:space="preserve"> או שבועיים מאסר תמורתה, ההתחייבות תשולם עד ליום 1.1.25.</w:t>
      </w:r>
    </w:p>
    <w:p w14:paraId="512D09F3" w14:textId="77777777" w:rsidR="008613F1" w:rsidRDefault="008613F1" w:rsidP="008613F1">
      <w:pPr>
        <w:pStyle w:val="a9"/>
        <w:numPr>
          <w:ilvl w:val="1"/>
          <w:numId w:val="1"/>
        </w:numPr>
        <w:contextualSpacing w:val="0"/>
        <w:jc w:val="both"/>
      </w:pPr>
      <w:r>
        <w:rPr>
          <w:rFonts w:hint="cs"/>
          <w:rtl/>
        </w:rPr>
        <w:t xml:space="preserve">חילוט הכסף שנתפס במסגרת </w:t>
      </w:r>
      <w:hyperlink r:id="rId77" w:history="1">
        <w:r w:rsidR="00AA734D" w:rsidRPr="00AA734D">
          <w:rPr>
            <w:color w:val="0000FF"/>
            <w:u w:val="single"/>
            <w:rtl/>
          </w:rPr>
          <w:t>ת"פ 56713-06-22</w:t>
        </w:r>
      </w:hyperlink>
      <w:r>
        <w:rPr>
          <w:rFonts w:hint="cs"/>
          <w:rtl/>
        </w:rPr>
        <w:t xml:space="preserve"> לקרן בהתאם להוראות </w:t>
      </w:r>
      <w:hyperlink r:id="rId78" w:history="1">
        <w:r w:rsidR="00921D6E" w:rsidRPr="00921D6E">
          <w:rPr>
            <w:rStyle w:val="Hyperlink"/>
            <w:rFonts w:hint="eastAsia"/>
            <w:rtl/>
          </w:rPr>
          <w:t>סעיף</w:t>
        </w:r>
        <w:r w:rsidR="00921D6E" w:rsidRPr="00921D6E">
          <w:rPr>
            <w:rStyle w:val="Hyperlink"/>
            <w:rtl/>
          </w:rPr>
          <w:t xml:space="preserve"> 36א'</w:t>
        </w:r>
      </w:hyperlink>
      <w:r>
        <w:rPr>
          <w:rFonts w:hint="cs"/>
          <w:rtl/>
        </w:rPr>
        <w:t xml:space="preserve"> ל</w:t>
      </w:r>
      <w:hyperlink r:id="rId79" w:history="1">
        <w:r w:rsidR="00AA734D" w:rsidRPr="00AA734D">
          <w:rPr>
            <w:color w:val="0000FF"/>
            <w:u w:val="single"/>
            <w:rtl/>
          </w:rPr>
          <w:t>פקודת הסמים המסוכנים</w:t>
        </w:r>
      </w:hyperlink>
      <w:r>
        <w:rPr>
          <w:rFonts w:hint="cs"/>
          <w:rtl/>
        </w:rPr>
        <w:t>.</w:t>
      </w:r>
    </w:p>
    <w:p w14:paraId="47E37E54" w14:textId="77777777" w:rsidR="008613F1" w:rsidRDefault="008613F1" w:rsidP="008613F1">
      <w:pPr>
        <w:pStyle w:val="a9"/>
        <w:numPr>
          <w:ilvl w:val="0"/>
          <w:numId w:val="1"/>
        </w:numPr>
        <w:contextualSpacing w:val="0"/>
        <w:jc w:val="both"/>
      </w:pPr>
      <w:r>
        <w:rPr>
          <w:rFonts w:hint="cs"/>
          <w:rtl/>
        </w:rPr>
        <w:t>בית המשפט מודה לשירות המבחן ולצוות בית המשפט הקהילתי.</w:t>
      </w:r>
    </w:p>
    <w:p w14:paraId="7D722831" w14:textId="77777777" w:rsidR="008613F1" w:rsidRDefault="008613F1" w:rsidP="008613F1">
      <w:pPr>
        <w:pStyle w:val="a9"/>
        <w:numPr>
          <w:ilvl w:val="0"/>
          <w:numId w:val="1"/>
        </w:numPr>
        <w:contextualSpacing w:val="0"/>
        <w:jc w:val="both"/>
      </w:pPr>
      <w:r>
        <w:rPr>
          <w:rFonts w:hint="cs"/>
          <w:rtl/>
        </w:rPr>
        <w:t>המוצגים יושמדו או יוחזרו לבעליהם לשיקול דעת תחנת המשטרה הרלוונטית.</w:t>
      </w:r>
    </w:p>
    <w:p w14:paraId="1F7CCB2D" w14:textId="77777777" w:rsidR="008613F1" w:rsidRDefault="008613F1" w:rsidP="008613F1">
      <w:pPr>
        <w:pStyle w:val="a9"/>
        <w:numPr>
          <w:ilvl w:val="0"/>
          <w:numId w:val="1"/>
        </w:numPr>
        <w:contextualSpacing w:val="0"/>
        <w:jc w:val="both"/>
      </w:pPr>
      <w:r>
        <w:rPr>
          <w:rFonts w:hint="cs"/>
          <w:rtl/>
        </w:rPr>
        <w:t>זכות ערעור לבית המשפט המחוזי בתוך 45 ימים.</w:t>
      </w:r>
    </w:p>
    <w:p w14:paraId="118B3C11" w14:textId="77777777" w:rsidR="008613F1" w:rsidRPr="00AA734D" w:rsidRDefault="00AA734D" w:rsidP="008613F1">
      <w:pPr>
        <w:spacing w:before="120" w:line="400" w:lineRule="atLeast"/>
        <w:jc w:val="both"/>
        <w:rPr>
          <w:rFonts w:ascii="Arial" w:hAnsi="Arial"/>
          <w:b/>
          <w:bCs/>
          <w:color w:val="FFFFFF"/>
          <w:sz w:val="2"/>
          <w:szCs w:val="2"/>
          <w:rtl/>
        </w:rPr>
      </w:pPr>
      <w:r w:rsidRPr="00AA734D">
        <w:rPr>
          <w:rFonts w:ascii="Arial" w:hAnsi="Arial"/>
          <w:b/>
          <w:bCs/>
          <w:color w:val="FFFFFF"/>
          <w:sz w:val="2"/>
          <w:szCs w:val="2"/>
          <w:rtl/>
        </w:rPr>
        <w:t>5129371</w:t>
      </w:r>
    </w:p>
    <w:p w14:paraId="258C0CED" w14:textId="77777777" w:rsidR="008613F1" w:rsidRPr="00AA734D" w:rsidRDefault="00AA734D" w:rsidP="008613F1">
      <w:pPr>
        <w:rPr>
          <w:rFonts w:ascii="Arial" w:hAnsi="Arial"/>
          <w:b/>
          <w:bCs/>
          <w:color w:val="FFFFFF"/>
          <w:sz w:val="2"/>
          <w:szCs w:val="2"/>
          <w:rtl/>
        </w:rPr>
      </w:pPr>
      <w:r w:rsidRPr="00AA734D">
        <w:rPr>
          <w:rFonts w:ascii="Arial" w:hAnsi="Arial"/>
          <w:b/>
          <w:bCs/>
          <w:color w:val="FFFFFF"/>
          <w:sz w:val="2"/>
          <w:szCs w:val="2"/>
          <w:rtl/>
        </w:rPr>
        <w:t>54678313</w:t>
      </w:r>
    </w:p>
    <w:p w14:paraId="08D8B525" w14:textId="77777777" w:rsidR="008613F1" w:rsidRPr="000F2247" w:rsidRDefault="008613F1" w:rsidP="008613F1">
      <w:pPr>
        <w:rPr>
          <w:rFonts w:ascii="Arial" w:hAnsi="Arial"/>
          <w:b/>
          <w:bCs/>
          <w:sz w:val="26"/>
          <w:szCs w:val="26"/>
          <w:rtl/>
        </w:rPr>
      </w:pPr>
    </w:p>
    <w:p w14:paraId="7CAA0622" w14:textId="77777777" w:rsidR="008613F1" w:rsidRPr="000F2247" w:rsidRDefault="00AA734D" w:rsidP="008613F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ניסן תשפ"ד, 15 אפריל 2024, בהעדר הצדדים. </w:t>
      </w:r>
      <w:bookmarkEnd w:id="8"/>
      <w:r w:rsidR="008613F1">
        <w:rPr>
          <w:rFonts w:ascii="Arial" w:hAnsi="Arial"/>
          <w:b/>
          <w:bCs/>
          <w:sz w:val="26"/>
          <w:szCs w:val="26"/>
          <w:rtl/>
        </w:rPr>
        <w:tab/>
      </w:r>
      <w:r w:rsidR="008613F1">
        <w:rPr>
          <w:rFonts w:ascii="Arial" w:hAnsi="Arial"/>
          <w:b/>
          <w:bCs/>
          <w:sz w:val="26"/>
          <w:szCs w:val="26"/>
          <w:rtl/>
        </w:rPr>
        <w:tab/>
      </w:r>
      <w:r w:rsidR="008613F1">
        <w:rPr>
          <w:rFonts w:ascii="Arial" w:hAnsi="Arial"/>
          <w:b/>
          <w:bCs/>
          <w:sz w:val="26"/>
          <w:szCs w:val="26"/>
          <w:rtl/>
        </w:rPr>
        <w:tab/>
      </w:r>
      <w:r w:rsidR="008613F1">
        <w:rPr>
          <w:rFonts w:ascii="Arial" w:hAnsi="Arial"/>
          <w:b/>
          <w:bCs/>
          <w:sz w:val="26"/>
          <w:szCs w:val="26"/>
          <w:rtl/>
        </w:rPr>
        <w:tab/>
      </w:r>
      <w:r w:rsidR="008613F1">
        <w:rPr>
          <w:rFonts w:ascii="Arial" w:hAnsi="Arial"/>
          <w:b/>
          <w:bCs/>
          <w:sz w:val="26"/>
          <w:szCs w:val="26"/>
          <w:rtl/>
        </w:rPr>
        <w:tab/>
      </w:r>
      <w:r w:rsidR="008613F1">
        <w:rPr>
          <w:rFonts w:ascii="Arial" w:hAnsi="Arial"/>
          <w:b/>
          <w:bCs/>
          <w:sz w:val="26"/>
          <w:szCs w:val="26"/>
          <w:rtl/>
        </w:rPr>
        <w:tab/>
      </w:r>
      <w:r w:rsidR="008613F1">
        <w:rPr>
          <w:rFonts w:ascii="Arial" w:hAnsi="Arial"/>
          <w:b/>
          <w:bCs/>
          <w:sz w:val="26"/>
          <w:szCs w:val="26"/>
          <w:rtl/>
        </w:rPr>
        <w:tab/>
      </w:r>
      <w:r w:rsidR="008613F1">
        <w:rPr>
          <w:rFonts w:ascii="Arial" w:hAnsi="Arial" w:hint="cs"/>
          <w:b/>
          <w:bCs/>
          <w:sz w:val="26"/>
          <w:szCs w:val="26"/>
          <w:rtl/>
        </w:rPr>
        <w:t xml:space="preserve">         </w:t>
      </w:r>
    </w:p>
    <w:p w14:paraId="21BA4150" w14:textId="77777777" w:rsidR="008613F1" w:rsidRPr="000F2247" w:rsidRDefault="008613F1" w:rsidP="00AA734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1685064" w14:textId="77777777" w:rsidR="008613F1" w:rsidRPr="000F2247" w:rsidRDefault="008613F1" w:rsidP="008613F1">
      <w:pPr>
        <w:jc w:val="center"/>
        <w:rPr>
          <w:rFonts w:ascii="Arial" w:hAnsi="Arial"/>
          <w:b/>
          <w:bCs/>
          <w:sz w:val="26"/>
          <w:szCs w:val="26"/>
          <w:rtl/>
        </w:rPr>
      </w:pPr>
    </w:p>
    <w:p w14:paraId="19E0B3E5" w14:textId="77777777" w:rsidR="00420D37" w:rsidRPr="00AA734D" w:rsidRDefault="00420D37" w:rsidP="00AA734D">
      <w:pPr>
        <w:keepNext/>
        <w:rPr>
          <w:rFonts w:ascii="David" w:hAnsi="David"/>
          <w:color w:val="000000"/>
          <w:sz w:val="22"/>
          <w:szCs w:val="22"/>
          <w:rtl/>
        </w:rPr>
      </w:pPr>
    </w:p>
    <w:p w14:paraId="5C620812" w14:textId="77777777" w:rsidR="00AA734D" w:rsidRPr="00AA734D" w:rsidRDefault="00AA734D" w:rsidP="00AA734D">
      <w:pPr>
        <w:keepNext/>
        <w:rPr>
          <w:rFonts w:ascii="David" w:hAnsi="David"/>
          <w:color w:val="000000"/>
          <w:sz w:val="22"/>
          <w:szCs w:val="22"/>
          <w:rtl/>
        </w:rPr>
      </w:pPr>
      <w:r w:rsidRPr="00AA734D">
        <w:rPr>
          <w:rFonts w:ascii="David" w:hAnsi="David"/>
          <w:color w:val="000000"/>
          <w:sz w:val="22"/>
          <w:szCs w:val="22"/>
          <w:rtl/>
        </w:rPr>
        <w:t>אור אדם 54678313</w:t>
      </w:r>
    </w:p>
    <w:p w14:paraId="37DC8281" w14:textId="77777777" w:rsidR="00AA734D" w:rsidRDefault="00AA734D" w:rsidP="00AA734D">
      <w:r w:rsidRPr="00AA734D">
        <w:rPr>
          <w:color w:val="000000"/>
          <w:rtl/>
        </w:rPr>
        <w:t>נוסח מסמך זה כפוף לשינויי ניסוח ועריכה</w:t>
      </w:r>
    </w:p>
    <w:p w14:paraId="2187567F" w14:textId="77777777" w:rsidR="00AA734D" w:rsidRDefault="00AA734D" w:rsidP="00AA734D">
      <w:pPr>
        <w:rPr>
          <w:rtl/>
        </w:rPr>
      </w:pPr>
    </w:p>
    <w:p w14:paraId="600E127D" w14:textId="77777777" w:rsidR="00AA734D" w:rsidRDefault="00AA734D" w:rsidP="00AA734D">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16E822C6" w14:textId="77777777" w:rsidR="00AA734D" w:rsidRPr="00AA734D" w:rsidRDefault="00AA734D" w:rsidP="00AA734D">
      <w:pPr>
        <w:jc w:val="center"/>
        <w:rPr>
          <w:color w:val="0000FF"/>
          <w:u w:val="single"/>
        </w:rPr>
      </w:pPr>
    </w:p>
    <w:sectPr w:rsidR="00AA734D" w:rsidRPr="00AA734D" w:rsidSect="00AA734D">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C08EA" w14:textId="77777777" w:rsidR="005E1D54" w:rsidRDefault="005E1D54" w:rsidP="004D5951">
      <w:r>
        <w:separator/>
      </w:r>
    </w:p>
  </w:endnote>
  <w:endnote w:type="continuationSeparator" w:id="0">
    <w:p w14:paraId="30E1454A" w14:textId="77777777" w:rsidR="005E1D54" w:rsidRDefault="005E1D54" w:rsidP="004D5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4720D" w14:textId="77777777" w:rsidR="00AA734D" w:rsidRDefault="00AA734D" w:rsidP="00AA73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5184061" w14:textId="77777777" w:rsidR="006A2E63" w:rsidRPr="00AA734D" w:rsidRDefault="00AA734D" w:rsidP="00AA73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7E39D" w14:textId="77777777" w:rsidR="00AA734D" w:rsidRDefault="00AA734D" w:rsidP="00AA73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26A2">
      <w:rPr>
        <w:rFonts w:ascii="FrankRuehl" w:hAnsi="FrankRuehl" w:cs="FrankRuehl"/>
        <w:noProof/>
        <w:rtl/>
      </w:rPr>
      <w:t>1</w:t>
    </w:r>
    <w:r>
      <w:rPr>
        <w:rFonts w:ascii="FrankRuehl" w:hAnsi="FrankRuehl" w:cs="FrankRuehl"/>
        <w:rtl/>
      </w:rPr>
      <w:fldChar w:fldCharType="end"/>
    </w:r>
  </w:p>
  <w:p w14:paraId="6303D6F9" w14:textId="77777777" w:rsidR="006A2E63" w:rsidRPr="00AA734D" w:rsidRDefault="00AA734D" w:rsidP="00AA73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F3B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4C6FD" w14:textId="77777777" w:rsidR="005E1D54" w:rsidRDefault="005E1D54" w:rsidP="004D5951">
      <w:r>
        <w:separator/>
      </w:r>
    </w:p>
  </w:footnote>
  <w:footnote w:type="continuationSeparator" w:id="0">
    <w:p w14:paraId="77F01C4A" w14:textId="77777777" w:rsidR="005E1D54" w:rsidRDefault="005E1D54" w:rsidP="004D5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44A56" w14:textId="77777777" w:rsidR="00AA734D" w:rsidRPr="00AA734D" w:rsidRDefault="00AA734D" w:rsidP="00AA73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(ב"ש) 22029-08-19</w:t>
    </w:r>
    <w:r>
      <w:rPr>
        <w:rFonts w:ascii="David" w:hAnsi="David"/>
        <w:color w:val="000000"/>
        <w:sz w:val="22"/>
        <w:szCs w:val="22"/>
        <w:rtl/>
      </w:rPr>
      <w:tab/>
      <w:t xml:space="preserve"> מדינת ישראל נ' אלכסנדרה רודיגין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2D85D" w14:textId="77777777" w:rsidR="00AA734D" w:rsidRPr="00AA734D" w:rsidRDefault="00AA734D" w:rsidP="00AA73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(ב"ש) 22029-08-19</w:t>
    </w:r>
    <w:r>
      <w:rPr>
        <w:rFonts w:ascii="David" w:hAnsi="David"/>
        <w:color w:val="000000"/>
        <w:sz w:val="22"/>
        <w:szCs w:val="22"/>
        <w:rtl/>
      </w:rPr>
      <w:tab/>
      <w:t xml:space="preserve"> מדינת ישראל נ' אלכסנדרה רודיגין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2630F"/>
    <w:multiLevelType w:val="hybridMultilevel"/>
    <w:tmpl w:val="22AEF052"/>
    <w:lvl w:ilvl="0" w:tplc="0409000F">
      <w:start w:val="1"/>
      <w:numFmt w:val="decimal"/>
      <w:lvlText w:val="%1."/>
      <w:lvlJc w:val="left"/>
      <w:pPr>
        <w:ind w:left="720" w:hanging="360"/>
      </w:pPr>
    </w:lvl>
    <w:lvl w:ilvl="1" w:tplc="1A3E2910">
      <w:start w:val="1"/>
      <w:numFmt w:val="hebrew1"/>
      <w:lvlText w:val="%2."/>
      <w:lvlJc w:val="center"/>
      <w:pPr>
        <w:ind w:left="1440" w:hanging="360"/>
      </w:pPr>
      <w:rPr>
        <w:lang w:val="en-US"/>
      </w:rPr>
    </w:lvl>
    <w:lvl w:ilvl="2" w:tplc="1CFA0E32">
      <w:numFmt w:val="bullet"/>
      <w:lvlText w:val=""/>
      <w:lvlJc w:val="left"/>
      <w:pPr>
        <w:ind w:left="2160" w:right="2340" w:hanging="360"/>
      </w:pPr>
      <w:rPr>
        <w:rFonts w:ascii="Symbol" w:eastAsia="Calibri" w:hAnsi="Symbol" w:cs="David"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2380603">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13F1"/>
    <w:rsid w:val="001B5A3B"/>
    <w:rsid w:val="00315349"/>
    <w:rsid w:val="00347CB0"/>
    <w:rsid w:val="00420D37"/>
    <w:rsid w:val="00422487"/>
    <w:rsid w:val="004D5951"/>
    <w:rsid w:val="005E1D54"/>
    <w:rsid w:val="005F00FE"/>
    <w:rsid w:val="006626A2"/>
    <w:rsid w:val="0067760A"/>
    <w:rsid w:val="006A2E63"/>
    <w:rsid w:val="0070500E"/>
    <w:rsid w:val="008613F1"/>
    <w:rsid w:val="00921D6E"/>
    <w:rsid w:val="00A26C07"/>
    <w:rsid w:val="00AA734D"/>
    <w:rsid w:val="00C511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E82C81"/>
  <w15:chartTrackingRefBased/>
  <w15:docId w15:val="{6AD98A24-8A00-49F4-8038-2F3DE5EC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13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13F1"/>
    <w:pPr>
      <w:tabs>
        <w:tab w:val="center" w:pos="4153"/>
        <w:tab w:val="right" w:pos="8306"/>
      </w:tabs>
    </w:pPr>
  </w:style>
  <w:style w:type="character" w:customStyle="1" w:styleId="a4">
    <w:name w:val="כותרת עליונה תו"/>
    <w:link w:val="a3"/>
    <w:rsid w:val="008613F1"/>
    <w:rPr>
      <w:rFonts w:ascii="Times New Roman" w:eastAsia="Times New Roman" w:hAnsi="Times New Roman" w:cs="David"/>
      <w:sz w:val="24"/>
      <w:szCs w:val="24"/>
    </w:rPr>
  </w:style>
  <w:style w:type="paragraph" w:styleId="a5">
    <w:name w:val="footer"/>
    <w:basedOn w:val="a"/>
    <w:link w:val="a6"/>
    <w:rsid w:val="008613F1"/>
    <w:pPr>
      <w:tabs>
        <w:tab w:val="center" w:pos="4153"/>
        <w:tab w:val="right" w:pos="8306"/>
      </w:tabs>
    </w:pPr>
  </w:style>
  <w:style w:type="character" w:customStyle="1" w:styleId="a6">
    <w:name w:val="כותרת תחתונה תו"/>
    <w:link w:val="a5"/>
    <w:rsid w:val="008613F1"/>
    <w:rPr>
      <w:rFonts w:ascii="Times New Roman" w:eastAsia="Times New Roman" w:hAnsi="Times New Roman" w:cs="David"/>
      <w:sz w:val="24"/>
      <w:szCs w:val="24"/>
    </w:rPr>
  </w:style>
  <w:style w:type="table" w:styleId="a7">
    <w:name w:val="Table Grid"/>
    <w:basedOn w:val="a1"/>
    <w:rsid w:val="008613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613F1"/>
  </w:style>
  <w:style w:type="paragraph" w:styleId="a9">
    <w:name w:val="List Paragraph"/>
    <w:basedOn w:val="a"/>
    <w:qFormat/>
    <w:rsid w:val="008613F1"/>
    <w:pPr>
      <w:spacing w:before="120" w:line="400" w:lineRule="atLeast"/>
      <w:ind w:left="720"/>
      <w:contextualSpacing/>
    </w:pPr>
    <w:rPr>
      <w:rFonts w:ascii="David" w:eastAsia="Calibri" w:hAnsi="David"/>
    </w:rPr>
  </w:style>
  <w:style w:type="character" w:styleId="Hyperlink">
    <w:name w:val="Hyperlink"/>
    <w:rsid w:val="00AA7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86.a" TargetMode="External"/><Relationship Id="rId21" Type="http://schemas.openxmlformats.org/officeDocument/2006/relationships/hyperlink" Target="http://www.nevo.co.il/law/4216/7.a" TargetMode="External"/><Relationship Id="rId42" Type="http://schemas.openxmlformats.org/officeDocument/2006/relationships/hyperlink" Target="http://www.nevo.co.il/law/4216/7.a" TargetMode="External"/><Relationship Id="rId47" Type="http://schemas.openxmlformats.org/officeDocument/2006/relationships/hyperlink" Target="http://www.nevo.co.il/case/26327788" TargetMode="External"/><Relationship Id="rId63" Type="http://schemas.openxmlformats.org/officeDocument/2006/relationships/hyperlink" Target="http://www.nevo.co.il/case/6247102" TargetMode="External"/><Relationship Id="rId68" Type="http://schemas.openxmlformats.org/officeDocument/2006/relationships/hyperlink" Target="http://www.nevo.co.il/case/5588319" TargetMode="External"/><Relationship Id="rId84" Type="http://schemas.openxmlformats.org/officeDocument/2006/relationships/footer" Target="footer2.xml"/><Relationship Id="rId16" Type="http://schemas.openxmlformats.org/officeDocument/2006/relationships/hyperlink" Target="http://www.nevo.co.il/law/70301/40jc" TargetMode="External"/><Relationship Id="rId11" Type="http://schemas.openxmlformats.org/officeDocument/2006/relationships/hyperlink" Target="http://www.nevo.co.il/law/70301/186.a"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4216/7.a.c" TargetMode="External"/><Relationship Id="rId53" Type="http://schemas.openxmlformats.org/officeDocument/2006/relationships/hyperlink" Target="http://www.nevo.co.il/case/7009926" TargetMode="External"/><Relationship Id="rId58" Type="http://schemas.openxmlformats.org/officeDocument/2006/relationships/hyperlink" Target="http://www.nevo.co.il/case/28723824" TargetMode="External"/><Relationship Id="rId74" Type="http://schemas.openxmlformats.org/officeDocument/2006/relationships/hyperlink" Target="http://www.nevo.co.il/law/70301/52.c" TargetMode="External"/><Relationship Id="rId79" Type="http://schemas.openxmlformats.org/officeDocument/2006/relationships/hyperlink" Target="http://www.nevo.co.il/law/4216" TargetMode="External"/><Relationship Id="rId5" Type="http://schemas.openxmlformats.org/officeDocument/2006/relationships/footnotes" Target="footnotes.xml"/><Relationship Id="rId19" Type="http://schemas.openxmlformats.org/officeDocument/2006/relationships/hyperlink" Target="http://www.nevo.co.il/law/74918/47.a" TargetMode="External"/><Relationship Id="rId14" Type="http://schemas.openxmlformats.org/officeDocument/2006/relationships/hyperlink" Target="http://www.nevo.co.il/law/70301/273" TargetMode="External"/><Relationship Id="rId22" Type="http://schemas.openxmlformats.org/officeDocument/2006/relationships/hyperlink" Target="http://www.nevo.co.il/law/4216/7.a.c" TargetMode="External"/><Relationship Id="rId27" Type="http://schemas.openxmlformats.org/officeDocument/2006/relationships/hyperlink" Target="http://www.nevo.co.il/law/70301/192" TargetMode="External"/><Relationship Id="rId30" Type="http://schemas.openxmlformats.org/officeDocument/2006/relationships/hyperlink" Target="http://www.nevo.co.il/case/25941119" TargetMode="External"/><Relationship Id="rId35" Type="http://schemas.openxmlformats.org/officeDocument/2006/relationships/hyperlink" Target="http://www.nevo.co.il/law/74918" TargetMode="External"/><Relationship Id="rId43" Type="http://schemas.openxmlformats.org/officeDocument/2006/relationships/hyperlink" Target="http://www.nevo.co.il/law/4216/7.c" TargetMode="External"/><Relationship Id="rId48" Type="http://schemas.openxmlformats.org/officeDocument/2006/relationships/hyperlink" Target="http://www.nevo.co.il/case/25566523" TargetMode="External"/><Relationship Id="rId56" Type="http://schemas.openxmlformats.org/officeDocument/2006/relationships/hyperlink" Target="http://www.nevo.co.il/case/25941119" TargetMode="External"/><Relationship Id="rId64" Type="http://schemas.openxmlformats.org/officeDocument/2006/relationships/hyperlink" Target="http://www.nevo.co.il/law/70301/56.a" TargetMode="External"/><Relationship Id="rId69" Type="http://schemas.openxmlformats.org/officeDocument/2006/relationships/hyperlink" Target="http://www.nevo.co.il/case/25566523" TargetMode="External"/><Relationship Id="rId77" Type="http://schemas.openxmlformats.org/officeDocument/2006/relationships/hyperlink" Target="http://www.nevo.co.il/case/28723824" TargetMode="External"/><Relationship Id="rId8" Type="http://schemas.openxmlformats.org/officeDocument/2006/relationships/hyperlink" Target="http://www.nevo.co.il/law/70301/52.c" TargetMode="External"/><Relationship Id="rId51" Type="http://schemas.openxmlformats.org/officeDocument/2006/relationships/hyperlink" Target="http://www.nevo.co.il/case/20033641" TargetMode="External"/><Relationship Id="rId72" Type="http://schemas.openxmlformats.org/officeDocument/2006/relationships/hyperlink" Target="http://www.nevo.co.il/law/70301/52.c"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452" TargetMode="External"/><Relationship Id="rId25" Type="http://schemas.openxmlformats.org/officeDocument/2006/relationships/hyperlink" Target="http://www.nevo.co.il/case/2708034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 TargetMode="External"/><Relationship Id="rId46" Type="http://schemas.openxmlformats.org/officeDocument/2006/relationships/hyperlink" Target="http://www.nevo.co.il/case/24957054" TargetMode="External"/><Relationship Id="rId59" Type="http://schemas.openxmlformats.org/officeDocument/2006/relationships/hyperlink" Target="http://www.nevo.co.il/case/27867699" TargetMode="External"/><Relationship Id="rId67" Type="http://schemas.openxmlformats.org/officeDocument/2006/relationships/hyperlink" Target="http://www.nevo.co.il/law/70301/58"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8723824" TargetMode="External"/><Relationship Id="rId54" Type="http://schemas.openxmlformats.org/officeDocument/2006/relationships/hyperlink" Target="http://www.nevo.co.il/case/25029385" TargetMode="External"/><Relationship Id="rId62" Type="http://schemas.openxmlformats.org/officeDocument/2006/relationships/hyperlink" Target="http://www.nevo.co.il/case/27080346" TargetMode="External"/><Relationship Id="rId70" Type="http://schemas.openxmlformats.org/officeDocument/2006/relationships/hyperlink" Target="http://www.nevo.co.il/case/24957054" TargetMode="External"/><Relationship Id="rId75" Type="http://schemas.openxmlformats.org/officeDocument/2006/relationships/hyperlink" Target="http://www.nevo.co.il/law/70301"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452" TargetMode="External"/><Relationship Id="rId36" Type="http://schemas.openxmlformats.org/officeDocument/2006/relationships/hyperlink" Target="http://www.nevo.co.il/case/28150708" TargetMode="External"/><Relationship Id="rId49" Type="http://schemas.openxmlformats.org/officeDocument/2006/relationships/hyperlink" Target="http://www.nevo.co.il/law/70301/40jc" TargetMode="External"/><Relationship Id="rId57" Type="http://schemas.openxmlformats.org/officeDocument/2006/relationships/hyperlink" Target="http://www.nevo.co.il/case/28150708" TargetMode="External"/><Relationship Id="rId10" Type="http://schemas.openxmlformats.org/officeDocument/2006/relationships/hyperlink" Target="http://www.nevo.co.il/law/70301/58" TargetMode="External"/><Relationship Id="rId31" Type="http://schemas.openxmlformats.org/officeDocument/2006/relationships/hyperlink" Target="http://www.nevo.co.il/law/70301/273" TargetMode="External"/><Relationship Id="rId44" Type="http://schemas.openxmlformats.org/officeDocument/2006/relationships/hyperlink" Target="http://www.nevo.co.il/law/4216" TargetMode="External"/><Relationship Id="rId52" Type="http://schemas.openxmlformats.org/officeDocument/2006/relationships/hyperlink" Target="http://www.nevo.co.il/case/6018516" TargetMode="External"/><Relationship Id="rId60" Type="http://schemas.openxmlformats.org/officeDocument/2006/relationships/hyperlink" Target="http://www.nevo.co.il/case/25615069"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 TargetMode="External"/><Relationship Id="rId78" Type="http://schemas.openxmlformats.org/officeDocument/2006/relationships/hyperlink" Target="http://www.nevo.co.il/law/4216/36a"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56.a"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4918" TargetMode="External"/><Relationship Id="rId39" Type="http://schemas.openxmlformats.org/officeDocument/2006/relationships/hyperlink" Target="http://www.nevo.co.il/law/70301/244" TargetMode="External"/><Relationship Id="rId34" Type="http://schemas.openxmlformats.org/officeDocument/2006/relationships/hyperlink" Target="http://www.nevo.co.il/law/74918/47.a"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7513365" TargetMode="External"/><Relationship Id="rId76" Type="http://schemas.openxmlformats.org/officeDocument/2006/relationships/hyperlink" Target="http://www.nevo.co.il/case/25566523"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6327788"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4216/36a"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5566523" TargetMode="External"/><Relationship Id="rId66" Type="http://schemas.openxmlformats.org/officeDocument/2006/relationships/hyperlink" Target="http://www.nevo.co.il/case/6241402" TargetMode="External"/><Relationship Id="rId61" Type="http://schemas.openxmlformats.org/officeDocument/2006/relationships/hyperlink" Target="http://www.nevo.co.il/case/26500369"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3437</Words>
  <Characters>17188</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20584</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8257637</vt:i4>
      </vt:variant>
      <vt:variant>
        <vt:i4>216</vt:i4>
      </vt:variant>
      <vt:variant>
        <vt:i4>0</vt:i4>
      </vt:variant>
      <vt:variant>
        <vt:i4>5</vt:i4>
      </vt:variant>
      <vt:variant>
        <vt:lpwstr>http://www.nevo.co.il/law/4216</vt:lpwstr>
      </vt:variant>
      <vt:variant>
        <vt:lpwstr/>
      </vt:variant>
      <vt:variant>
        <vt:i4>2883708</vt:i4>
      </vt:variant>
      <vt:variant>
        <vt:i4>213</vt:i4>
      </vt:variant>
      <vt:variant>
        <vt:i4>0</vt:i4>
      </vt:variant>
      <vt:variant>
        <vt:i4>5</vt:i4>
      </vt:variant>
      <vt:variant>
        <vt:lpwstr>http://www.nevo.co.il/law/4216/36a</vt:lpwstr>
      </vt:variant>
      <vt:variant>
        <vt:lpwstr/>
      </vt:variant>
      <vt:variant>
        <vt:i4>3407990</vt:i4>
      </vt:variant>
      <vt:variant>
        <vt:i4>210</vt:i4>
      </vt:variant>
      <vt:variant>
        <vt:i4>0</vt:i4>
      </vt:variant>
      <vt:variant>
        <vt:i4>5</vt:i4>
      </vt:variant>
      <vt:variant>
        <vt:lpwstr>http://www.nevo.co.il/case/28723824</vt:lpwstr>
      </vt:variant>
      <vt:variant>
        <vt:lpwstr/>
      </vt:variant>
      <vt:variant>
        <vt:i4>3342450</vt:i4>
      </vt:variant>
      <vt:variant>
        <vt:i4>207</vt:i4>
      </vt:variant>
      <vt:variant>
        <vt:i4>0</vt:i4>
      </vt:variant>
      <vt:variant>
        <vt:i4>5</vt:i4>
      </vt:variant>
      <vt:variant>
        <vt:lpwstr>http://www.nevo.co.il/case/25566523</vt:lpwstr>
      </vt:variant>
      <vt:variant>
        <vt:lpwstr/>
      </vt:variant>
      <vt:variant>
        <vt:i4>7995492</vt:i4>
      </vt:variant>
      <vt:variant>
        <vt:i4>204</vt:i4>
      </vt:variant>
      <vt:variant>
        <vt:i4>0</vt:i4>
      </vt:variant>
      <vt:variant>
        <vt:i4>5</vt:i4>
      </vt:variant>
      <vt:variant>
        <vt:lpwstr>http://www.nevo.co.il/law/70301</vt:lpwstr>
      </vt:variant>
      <vt:variant>
        <vt:lpwstr/>
      </vt:variant>
      <vt:variant>
        <vt:i4>262222</vt:i4>
      </vt:variant>
      <vt:variant>
        <vt:i4>201</vt:i4>
      </vt:variant>
      <vt:variant>
        <vt:i4>0</vt:i4>
      </vt:variant>
      <vt:variant>
        <vt:i4>5</vt:i4>
      </vt:variant>
      <vt:variant>
        <vt:lpwstr>http://www.nevo.co.il/law/70301/52.c</vt:lpwstr>
      </vt:variant>
      <vt:variant>
        <vt:lpwstr/>
      </vt:variant>
      <vt:variant>
        <vt:i4>7995492</vt:i4>
      </vt:variant>
      <vt:variant>
        <vt:i4>198</vt:i4>
      </vt:variant>
      <vt:variant>
        <vt:i4>0</vt:i4>
      </vt:variant>
      <vt:variant>
        <vt:i4>5</vt:i4>
      </vt:variant>
      <vt:variant>
        <vt:lpwstr>http://www.nevo.co.il/law/70301</vt:lpwstr>
      </vt:variant>
      <vt:variant>
        <vt:lpwstr/>
      </vt:variant>
      <vt:variant>
        <vt:i4>262222</vt:i4>
      </vt:variant>
      <vt:variant>
        <vt:i4>195</vt:i4>
      </vt:variant>
      <vt:variant>
        <vt:i4>0</vt:i4>
      </vt:variant>
      <vt:variant>
        <vt:i4>5</vt:i4>
      </vt:variant>
      <vt:variant>
        <vt:lpwstr>http://www.nevo.co.il/law/70301/52.c</vt:lpwstr>
      </vt:variant>
      <vt:variant>
        <vt:lpwstr/>
      </vt:variant>
      <vt:variant>
        <vt:i4>4063351</vt:i4>
      </vt:variant>
      <vt:variant>
        <vt:i4>192</vt:i4>
      </vt:variant>
      <vt:variant>
        <vt:i4>0</vt:i4>
      </vt:variant>
      <vt:variant>
        <vt:i4>5</vt:i4>
      </vt:variant>
      <vt:variant>
        <vt:lpwstr>http://www.nevo.co.il/case/26327788</vt:lpwstr>
      </vt:variant>
      <vt:variant>
        <vt:lpwstr/>
      </vt:variant>
      <vt:variant>
        <vt:i4>3735669</vt:i4>
      </vt:variant>
      <vt:variant>
        <vt:i4>189</vt:i4>
      </vt:variant>
      <vt:variant>
        <vt:i4>0</vt:i4>
      </vt:variant>
      <vt:variant>
        <vt:i4>5</vt:i4>
      </vt:variant>
      <vt:variant>
        <vt:lpwstr>http://www.nevo.co.il/case/24957054</vt:lpwstr>
      </vt:variant>
      <vt:variant>
        <vt:lpwstr/>
      </vt:variant>
      <vt:variant>
        <vt:i4>3342450</vt:i4>
      </vt:variant>
      <vt:variant>
        <vt:i4>186</vt:i4>
      </vt:variant>
      <vt:variant>
        <vt:i4>0</vt:i4>
      </vt:variant>
      <vt:variant>
        <vt:i4>5</vt:i4>
      </vt:variant>
      <vt:variant>
        <vt:lpwstr>http://www.nevo.co.il/case/25566523</vt:lpwstr>
      </vt:variant>
      <vt:variant>
        <vt:lpwstr/>
      </vt:variant>
      <vt:variant>
        <vt:i4>3604600</vt:i4>
      </vt:variant>
      <vt:variant>
        <vt:i4>183</vt:i4>
      </vt:variant>
      <vt:variant>
        <vt:i4>0</vt:i4>
      </vt:variant>
      <vt:variant>
        <vt:i4>5</vt:i4>
      </vt:variant>
      <vt:variant>
        <vt:lpwstr>http://www.nevo.co.il/case/5588319</vt:lpwstr>
      </vt:variant>
      <vt:variant>
        <vt:lpwstr/>
      </vt:variant>
      <vt:variant>
        <vt:i4>7143520</vt:i4>
      </vt:variant>
      <vt:variant>
        <vt:i4>180</vt:i4>
      </vt:variant>
      <vt:variant>
        <vt:i4>0</vt:i4>
      </vt:variant>
      <vt:variant>
        <vt:i4>5</vt:i4>
      </vt:variant>
      <vt:variant>
        <vt:lpwstr>http://www.nevo.co.il/law/70301/58</vt:lpwstr>
      </vt:variant>
      <vt:variant>
        <vt:lpwstr/>
      </vt:variant>
      <vt:variant>
        <vt:i4>3407991</vt:i4>
      </vt:variant>
      <vt:variant>
        <vt:i4>177</vt:i4>
      </vt:variant>
      <vt:variant>
        <vt:i4>0</vt:i4>
      </vt:variant>
      <vt:variant>
        <vt:i4>5</vt:i4>
      </vt:variant>
      <vt:variant>
        <vt:lpwstr>http://www.nevo.co.il/case/6241402</vt:lpwstr>
      </vt:variant>
      <vt:variant>
        <vt:lpwstr/>
      </vt:variant>
      <vt:variant>
        <vt:i4>7995492</vt:i4>
      </vt:variant>
      <vt:variant>
        <vt:i4>174</vt:i4>
      </vt:variant>
      <vt:variant>
        <vt:i4>0</vt:i4>
      </vt:variant>
      <vt:variant>
        <vt:i4>5</vt:i4>
      </vt:variant>
      <vt:variant>
        <vt:lpwstr>http://www.nevo.co.il/law/70301</vt:lpwstr>
      </vt:variant>
      <vt:variant>
        <vt:lpwstr/>
      </vt:variant>
      <vt:variant>
        <vt:i4>131150</vt:i4>
      </vt:variant>
      <vt:variant>
        <vt:i4>171</vt:i4>
      </vt:variant>
      <vt:variant>
        <vt:i4>0</vt:i4>
      </vt:variant>
      <vt:variant>
        <vt:i4>5</vt:i4>
      </vt:variant>
      <vt:variant>
        <vt:lpwstr>http://www.nevo.co.il/law/70301/56.a</vt:lpwstr>
      </vt:variant>
      <vt:variant>
        <vt:lpwstr/>
      </vt:variant>
      <vt:variant>
        <vt:i4>3211377</vt:i4>
      </vt:variant>
      <vt:variant>
        <vt:i4>168</vt:i4>
      </vt:variant>
      <vt:variant>
        <vt:i4>0</vt:i4>
      </vt:variant>
      <vt:variant>
        <vt:i4>5</vt:i4>
      </vt:variant>
      <vt:variant>
        <vt:lpwstr>http://www.nevo.co.il/case/6247102</vt:lpwstr>
      </vt:variant>
      <vt:variant>
        <vt:lpwstr/>
      </vt:variant>
      <vt:variant>
        <vt:i4>3539064</vt:i4>
      </vt:variant>
      <vt:variant>
        <vt:i4>165</vt:i4>
      </vt:variant>
      <vt:variant>
        <vt:i4>0</vt:i4>
      </vt:variant>
      <vt:variant>
        <vt:i4>5</vt:i4>
      </vt:variant>
      <vt:variant>
        <vt:lpwstr>http://www.nevo.co.il/case/27080346</vt:lpwstr>
      </vt:variant>
      <vt:variant>
        <vt:lpwstr/>
      </vt:variant>
      <vt:variant>
        <vt:i4>3211377</vt:i4>
      </vt:variant>
      <vt:variant>
        <vt:i4>162</vt:i4>
      </vt:variant>
      <vt:variant>
        <vt:i4>0</vt:i4>
      </vt:variant>
      <vt:variant>
        <vt:i4>5</vt:i4>
      </vt:variant>
      <vt:variant>
        <vt:lpwstr>http://www.nevo.co.il/case/26500369</vt:lpwstr>
      </vt:variant>
      <vt:variant>
        <vt:lpwstr/>
      </vt:variant>
      <vt:variant>
        <vt:i4>3604592</vt:i4>
      </vt:variant>
      <vt:variant>
        <vt:i4>159</vt:i4>
      </vt:variant>
      <vt:variant>
        <vt:i4>0</vt:i4>
      </vt:variant>
      <vt:variant>
        <vt:i4>5</vt:i4>
      </vt:variant>
      <vt:variant>
        <vt:lpwstr>http://www.nevo.co.il/case/25615069</vt:lpwstr>
      </vt:variant>
      <vt:variant>
        <vt:lpwstr/>
      </vt:variant>
      <vt:variant>
        <vt:i4>3407987</vt:i4>
      </vt:variant>
      <vt:variant>
        <vt:i4>156</vt:i4>
      </vt:variant>
      <vt:variant>
        <vt:i4>0</vt:i4>
      </vt:variant>
      <vt:variant>
        <vt:i4>5</vt:i4>
      </vt:variant>
      <vt:variant>
        <vt:lpwstr>http://www.nevo.co.il/case/27867699</vt:lpwstr>
      </vt:variant>
      <vt:variant>
        <vt:lpwstr/>
      </vt:variant>
      <vt:variant>
        <vt:i4>3407990</vt:i4>
      </vt:variant>
      <vt:variant>
        <vt:i4>153</vt:i4>
      </vt:variant>
      <vt:variant>
        <vt:i4>0</vt:i4>
      </vt:variant>
      <vt:variant>
        <vt:i4>5</vt:i4>
      </vt:variant>
      <vt:variant>
        <vt:lpwstr>http://www.nevo.co.il/case/28723824</vt:lpwstr>
      </vt:variant>
      <vt:variant>
        <vt:lpwstr/>
      </vt:variant>
      <vt:variant>
        <vt:i4>3342462</vt:i4>
      </vt:variant>
      <vt:variant>
        <vt:i4>150</vt:i4>
      </vt:variant>
      <vt:variant>
        <vt:i4>0</vt:i4>
      </vt:variant>
      <vt:variant>
        <vt:i4>5</vt:i4>
      </vt:variant>
      <vt:variant>
        <vt:lpwstr>http://www.nevo.co.il/case/28150708</vt:lpwstr>
      </vt:variant>
      <vt:variant>
        <vt:lpwstr/>
      </vt:variant>
      <vt:variant>
        <vt:i4>3866740</vt:i4>
      </vt:variant>
      <vt:variant>
        <vt:i4>147</vt:i4>
      </vt:variant>
      <vt:variant>
        <vt:i4>0</vt:i4>
      </vt:variant>
      <vt:variant>
        <vt:i4>5</vt:i4>
      </vt:variant>
      <vt:variant>
        <vt:lpwstr>http://www.nevo.co.il/case/25941119</vt:lpwstr>
      </vt:variant>
      <vt:variant>
        <vt:lpwstr/>
      </vt:variant>
      <vt:variant>
        <vt:i4>3276913</vt:i4>
      </vt:variant>
      <vt:variant>
        <vt:i4>144</vt:i4>
      </vt:variant>
      <vt:variant>
        <vt:i4>0</vt:i4>
      </vt:variant>
      <vt:variant>
        <vt:i4>5</vt:i4>
      </vt:variant>
      <vt:variant>
        <vt:lpwstr>http://www.nevo.co.il/case/27513365</vt:lpwstr>
      </vt:variant>
      <vt:variant>
        <vt:lpwstr/>
      </vt:variant>
      <vt:variant>
        <vt:i4>3342448</vt:i4>
      </vt:variant>
      <vt:variant>
        <vt:i4>141</vt:i4>
      </vt:variant>
      <vt:variant>
        <vt:i4>0</vt:i4>
      </vt:variant>
      <vt:variant>
        <vt:i4>5</vt:i4>
      </vt:variant>
      <vt:variant>
        <vt:lpwstr>http://www.nevo.co.il/case/25029385</vt:lpwstr>
      </vt:variant>
      <vt:variant>
        <vt:lpwstr/>
      </vt:variant>
      <vt:variant>
        <vt:i4>3670143</vt:i4>
      </vt:variant>
      <vt:variant>
        <vt:i4>138</vt:i4>
      </vt:variant>
      <vt:variant>
        <vt:i4>0</vt:i4>
      </vt:variant>
      <vt:variant>
        <vt:i4>5</vt:i4>
      </vt:variant>
      <vt:variant>
        <vt:lpwstr>http://www.nevo.co.il/case/7009926</vt:lpwstr>
      </vt:variant>
      <vt:variant>
        <vt:lpwstr/>
      </vt:variant>
      <vt:variant>
        <vt:i4>3407997</vt:i4>
      </vt:variant>
      <vt:variant>
        <vt:i4>135</vt:i4>
      </vt:variant>
      <vt:variant>
        <vt:i4>0</vt:i4>
      </vt:variant>
      <vt:variant>
        <vt:i4>5</vt:i4>
      </vt:variant>
      <vt:variant>
        <vt:lpwstr>http://www.nevo.co.il/case/6018516</vt:lpwstr>
      </vt:variant>
      <vt:variant>
        <vt:lpwstr/>
      </vt:variant>
      <vt:variant>
        <vt:i4>3473521</vt:i4>
      </vt:variant>
      <vt:variant>
        <vt:i4>132</vt:i4>
      </vt:variant>
      <vt:variant>
        <vt:i4>0</vt:i4>
      </vt:variant>
      <vt:variant>
        <vt:i4>5</vt:i4>
      </vt:variant>
      <vt:variant>
        <vt:lpwstr>http://www.nevo.co.il/case/20033641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3342450</vt:i4>
      </vt:variant>
      <vt:variant>
        <vt:i4>123</vt:i4>
      </vt:variant>
      <vt:variant>
        <vt:i4>0</vt:i4>
      </vt:variant>
      <vt:variant>
        <vt:i4>5</vt:i4>
      </vt:variant>
      <vt:variant>
        <vt:lpwstr>http://www.nevo.co.il/case/25566523</vt:lpwstr>
      </vt:variant>
      <vt:variant>
        <vt:lpwstr/>
      </vt:variant>
      <vt:variant>
        <vt:i4>4063351</vt:i4>
      </vt:variant>
      <vt:variant>
        <vt:i4>120</vt:i4>
      </vt:variant>
      <vt:variant>
        <vt:i4>0</vt:i4>
      </vt:variant>
      <vt:variant>
        <vt:i4>5</vt:i4>
      </vt:variant>
      <vt:variant>
        <vt:lpwstr>http://www.nevo.co.il/case/26327788</vt:lpwstr>
      </vt:variant>
      <vt:variant>
        <vt:lpwstr/>
      </vt:variant>
      <vt:variant>
        <vt:i4>3735669</vt:i4>
      </vt:variant>
      <vt:variant>
        <vt:i4>117</vt:i4>
      </vt:variant>
      <vt:variant>
        <vt:i4>0</vt:i4>
      </vt:variant>
      <vt:variant>
        <vt:i4>5</vt:i4>
      </vt:variant>
      <vt:variant>
        <vt:lpwstr>http://www.nevo.co.il/case/24957054</vt:lpwstr>
      </vt:variant>
      <vt:variant>
        <vt:lpwstr/>
      </vt:variant>
      <vt:variant>
        <vt:i4>3342450</vt:i4>
      </vt:variant>
      <vt:variant>
        <vt:i4>114</vt:i4>
      </vt:variant>
      <vt:variant>
        <vt:i4>0</vt:i4>
      </vt:variant>
      <vt:variant>
        <vt:i4>5</vt:i4>
      </vt:variant>
      <vt:variant>
        <vt:lpwstr>http://www.nevo.co.il/case/25566523</vt:lpwstr>
      </vt:variant>
      <vt:variant>
        <vt:lpwstr/>
      </vt:variant>
      <vt:variant>
        <vt:i4>8257637</vt:i4>
      </vt:variant>
      <vt:variant>
        <vt:i4>111</vt:i4>
      </vt:variant>
      <vt:variant>
        <vt:i4>0</vt:i4>
      </vt:variant>
      <vt:variant>
        <vt:i4>5</vt:i4>
      </vt:variant>
      <vt:variant>
        <vt:lpwstr>http://www.nevo.co.il/law/4216</vt:lpwstr>
      </vt:variant>
      <vt:variant>
        <vt:lpwstr/>
      </vt:variant>
      <vt:variant>
        <vt:i4>2752612</vt:i4>
      </vt:variant>
      <vt:variant>
        <vt:i4>108</vt:i4>
      </vt:variant>
      <vt:variant>
        <vt:i4>0</vt:i4>
      </vt:variant>
      <vt:variant>
        <vt:i4>5</vt:i4>
      </vt:variant>
      <vt:variant>
        <vt:lpwstr>http://www.nevo.co.il/law/4216/7.c</vt:lpwstr>
      </vt:variant>
      <vt:variant>
        <vt:lpwstr/>
      </vt:variant>
      <vt:variant>
        <vt:i4>2621540</vt:i4>
      </vt:variant>
      <vt:variant>
        <vt:i4>105</vt:i4>
      </vt:variant>
      <vt:variant>
        <vt:i4>0</vt:i4>
      </vt:variant>
      <vt:variant>
        <vt:i4>5</vt:i4>
      </vt:variant>
      <vt:variant>
        <vt:lpwstr>http://www.nevo.co.il/law/4216/7.a</vt:lpwstr>
      </vt:variant>
      <vt:variant>
        <vt:lpwstr/>
      </vt:variant>
      <vt:variant>
        <vt:i4>3407990</vt:i4>
      </vt:variant>
      <vt:variant>
        <vt:i4>102</vt:i4>
      </vt:variant>
      <vt:variant>
        <vt:i4>0</vt:i4>
      </vt:variant>
      <vt:variant>
        <vt:i4>5</vt:i4>
      </vt:variant>
      <vt:variant>
        <vt:lpwstr>http://www.nevo.co.il/case/28723824</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6357095</vt:i4>
      </vt:variant>
      <vt:variant>
        <vt:i4>96</vt:i4>
      </vt:variant>
      <vt:variant>
        <vt:i4>0</vt:i4>
      </vt:variant>
      <vt:variant>
        <vt:i4>5</vt:i4>
      </vt:variant>
      <vt:variant>
        <vt:lpwstr>http://www.nevo.co.il/law/70301/244</vt:lpwstr>
      </vt:variant>
      <vt:variant>
        <vt:lpwstr/>
      </vt:variant>
      <vt:variant>
        <vt:i4>8257637</vt:i4>
      </vt:variant>
      <vt:variant>
        <vt:i4>93</vt:i4>
      </vt:variant>
      <vt:variant>
        <vt:i4>0</vt:i4>
      </vt:variant>
      <vt:variant>
        <vt:i4>5</vt:i4>
      </vt:variant>
      <vt:variant>
        <vt:lpwstr>http://www.nevo.co.il/law/4216</vt:lpwstr>
      </vt:variant>
      <vt:variant>
        <vt:lpwstr/>
      </vt:variant>
      <vt:variant>
        <vt:i4>4915274</vt:i4>
      </vt:variant>
      <vt:variant>
        <vt:i4>90</vt:i4>
      </vt:variant>
      <vt:variant>
        <vt:i4>0</vt:i4>
      </vt:variant>
      <vt:variant>
        <vt:i4>5</vt:i4>
      </vt:variant>
      <vt:variant>
        <vt:lpwstr>http://www.nevo.co.il/law/4216/7.a.c</vt:lpwstr>
      </vt:variant>
      <vt:variant>
        <vt:lpwstr/>
      </vt:variant>
      <vt:variant>
        <vt:i4>3342462</vt:i4>
      </vt:variant>
      <vt:variant>
        <vt:i4>87</vt:i4>
      </vt:variant>
      <vt:variant>
        <vt:i4>0</vt:i4>
      </vt:variant>
      <vt:variant>
        <vt:i4>5</vt:i4>
      </vt:variant>
      <vt:variant>
        <vt:lpwstr>http://www.nevo.co.il/case/28150708</vt:lpwstr>
      </vt:variant>
      <vt:variant>
        <vt:lpwstr/>
      </vt:variant>
      <vt:variant>
        <vt:i4>8323182</vt:i4>
      </vt:variant>
      <vt:variant>
        <vt:i4>84</vt:i4>
      </vt:variant>
      <vt:variant>
        <vt:i4>0</vt:i4>
      </vt:variant>
      <vt:variant>
        <vt:i4>5</vt:i4>
      </vt:variant>
      <vt:variant>
        <vt:lpwstr>http://www.nevo.co.il/law/74918</vt:lpwstr>
      </vt:variant>
      <vt:variant>
        <vt:lpwstr/>
      </vt:variant>
      <vt:variant>
        <vt:i4>393292</vt:i4>
      </vt:variant>
      <vt:variant>
        <vt:i4>81</vt:i4>
      </vt:variant>
      <vt:variant>
        <vt:i4>0</vt:i4>
      </vt:variant>
      <vt:variant>
        <vt:i4>5</vt:i4>
      </vt:variant>
      <vt:variant>
        <vt:lpwstr>http://www.nevo.co.il/law/74918/47.a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6422631</vt:i4>
      </vt:variant>
      <vt:variant>
        <vt:i4>72</vt:i4>
      </vt:variant>
      <vt:variant>
        <vt:i4>0</vt:i4>
      </vt:variant>
      <vt:variant>
        <vt:i4>5</vt:i4>
      </vt:variant>
      <vt:variant>
        <vt:lpwstr>http://www.nevo.co.il/law/70301/273</vt:lpwstr>
      </vt:variant>
      <vt:variant>
        <vt:lpwstr/>
      </vt:variant>
      <vt:variant>
        <vt:i4>3866740</vt:i4>
      </vt:variant>
      <vt:variant>
        <vt:i4>69</vt:i4>
      </vt:variant>
      <vt:variant>
        <vt:i4>0</vt:i4>
      </vt:variant>
      <vt:variant>
        <vt:i4>5</vt:i4>
      </vt:variant>
      <vt:variant>
        <vt:lpwstr>http://www.nevo.co.il/case/25941119</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6291553</vt:i4>
      </vt:variant>
      <vt:variant>
        <vt:i4>63</vt:i4>
      </vt:variant>
      <vt:variant>
        <vt:i4>0</vt:i4>
      </vt:variant>
      <vt:variant>
        <vt:i4>5</vt:i4>
      </vt:variant>
      <vt:variant>
        <vt:lpwstr>http://www.nevo.co.il/law/70301/452</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4390994</vt:i4>
      </vt:variant>
      <vt:variant>
        <vt:i4>57</vt:i4>
      </vt:variant>
      <vt:variant>
        <vt:i4>0</vt:i4>
      </vt:variant>
      <vt:variant>
        <vt:i4>5</vt:i4>
      </vt:variant>
      <vt:variant>
        <vt:lpwstr>http://www.nevo.co.il/law/70301/186.a</vt:lpwstr>
      </vt:variant>
      <vt:variant>
        <vt:lpwstr/>
      </vt:variant>
      <vt:variant>
        <vt:i4>3539064</vt:i4>
      </vt:variant>
      <vt:variant>
        <vt:i4>54</vt:i4>
      </vt:variant>
      <vt:variant>
        <vt:i4>0</vt:i4>
      </vt:variant>
      <vt:variant>
        <vt:i4>5</vt:i4>
      </vt:variant>
      <vt:variant>
        <vt:lpwstr>http://www.nevo.co.il/case/27080346</vt:lpwstr>
      </vt:variant>
      <vt:variant>
        <vt:lpwstr/>
      </vt:variant>
      <vt:variant>
        <vt:i4>2883708</vt:i4>
      </vt:variant>
      <vt:variant>
        <vt:i4>51</vt:i4>
      </vt:variant>
      <vt:variant>
        <vt:i4>0</vt:i4>
      </vt:variant>
      <vt:variant>
        <vt:i4>5</vt:i4>
      </vt:variant>
      <vt:variant>
        <vt:lpwstr>http://www.nevo.co.il/law/4216/36a</vt:lpwstr>
      </vt:variant>
      <vt:variant>
        <vt:lpwstr/>
      </vt:variant>
      <vt:variant>
        <vt:i4>2752612</vt:i4>
      </vt:variant>
      <vt:variant>
        <vt:i4>48</vt:i4>
      </vt:variant>
      <vt:variant>
        <vt:i4>0</vt:i4>
      </vt:variant>
      <vt:variant>
        <vt:i4>5</vt:i4>
      </vt:variant>
      <vt:variant>
        <vt:lpwstr>http://www.nevo.co.il/law/4216/7.c</vt:lpwstr>
      </vt:variant>
      <vt:variant>
        <vt:lpwstr/>
      </vt:variant>
      <vt:variant>
        <vt:i4>4915274</vt:i4>
      </vt:variant>
      <vt:variant>
        <vt:i4>45</vt:i4>
      </vt:variant>
      <vt:variant>
        <vt:i4>0</vt:i4>
      </vt:variant>
      <vt:variant>
        <vt:i4>5</vt:i4>
      </vt:variant>
      <vt:variant>
        <vt:lpwstr>http://www.nevo.co.il/law/4216/7.a.c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393292</vt:i4>
      </vt:variant>
      <vt:variant>
        <vt:i4>36</vt:i4>
      </vt:variant>
      <vt:variant>
        <vt:i4>0</vt:i4>
      </vt:variant>
      <vt:variant>
        <vt:i4>5</vt:i4>
      </vt:variant>
      <vt:variant>
        <vt:lpwstr>http://www.nevo.co.il/law/74918/47.a</vt:lpwstr>
      </vt:variant>
      <vt:variant>
        <vt:lpwstr/>
      </vt:variant>
      <vt:variant>
        <vt:i4>8323182</vt:i4>
      </vt:variant>
      <vt:variant>
        <vt:i4>33</vt:i4>
      </vt:variant>
      <vt:variant>
        <vt:i4>0</vt:i4>
      </vt:variant>
      <vt:variant>
        <vt:i4>5</vt:i4>
      </vt:variant>
      <vt:variant>
        <vt:lpwstr>http://www.nevo.co.il/law/74918</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6422631</vt:i4>
      </vt:variant>
      <vt:variant>
        <vt:i4>21</vt:i4>
      </vt:variant>
      <vt:variant>
        <vt:i4>0</vt:i4>
      </vt:variant>
      <vt:variant>
        <vt:i4>5</vt:i4>
      </vt:variant>
      <vt:variant>
        <vt:lpwstr>http://www.nevo.co.il/law/70301/273</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7143520</vt:i4>
      </vt:variant>
      <vt:variant>
        <vt:i4>9</vt:i4>
      </vt:variant>
      <vt:variant>
        <vt:i4>0</vt:i4>
      </vt:variant>
      <vt:variant>
        <vt:i4>5</vt:i4>
      </vt:variant>
      <vt:variant>
        <vt:lpwstr>http://www.nevo.co.il/law/70301/58</vt:lpwstr>
      </vt:variant>
      <vt:variant>
        <vt:lpwstr/>
      </vt:variant>
      <vt:variant>
        <vt:i4>131150</vt:i4>
      </vt:variant>
      <vt:variant>
        <vt:i4>6</vt:i4>
      </vt:variant>
      <vt:variant>
        <vt:i4>0</vt:i4>
      </vt:variant>
      <vt:variant>
        <vt:i4>5</vt:i4>
      </vt:variant>
      <vt:variant>
        <vt:lpwstr>http://www.nevo.co.il/law/70301/56.a</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22029</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אלכסנדרה רודיגין</vt:lpwstr>
  </property>
  <property fmtid="{D5CDD505-2E9C-101B-9397-08002B2CF9AE}" pid="10" name="LAWYER">
    <vt:lpwstr>זגורי גיל;טל ארד </vt:lpwstr>
  </property>
  <property fmtid="{D5CDD505-2E9C-101B-9397-08002B2CF9AE}" pid="11" name="JUDGE">
    <vt:lpwstr>אור אדם</vt:lpwstr>
  </property>
  <property fmtid="{D5CDD505-2E9C-101B-9397-08002B2CF9AE}" pid="12" name="CITY">
    <vt:lpwstr>ב"ש</vt:lpwstr>
  </property>
  <property fmtid="{D5CDD505-2E9C-101B-9397-08002B2CF9AE}" pid="13" name="DATE">
    <vt:lpwstr>20240415</vt:lpwstr>
  </property>
  <property fmtid="{D5CDD505-2E9C-101B-9397-08002B2CF9AE}" pid="14" name="TYPE_N_DATE">
    <vt:lpwstr>38020240415</vt:lpwstr>
  </property>
  <property fmtid="{D5CDD505-2E9C-101B-9397-08002B2CF9AE}" pid="15" name="WORDNUMPAGES">
    <vt:lpwstr>10</vt:lpwstr>
  </property>
  <property fmtid="{D5CDD505-2E9C-101B-9397-08002B2CF9AE}" pid="16" name="TYPE_ABS_DATE">
    <vt:lpwstr>380020240415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27080346:2;25941119:2;28150708:2;28723824:3;25566523:4;24957054:2;26327788:2;20033641;6018516;7009926;25029385;27513365;27867699;25615069;26500369;6247102;6241402;5588319</vt:lpwstr>
  </property>
  <property fmtid="{D5CDD505-2E9C-101B-9397-08002B2CF9AE}" pid="36" name="LAWLISTTMP1">
    <vt:lpwstr>70301/186.a;192;452;273;275;244;40jc;056.a;058;052.c:2</vt:lpwstr>
  </property>
  <property fmtid="{D5CDD505-2E9C-101B-9397-08002B2CF9AE}" pid="37" name="LAWLISTTMP2">
    <vt:lpwstr>74918/047.a</vt:lpwstr>
  </property>
  <property fmtid="{D5CDD505-2E9C-101B-9397-08002B2CF9AE}" pid="38" name="LAWLISTTMP3">
    <vt:lpwstr>4216/007.a.c;007.a;007.c;036a</vt:lpwstr>
  </property>
</Properties>
</file>