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774A52" w:rsidRPr="00BE1998" w14:paraId="2183E0AE" w14:textId="77777777" w:rsidTr="00C86383">
        <w:trPr>
          <w:trHeight w:hRule="exact" w:val="418"/>
          <w:jc w:val="center"/>
        </w:trPr>
        <w:tc>
          <w:tcPr>
            <w:tcW w:w="8523" w:type="dxa"/>
            <w:gridSpan w:val="2"/>
          </w:tcPr>
          <w:p w14:paraId="6F4ABEBA" w14:textId="77777777" w:rsidR="00774A52" w:rsidRPr="00BE1998" w:rsidRDefault="00774A52" w:rsidP="003C5C54">
            <w:pPr>
              <w:pStyle w:val="a3"/>
              <w:jc w:val="center"/>
              <w:rPr>
                <w:rFonts w:ascii="Tahoma" w:hAnsi="Tahoma"/>
                <w:color w:val="000080"/>
                <w:sz w:val="32"/>
                <w:szCs w:val="32"/>
                <w:rtl/>
              </w:rPr>
            </w:pPr>
            <w:bookmarkStart w:id="0" w:name="LastJudge"/>
            <w:r w:rsidRPr="00BE1998">
              <w:rPr>
                <w:rFonts w:ascii="Tahoma" w:hAnsi="Tahoma"/>
                <w:b/>
                <w:bCs/>
                <w:color w:val="000080"/>
                <w:sz w:val="32"/>
                <w:szCs w:val="32"/>
                <w:rtl/>
              </w:rPr>
              <w:t>בית משפט השלום בתל אביב - יפו</w:t>
            </w:r>
          </w:p>
        </w:tc>
      </w:tr>
      <w:tr w:rsidR="00774A52" w:rsidRPr="00BE1998" w14:paraId="41768492" w14:textId="77777777" w:rsidTr="00C86383">
        <w:trPr>
          <w:trHeight w:val="337"/>
          <w:jc w:val="center"/>
        </w:trPr>
        <w:tc>
          <w:tcPr>
            <w:tcW w:w="4945" w:type="dxa"/>
          </w:tcPr>
          <w:p w14:paraId="5B4F3778" w14:textId="77777777" w:rsidR="00774A52" w:rsidRPr="00BE1998" w:rsidRDefault="00774A52" w:rsidP="003C5C54">
            <w:pPr>
              <w:rPr>
                <w:sz w:val="26"/>
                <w:szCs w:val="26"/>
                <w:rtl/>
              </w:rPr>
            </w:pPr>
            <w:r w:rsidRPr="00BE1998">
              <w:rPr>
                <w:sz w:val="26"/>
                <w:szCs w:val="26"/>
                <w:rtl/>
              </w:rPr>
              <w:t>ת"פ</w:t>
            </w:r>
            <w:r w:rsidRPr="00BE1998">
              <w:rPr>
                <w:rFonts w:hint="cs"/>
                <w:sz w:val="26"/>
                <w:szCs w:val="26"/>
                <w:rtl/>
              </w:rPr>
              <w:t xml:space="preserve"> </w:t>
            </w:r>
            <w:hyperlink r:id="rId7" w:history="1">
              <w:r w:rsidR="0034272B" w:rsidRPr="0034272B">
                <w:rPr>
                  <w:color w:val="0000FF"/>
                  <w:sz w:val="26"/>
                  <w:szCs w:val="26"/>
                  <w:u w:val="single"/>
                  <w:rtl/>
                </w:rPr>
                <w:t xml:space="preserve">26414-08-19 </w:t>
              </w:r>
            </w:hyperlink>
            <w:r w:rsidRPr="00BE1998">
              <w:rPr>
                <w:rFonts w:hint="cs"/>
                <w:sz w:val="26"/>
                <w:szCs w:val="26"/>
                <w:rtl/>
              </w:rPr>
              <w:t xml:space="preserve"> </w:t>
            </w:r>
            <w:r w:rsidRPr="00BE1998">
              <w:rPr>
                <w:sz w:val="26"/>
                <w:szCs w:val="26"/>
                <w:rtl/>
              </w:rPr>
              <w:t>מדינת ישראל נ' חובבי ציון</w:t>
            </w:r>
          </w:p>
        </w:tc>
        <w:tc>
          <w:tcPr>
            <w:tcW w:w="3578" w:type="dxa"/>
          </w:tcPr>
          <w:p w14:paraId="090FE2A5" w14:textId="77777777" w:rsidR="00774A52" w:rsidRPr="00BE1998" w:rsidRDefault="00774A52" w:rsidP="003C5C54">
            <w:pPr>
              <w:pStyle w:val="a3"/>
              <w:jc w:val="right"/>
              <w:rPr>
                <w:rFonts w:cs="FrankRuehl"/>
                <w:sz w:val="28"/>
                <w:szCs w:val="28"/>
                <w:rtl/>
              </w:rPr>
            </w:pPr>
          </w:p>
        </w:tc>
      </w:tr>
    </w:tbl>
    <w:p w14:paraId="7AC8AA74" w14:textId="77777777" w:rsidR="00774A52" w:rsidRPr="00BE1998" w:rsidRDefault="00774A52" w:rsidP="00774A52">
      <w:pPr>
        <w:pStyle w:val="a3"/>
        <w:rPr>
          <w:rtl/>
        </w:rPr>
      </w:pPr>
      <w:r w:rsidRPr="00BE1998">
        <w:rPr>
          <w:rFonts w:hint="cs"/>
          <w:rtl/>
        </w:rPr>
        <w:t xml:space="preserve"> </w:t>
      </w:r>
    </w:p>
    <w:p w14:paraId="7F402709" w14:textId="77777777" w:rsidR="00774A52" w:rsidRPr="00BE1998" w:rsidRDefault="00774A52" w:rsidP="00774A52">
      <w:pPr>
        <w:rPr>
          <w:rtl/>
        </w:rPr>
      </w:pPr>
    </w:p>
    <w:p w14:paraId="5B26910F" w14:textId="77777777" w:rsidR="00774A52" w:rsidRPr="00BE1998" w:rsidRDefault="00774A52" w:rsidP="00774A5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5"/>
        <w:gridCol w:w="3400"/>
      </w:tblGrid>
      <w:tr w:rsidR="00774A52" w:rsidRPr="00BE1998" w14:paraId="685F4261" w14:textId="77777777" w:rsidTr="00774A52">
        <w:trPr>
          <w:trHeight w:val="295"/>
          <w:jc w:val="center"/>
        </w:trPr>
        <w:tc>
          <w:tcPr>
            <w:tcW w:w="8820" w:type="dxa"/>
            <w:gridSpan w:val="3"/>
            <w:tcBorders>
              <w:top w:val="nil"/>
              <w:left w:val="nil"/>
              <w:bottom w:val="nil"/>
              <w:right w:val="nil"/>
            </w:tcBorders>
            <w:shd w:val="clear" w:color="auto" w:fill="auto"/>
          </w:tcPr>
          <w:p w14:paraId="7197D1F9" w14:textId="77777777" w:rsidR="00774A52" w:rsidRPr="00BE1998" w:rsidRDefault="00774A52" w:rsidP="00774A52">
            <w:pPr>
              <w:jc w:val="both"/>
              <w:rPr>
                <w:rFonts w:ascii="Arial" w:hAnsi="Arial"/>
                <w:b/>
                <w:bCs/>
                <w:sz w:val="26"/>
                <w:szCs w:val="26"/>
              </w:rPr>
            </w:pPr>
            <w:r w:rsidRPr="00BE1998">
              <w:rPr>
                <w:rFonts w:ascii="Arial" w:hAnsi="Arial" w:hint="cs"/>
                <w:b/>
                <w:bCs/>
                <w:sz w:val="26"/>
                <w:szCs w:val="26"/>
                <w:rtl/>
              </w:rPr>
              <w:t>ל</w:t>
            </w:r>
            <w:r w:rsidRPr="00BE1998">
              <w:rPr>
                <w:rFonts w:ascii="Arial" w:hAnsi="Arial"/>
                <w:b/>
                <w:bCs/>
                <w:sz w:val="26"/>
                <w:szCs w:val="26"/>
                <w:rtl/>
              </w:rPr>
              <w:t xml:space="preserve">פני </w:t>
            </w:r>
            <w:r w:rsidRPr="00BE1998">
              <w:rPr>
                <w:rFonts w:ascii="Arial" w:hAnsi="Arial" w:hint="cs"/>
                <w:b/>
                <w:bCs/>
                <w:sz w:val="26"/>
                <w:szCs w:val="26"/>
                <w:rtl/>
              </w:rPr>
              <w:t>כבוד ה</w:t>
            </w:r>
            <w:r w:rsidRPr="00BE1998">
              <w:rPr>
                <w:rFonts w:ascii="Arial" w:hAnsi="Arial"/>
                <w:b/>
                <w:bCs/>
                <w:sz w:val="26"/>
                <w:szCs w:val="26"/>
                <w:rtl/>
              </w:rPr>
              <w:t>שופט</w:t>
            </w:r>
            <w:r w:rsidRPr="00BE1998">
              <w:rPr>
                <w:rFonts w:ascii="Arial" w:hAnsi="Arial" w:hint="cs"/>
                <w:b/>
                <w:bCs/>
                <w:sz w:val="26"/>
                <w:szCs w:val="26"/>
                <w:rtl/>
              </w:rPr>
              <w:t xml:space="preserve">  </w:t>
            </w:r>
            <w:r w:rsidRPr="00BE1998">
              <w:rPr>
                <w:rFonts w:ascii="Arial" w:hAnsi="Arial"/>
                <w:b/>
                <w:bCs/>
                <w:sz w:val="26"/>
                <w:szCs w:val="26"/>
                <w:rtl/>
              </w:rPr>
              <w:t>איתן קורנהאוזר</w:t>
            </w:r>
          </w:p>
        </w:tc>
      </w:tr>
      <w:tr w:rsidR="00774A52" w:rsidRPr="00BE1998" w14:paraId="224C71BC" w14:textId="77777777" w:rsidTr="00774A52">
        <w:trPr>
          <w:trHeight w:val="355"/>
          <w:jc w:val="center"/>
        </w:trPr>
        <w:tc>
          <w:tcPr>
            <w:tcW w:w="885" w:type="dxa"/>
            <w:tcBorders>
              <w:top w:val="nil"/>
              <w:left w:val="nil"/>
              <w:bottom w:val="nil"/>
              <w:right w:val="nil"/>
            </w:tcBorders>
            <w:shd w:val="clear" w:color="auto" w:fill="auto"/>
          </w:tcPr>
          <w:p w14:paraId="29826612" w14:textId="77777777" w:rsidR="00774A52" w:rsidRPr="00BE1998" w:rsidRDefault="00774A52" w:rsidP="00774A52">
            <w:pPr>
              <w:jc w:val="both"/>
              <w:rPr>
                <w:rFonts w:ascii="Arial" w:hAnsi="Arial"/>
                <w:sz w:val="26"/>
                <w:szCs w:val="26"/>
                <w:rtl/>
              </w:rPr>
            </w:pPr>
            <w:bookmarkStart w:id="1" w:name="FirstAppellant"/>
            <w:bookmarkStart w:id="2" w:name="FirstLawyer"/>
          </w:p>
          <w:p w14:paraId="0A928A6C" w14:textId="77777777" w:rsidR="00774A52" w:rsidRPr="00BE1998" w:rsidRDefault="00774A52" w:rsidP="00774A52">
            <w:pPr>
              <w:jc w:val="both"/>
              <w:rPr>
                <w:rFonts w:ascii="Arial" w:hAnsi="Arial"/>
                <w:b/>
                <w:bCs/>
                <w:sz w:val="26"/>
                <w:szCs w:val="26"/>
              </w:rPr>
            </w:pPr>
            <w:r w:rsidRPr="00BE1998">
              <w:rPr>
                <w:rFonts w:ascii="Arial" w:hAnsi="Arial" w:hint="cs"/>
                <w:sz w:val="26"/>
                <w:szCs w:val="26"/>
                <w:rtl/>
              </w:rPr>
              <w:t>ה</w:t>
            </w:r>
            <w:r w:rsidRPr="00BE1998">
              <w:rPr>
                <w:rFonts w:ascii="Arial" w:hAnsi="Arial"/>
                <w:sz w:val="26"/>
                <w:szCs w:val="26"/>
                <w:rtl/>
              </w:rPr>
              <w:t>מאשימה</w:t>
            </w:r>
          </w:p>
        </w:tc>
        <w:tc>
          <w:tcPr>
            <w:tcW w:w="4384" w:type="dxa"/>
            <w:tcBorders>
              <w:top w:val="nil"/>
              <w:left w:val="nil"/>
              <w:bottom w:val="nil"/>
              <w:right w:val="nil"/>
            </w:tcBorders>
            <w:shd w:val="clear" w:color="auto" w:fill="auto"/>
          </w:tcPr>
          <w:p w14:paraId="32D50875" w14:textId="77777777" w:rsidR="00774A52" w:rsidRPr="00BE1998" w:rsidRDefault="00774A52" w:rsidP="003C5C54">
            <w:pPr>
              <w:rPr>
                <w:b/>
                <w:bCs/>
                <w:sz w:val="26"/>
                <w:szCs w:val="26"/>
                <w:rtl/>
              </w:rPr>
            </w:pPr>
            <w:r w:rsidRPr="00BE1998">
              <w:rPr>
                <w:rFonts w:ascii="Arial" w:hAnsi="Arial"/>
                <w:b/>
                <w:bCs/>
                <w:sz w:val="26"/>
                <w:szCs w:val="26"/>
                <w:rtl/>
              </w:rPr>
              <w:br/>
              <w:t>מדינת ישראל</w:t>
            </w:r>
          </w:p>
          <w:p w14:paraId="31B24553" w14:textId="77777777" w:rsidR="00774A52" w:rsidRPr="00BE1998" w:rsidRDefault="00774A52" w:rsidP="003C5C54">
            <w:pPr>
              <w:rPr>
                <w:sz w:val="26"/>
                <w:szCs w:val="26"/>
                <w:rtl/>
              </w:rPr>
            </w:pPr>
            <w:r w:rsidRPr="00BE1998">
              <w:rPr>
                <w:rFonts w:hint="cs"/>
                <w:sz w:val="26"/>
                <w:szCs w:val="26"/>
                <w:rtl/>
              </w:rPr>
              <w:t>ע"י ב"כ עו"ד אילנה סיריס</w:t>
            </w:r>
          </w:p>
          <w:p w14:paraId="1F1A4C4F" w14:textId="77777777" w:rsidR="00774A52" w:rsidRPr="00BE1998" w:rsidRDefault="00774A52" w:rsidP="003C5C54">
            <w:pPr>
              <w:rPr>
                <w:sz w:val="26"/>
                <w:szCs w:val="26"/>
              </w:rPr>
            </w:pPr>
          </w:p>
        </w:tc>
        <w:tc>
          <w:tcPr>
            <w:tcW w:w="3551" w:type="dxa"/>
            <w:tcBorders>
              <w:top w:val="nil"/>
              <w:left w:val="nil"/>
              <w:bottom w:val="nil"/>
              <w:right w:val="nil"/>
            </w:tcBorders>
            <w:shd w:val="clear" w:color="auto" w:fill="auto"/>
          </w:tcPr>
          <w:p w14:paraId="4EEE2D4B" w14:textId="77777777" w:rsidR="00774A52" w:rsidRPr="00BE1998" w:rsidRDefault="00774A52" w:rsidP="00774A52">
            <w:pPr>
              <w:jc w:val="both"/>
              <w:rPr>
                <w:rFonts w:ascii="Arial" w:hAnsi="Arial"/>
                <w:sz w:val="26"/>
                <w:szCs w:val="26"/>
              </w:rPr>
            </w:pPr>
          </w:p>
        </w:tc>
      </w:tr>
      <w:bookmarkEnd w:id="1"/>
      <w:bookmarkEnd w:id="2"/>
      <w:tr w:rsidR="00774A52" w:rsidRPr="00BE1998" w14:paraId="3E2DA164" w14:textId="77777777" w:rsidTr="00774A52">
        <w:trPr>
          <w:trHeight w:val="373"/>
          <w:jc w:val="center"/>
        </w:trPr>
        <w:tc>
          <w:tcPr>
            <w:tcW w:w="885" w:type="dxa"/>
            <w:tcBorders>
              <w:top w:val="nil"/>
              <w:left w:val="nil"/>
              <w:bottom w:val="nil"/>
              <w:right w:val="nil"/>
            </w:tcBorders>
            <w:shd w:val="clear" w:color="auto" w:fill="auto"/>
          </w:tcPr>
          <w:p w14:paraId="69B40AD1" w14:textId="77777777" w:rsidR="00774A52" w:rsidRPr="00BE1998" w:rsidRDefault="00774A52" w:rsidP="00774A52">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3B0FE5BE" w14:textId="77777777" w:rsidR="00774A52" w:rsidRPr="00BE1998" w:rsidRDefault="00774A52" w:rsidP="00774A52">
            <w:pPr>
              <w:jc w:val="center"/>
              <w:rPr>
                <w:rFonts w:ascii="Arial" w:hAnsi="Arial"/>
                <w:b/>
                <w:bCs/>
                <w:sz w:val="26"/>
                <w:szCs w:val="26"/>
                <w:rtl/>
              </w:rPr>
            </w:pPr>
          </w:p>
          <w:p w14:paraId="6BED807D" w14:textId="77777777" w:rsidR="00774A52" w:rsidRPr="00BE1998" w:rsidRDefault="00774A52" w:rsidP="00774A52">
            <w:pPr>
              <w:jc w:val="center"/>
              <w:rPr>
                <w:rFonts w:ascii="Arial" w:hAnsi="Arial"/>
                <w:b/>
                <w:bCs/>
                <w:sz w:val="26"/>
                <w:szCs w:val="26"/>
                <w:rtl/>
              </w:rPr>
            </w:pPr>
            <w:r w:rsidRPr="00BE1998">
              <w:rPr>
                <w:rFonts w:ascii="Arial" w:hAnsi="Arial"/>
                <w:b/>
                <w:bCs/>
                <w:sz w:val="26"/>
                <w:szCs w:val="26"/>
                <w:rtl/>
              </w:rPr>
              <w:t>נגד</w:t>
            </w:r>
          </w:p>
          <w:p w14:paraId="11672CC8" w14:textId="77777777" w:rsidR="00774A52" w:rsidRPr="00BE1998" w:rsidRDefault="00774A52" w:rsidP="00774A52">
            <w:pPr>
              <w:jc w:val="both"/>
              <w:rPr>
                <w:rFonts w:ascii="Arial" w:hAnsi="Arial"/>
                <w:sz w:val="26"/>
                <w:szCs w:val="26"/>
              </w:rPr>
            </w:pPr>
          </w:p>
        </w:tc>
      </w:tr>
      <w:tr w:rsidR="00774A52" w:rsidRPr="00BE1998" w14:paraId="588878CB" w14:textId="77777777" w:rsidTr="00774A52">
        <w:trPr>
          <w:trHeight w:val="355"/>
          <w:jc w:val="center"/>
        </w:trPr>
        <w:tc>
          <w:tcPr>
            <w:tcW w:w="885" w:type="dxa"/>
            <w:tcBorders>
              <w:top w:val="nil"/>
              <w:left w:val="nil"/>
              <w:bottom w:val="nil"/>
              <w:right w:val="nil"/>
            </w:tcBorders>
            <w:shd w:val="clear" w:color="auto" w:fill="auto"/>
          </w:tcPr>
          <w:p w14:paraId="77953DA9" w14:textId="77777777" w:rsidR="00774A52" w:rsidRPr="00BE1998" w:rsidRDefault="00774A52" w:rsidP="003C5C54">
            <w:pPr>
              <w:rPr>
                <w:rFonts w:ascii="Arial" w:hAnsi="Arial"/>
                <w:sz w:val="26"/>
                <w:szCs w:val="26"/>
                <w:rtl/>
              </w:rPr>
            </w:pPr>
            <w:r w:rsidRPr="00BE1998">
              <w:rPr>
                <w:rFonts w:ascii="Arial" w:hAnsi="Arial" w:hint="cs"/>
                <w:sz w:val="26"/>
                <w:szCs w:val="26"/>
                <w:rtl/>
              </w:rPr>
              <w:t>ה</w:t>
            </w:r>
            <w:r w:rsidRPr="00BE1998">
              <w:rPr>
                <w:rFonts w:ascii="Arial" w:hAnsi="Arial"/>
                <w:sz w:val="26"/>
                <w:szCs w:val="26"/>
                <w:rtl/>
              </w:rPr>
              <w:t>נאשם</w:t>
            </w:r>
          </w:p>
        </w:tc>
        <w:tc>
          <w:tcPr>
            <w:tcW w:w="4384" w:type="dxa"/>
            <w:tcBorders>
              <w:top w:val="nil"/>
              <w:left w:val="nil"/>
              <w:bottom w:val="nil"/>
              <w:right w:val="nil"/>
            </w:tcBorders>
            <w:shd w:val="clear" w:color="auto" w:fill="auto"/>
          </w:tcPr>
          <w:p w14:paraId="336B6F69" w14:textId="77777777" w:rsidR="00774A52" w:rsidRPr="00BE1998" w:rsidRDefault="00774A52" w:rsidP="003C5C54">
            <w:pPr>
              <w:rPr>
                <w:b/>
                <w:bCs/>
                <w:sz w:val="26"/>
                <w:szCs w:val="26"/>
                <w:rtl/>
              </w:rPr>
            </w:pPr>
            <w:r w:rsidRPr="00BE1998">
              <w:rPr>
                <w:rFonts w:ascii="Arial" w:hAnsi="Arial"/>
                <w:b/>
                <w:bCs/>
                <w:sz w:val="26"/>
                <w:szCs w:val="26"/>
                <w:rtl/>
              </w:rPr>
              <w:t>רועי חובבי ציון</w:t>
            </w:r>
          </w:p>
          <w:p w14:paraId="3B9DE217" w14:textId="77777777" w:rsidR="00774A52" w:rsidRPr="00BE1998" w:rsidRDefault="00774A52" w:rsidP="003C5C54">
            <w:pPr>
              <w:rPr>
                <w:sz w:val="26"/>
                <w:szCs w:val="26"/>
                <w:rtl/>
              </w:rPr>
            </w:pPr>
            <w:r w:rsidRPr="00BE1998">
              <w:rPr>
                <w:rFonts w:hint="cs"/>
                <w:sz w:val="26"/>
                <w:szCs w:val="26"/>
                <w:rtl/>
              </w:rPr>
              <w:t>ע"י ב"כ עו"ד אבי אחרק</w:t>
            </w:r>
          </w:p>
        </w:tc>
        <w:tc>
          <w:tcPr>
            <w:tcW w:w="3551" w:type="dxa"/>
            <w:tcBorders>
              <w:top w:val="nil"/>
              <w:left w:val="nil"/>
              <w:bottom w:val="nil"/>
              <w:right w:val="nil"/>
            </w:tcBorders>
            <w:shd w:val="clear" w:color="auto" w:fill="auto"/>
          </w:tcPr>
          <w:p w14:paraId="32F7691E" w14:textId="77777777" w:rsidR="00774A52" w:rsidRPr="00BE1998" w:rsidRDefault="00774A52" w:rsidP="00774A52">
            <w:pPr>
              <w:jc w:val="right"/>
              <w:rPr>
                <w:rFonts w:ascii="Arial" w:hAnsi="Arial"/>
                <w:sz w:val="26"/>
                <w:szCs w:val="26"/>
              </w:rPr>
            </w:pPr>
          </w:p>
        </w:tc>
      </w:tr>
    </w:tbl>
    <w:p w14:paraId="068ED5DF" w14:textId="77777777" w:rsidR="0034272B" w:rsidRPr="0034272B" w:rsidRDefault="0034272B" w:rsidP="0034272B">
      <w:pPr>
        <w:spacing w:before="120" w:after="120" w:line="240" w:lineRule="exact"/>
        <w:ind w:left="283" w:hanging="283"/>
        <w:jc w:val="both"/>
        <w:rPr>
          <w:rFonts w:ascii="FrankRuehl" w:hAnsi="FrankRuehl" w:cs="FrankRuehl"/>
          <w:rtl/>
        </w:rPr>
      </w:pPr>
    </w:p>
    <w:p w14:paraId="30AF827C" w14:textId="77777777" w:rsidR="00561D94" w:rsidRDefault="00561D94" w:rsidP="00561D94">
      <w:pPr>
        <w:rPr>
          <w:rtl/>
        </w:rPr>
      </w:pPr>
      <w:bookmarkStart w:id="3" w:name="LawTable"/>
      <w:bookmarkEnd w:id="3"/>
    </w:p>
    <w:p w14:paraId="582DAAE8" w14:textId="77777777" w:rsidR="00561D94" w:rsidRPr="00561D94" w:rsidRDefault="00561D94" w:rsidP="00561D94">
      <w:pPr>
        <w:spacing w:before="120" w:after="120" w:line="240" w:lineRule="exact"/>
        <w:ind w:left="283" w:hanging="283"/>
        <w:jc w:val="both"/>
        <w:rPr>
          <w:rFonts w:ascii="FrankRuehl" w:hAnsi="FrankRuehl" w:cs="FrankRuehl"/>
          <w:rtl/>
        </w:rPr>
      </w:pPr>
    </w:p>
    <w:p w14:paraId="6B027AA5" w14:textId="77777777" w:rsidR="00561D94" w:rsidRPr="00561D94" w:rsidRDefault="00561D94" w:rsidP="00561D94">
      <w:pPr>
        <w:spacing w:before="120" w:after="120" w:line="240" w:lineRule="exact"/>
        <w:ind w:left="283" w:hanging="283"/>
        <w:jc w:val="both"/>
        <w:rPr>
          <w:rFonts w:ascii="FrankRuehl" w:hAnsi="FrankRuehl" w:cs="FrankRuehl"/>
          <w:rtl/>
        </w:rPr>
      </w:pPr>
    </w:p>
    <w:p w14:paraId="5927E927" w14:textId="77777777" w:rsidR="00561D94" w:rsidRPr="00561D94" w:rsidRDefault="00561D94" w:rsidP="00561D94">
      <w:pPr>
        <w:spacing w:before="120" w:after="120" w:line="240" w:lineRule="exact"/>
        <w:ind w:left="283" w:hanging="283"/>
        <w:jc w:val="both"/>
        <w:rPr>
          <w:rFonts w:ascii="FrankRuehl" w:hAnsi="FrankRuehl" w:cs="FrankRuehl"/>
          <w:rtl/>
        </w:rPr>
      </w:pPr>
      <w:r w:rsidRPr="00561D94">
        <w:rPr>
          <w:rFonts w:ascii="FrankRuehl" w:hAnsi="FrankRuehl" w:cs="FrankRuehl"/>
          <w:rtl/>
        </w:rPr>
        <w:t xml:space="preserve">חקיקה שאוזכרה: </w:t>
      </w:r>
    </w:p>
    <w:p w14:paraId="6B285582" w14:textId="77777777" w:rsidR="00561D94" w:rsidRPr="00561D94" w:rsidRDefault="00561D94" w:rsidP="00561D94">
      <w:pPr>
        <w:spacing w:before="120" w:after="120" w:line="240" w:lineRule="exact"/>
        <w:ind w:left="283" w:hanging="283"/>
        <w:jc w:val="both"/>
        <w:rPr>
          <w:rFonts w:ascii="FrankRuehl" w:hAnsi="FrankRuehl" w:cs="FrankRuehl"/>
          <w:rtl/>
        </w:rPr>
      </w:pPr>
      <w:hyperlink r:id="rId8" w:history="1">
        <w:r w:rsidRPr="00561D94">
          <w:rPr>
            <w:rFonts w:ascii="FrankRuehl" w:hAnsi="FrankRuehl" w:cs="FrankRuehl"/>
            <w:color w:val="0000FF"/>
            <w:rtl/>
          </w:rPr>
          <w:t>פקודת הסמים המסוכנים [נוסח חדש], תשל"ג-1973</w:t>
        </w:r>
      </w:hyperlink>
      <w:r w:rsidRPr="00561D94">
        <w:rPr>
          <w:rFonts w:ascii="FrankRuehl" w:hAnsi="FrankRuehl" w:cs="FrankRuehl"/>
          <w:rtl/>
        </w:rPr>
        <w:t xml:space="preserve">: סע'  </w:t>
      </w:r>
      <w:hyperlink r:id="rId9" w:history="1">
        <w:r w:rsidRPr="00561D94">
          <w:rPr>
            <w:rFonts w:ascii="FrankRuehl" w:hAnsi="FrankRuehl" w:cs="FrankRuehl"/>
            <w:color w:val="0000FF"/>
            <w:rtl/>
          </w:rPr>
          <w:t>7(א)(ג)</w:t>
        </w:r>
      </w:hyperlink>
      <w:r w:rsidRPr="00561D94">
        <w:rPr>
          <w:rFonts w:ascii="FrankRuehl" w:hAnsi="FrankRuehl" w:cs="FrankRuehl"/>
          <w:rtl/>
        </w:rPr>
        <w:t xml:space="preserve">, </w:t>
      </w:r>
      <w:hyperlink r:id="rId10" w:history="1">
        <w:r w:rsidRPr="00561D94">
          <w:rPr>
            <w:rFonts w:ascii="FrankRuehl" w:hAnsi="FrankRuehl" w:cs="FrankRuehl"/>
            <w:color w:val="0000FF"/>
            <w:rtl/>
          </w:rPr>
          <w:t>13</w:t>
        </w:r>
      </w:hyperlink>
    </w:p>
    <w:p w14:paraId="05653BFD" w14:textId="77777777" w:rsidR="00561D94" w:rsidRPr="00561D94" w:rsidRDefault="00561D94" w:rsidP="00561D94">
      <w:pPr>
        <w:spacing w:before="120" w:after="120" w:line="240" w:lineRule="exact"/>
        <w:ind w:left="283" w:hanging="283"/>
        <w:jc w:val="both"/>
        <w:rPr>
          <w:rFonts w:ascii="FrankRuehl" w:hAnsi="FrankRuehl" w:cs="FrankRuehl"/>
          <w:rtl/>
        </w:rPr>
      </w:pPr>
      <w:hyperlink r:id="rId11" w:history="1">
        <w:r w:rsidRPr="00561D94">
          <w:rPr>
            <w:rFonts w:ascii="FrankRuehl" w:hAnsi="FrankRuehl" w:cs="FrankRuehl"/>
            <w:color w:val="0000FF"/>
            <w:rtl/>
          </w:rPr>
          <w:t>חוק המתווכים במקרקעין, תשנ"ו-1996</w:t>
        </w:r>
      </w:hyperlink>
      <w:r w:rsidRPr="00561D94">
        <w:rPr>
          <w:rFonts w:ascii="FrankRuehl" w:hAnsi="FrankRuehl" w:cs="FrankRuehl"/>
          <w:rtl/>
        </w:rPr>
        <w:t xml:space="preserve">: סע'  </w:t>
      </w:r>
      <w:hyperlink r:id="rId12" w:history="1">
        <w:r w:rsidRPr="00561D94">
          <w:rPr>
            <w:rFonts w:ascii="FrankRuehl" w:hAnsi="FrankRuehl" w:cs="FrankRuehl"/>
            <w:color w:val="0000FF"/>
            <w:rtl/>
          </w:rPr>
          <w:t>5 (א)(4)</w:t>
        </w:r>
      </w:hyperlink>
      <w:r w:rsidRPr="00561D94">
        <w:rPr>
          <w:rFonts w:ascii="FrankRuehl" w:hAnsi="FrankRuehl" w:cs="FrankRuehl"/>
          <w:rtl/>
        </w:rPr>
        <w:t xml:space="preserve">, </w:t>
      </w:r>
      <w:hyperlink r:id="rId13" w:history="1">
        <w:r w:rsidRPr="00561D94">
          <w:rPr>
            <w:rFonts w:ascii="FrankRuehl" w:hAnsi="FrankRuehl" w:cs="FrankRuehl"/>
            <w:color w:val="0000FF"/>
            <w:rtl/>
          </w:rPr>
          <w:t>5(א)(5)</w:t>
        </w:r>
      </w:hyperlink>
      <w:r w:rsidRPr="00561D94">
        <w:rPr>
          <w:rFonts w:ascii="FrankRuehl" w:hAnsi="FrankRuehl" w:cs="FrankRuehl"/>
          <w:rtl/>
        </w:rPr>
        <w:t xml:space="preserve">, </w:t>
      </w:r>
      <w:hyperlink r:id="rId14" w:history="1">
        <w:r w:rsidRPr="00561D94">
          <w:rPr>
            <w:rFonts w:ascii="FrankRuehl" w:hAnsi="FrankRuehl" w:cs="FrankRuehl"/>
            <w:color w:val="0000FF"/>
            <w:rtl/>
          </w:rPr>
          <w:t>5(ג)</w:t>
        </w:r>
      </w:hyperlink>
    </w:p>
    <w:p w14:paraId="17BB11C9" w14:textId="77777777" w:rsidR="00561D94" w:rsidRPr="00561D94" w:rsidRDefault="00561D94" w:rsidP="00561D94">
      <w:pPr>
        <w:spacing w:before="120" w:after="120" w:line="240" w:lineRule="exact"/>
        <w:ind w:left="283" w:hanging="283"/>
        <w:jc w:val="both"/>
        <w:rPr>
          <w:rFonts w:ascii="FrankRuehl" w:hAnsi="FrankRuehl" w:cs="FrankRuehl"/>
          <w:rtl/>
        </w:rPr>
      </w:pPr>
      <w:hyperlink r:id="rId15" w:history="1">
        <w:r w:rsidRPr="00561D94">
          <w:rPr>
            <w:rFonts w:ascii="FrankRuehl" w:hAnsi="FrankRuehl" w:cs="FrankRuehl"/>
            <w:color w:val="0000FF"/>
            <w:rtl/>
          </w:rPr>
          <w:t>חוק העונשין, תשל"ז-1977</w:t>
        </w:r>
      </w:hyperlink>
    </w:p>
    <w:p w14:paraId="7EA5FA52" w14:textId="77777777" w:rsidR="00561D94" w:rsidRPr="00561D94" w:rsidRDefault="00561D94" w:rsidP="00561D94">
      <w:pPr>
        <w:rPr>
          <w:rtl/>
        </w:rPr>
      </w:pPr>
      <w:bookmarkStart w:id="4" w:name="LawTable_End"/>
      <w:bookmarkEnd w:id="4"/>
    </w:p>
    <w:p w14:paraId="408125BB" w14:textId="77777777" w:rsidR="00774A52" w:rsidRPr="0034272B" w:rsidRDefault="00774A52" w:rsidP="0034272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4A52" w14:paraId="0BF25BD1" w14:textId="77777777" w:rsidTr="00774A52">
        <w:trPr>
          <w:trHeight w:val="355"/>
          <w:jc w:val="center"/>
        </w:trPr>
        <w:tc>
          <w:tcPr>
            <w:tcW w:w="8820" w:type="dxa"/>
            <w:tcBorders>
              <w:top w:val="nil"/>
              <w:left w:val="nil"/>
              <w:bottom w:val="nil"/>
              <w:right w:val="nil"/>
            </w:tcBorders>
            <w:shd w:val="clear" w:color="auto" w:fill="auto"/>
          </w:tcPr>
          <w:p w14:paraId="35916035" w14:textId="77777777" w:rsidR="00BE1998" w:rsidRPr="00BE1998" w:rsidRDefault="00BE1998" w:rsidP="00BE1998">
            <w:pPr>
              <w:jc w:val="center"/>
              <w:rPr>
                <w:rFonts w:ascii="Arial" w:hAnsi="Arial"/>
                <w:b/>
                <w:bCs/>
                <w:sz w:val="28"/>
                <w:szCs w:val="28"/>
                <w:u w:val="single"/>
                <w:rtl/>
              </w:rPr>
            </w:pPr>
            <w:bookmarkStart w:id="5" w:name="PsakDin" w:colFirst="0" w:colLast="0"/>
            <w:bookmarkEnd w:id="0"/>
            <w:r w:rsidRPr="00BE1998">
              <w:rPr>
                <w:rFonts w:ascii="Arial" w:hAnsi="Arial"/>
                <w:b/>
                <w:bCs/>
                <w:sz w:val="28"/>
                <w:szCs w:val="28"/>
                <w:u w:val="single"/>
                <w:rtl/>
              </w:rPr>
              <w:t>גזר דין</w:t>
            </w:r>
          </w:p>
          <w:p w14:paraId="2524B2F6" w14:textId="77777777" w:rsidR="00774A52" w:rsidRPr="00BE1998" w:rsidRDefault="00774A52" w:rsidP="00BE1998">
            <w:pPr>
              <w:jc w:val="center"/>
              <w:rPr>
                <w:rFonts w:ascii="Arial" w:hAnsi="Arial"/>
                <w:bCs/>
                <w:sz w:val="28"/>
                <w:szCs w:val="28"/>
                <w:u w:val="single"/>
                <w:rtl/>
              </w:rPr>
            </w:pPr>
          </w:p>
        </w:tc>
      </w:tr>
      <w:bookmarkEnd w:id="5"/>
    </w:tbl>
    <w:p w14:paraId="6BB9093C" w14:textId="77777777" w:rsidR="00774A52" w:rsidRPr="00B05847" w:rsidRDefault="00774A52" w:rsidP="00774A52">
      <w:pPr>
        <w:rPr>
          <w:rFonts w:ascii="Arial" w:hAnsi="Arial"/>
          <w:rtl/>
        </w:rPr>
      </w:pPr>
    </w:p>
    <w:p w14:paraId="34A4385C" w14:textId="77777777" w:rsidR="00774A52" w:rsidRDefault="00774A52" w:rsidP="00774A52">
      <w:pPr>
        <w:spacing w:line="360" w:lineRule="auto"/>
        <w:jc w:val="both"/>
        <w:rPr>
          <w:rFonts w:ascii="David" w:hAnsi="David"/>
          <w:b/>
          <w:bCs/>
          <w:u w:val="single"/>
        </w:rPr>
      </w:pPr>
      <w:r>
        <w:rPr>
          <w:rFonts w:ascii="David" w:hAnsi="David"/>
          <w:b/>
          <w:bCs/>
          <w:u w:val="single"/>
          <w:rtl/>
        </w:rPr>
        <w:t>רקע</w:t>
      </w:r>
      <w:r>
        <w:rPr>
          <w:rFonts w:ascii="David" w:hAnsi="David" w:hint="cs"/>
          <w:b/>
          <w:bCs/>
          <w:u w:val="single"/>
          <w:rtl/>
        </w:rPr>
        <w:t xml:space="preserve"> ועובדות כתב האישום</w:t>
      </w:r>
    </w:p>
    <w:p w14:paraId="1B12FB1D" w14:textId="77777777" w:rsidR="00774A52" w:rsidRDefault="00774A52" w:rsidP="00774A52">
      <w:pPr>
        <w:pStyle w:val="aa"/>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הנאשם הורשע על יסוד הודאתו בעובדות כתב אישום מתוקן</w:t>
      </w:r>
      <w:r>
        <w:rPr>
          <w:rFonts w:ascii="David" w:hAnsi="David" w:cs="David" w:hint="cs"/>
          <w:sz w:val="24"/>
          <w:szCs w:val="24"/>
          <w:rtl/>
        </w:rPr>
        <w:t>,</w:t>
      </w:r>
      <w:r>
        <w:rPr>
          <w:rFonts w:ascii="David" w:hAnsi="David" w:cs="David"/>
          <w:sz w:val="24"/>
          <w:szCs w:val="24"/>
          <w:rtl/>
        </w:rPr>
        <w:t xml:space="preserve"> בעבירה של עסקה אחרת בסם לפי </w:t>
      </w:r>
      <w:hyperlink r:id="rId16" w:history="1">
        <w:r w:rsidR="00C86383" w:rsidRPr="00C86383">
          <w:rPr>
            <w:rStyle w:val="Hyperlink"/>
            <w:rFonts w:ascii="David" w:hAnsi="David" w:cs="David"/>
            <w:sz w:val="24"/>
            <w:szCs w:val="24"/>
            <w:rtl/>
          </w:rPr>
          <w:t>סעיף 13</w:t>
        </w:r>
      </w:hyperlink>
      <w:r>
        <w:rPr>
          <w:rFonts w:ascii="David" w:hAnsi="David" w:cs="David"/>
          <w:sz w:val="24"/>
          <w:szCs w:val="24"/>
          <w:rtl/>
        </w:rPr>
        <w:t xml:space="preserve"> ל</w:t>
      </w:r>
      <w:hyperlink r:id="rId17" w:history="1">
        <w:r w:rsidR="00BE1998" w:rsidRPr="00BE199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w:t>
      </w:r>
      <w:r>
        <w:rPr>
          <w:rFonts w:ascii="David" w:hAnsi="David" w:cs="David"/>
          <w:b/>
          <w:bCs/>
          <w:sz w:val="24"/>
          <w:szCs w:val="24"/>
          <w:rtl/>
        </w:rPr>
        <w:t>פקודת הסמים המסוכנים</w:t>
      </w:r>
      <w:r>
        <w:rPr>
          <w:rFonts w:ascii="David" w:hAnsi="David" w:cs="David"/>
          <w:sz w:val="24"/>
          <w:szCs w:val="24"/>
          <w:rtl/>
        </w:rPr>
        <w:t xml:space="preserve">"), וכן בעבירת החזקת סם לצריכה עצמית, לפי </w:t>
      </w:r>
      <w:hyperlink r:id="rId18" w:history="1">
        <w:r w:rsidR="00C86383" w:rsidRPr="00C86383">
          <w:rPr>
            <w:rStyle w:val="Hyperlink"/>
            <w:rFonts w:ascii="David" w:hAnsi="David" w:cs="David"/>
            <w:sz w:val="24"/>
            <w:szCs w:val="24"/>
            <w:rtl/>
          </w:rPr>
          <w:t>סעיף 7(א)(ג)</w:t>
        </w:r>
      </w:hyperlink>
      <w:r>
        <w:rPr>
          <w:rFonts w:ascii="David" w:hAnsi="David" w:cs="David"/>
          <w:sz w:val="24"/>
          <w:szCs w:val="24"/>
          <w:rtl/>
        </w:rPr>
        <w:t xml:space="preserve"> סיפא לפקודת הסמים המסוכנים.</w:t>
      </w:r>
    </w:p>
    <w:p w14:paraId="42384B45" w14:textId="77777777" w:rsidR="00774A52" w:rsidRDefault="00774A52" w:rsidP="00774A52">
      <w:pPr>
        <w:pStyle w:val="aa"/>
        <w:spacing w:line="360" w:lineRule="auto"/>
        <w:jc w:val="both"/>
        <w:rPr>
          <w:rFonts w:ascii="David" w:hAnsi="David" w:cs="David"/>
          <w:sz w:val="24"/>
          <w:szCs w:val="24"/>
        </w:rPr>
      </w:pPr>
      <w:bookmarkStart w:id="7" w:name="ABSTRACT_END"/>
      <w:bookmarkEnd w:id="7"/>
    </w:p>
    <w:p w14:paraId="04AC77B4" w14:textId="77777777" w:rsidR="00774A52" w:rsidRDefault="00774A52" w:rsidP="00774A52">
      <w:pPr>
        <w:pStyle w:val="aa"/>
        <w:spacing w:line="360" w:lineRule="auto"/>
        <w:jc w:val="both"/>
        <w:rPr>
          <w:rFonts w:ascii="David" w:hAnsi="David" w:cs="David"/>
          <w:sz w:val="24"/>
          <w:szCs w:val="24"/>
          <w:rtl/>
        </w:rPr>
      </w:pPr>
      <w:r>
        <w:rPr>
          <w:rFonts w:ascii="David" w:hAnsi="David" w:cs="David" w:hint="cs"/>
          <w:sz w:val="24"/>
          <w:szCs w:val="24"/>
          <w:rtl/>
        </w:rPr>
        <w:t>בהתאם ל</w:t>
      </w:r>
      <w:r>
        <w:rPr>
          <w:rFonts w:ascii="David" w:hAnsi="David" w:cs="David"/>
          <w:sz w:val="24"/>
          <w:szCs w:val="24"/>
          <w:rtl/>
        </w:rPr>
        <w:t>עובדות בהן הורשע, בתאריך 16.12.2018 בסמוך לשעה 02:</w:t>
      </w:r>
      <w:r>
        <w:rPr>
          <w:rFonts w:ascii="David" w:hAnsi="David" w:cs="David" w:hint="cs"/>
          <w:sz w:val="24"/>
          <w:szCs w:val="24"/>
          <w:rtl/>
        </w:rPr>
        <w:t>40</w:t>
      </w:r>
      <w:r>
        <w:rPr>
          <w:rFonts w:ascii="David" w:hAnsi="David" w:cs="David"/>
          <w:sz w:val="24"/>
          <w:szCs w:val="24"/>
          <w:rtl/>
        </w:rPr>
        <w:t xml:space="preserve"> ב</w:t>
      </w:r>
      <w:r>
        <w:rPr>
          <w:rFonts w:ascii="David" w:hAnsi="David" w:cs="David" w:hint="cs"/>
          <w:sz w:val="24"/>
          <w:szCs w:val="24"/>
          <w:rtl/>
        </w:rPr>
        <w:t xml:space="preserve">שירותי </w:t>
      </w:r>
      <w:r>
        <w:rPr>
          <w:rFonts w:ascii="David" w:hAnsi="David" w:cs="David"/>
          <w:sz w:val="24"/>
          <w:szCs w:val="24"/>
          <w:rtl/>
        </w:rPr>
        <w:t xml:space="preserve">מועדון </w:t>
      </w:r>
      <w:r>
        <w:rPr>
          <w:rFonts w:ascii="David" w:hAnsi="David" w:cs="David"/>
          <w:sz w:val="24"/>
          <w:szCs w:val="24"/>
          <w:rtl/>
        </w:rPr>
        <w:br/>
        <w:t xml:space="preserve">בתל אביב, נתן </w:t>
      </w:r>
      <w:r>
        <w:rPr>
          <w:rFonts w:ascii="David" w:hAnsi="David" w:cs="David" w:hint="cs"/>
          <w:sz w:val="24"/>
          <w:szCs w:val="24"/>
          <w:rtl/>
        </w:rPr>
        <w:t xml:space="preserve">הנאשם </w:t>
      </w:r>
      <w:r>
        <w:rPr>
          <w:rFonts w:ascii="David" w:hAnsi="David" w:cs="David"/>
          <w:sz w:val="24"/>
          <w:szCs w:val="24"/>
          <w:rtl/>
        </w:rPr>
        <w:t>סם מסוכן מסוג קנ</w:t>
      </w:r>
      <w:r>
        <w:rPr>
          <w:rFonts w:ascii="David" w:hAnsi="David" w:cs="David" w:hint="cs"/>
          <w:sz w:val="24"/>
          <w:szCs w:val="24"/>
          <w:rtl/>
        </w:rPr>
        <w:t>א</w:t>
      </w:r>
      <w:r>
        <w:rPr>
          <w:rFonts w:ascii="David" w:hAnsi="David" w:cs="David"/>
          <w:sz w:val="24"/>
          <w:szCs w:val="24"/>
          <w:rtl/>
        </w:rPr>
        <w:t>ב</w:t>
      </w:r>
      <w:r>
        <w:rPr>
          <w:rFonts w:ascii="David" w:hAnsi="David" w:cs="David" w:hint="cs"/>
          <w:sz w:val="24"/>
          <w:szCs w:val="24"/>
          <w:rtl/>
        </w:rPr>
        <w:t>י</w:t>
      </w:r>
      <w:r>
        <w:rPr>
          <w:rFonts w:ascii="David" w:hAnsi="David" w:cs="David"/>
          <w:sz w:val="24"/>
          <w:szCs w:val="24"/>
          <w:rtl/>
        </w:rPr>
        <w:t>ס במשקל</w:t>
      </w:r>
      <w:r>
        <w:rPr>
          <w:rFonts w:ascii="David" w:hAnsi="David" w:cs="David" w:hint="cs"/>
          <w:sz w:val="24"/>
          <w:szCs w:val="24"/>
          <w:rtl/>
        </w:rPr>
        <w:t xml:space="preserve"> של 0.99 גרם </w:t>
      </w:r>
      <w:r>
        <w:rPr>
          <w:rFonts w:ascii="David" w:hAnsi="David" w:cs="David"/>
          <w:sz w:val="24"/>
          <w:szCs w:val="24"/>
          <w:rtl/>
        </w:rPr>
        <w:t>נטו</w:t>
      </w:r>
      <w:r>
        <w:rPr>
          <w:rFonts w:ascii="David" w:hAnsi="David" w:cs="David" w:hint="cs"/>
          <w:sz w:val="24"/>
          <w:szCs w:val="24"/>
          <w:rtl/>
        </w:rPr>
        <w:t xml:space="preserve">, בתמורה ל-100 ₪ לאדם אחר איתו היתה לו </w:t>
      </w:r>
      <w:r>
        <w:rPr>
          <w:rFonts w:ascii="David" w:hAnsi="David" w:cs="David"/>
          <w:sz w:val="24"/>
          <w:szCs w:val="24"/>
          <w:rtl/>
        </w:rPr>
        <w:t xml:space="preserve">היכרות מוקדמת. בנסיבות אלה, החזיק הנאשם בשתי שקיות נוספות של סם מסוכן מסוג קנבוס, </w:t>
      </w:r>
      <w:r>
        <w:rPr>
          <w:rFonts w:ascii="David" w:hAnsi="David" w:cs="David" w:hint="cs"/>
          <w:sz w:val="24"/>
          <w:szCs w:val="24"/>
          <w:rtl/>
        </w:rPr>
        <w:t xml:space="preserve">לצריכתו העצמית, </w:t>
      </w:r>
      <w:r>
        <w:rPr>
          <w:rFonts w:ascii="David" w:hAnsi="David" w:cs="David"/>
          <w:sz w:val="24"/>
          <w:szCs w:val="24"/>
          <w:rtl/>
        </w:rPr>
        <w:t xml:space="preserve">האחת במשקל של 4 גרם נטו והשנייה במשקל של </w:t>
      </w:r>
      <w:r>
        <w:rPr>
          <w:rFonts w:ascii="David" w:hAnsi="David" w:cs="David" w:hint="cs"/>
          <w:sz w:val="24"/>
          <w:szCs w:val="24"/>
          <w:rtl/>
        </w:rPr>
        <w:t xml:space="preserve">כ-0.2 </w:t>
      </w:r>
      <w:r>
        <w:rPr>
          <w:rFonts w:ascii="David" w:hAnsi="David" w:cs="David"/>
          <w:sz w:val="24"/>
          <w:szCs w:val="24"/>
          <w:rtl/>
        </w:rPr>
        <w:t>גרם.</w:t>
      </w:r>
    </w:p>
    <w:p w14:paraId="6778DB80" w14:textId="77777777" w:rsidR="00774A52" w:rsidRDefault="00774A52" w:rsidP="00774A52">
      <w:pPr>
        <w:pStyle w:val="aa"/>
        <w:spacing w:line="360" w:lineRule="auto"/>
        <w:jc w:val="both"/>
        <w:rPr>
          <w:rFonts w:ascii="David" w:hAnsi="David" w:cs="David"/>
          <w:sz w:val="24"/>
          <w:szCs w:val="24"/>
          <w:rtl/>
        </w:rPr>
      </w:pPr>
    </w:p>
    <w:p w14:paraId="2289B6A9" w14:textId="77777777" w:rsidR="00774A52" w:rsidRDefault="00774A52" w:rsidP="00774A52">
      <w:pPr>
        <w:pStyle w:val="aa"/>
        <w:spacing w:line="360" w:lineRule="auto"/>
        <w:jc w:val="both"/>
        <w:rPr>
          <w:rFonts w:ascii="David" w:hAnsi="David" w:cs="David"/>
          <w:sz w:val="24"/>
          <w:szCs w:val="24"/>
          <w:rtl/>
        </w:rPr>
      </w:pPr>
      <w:r>
        <w:rPr>
          <w:rFonts w:ascii="David" w:hAnsi="David" w:cs="David"/>
          <w:sz w:val="24"/>
          <w:szCs w:val="24"/>
          <w:rtl/>
        </w:rPr>
        <w:t xml:space="preserve">בטרם נשמעו טיעונים לעונש ובהסכמת הצדדים, </w:t>
      </w:r>
      <w:r>
        <w:rPr>
          <w:rFonts w:ascii="David" w:hAnsi="David" w:cs="David" w:hint="cs"/>
          <w:sz w:val="24"/>
          <w:szCs w:val="24"/>
          <w:rtl/>
        </w:rPr>
        <w:t xml:space="preserve">התקבל תסקיר </w:t>
      </w:r>
      <w:r>
        <w:rPr>
          <w:rFonts w:ascii="David" w:hAnsi="David" w:cs="David"/>
          <w:sz w:val="24"/>
          <w:szCs w:val="24"/>
          <w:rtl/>
        </w:rPr>
        <w:t>שירות המבחן</w:t>
      </w:r>
      <w:r>
        <w:rPr>
          <w:rFonts w:ascii="David" w:hAnsi="David" w:cs="David" w:hint="cs"/>
          <w:sz w:val="24"/>
          <w:szCs w:val="24"/>
          <w:rtl/>
        </w:rPr>
        <w:t xml:space="preserve"> בעניינו של הנאשם</w:t>
      </w:r>
      <w:r>
        <w:rPr>
          <w:rFonts w:ascii="David" w:hAnsi="David" w:cs="David"/>
          <w:sz w:val="24"/>
          <w:szCs w:val="24"/>
          <w:rtl/>
        </w:rPr>
        <w:t>.</w:t>
      </w:r>
    </w:p>
    <w:p w14:paraId="18314039" w14:textId="77777777" w:rsidR="00774A52" w:rsidRPr="00804760" w:rsidRDefault="00774A52" w:rsidP="00774A52">
      <w:pPr>
        <w:spacing w:line="360" w:lineRule="auto"/>
        <w:ind w:firstLine="360"/>
        <w:jc w:val="both"/>
        <w:rPr>
          <w:rFonts w:ascii="David" w:hAnsi="David"/>
          <w:b/>
          <w:bCs/>
          <w:u w:val="single"/>
          <w:rtl/>
        </w:rPr>
      </w:pPr>
      <w:r w:rsidRPr="00804760">
        <w:rPr>
          <w:rFonts w:ascii="David" w:hAnsi="David"/>
          <w:b/>
          <w:bCs/>
          <w:u w:val="single"/>
          <w:rtl/>
        </w:rPr>
        <w:lastRenderedPageBreak/>
        <w:t>תסקיר שירות המבחן</w:t>
      </w:r>
    </w:p>
    <w:p w14:paraId="3479817B" w14:textId="77777777" w:rsidR="00774A52" w:rsidRDefault="00774A52" w:rsidP="00774A5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36, </w:t>
      </w:r>
      <w:r>
        <w:rPr>
          <w:rFonts w:ascii="David" w:hAnsi="David" w:cs="David" w:hint="cs"/>
          <w:sz w:val="24"/>
          <w:szCs w:val="24"/>
          <w:rtl/>
        </w:rPr>
        <w:t xml:space="preserve">רווק </w:t>
      </w:r>
      <w:r>
        <w:rPr>
          <w:rFonts w:ascii="David" w:hAnsi="David" w:cs="David"/>
          <w:sz w:val="24"/>
          <w:szCs w:val="24"/>
          <w:rtl/>
        </w:rPr>
        <w:t xml:space="preserve">ללא עבר פלילי. </w:t>
      </w:r>
      <w:r>
        <w:rPr>
          <w:rFonts w:ascii="David" w:hAnsi="David" w:cs="David" w:hint="cs"/>
          <w:sz w:val="24"/>
          <w:szCs w:val="24"/>
          <w:rtl/>
        </w:rPr>
        <w:t xml:space="preserve">לאחר שרות צבאי, </w:t>
      </w:r>
      <w:r>
        <w:rPr>
          <w:rFonts w:ascii="David" w:hAnsi="David" w:cs="David"/>
          <w:sz w:val="24"/>
          <w:szCs w:val="24"/>
          <w:rtl/>
        </w:rPr>
        <w:t xml:space="preserve">סיים </w:t>
      </w:r>
      <w:r>
        <w:rPr>
          <w:rFonts w:ascii="David" w:hAnsi="David" w:cs="David" w:hint="cs"/>
          <w:sz w:val="24"/>
          <w:szCs w:val="24"/>
          <w:rtl/>
        </w:rPr>
        <w:t xml:space="preserve">הנאשם </w:t>
      </w:r>
      <w:r>
        <w:rPr>
          <w:rFonts w:ascii="David" w:hAnsi="David" w:cs="David"/>
          <w:sz w:val="24"/>
          <w:szCs w:val="24"/>
          <w:rtl/>
        </w:rPr>
        <w:t xml:space="preserve">לימודי קופירייטינג וכיום עוסק בתחום באופן חלקי. </w:t>
      </w:r>
      <w:r>
        <w:rPr>
          <w:rFonts w:ascii="David" w:hAnsi="David" w:cs="David" w:hint="cs"/>
          <w:sz w:val="24"/>
          <w:szCs w:val="24"/>
          <w:rtl/>
        </w:rPr>
        <w:t xml:space="preserve">לדבריו, </w:t>
      </w:r>
      <w:r>
        <w:rPr>
          <w:rFonts w:ascii="David" w:hAnsi="David" w:cs="David"/>
          <w:sz w:val="24"/>
          <w:szCs w:val="24"/>
          <w:rtl/>
        </w:rPr>
        <w:t>החל להשתמש בסם מסוג קנ</w:t>
      </w:r>
      <w:r>
        <w:rPr>
          <w:rFonts w:ascii="David" w:hAnsi="David" w:cs="David" w:hint="cs"/>
          <w:sz w:val="24"/>
          <w:szCs w:val="24"/>
          <w:rtl/>
        </w:rPr>
        <w:t>א</w:t>
      </w:r>
      <w:r>
        <w:rPr>
          <w:rFonts w:ascii="David" w:hAnsi="David" w:cs="David"/>
          <w:sz w:val="24"/>
          <w:szCs w:val="24"/>
          <w:rtl/>
        </w:rPr>
        <w:t>ב</w:t>
      </w:r>
      <w:r>
        <w:rPr>
          <w:rFonts w:ascii="David" w:hAnsi="David" w:cs="David" w:hint="cs"/>
          <w:sz w:val="24"/>
          <w:szCs w:val="24"/>
          <w:rtl/>
        </w:rPr>
        <w:t>י</w:t>
      </w:r>
      <w:r>
        <w:rPr>
          <w:rFonts w:ascii="David" w:hAnsi="David" w:cs="David"/>
          <w:sz w:val="24"/>
          <w:szCs w:val="24"/>
          <w:rtl/>
        </w:rPr>
        <w:t>ס לאחר שחרורו מצה"ל באירועים חברתיים ו</w:t>
      </w:r>
      <w:r>
        <w:rPr>
          <w:rFonts w:ascii="David" w:hAnsi="David" w:cs="David" w:hint="cs"/>
          <w:sz w:val="24"/>
          <w:szCs w:val="24"/>
          <w:rtl/>
        </w:rPr>
        <w:t xml:space="preserve">הגביר את השימוש </w:t>
      </w:r>
      <w:r>
        <w:rPr>
          <w:rFonts w:ascii="David" w:hAnsi="David" w:cs="David"/>
          <w:sz w:val="24"/>
          <w:szCs w:val="24"/>
          <w:rtl/>
        </w:rPr>
        <w:t>בתקופות</w:t>
      </w:r>
      <w:r>
        <w:rPr>
          <w:rFonts w:ascii="David" w:hAnsi="David" w:cs="David" w:hint="cs"/>
          <w:sz w:val="24"/>
          <w:szCs w:val="24"/>
          <w:rtl/>
        </w:rPr>
        <w:t xml:space="preserve"> קשות</w:t>
      </w:r>
      <w:r>
        <w:rPr>
          <w:rFonts w:ascii="David" w:hAnsi="David" w:cs="David"/>
          <w:sz w:val="24"/>
          <w:szCs w:val="24"/>
          <w:rtl/>
        </w:rPr>
        <w:t xml:space="preserve">. </w:t>
      </w:r>
      <w:r>
        <w:rPr>
          <w:rFonts w:ascii="David" w:hAnsi="David" w:cs="David" w:hint="cs"/>
          <w:sz w:val="24"/>
          <w:szCs w:val="24"/>
          <w:rtl/>
        </w:rPr>
        <w:t xml:space="preserve">הנאשם </w:t>
      </w:r>
      <w:r>
        <w:rPr>
          <w:rFonts w:ascii="David" w:hAnsi="David" w:cs="David"/>
          <w:sz w:val="24"/>
          <w:szCs w:val="24"/>
          <w:rtl/>
        </w:rPr>
        <w:t xml:space="preserve">הודה ונטל אחריות על מעשיו תוך שהסביר </w:t>
      </w:r>
      <w:r>
        <w:rPr>
          <w:rFonts w:ascii="David" w:hAnsi="David" w:cs="David" w:hint="cs"/>
          <w:sz w:val="24"/>
          <w:szCs w:val="24"/>
          <w:rtl/>
        </w:rPr>
        <w:t xml:space="preserve">את ביצוע העבירה </w:t>
      </w:r>
      <w:r>
        <w:rPr>
          <w:rFonts w:ascii="David" w:hAnsi="David" w:cs="David"/>
          <w:sz w:val="24"/>
          <w:szCs w:val="24"/>
          <w:rtl/>
        </w:rPr>
        <w:t xml:space="preserve">על רקע בקשת חברו להשיג סמים. מאז ביצוע העבירה, חדל הנאשם להשתמש בסמים, מסר בדיקות שתן נקיות משרידי סם, </w:t>
      </w:r>
      <w:r>
        <w:rPr>
          <w:rFonts w:ascii="David" w:hAnsi="David" w:cs="David" w:hint="cs"/>
          <w:sz w:val="24"/>
          <w:szCs w:val="24"/>
          <w:rtl/>
        </w:rPr>
        <w:t xml:space="preserve">וצפוי להתחיל בלימודי </w:t>
      </w:r>
      <w:r>
        <w:rPr>
          <w:rFonts w:ascii="David" w:hAnsi="David" w:cs="David"/>
          <w:sz w:val="24"/>
          <w:szCs w:val="24"/>
          <w:rtl/>
        </w:rPr>
        <w:t>תיווך נדל"ן</w:t>
      </w:r>
      <w:r>
        <w:rPr>
          <w:rFonts w:ascii="David" w:hAnsi="David" w:cs="David" w:hint="cs"/>
          <w:sz w:val="24"/>
          <w:szCs w:val="24"/>
          <w:rtl/>
        </w:rPr>
        <w:t xml:space="preserve"> בחודש אוקטובר 2021</w:t>
      </w:r>
      <w:r>
        <w:rPr>
          <w:rFonts w:ascii="David" w:hAnsi="David" w:cs="David"/>
          <w:sz w:val="24"/>
          <w:szCs w:val="24"/>
          <w:rtl/>
        </w:rPr>
        <w:t xml:space="preserve">. שירות </w:t>
      </w:r>
      <w:r>
        <w:rPr>
          <w:rFonts w:ascii="David" w:hAnsi="David" w:cs="David" w:hint="cs"/>
          <w:sz w:val="24"/>
          <w:szCs w:val="24"/>
          <w:rtl/>
        </w:rPr>
        <w:t xml:space="preserve">המבחן התרשם </w:t>
      </w:r>
      <w:r>
        <w:rPr>
          <w:rFonts w:ascii="David" w:hAnsi="David" w:cs="David"/>
          <w:sz w:val="24"/>
          <w:szCs w:val="24"/>
          <w:rtl/>
        </w:rPr>
        <w:t xml:space="preserve">כי הנאשם אינו בעל דפוסים עברייניים או שוליים, אינו זקוק להתערבות טיפולית וכי ההליך המשפטי מהווה </w:t>
      </w:r>
      <w:r>
        <w:rPr>
          <w:rFonts w:ascii="David" w:hAnsi="David" w:cs="David" w:hint="cs"/>
          <w:sz w:val="24"/>
          <w:szCs w:val="24"/>
          <w:rtl/>
        </w:rPr>
        <w:t xml:space="preserve">עבורו </w:t>
      </w:r>
      <w:r>
        <w:rPr>
          <w:rFonts w:ascii="David" w:hAnsi="David" w:cs="David"/>
          <w:sz w:val="24"/>
          <w:szCs w:val="24"/>
          <w:rtl/>
        </w:rPr>
        <w:t>גורם מרתיע</w:t>
      </w:r>
      <w:r>
        <w:rPr>
          <w:rFonts w:ascii="David" w:hAnsi="David" w:cs="David" w:hint="cs"/>
          <w:sz w:val="24"/>
          <w:szCs w:val="24"/>
          <w:rtl/>
        </w:rPr>
        <w:t>. לפיכך, הומלץ לנקוט ב</w:t>
      </w:r>
      <w:r>
        <w:rPr>
          <w:rFonts w:ascii="David" w:hAnsi="David" w:cs="David"/>
          <w:sz w:val="24"/>
          <w:szCs w:val="24"/>
          <w:rtl/>
        </w:rPr>
        <w:t xml:space="preserve">ענישה שיקומית בדמות של"צ בהיקף של 250 שעות. </w:t>
      </w:r>
      <w:r>
        <w:rPr>
          <w:rFonts w:ascii="David" w:hAnsi="David" w:cs="David" w:hint="cs"/>
          <w:sz w:val="24"/>
          <w:szCs w:val="24"/>
          <w:rtl/>
        </w:rPr>
        <w:t xml:space="preserve">בנוסף, שרות המבחן המליץ לבטל את הרשעת הנאשם בשל התרשמותו כי הרשעה תיפגע באופן משמעותי וישיר בהתפתחותו המקצועית של הנאשם לאור פגיעה ביכולתו להשתלב מקצועית בתחום תיווך הנדל"ן, אשר תפגע אף בדימויו העצמי. </w:t>
      </w:r>
    </w:p>
    <w:p w14:paraId="34691D0F" w14:textId="77777777" w:rsidR="00774A52" w:rsidRPr="00783C66" w:rsidRDefault="00774A52" w:rsidP="00774A52">
      <w:pPr>
        <w:spacing w:line="360" w:lineRule="auto"/>
        <w:ind w:firstLine="360"/>
        <w:jc w:val="both"/>
        <w:rPr>
          <w:rFonts w:ascii="David" w:hAnsi="David"/>
          <w:b/>
          <w:bCs/>
          <w:u w:val="single"/>
        </w:rPr>
      </w:pPr>
      <w:r w:rsidRPr="00783C66">
        <w:rPr>
          <w:rFonts w:ascii="David" w:hAnsi="David"/>
          <w:b/>
          <w:bCs/>
          <w:u w:val="single"/>
          <w:rtl/>
        </w:rPr>
        <w:t>תמצית טיעוני הצדדים</w:t>
      </w:r>
    </w:p>
    <w:p w14:paraId="3F8C85F7" w14:textId="77777777" w:rsidR="00774A52" w:rsidRDefault="00774A52" w:rsidP="00774A52">
      <w:pPr>
        <w:pStyle w:val="aa"/>
        <w:numPr>
          <w:ilvl w:val="0"/>
          <w:numId w:val="1"/>
        </w:numPr>
        <w:spacing w:line="360" w:lineRule="auto"/>
        <w:jc w:val="both"/>
        <w:rPr>
          <w:rFonts w:ascii="David" w:hAnsi="David" w:cs="David"/>
          <w:sz w:val="24"/>
          <w:szCs w:val="24"/>
          <w:rtl/>
        </w:rPr>
      </w:pPr>
      <w:r>
        <w:rPr>
          <w:rFonts w:ascii="David" w:hAnsi="David" w:cs="David"/>
          <w:sz w:val="24"/>
          <w:szCs w:val="24"/>
          <w:rtl/>
        </w:rPr>
        <w:t>ב"כ המאשימה עתרה לקביעת מתחם ענישה הנע בין מספר חודשי מאסר שירוצו בעבודות שירות ועד</w:t>
      </w:r>
      <w:r>
        <w:rPr>
          <w:rFonts w:ascii="David" w:hAnsi="David" w:cs="David" w:hint="cs"/>
          <w:sz w:val="24"/>
          <w:szCs w:val="24"/>
          <w:rtl/>
        </w:rPr>
        <w:t xml:space="preserve"> ל-</w:t>
      </w:r>
      <w:r>
        <w:rPr>
          <w:rFonts w:ascii="David" w:hAnsi="David" w:cs="David"/>
          <w:sz w:val="24"/>
          <w:szCs w:val="24"/>
          <w:rtl/>
        </w:rPr>
        <w:t xml:space="preserve">10 חודשי מאסר </w:t>
      </w:r>
      <w:r>
        <w:rPr>
          <w:rFonts w:ascii="David" w:hAnsi="David" w:cs="David" w:hint="cs"/>
          <w:sz w:val="24"/>
          <w:szCs w:val="24"/>
          <w:rtl/>
        </w:rPr>
        <w:t xml:space="preserve">בפועל, </w:t>
      </w:r>
      <w:r>
        <w:rPr>
          <w:rFonts w:ascii="David" w:hAnsi="David" w:cs="David"/>
          <w:sz w:val="24"/>
          <w:szCs w:val="24"/>
          <w:rtl/>
        </w:rPr>
        <w:t>תוך שהפנתה לערכים המוגנים אשר נפגעו מביצוע העבירה, לנסיבות ביצועה ולמדיניות ענישה. אשר להמלצת שירות המבחן לבט</w:t>
      </w:r>
      <w:r>
        <w:rPr>
          <w:rFonts w:ascii="David" w:hAnsi="David" w:cs="David" w:hint="cs"/>
          <w:sz w:val="24"/>
          <w:szCs w:val="24"/>
          <w:rtl/>
        </w:rPr>
        <w:t>ו</w:t>
      </w:r>
      <w:r>
        <w:rPr>
          <w:rFonts w:ascii="David" w:hAnsi="David" w:cs="David"/>
          <w:sz w:val="24"/>
          <w:szCs w:val="24"/>
          <w:rtl/>
        </w:rPr>
        <w:t xml:space="preserve">ל </w:t>
      </w:r>
      <w:r>
        <w:rPr>
          <w:rFonts w:ascii="David" w:hAnsi="David" w:cs="David" w:hint="cs"/>
          <w:sz w:val="24"/>
          <w:szCs w:val="24"/>
          <w:rtl/>
        </w:rPr>
        <w:t>ה</w:t>
      </w:r>
      <w:r>
        <w:rPr>
          <w:rFonts w:ascii="David" w:hAnsi="David" w:cs="David"/>
          <w:sz w:val="24"/>
          <w:szCs w:val="24"/>
          <w:rtl/>
        </w:rPr>
        <w:t>הרשע</w:t>
      </w:r>
      <w:r>
        <w:rPr>
          <w:rFonts w:ascii="David" w:hAnsi="David" w:cs="David" w:hint="cs"/>
          <w:sz w:val="24"/>
          <w:szCs w:val="24"/>
          <w:rtl/>
        </w:rPr>
        <w:t>ה</w:t>
      </w:r>
      <w:r>
        <w:rPr>
          <w:rFonts w:ascii="David" w:hAnsi="David" w:cs="David"/>
          <w:sz w:val="24"/>
          <w:szCs w:val="24"/>
          <w:rtl/>
        </w:rPr>
        <w:t xml:space="preserve">, סברה ב"כ המאשימה כי במקרה הנדון לא מתקיימים התנאים לביטול הרשעה </w:t>
      </w:r>
      <w:r>
        <w:rPr>
          <w:rFonts w:ascii="David" w:hAnsi="David" w:cs="David" w:hint="cs"/>
          <w:sz w:val="24"/>
          <w:szCs w:val="24"/>
          <w:rtl/>
        </w:rPr>
        <w:t>ו</w:t>
      </w:r>
      <w:r>
        <w:rPr>
          <w:rFonts w:ascii="David" w:hAnsi="David" w:cs="David"/>
          <w:sz w:val="24"/>
          <w:szCs w:val="24"/>
          <w:rtl/>
        </w:rPr>
        <w:t xml:space="preserve">הדגישה בטיעוניה כי אין כל אינדיקציה לנזק קונקרטי הצפוי לנאשם מעצם הרשעתו בעבירות. לאור עברו הפלילי הנקי של הנאשם, גילו הצעיר, נטילת האחריות על ביצוע העבירות וחיסכון </w:t>
      </w:r>
      <w:r>
        <w:rPr>
          <w:rFonts w:ascii="David" w:hAnsi="David" w:cs="David" w:hint="cs"/>
          <w:sz w:val="24"/>
          <w:szCs w:val="24"/>
          <w:rtl/>
        </w:rPr>
        <w:t>ב</w:t>
      </w:r>
      <w:r>
        <w:rPr>
          <w:rFonts w:ascii="David" w:hAnsi="David" w:cs="David"/>
          <w:sz w:val="24"/>
          <w:szCs w:val="24"/>
          <w:rtl/>
        </w:rPr>
        <w:t>זמן שיפוטי</w:t>
      </w:r>
      <w:r>
        <w:rPr>
          <w:rFonts w:ascii="David" w:hAnsi="David" w:cs="David" w:hint="cs"/>
          <w:sz w:val="24"/>
          <w:szCs w:val="24"/>
          <w:rtl/>
        </w:rPr>
        <w:t xml:space="preserve">, עתרה </w:t>
      </w:r>
      <w:r>
        <w:rPr>
          <w:rFonts w:ascii="David" w:hAnsi="David" w:cs="David"/>
          <w:sz w:val="24"/>
          <w:szCs w:val="24"/>
          <w:rtl/>
        </w:rPr>
        <w:t>ב"כ המאשימה למקם את הנאשם ברף התחתון של מתחם הענישה ולהשית עליו 3 חודשי מאסר שיכול וירוצו בעבודות שירות, מאסר על תנאי, פסילת רישיון נהיגה בפועל ועל תנאי ו</w:t>
      </w:r>
      <w:r>
        <w:rPr>
          <w:rFonts w:ascii="David" w:hAnsi="David" w:cs="David" w:hint="cs"/>
          <w:sz w:val="24"/>
          <w:szCs w:val="24"/>
          <w:rtl/>
        </w:rPr>
        <w:t xml:space="preserve">כן </w:t>
      </w:r>
      <w:r>
        <w:rPr>
          <w:rFonts w:ascii="David" w:hAnsi="David" w:cs="David"/>
          <w:sz w:val="24"/>
          <w:szCs w:val="24"/>
          <w:rtl/>
        </w:rPr>
        <w:t>קנס</w:t>
      </w:r>
      <w:r>
        <w:rPr>
          <w:rFonts w:ascii="David" w:hAnsi="David" w:cs="David" w:hint="cs"/>
          <w:sz w:val="24"/>
          <w:szCs w:val="24"/>
          <w:rtl/>
        </w:rPr>
        <w:t xml:space="preserve"> כספי</w:t>
      </w:r>
      <w:r>
        <w:rPr>
          <w:rFonts w:ascii="David" w:hAnsi="David" w:cs="David"/>
          <w:sz w:val="24"/>
          <w:szCs w:val="24"/>
          <w:rtl/>
        </w:rPr>
        <w:t xml:space="preserve">. ב"כ המאשימה הגישה פסיקה </w:t>
      </w:r>
      <w:r>
        <w:rPr>
          <w:rFonts w:ascii="David" w:hAnsi="David" w:cs="David" w:hint="cs"/>
          <w:sz w:val="24"/>
          <w:szCs w:val="24"/>
          <w:rtl/>
        </w:rPr>
        <w:t xml:space="preserve">לביסוס </w:t>
      </w:r>
      <w:r>
        <w:rPr>
          <w:rFonts w:ascii="David" w:hAnsi="David" w:cs="David"/>
          <w:sz w:val="24"/>
          <w:szCs w:val="24"/>
          <w:rtl/>
        </w:rPr>
        <w:t>ט</w:t>
      </w:r>
      <w:r>
        <w:rPr>
          <w:rFonts w:ascii="David" w:hAnsi="David" w:cs="David" w:hint="cs"/>
          <w:sz w:val="24"/>
          <w:szCs w:val="24"/>
          <w:rtl/>
        </w:rPr>
        <w:t>י</w:t>
      </w:r>
      <w:r>
        <w:rPr>
          <w:rFonts w:ascii="David" w:hAnsi="David" w:cs="David"/>
          <w:sz w:val="24"/>
          <w:szCs w:val="24"/>
          <w:rtl/>
        </w:rPr>
        <w:t>ע</w:t>
      </w:r>
      <w:r>
        <w:rPr>
          <w:rFonts w:ascii="David" w:hAnsi="David" w:cs="David" w:hint="cs"/>
          <w:sz w:val="24"/>
          <w:szCs w:val="24"/>
          <w:rtl/>
        </w:rPr>
        <w:t>ו</w:t>
      </w:r>
      <w:r>
        <w:rPr>
          <w:rFonts w:ascii="David" w:hAnsi="David" w:cs="David"/>
          <w:sz w:val="24"/>
          <w:szCs w:val="24"/>
          <w:rtl/>
        </w:rPr>
        <w:t>נ</w:t>
      </w:r>
      <w:r>
        <w:rPr>
          <w:rFonts w:ascii="David" w:hAnsi="David" w:cs="David" w:hint="cs"/>
          <w:sz w:val="24"/>
          <w:szCs w:val="24"/>
          <w:rtl/>
        </w:rPr>
        <w:t>יה</w:t>
      </w:r>
      <w:r>
        <w:rPr>
          <w:rFonts w:ascii="David" w:hAnsi="David" w:cs="David"/>
          <w:sz w:val="24"/>
          <w:szCs w:val="24"/>
          <w:rtl/>
        </w:rPr>
        <w:t xml:space="preserve">. </w:t>
      </w:r>
    </w:p>
    <w:p w14:paraId="0CFC3371" w14:textId="77777777" w:rsidR="00774A52" w:rsidRDefault="00774A52" w:rsidP="00774A52">
      <w:pPr>
        <w:pStyle w:val="aa"/>
        <w:spacing w:line="360" w:lineRule="auto"/>
        <w:jc w:val="both"/>
        <w:rPr>
          <w:rFonts w:ascii="David" w:hAnsi="David" w:cs="David"/>
          <w:sz w:val="24"/>
          <w:szCs w:val="24"/>
        </w:rPr>
      </w:pPr>
    </w:p>
    <w:p w14:paraId="424E404E" w14:textId="77777777" w:rsidR="00774A52" w:rsidRDefault="00774A52" w:rsidP="00774A52">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הפנה לנסיבות </w:t>
      </w:r>
      <w:r>
        <w:rPr>
          <w:rFonts w:ascii="David" w:hAnsi="David" w:cs="David" w:hint="cs"/>
          <w:sz w:val="24"/>
          <w:szCs w:val="24"/>
          <w:rtl/>
        </w:rPr>
        <w:t>האירוע המתייחסות לעבירת עסקה אחרת לחבר ברף נמוך ביותר</w:t>
      </w:r>
      <w:r>
        <w:rPr>
          <w:rFonts w:ascii="David" w:hAnsi="David" w:cs="David"/>
          <w:sz w:val="24"/>
          <w:szCs w:val="24"/>
          <w:rtl/>
        </w:rPr>
        <w:t xml:space="preserve">. </w:t>
      </w:r>
      <w:r>
        <w:rPr>
          <w:rFonts w:ascii="David" w:hAnsi="David" w:cs="David" w:hint="cs"/>
          <w:sz w:val="24"/>
          <w:szCs w:val="24"/>
          <w:rtl/>
        </w:rPr>
        <w:t xml:space="preserve">לגבי נסיבותיו של הנאשם, ציין את </w:t>
      </w:r>
      <w:r>
        <w:rPr>
          <w:rFonts w:ascii="David" w:hAnsi="David" w:cs="David"/>
          <w:sz w:val="24"/>
          <w:szCs w:val="24"/>
          <w:rtl/>
        </w:rPr>
        <w:t xml:space="preserve">הודייתו </w:t>
      </w:r>
      <w:r>
        <w:rPr>
          <w:rFonts w:ascii="David" w:hAnsi="David" w:cs="David" w:hint="cs"/>
          <w:sz w:val="24"/>
          <w:szCs w:val="24"/>
          <w:rtl/>
        </w:rPr>
        <w:t>במיוחס לו</w:t>
      </w:r>
      <w:r>
        <w:rPr>
          <w:rFonts w:ascii="David" w:hAnsi="David" w:cs="David"/>
          <w:sz w:val="24"/>
          <w:szCs w:val="24"/>
          <w:rtl/>
        </w:rPr>
        <w:t xml:space="preserve">, </w:t>
      </w:r>
      <w:r>
        <w:rPr>
          <w:rFonts w:ascii="David" w:hAnsi="David" w:cs="David" w:hint="cs"/>
          <w:sz w:val="24"/>
          <w:szCs w:val="24"/>
          <w:rtl/>
        </w:rPr>
        <w:t xml:space="preserve">הסתבכותו היחידה עם החוק במקרה זה וכן את התרשמות שירות המבחן מהנאשם. </w:t>
      </w:r>
      <w:r>
        <w:rPr>
          <w:rFonts w:ascii="David" w:hAnsi="David" w:cs="David"/>
          <w:sz w:val="24"/>
          <w:szCs w:val="24"/>
          <w:rtl/>
        </w:rPr>
        <w:t xml:space="preserve">ב"כ הנאשם הדגיש בטיעוניו את הנזק שעלול להיגרם </w:t>
      </w:r>
      <w:r>
        <w:rPr>
          <w:rFonts w:ascii="David" w:hAnsi="David" w:cs="David" w:hint="cs"/>
          <w:sz w:val="24"/>
          <w:szCs w:val="24"/>
          <w:rtl/>
        </w:rPr>
        <w:t>כתוצאה מההרשעה לאור רצונו לעסוק בתיווך נדל"ן. לפיכך, ולאחר שהפנה לפסיקה,</w:t>
      </w:r>
      <w:r>
        <w:rPr>
          <w:rFonts w:ascii="David" w:hAnsi="David" w:cs="David"/>
          <w:sz w:val="24"/>
          <w:szCs w:val="24"/>
          <w:rtl/>
        </w:rPr>
        <w:t xml:space="preserve"> עתר ב"כ הנאשם </w:t>
      </w:r>
      <w:r>
        <w:rPr>
          <w:rFonts w:ascii="David" w:hAnsi="David" w:cs="David" w:hint="cs"/>
          <w:sz w:val="24"/>
          <w:szCs w:val="24"/>
          <w:rtl/>
        </w:rPr>
        <w:t xml:space="preserve">לביטול ההרשעה תוך אימוץ </w:t>
      </w:r>
      <w:r>
        <w:rPr>
          <w:rFonts w:ascii="David" w:hAnsi="David" w:cs="David"/>
          <w:sz w:val="24"/>
          <w:szCs w:val="24"/>
          <w:rtl/>
        </w:rPr>
        <w:t>המלצת שירות המבחן</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לאחר השלמת טיעוניו, היפנה ב"כ הנאשם להוראות </w:t>
      </w:r>
      <w:hyperlink r:id="rId19" w:history="1">
        <w:r w:rsidR="00BE1998" w:rsidRPr="00BE1998">
          <w:rPr>
            <w:rFonts w:ascii="David" w:hAnsi="David" w:cs="David"/>
            <w:color w:val="0000FF"/>
            <w:sz w:val="24"/>
            <w:szCs w:val="24"/>
            <w:u w:val="single"/>
            <w:rtl/>
          </w:rPr>
          <w:t>חוק המתווכים במקרקעין</w:t>
        </w:r>
      </w:hyperlink>
      <w:r>
        <w:rPr>
          <w:rFonts w:ascii="David" w:hAnsi="David" w:cs="David" w:hint="cs"/>
          <w:sz w:val="24"/>
          <w:szCs w:val="24"/>
          <w:rtl/>
        </w:rPr>
        <w:t xml:space="preserve">, תשנ"ו </w:t>
      </w:r>
      <w:r>
        <w:rPr>
          <w:rFonts w:ascii="David" w:hAnsi="David" w:cs="David"/>
          <w:sz w:val="24"/>
          <w:szCs w:val="24"/>
          <w:rtl/>
        </w:rPr>
        <w:t>–</w:t>
      </w:r>
      <w:r>
        <w:rPr>
          <w:rFonts w:ascii="David" w:hAnsi="David" w:cs="David" w:hint="cs"/>
          <w:sz w:val="24"/>
          <w:szCs w:val="24"/>
          <w:rtl/>
        </w:rPr>
        <w:t xml:space="preserve"> 1996 (להלן: "</w:t>
      </w:r>
      <w:r w:rsidRPr="008578C2">
        <w:rPr>
          <w:rFonts w:ascii="David" w:hAnsi="David" w:cs="David" w:hint="cs"/>
          <w:b/>
          <w:bCs/>
          <w:sz w:val="24"/>
          <w:szCs w:val="24"/>
          <w:rtl/>
        </w:rPr>
        <w:t>חוק המתווכים</w:t>
      </w:r>
      <w:r>
        <w:rPr>
          <w:rFonts w:ascii="David" w:hAnsi="David" w:cs="David" w:hint="cs"/>
          <w:sz w:val="24"/>
          <w:szCs w:val="24"/>
          <w:rtl/>
        </w:rPr>
        <w:t>"), וכן צירף אישור לפיו הנאשם הוזמן לבחינה בדיני מתווכים במקרקעין ליום 20.04.2021.</w:t>
      </w:r>
    </w:p>
    <w:p w14:paraId="4F05CA66" w14:textId="77777777" w:rsidR="00774A52" w:rsidRPr="00817567" w:rsidRDefault="00774A52" w:rsidP="00774A52">
      <w:pPr>
        <w:pStyle w:val="aa"/>
        <w:rPr>
          <w:rFonts w:ascii="David" w:hAnsi="David" w:cs="David"/>
          <w:sz w:val="24"/>
          <w:szCs w:val="24"/>
          <w:rtl/>
        </w:rPr>
      </w:pPr>
    </w:p>
    <w:p w14:paraId="2C3291A2" w14:textId="77777777" w:rsidR="00774A52" w:rsidRDefault="00774A52" w:rsidP="00774A5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w:t>
      </w:r>
      <w:r>
        <w:rPr>
          <w:rFonts w:ascii="David" w:hAnsi="David" w:cs="David" w:hint="cs"/>
          <w:sz w:val="24"/>
          <w:szCs w:val="24"/>
          <w:rtl/>
        </w:rPr>
        <w:t xml:space="preserve">טען </w:t>
      </w:r>
      <w:r>
        <w:rPr>
          <w:rFonts w:ascii="David" w:hAnsi="David" w:cs="David"/>
          <w:sz w:val="24"/>
          <w:szCs w:val="24"/>
          <w:rtl/>
        </w:rPr>
        <w:t xml:space="preserve">כי נטל אחריות על ביצוע העבירות ומבין את הפסול </w:t>
      </w:r>
      <w:r>
        <w:rPr>
          <w:rFonts w:ascii="David" w:hAnsi="David" w:cs="David" w:hint="cs"/>
          <w:sz w:val="24"/>
          <w:szCs w:val="24"/>
          <w:rtl/>
        </w:rPr>
        <w:t>ש</w:t>
      </w:r>
      <w:r>
        <w:rPr>
          <w:rFonts w:ascii="David" w:hAnsi="David" w:cs="David"/>
          <w:sz w:val="24"/>
          <w:szCs w:val="24"/>
          <w:rtl/>
        </w:rPr>
        <w:t xml:space="preserve">במעשיו. </w:t>
      </w:r>
      <w:r>
        <w:rPr>
          <w:rFonts w:ascii="David" w:hAnsi="David" w:cs="David" w:hint="cs"/>
          <w:sz w:val="24"/>
          <w:szCs w:val="24"/>
          <w:rtl/>
        </w:rPr>
        <w:t xml:space="preserve">לדבריו, </w:t>
      </w:r>
      <w:r>
        <w:rPr>
          <w:rFonts w:ascii="David" w:hAnsi="David" w:cs="David"/>
          <w:sz w:val="24"/>
          <w:szCs w:val="24"/>
          <w:rtl/>
        </w:rPr>
        <w:t xml:space="preserve">בשנה האחרונה החליט </w:t>
      </w:r>
      <w:r>
        <w:rPr>
          <w:rFonts w:ascii="David" w:hAnsi="David" w:cs="David" w:hint="cs"/>
          <w:sz w:val="24"/>
          <w:szCs w:val="24"/>
          <w:rtl/>
        </w:rPr>
        <w:t xml:space="preserve">לבצע </w:t>
      </w:r>
      <w:r>
        <w:rPr>
          <w:rFonts w:ascii="David" w:hAnsi="David" w:cs="David"/>
          <w:sz w:val="24"/>
          <w:szCs w:val="24"/>
          <w:rtl/>
        </w:rPr>
        <w:t>שינוי בחייו, למד תיווך נדל"ן</w:t>
      </w:r>
      <w:r>
        <w:rPr>
          <w:rFonts w:ascii="David" w:hAnsi="David" w:cs="David" w:hint="cs"/>
          <w:sz w:val="24"/>
          <w:szCs w:val="24"/>
          <w:rtl/>
        </w:rPr>
        <w:t xml:space="preserve"> עם חבר</w:t>
      </w:r>
      <w:r>
        <w:rPr>
          <w:rFonts w:ascii="David" w:hAnsi="David" w:cs="David"/>
          <w:sz w:val="24"/>
          <w:szCs w:val="24"/>
          <w:rtl/>
        </w:rPr>
        <w:t xml:space="preserve"> </w:t>
      </w:r>
      <w:r>
        <w:rPr>
          <w:rFonts w:ascii="David" w:hAnsi="David" w:cs="David" w:hint="cs"/>
          <w:sz w:val="24"/>
          <w:szCs w:val="24"/>
          <w:rtl/>
        </w:rPr>
        <w:t xml:space="preserve">ואמור </w:t>
      </w:r>
      <w:r>
        <w:rPr>
          <w:rFonts w:ascii="David" w:hAnsi="David" w:cs="David"/>
          <w:sz w:val="24"/>
          <w:szCs w:val="24"/>
          <w:rtl/>
        </w:rPr>
        <w:t xml:space="preserve">לגשת לבחינות </w:t>
      </w:r>
      <w:r>
        <w:rPr>
          <w:rFonts w:ascii="David" w:hAnsi="David" w:cs="David" w:hint="cs"/>
          <w:sz w:val="24"/>
          <w:szCs w:val="24"/>
          <w:rtl/>
        </w:rPr>
        <w:t>ביום 20.4.21</w:t>
      </w:r>
      <w:r>
        <w:rPr>
          <w:rFonts w:ascii="David" w:hAnsi="David" w:cs="David"/>
          <w:sz w:val="24"/>
          <w:szCs w:val="24"/>
          <w:rtl/>
        </w:rPr>
        <w:t xml:space="preserve">. </w:t>
      </w:r>
      <w:r>
        <w:rPr>
          <w:rFonts w:ascii="David" w:hAnsi="David" w:cs="David" w:hint="cs"/>
          <w:sz w:val="24"/>
          <w:szCs w:val="24"/>
          <w:rtl/>
        </w:rPr>
        <w:t xml:space="preserve">לפיכך, טען כי יגרם לו נזק רב כתוצא מהרשעה וביקש </w:t>
      </w:r>
      <w:r>
        <w:rPr>
          <w:rFonts w:ascii="David" w:hAnsi="David" w:cs="David"/>
          <w:sz w:val="24"/>
          <w:szCs w:val="24"/>
          <w:rtl/>
        </w:rPr>
        <w:t xml:space="preserve">להימנע מהרשעתו. </w:t>
      </w:r>
    </w:p>
    <w:p w14:paraId="2B09C0E1" w14:textId="77777777" w:rsidR="00774A52" w:rsidRDefault="00774A52" w:rsidP="00774A52">
      <w:pPr>
        <w:spacing w:line="360" w:lineRule="auto"/>
        <w:jc w:val="both"/>
        <w:rPr>
          <w:rFonts w:ascii="David" w:hAnsi="David"/>
          <w:b/>
          <w:bCs/>
          <w:u w:val="single"/>
        </w:rPr>
      </w:pPr>
      <w:r>
        <w:rPr>
          <w:rFonts w:ascii="David" w:hAnsi="David"/>
          <w:b/>
          <w:bCs/>
          <w:u w:val="single"/>
          <w:rtl/>
        </w:rPr>
        <w:t>דיון והכרעה</w:t>
      </w:r>
    </w:p>
    <w:p w14:paraId="30394717" w14:textId="77777777" w:rsidR="00774A52" w:rsidRPr="00817567" w:rsidRDefault="00774A52" w:rsidP="00774A52">
      <w:pPr>
        <w:spacing w:line="360" w:lineRule="auto"/>
        <w:ind w:firstLine="360"/>
        <w:jc w:val="both"/>
        <w:rPr>
          <w:rFonts w:ascii="David" w:hAnsi="David"/>
          <w:u w:val="single"/>
          <w:rtl/>
        </w:rPr>
      </w:pPr>
      <w:r w:rsidRPr="00817567">
        <w:rPr>
          <w:rFonts w:ascii="David" w:hAnsi="David"/>
          <w:u w:val="single"/>
          <w:rtl/>
        </w:rPr>
        <w:lastRenderedPageBreak/>
        <w:t>סוגיית אי הרשעה</w:t>
      </w:r>
    </w:p>
    <w:p w14:paraId="2068FE8C" w14:textId="77777777" w:rsidR="00774A52" w:rsidRDefault="00774A52" w:rsidP="00774A52">
      <w:pPr>
        <w:pStyle w:val="aa"/>
        <w:numPr>
          <w:ilvl w:val="0"/>
          <w:numId w:val="1"/>
        </w:numPr>
        <w:spacing w:line="360" w:lineRule="auto"/>
        <w:jc w:val="both"/>
        <w:rPr>
          <w:rFonts w:ascii="David" w:hAnsi="David" w:cs="David"/>
          <w:b/>
          <w:bCs/>
          <w:sz w:val="24"/>
          <w:szCs w:val="24"/>
          <w:u w:val="single"/>
          <w:rtl/>
        </w:rPr>
      </w:pPr>
      <w:r>
        <w:rPr>
          <w:rFonts w:ascii="David" w:hAnsi="David" w:cs="David"/>
          <w:sz w:val="24"/>
          <w:szCs w:val="24"/>
          <w:rtl/>
        </w:rPr>
        <w:t>בחינת סוגיית ביטול הרשעה פלילית קודמת לבחינת הענישה בהתאם לתיקון 113 ל</w:t>
      </w:r>
      <w:hyperlink r:id="rId20" w:history="1">
        <w:r w:rsidR="00BE1998" w:rsidRPr="00BE1998">
          <w:rPr>
            <w:rFonts w:ascii="David" w:hAnsi="David" w:cs="David"/>
            <w:color w:val="0000FF"/>
            <w:sz w:val="24"/>
            <w:szCs w:val="24"/>
            <w:u w:val="single"/>
            <w:rtl/>
          </w:rPr>
          <w:t>חוק העונשין</w:t>
        </w:r>
      </w:hyperlink>
      <w:r>
        <w:rPr>
          <w:rFonts w:ascii="David" w:hAnsi="David" w:cs="David"/>
          <w:sz w:val="24"/>
          <w:szCs w:val="24"/>
          <w:rtl/>
        </w:rPr>
        <w:t xml:space="preserve"> (</w:t>
      </w:r>
      <w:hyperlink r:id="rId21" w:history="1">
        <w:r w:rsidR="00BE1998" w:rsidRPr="00BE1998">
          <w:rPr>
            <w:rFonts w:ascii="David" w:hAnsi="David" w:cs="David"/>
            <w:color w:val="0000FF"/>
            <w:sz w:val="24"/>
            <w:szCs w:val="24"/>
            <w:u w:val="single"/>
            <w:rtl/>
          </w:rPr>
          <w:t>רע"פ 2327/19</w:t>
        </w:r>
      </w:hyperlink>
      <w:r>
        <w:rPr>
          <w:rFonts w:ascii="David" w:hAnsi="David" w:cs="David"/>
          <w:sz w:val="24"/>
          <w:szCs w:val="24"/>
          <w:rtl/>
        </w:rPr>
        <w:t xml:space="preserve"> </w:t>
      </w:r>
      <w:r>
        <w:rPr>
          <w:rFonts w:ascii="David" w:hAnsi="David" w:cs="David"/>
          <w:b/>
          <w:bCs/>
          <w:sz w:val="24"/>
          <w:szCs w:val="24"/>
          <w:rtl/>
        </w:rPr>
        <w:t>גוז מרסלו אדוארדו נ' מדינת ישראל</w:t>
      </w:r>
      <w:r>
        <w:rPr>
          <w:rFonts w:ascii="David" w:hAnsi="David" w:cs="David"/>
          <w:sz w:val="24"/>
          <w:szCs w:val="24"/>
          <w:rtl/>
        </w:rPr>
        <w:t xml:space="preserve">, פסקאות 8 ו-11 (19.5.2019)). </w:t>
      </w:r>
      <w:r>
        <w:rPr>
          <w:rFonts w:ascii="David" w:hAnsi="David" w:cs="David" w:hint="cs"/>
          <w:sz w:val="24"/>
          <w:szCs w:val="24"/>
          <w:rtl/>
        </w:rPr>
        <w:t>בנוסף</w:t>
      </w:r>
      <w:r>
        <w:rPr>
          <w:rFonts w:ascii="David" w:hAnsi="David" w:cs="David"/>
          <w:sz w:val="24"/>
          <w:szCs w:val="24"/>
          <w:rtl/>
        </w:rPr>
        <w:t>, הנסיבות הנבחנות בעת קביעת מתחם העונש ההולם אינן מתייחסות לנסיבותיו האישיות של הנאשם, לעומת הצורך בבחינתן בעת דיון בסוגיית אי ההרשעה.</w:t>
      </w:r>
    </w:p>
    <w:p w14:paraId="76F9F562" w14:textId="77777777" w:rsidR="00774A52" w:rsidRDefault="00774A52" w:rsidP="00774A52">
      <w:pPr>
        <w:pStyle w:val="aa"/>
        <w:spacing w:line="360" w:lineRule="auto"/>
        <w:jc w:val="both"/>
        <w:rPr>
          <w:rFonts w:ascii="David" w:hAnsi="David" w:cs="David"/>
          <w:sz w:val="24"/>
          <w:szCs w:val="24"/>
        </w:rPr>
      </w:pPr>
      <w:r>
        <w:rPr>
          <w:rFonts w:ascii="David" w:hAnsi="David" w:cs="David"/>
          <w:sz w:val="24"/>
          <w:szCs w:val="24"/>
          <w:rtl/>
        </w:rPr>
        <w:t xml:space="preserve">לפיכך, אדון תחילה בשאלה האם מדובר במקרה חריג בו יש להורות על ביטול הרשעתו של הנאשם. </w:t>
      </w:r>
      <w:r w:rsidR="00BE1998">
        <w:rPr>
          <w:rFonts w:ascii="David" w:hAnsi="David" w:cs="David"/>
          <w:sz w:val="24"/>
          <w:szCs w:val="24"/>
          <w:rtl/>
        </w:rPr>
        <w:t xml:space="preserve"> </w:t>
      </w:r>
    </w:p>
    <w:p w14:paraId="6E47971A" w14:textId="77777777" w:rsidR="00774A52" w:rsidRDefault="00774A52" w:rsidP="00774A52">
      <w:pPr>
        <w:pStyle w:val="aa"/>
        <w:spacing w:line="360" w:lineRule="auto"/>
        <w:jc w:val="both"/>
        <w:rPr>
          <w:rFonts w:ascii="David" w:hAnsi="David" w:cs="David"/>
          <w:sz w:val="24"/>
          <w:szCs w:val="24"/>
          <w:rtl/>
        </w:rPr>
      </w:pPr>
    </w:p>
    <w:p w14:paraId="4B7CACDE" w14:textId="77777777" w:rsidR="00774A52" w:rsidRDefault="00774A52" w:rsidP="00774A5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סוגיית אי ההרשעה נבחנת בהתאם לשני התנאים המצטברים שנקבעו </w:t>
      </w:r>
      <w:r>
        <w:rPr>
          <w:rFonts w:ascii="David" w:hAnsi="David" w:cs="David"/>
          <w:b/>
          <w:bCs/>
          <w:sz w:val="24"/>
          <w:szCs w:val="24"/>
          <w:rtl/>
        </w:rPr>
        <w:t xml:space="preserve">בהלכת כתב </w:t>
      </w:r>
      <w:r>
        <w:rPr>
          <w:rFonts w:ascii="David" w:hAnsi="David" w:cs="David"/>
          <w:sz w:val="24"/>
          <w:szCs w:val="24"/>
          <w:rtl/>
        </w:rPr>
        <w:t>(</w:t>
      </w:r>
      <w:hyperlink r:id="rId22" w:history="1">
        <w:r w:rsidR="00BE1998" w:rsidRPr="00BE1998">
          <w:rPr>
            <w:rFonts w:ascii="David" w:hAnsi="David" w:cs="David"/>
            <w:color w:val="0000FF"/>
            <w:sz w:val="24"/>
            <w:szCs w:val="24"/>
            <w:u w:val="single"/>
            <w:rtl/>
          </w:rPr>
          <w:t>ע"פ 2083/96</w:t>
        </w:r>
      </w:hyperlink>
      <w:r>
        <w:rPr>
          <w:rFonts w:ascii="David" w:hAnsi="David" w:cs="David"/>
          <w:sz w:val="24"/>
          <w:szCs w:val="24"/>
          <w:rtl/>
        </w:rPr>
        <w:t xml:space="preserve"> </w:t>
      </w:r>
      <w:r>
        <w:rPr>
          <w:rFonts w:ascii="David" w:hAnsi="David" w:cs="David"/>
          <w:b/>
          <w:bCs/>
          <w:sz w:val="24"/>
          <w:szCs w:val="24"/>
          <w:rtl/>
        </w:rPr>
        <w:t>תמר כתב נ' מדינת ישראל</w:t>
      </w:r>
      <w:r>
        <w:rPr>
          <w:rFonts w:ascii="David" w:hAnsi="David" w:cs="David"/>
          <w:sz w:val="24"/>
          <w:szCs w:val="24"/>
          <w:rtl/>
        </w:rPr>
        <w:t>, פ"ד נ"ב (3) 337 (1997)): סוג עבירה המאפשר לוותר על ההרשעה וכן פגיעה חמורה בשיקום הנאשם מעצם הרשעתו. הליך זה יוחד למקרים חריגים ויוצאי דופן, בהם נוצר פער קיצוני בין עוצמת פגיעת ההרשעה בנאשם לבין התועלת הציבורית כתוצאה מההרשעה. בנוסף, נקבע כי על הנאשם לבסס בראיות את טענתו לפגיעה חמורה וקונקרטית בסיכויי שיקומו, וכי אין די בטענה כללית לפיה "ככל הנראה" ייגרם נזק (</w:t>
      </w:r>
      <w:hyperlink r:id="rId23" w:history="1">
        <w:r w:rsidR="00BE1998" w:rsidRPr="00BE1998">
          <w:rPr>
            <w:rFonts w:ascii="David" w:hAnsi="David" w:cs="David"/>
            <w:color w:val="0000FF"/>
            <w:sz w:val="24"/>
            <w:szCs w:val="24"/>
            <w:u w:val="single"/>
            <w:rtl/>
          </w:rPr>
          <w:t>רע"פ 1240/19</w:t>
        </w:r>
      </w:hyperlink>
      <w:r>
        <w:rPr>
          <w:rFonts w:ascii="David" w:hAnsi="David" w:cs="David"/>
          <w:sz w:val="24"/>
          <w:szCs w:val="24"/>
          <w:rtl/>
        </w:rPr>
        <w:t xml:space="preserve"> </w:t>
      </w:r>
      <w:r>
        <w:rPr>
          <w:rFonts w:ascii="David" w:hAnsi="David" w:cs="David"/>
          <w:b/>
          <w:bCs/>
          <w:sz w:val="24"/>
          <w:szCs w:val="24"/>
          <w:rtl/>
        </w:rPr>
        <w:t>עופר לוי נ' מדינת ישראל</w:t>
      </w:r>
      <w:r>
        <w:rPr>
          <w:rFonts w:ascii="David" w:hAnsi="David" w:cs="David"/>
          <w:sz w:val="24"/>
          <w:szCs w:val="24"/>
          <w:rtl/>
        </w:rPr>
        <w:t>, פסקה 8 (24.03.2019) והאסמכתאות המפורטות שם</w:t>
      </w:r>
      <w:r>
        <w:rPr>
          <w:rFonts w:ascii="David" w:hAnsi="David" w:cs="David" w:hint="cs"/>
          <w:sz w:val="24"/>
          <w:szCs w:val="24"/>
          <w:rtl/>
        </w:rPr>
        <w:t>, (להלן: "</w:t>
      </w:r>
      <w:r w:rsidRPr="00FA50F2">
        <w:rPr>
          <w:rFonts w:ascii="David" w:hAnsi="David" w:cs="David" w:hint="cs"/>
          <w:b/>
          <w:bCs/>
          <w:sz w:val="24"/>
          <w:szCs w:val="24"/>
          <w:rtl/>
        </w:rPr>
        <w:t>ענין לוי</w:t>
      </w:r>
      <w:r>
        <w:rPr>
          <w:rFonts w:ascii="David" w:hAnsi="David" w:cs="David" w:hint="cs"/>
          <w:sz w:val="24"/>
          <w:szCs w:val="24"/>
          <w:rtl/>
        </w:rPr>
        <w:t xml:space="preserve">")). </w:t>
      </w:r>
      <w:r>
        <w:rPr>
          <w:rFonts w:ascii="David" w:hAnsi="David" w:cs="David"/>
          <w:sz w:val="24"/>
          <w:szCs w:val="24"/>
          <w:rtl/>
        </w:rPr>
        <w:t>עוד נקבע, כי אין להידרש לאפשרויות תאורטיות, על פיהן עלול להיגרם לנאשם נזק כלשהו בעתיד (</w:t>
      </w:r>
      <w:hyperlink r:id="rId24" w:history="1">
        <w:r w:rsidR="00BE1998" w:rsidRPr="00BE1998">
          <w:rPr>
            <w:rFonts w:ascii="David" w:hAnsi="David" w:cs="David"/>
            <w:color w:val="0000FF"/>
            <w:sz w:val="24"/>
            <w:szCs w:val="24"/>
            <w:u w:val="single"/>
            <w:rtl/>
          </w:rPr>
          <w:t>ע"פ 8528/12</w:t>
        </w:r>
      </w:hyperlink>
      <w:r>
        <w:rPr>
          <w:rFonts w:ascii="David" w:hAnsi="David" w:cs="David"/>
          <w:sz w:val="24"/>
          <w:szCs w:val="24"/>
          <w:rtl/>
        </w:rPr>
        <w:t xml:space="preserve"> </w:t>
      </w:r>
      <w:r>
        <w:rPr>
          <w:rFonts w:ascii="David" w:hAnsi="David" w:cs="David"/>
          <w:b/>
          <w:bCs/>
          <w:sz w:val="24"/>
          <w:szCs w:val="24"/>
          <w:rtl/>
        </w:rPr>
        <w:t>אלירן צפורה נ' מדינת ישראל</w:t>
      </w:r>
      <w:r>
        <w:rPr>
          <w:rFonts w:ascii="David" w:hAnsi="David" w:cs="David"/>
          <w:sz w:val="24"/>
          <w:szCs w:val="24"/>
          <w:rtl/>
        </w:rPr>
        <w:t xml:space="preserve">, פסקה 11 והאסמכתאות שם (3.3.2013); רע"פ 54/15 </w:t>
      </w:r>
      <w:r>
        <w:rPr>
          <w:rFonts w:ascii="David" w:hAnsi="David" w:cs="David"/>
          <w:b/>
          <w:bCs/>
          <w:sz w:val="24"/>
          <w:szCs w:val="24"/>
          <w:rtl/>
        </w:rPr>
        <w:t>פלוני נ' מדינת ישראל</w:t>
      </w:r>
      <w:r>
        <w:rPr>
          <w:rFonts w:ascii="David" w:hAnsi="David" w:cs="David"/>
          <w:sz w:val="24"/>
          <w:szCs w:val="24"/>
          <w:rtl/>
        </w:rPr>
        <w:t xml:space="preserve"> (27.1.2015); </w:t>
      </w:r>
      <w:hyperlink r:id="rId25" w:history="1">
        <w:r w:rsidR="00BE1998" w:rsidRPr="00BE1998">
          <w:rPr>
            <w:rFonts w:ascii="David" w:hAnsi="David" w:cs="David"/>
            <w:color w:val="0000FF"/>
            <w:sz w:val="24"/>
            <w:szCs w:val="24"/>
            <w:u w:val="single"/>
            <w:rtl/>
          </w:rPr>
          <w:t>רע"פ 9118/12</w:t>
        </w:r>
      </w:hyperlink>
      <w:r>
        <w:rPr>
          <w:rFonts w:ascii="David" w:hAnsi="David" w:cs="David"/>
          <w:sz w:val="24"/>
          <w:szCs w:val="24"/>
          <w:rtl/>
        </w:rPr>
        <w:t xml:space="preserve"> </w:t>
      </w:r>
      <w:r>
        <w:rPr>
          <w:rFonts w:ascii="David" w:hAnsi="David" w:cs="David"/>
          <w:b/>
          <w:bCs/>
          <w:sz w:val="24"/>
          <w:szCs w:val="24"/>
          <w:rtl/>
        </w:rPr>
        <w:t>פריגין נ' מדינת ישראל</w:t>
      </w:r>
      <w:r>
        <w:rPr>
          <w:rFonts w:ascii="David" w:hAnsi="David" w:cs="David"/>
          <w:sz w:val="24"/>
          <w:szCs w:val="24"/>
          <w:rtl/>
        </w:rPr>
        <w:t xml:space="preserve"> (1.1.2013)).</w:t>
      </w:r>
    </w:p>
    <w:p w14:paraId="09009432" w14:textId="77777777" w:rsidR="00774A52" w:rsidRDefault="00774A52" w:rsidP="00774A52">
      <w:pPr>
        <w:pStyle w:val="aa"/>
        <w:spacing w:line="360" w:lineRule="auto"/>
        <w:jc w:val="both"/>
        <w:rPr>
          <w:rFonts w:ascii="David" w:hAnsi="David" w:cs="David"/>
          <w:sz w:val="24"/>
          <w:szCs w:val="24"/>
        </w:rPr>
      </w:pPr>
    </w:p>
    <w:p w14:paraId="764209F1" w14:textId="77777777" w:rsidR="00774A52" w:rsidRDefault="00774A52" w:rsidP="00774A52">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נסיבות מקרה זה מצויות ברף נמוך </w:t>
      </w:r>
      <w:r>
        <w:rPr>
          <w:rFonts w:ascii="David" w:hAnsi="David" w:cs="David" w:hint="cs"/>
          <w:sz w:val="24"/>
          <w:szCs w:val="24"/>
          <w:rtl/>
        </w:rPr>
        <w:t xml:space="preserve">ביותר </w:t>
      </w:r>
      <w:r>
        <w:rPr>
          <w:rFonts w:ascii="David" w:hAnsi="David" w:cs="David"/>
          <w:sz w:val="24"/>
          <w:szCs w:val="24"/>
          <w:rtl/>
        </w:rPr>
        <w:t xml:space="preserve">של </w:t>
      </w:r>
      <w:r>
        <w:rPr>
          <w:rFonts w:ascii="David" w:hAnsi="David" w:cs="David" w:hint="cs"/>
          <w:sz w:val="24"/>
          <w:szCs w:val="24"/>
          <w:rtl/>
        </w:rPr>
        <w:t xml:space="preserve">עבירת אספקת סם והחזקת סם לצריכה עצמית, הן </w:t>
      </w:r>
      <w:r>
        <w:rPr>
          <w:rFonts w:ascii="David" w:hAnsi="David" w:cs="David"/>
          <w:sz w:val="24"/>
          <w:szCs w:val="24"/>
          <w:rtl/>
        </w:rPr>
        <w:t xml:space="preserve">מבחינת סוג הסם, </w:t>
      </w:r>
      <w:r>
        <w:rPr>
          <w:rFonts w:ascii="David" w:hAnsi="David" w:cs="David" w:hint="cs"/>
          <w:sz w:val="24"/>
          <w:szCs w:val="24"/>
          <w:rtl/>
        </w:rPr>
        <w:t>כמותו</w:t>
      </w:r>
      <w:r>
        <w:rPr>
          <w:rFonts w:ascii="David" w:hAnsi="David" w:cs="David"/>
          <w:sz w:val="24"/>
          <w:szCs w:val="24"/>
          <w:rtl/>
        </w:rPr>
        <w:t>, התמורה שניתנה עבור</w:t>
      </w:r>
      <w:r>
        <w:rPr>
          <w:rFonts w:ascii="David" w:hAnsi="David" w:cs="David" w:hint="cs"/>
          <w:sz w:val="24"/>
          <w:szCs w:val="24"/>
          <w:rtl/>
        </w:rPr>
        <w:t>ו, והן בשל הרקע של אספקה בין מכרים בגירים</w:t>
      </w:r>
      <w:r>
        <w:rPr>
          <w:rFonts w:ascii="David" w:hAnsi="David" w:cs="David"/>
          <w:sz w:val="24"/>
          <w:szCs w:val="24"/>
          <w:rtl/>
        </w:rPr>
        <w:t xml:space="preserve">. </w:t>
      </w:r>
      <w:r>
        <w:rPr>
          <w:rFonts w:ascii="David" w:hAnsi="David" w:cs="David" w:hint="cs"/>
          <w:sz w:val="24"/>
          <w:szCs w:val="24"/>
          <w:rtl/>
        </w:rPr>
        <w:t xml:space="preserve">יחד עם זאת, אספקת סם היא </w:t>
      </w:r>
      <w:r>
        <w:rPr>
          <w:rFonts w:ascii="David" w:hAnsi="David" w:cs="David"/>
          <w:sz w:val="24"/>
          <w:szCs w:val="24"/>
          <w:rtl/>
        </w:rPr>
        <w:t>עבירה מסוג פשע אשר המחוקק קבע בצידה עונש מרבי של עשרים שנות מאסר, מבלי ש</w:t>
      </w:r>
      <w:r>
        <w:rPr>
          <w:rFonts w:ascii="David" w:hAnsi="David" w:cs="David" w:hint="cs"/>
          <w:sz w:val="24"/>
          <w:szCs w:val="24"/>
          <w:rtl/>
        </w:rPr>
        <w:t xml:space="preserve">ביצע </w:t>
      </w:r>
      <w:r>
        <w:rPr>
          <w:rFonts w:ascii="David" w:hAnsi="David" w:cs="David"/>
          <w:sz w:val="24"/>
          <w:szCs w:val="24"/>
          <w:rtl/>
        </w:rPr>
        <w:t xml:space="preserve">הבחנה בינה לבין מידת העונש </w:t>
      </w:r>
      <w:r>
        <w:rPr>
          <w:rFonts w:ascii="David" w:hAnsi="David" w:cs="David" w:hint="cs"/>
          <w:sz w:val="24"/>
          <w:szCs w:val="24"/>
          <w:rtl/>
        </w:rPr>
        <w:t xml:space="preserve">המרבי לעבירות נוספות הקבועות באותה הוראת חיקוק ובהן </w:t>
      </w:r>
      <w:r>
        <w:rPr>
          <w:rFonts w:ascii="David" w:hAnsi="David" w:cs="David"/>
          <w:sz w:val="24"/>
          <w:szCs w:val="24"/>
          <w:rtl/>
        </w:rPr>
        <w:t>סחר</w:t>
      </w:r>
      <w:r>
        <w:rPr>
          <w:rFonts w:ascii="David" w:hAnsi="David" w:cs="David" w:hint="cs"/>
          <w:sz w:val="24"/>
          <w:szCs w:val="24"/>
          <w:rtl/>
        </w:rPr>
        <w:t xml:space="preserve">, יבוא ויצוא של </w:t>
      </w:r>
      <w:r>
        <w:rPr>
          <w:rFonts w:ascii="David" w:hAnsi="David" w:cs="David"/>
          <w:sz w:val="24"/>
          <w:szCs w:val="24"/>
          <w:rtl/>
        </w:rPr>
        <w:t>סם</w:t>
      </w:r>
      <w:r>
        <w:rPr>
          <w:rFonts w:ascii="David" w:hAnsi="David" w:cs="David" w:hint="cs"/>
          <w:sz w:val="24"/>
          <w:szCs w:val="24"/>
          <w:rtl/>
        </w:rPr>
        <w:t xml:space="preserve"> מסוכן</w:t>
      </w:r>
      <w:r>
        <w:rPr>
          <w:rFonts w:ascii="David" w:hAnsi="David" w:cs="David"/>
          <w:sz w:val="24"/>
          <w:szCs w:val="24"/>
          <w:rtl/>
        </w:rPr>
        <w:t>. חומרת עבירות הפצת הסמים</w:t>
      </w:r>
      <w:r>
        <w:rPr>
          <w:rFonts w:ascii="David" w:hAnsi="David" w:cs="David" w:hint="cs"/>
          <w:sz w:val="24"/>
          <w:szCs w:val="24"/>
          <w:rtl/>
        </w:rPr>
        <w:t xml:space="preserve"> ופגיעתן הרעה</w:t>
      </w:r>
      <w:r>
        <w:rPr>
          <w:rFonts w:ascii="David" w:hAnsi="David" w:cs="David"/>
          <w:sz w:val="24"/>
          <w:szCs w:val="24"/>
          <w:rtl/>
        </w:rPr>
        <w:t xml:space="preserve">, אף </w:t>
      </w:r>
      <w:r>
        <w:rPr>
          <w:rFonts w:ascii="David" w:hAnsi="David" w:cs="David" w:hint="cs"/>
          <w:sz w:val="24"/>
          <w:szCs w:val="24"/>
          <w:rtl/>
        </w:rPr>
        <w:t>בנסיבות קלות אלה</w:t>
      </w:r>
      <w:r>
        <w:rPr>
          <w:rFonts w:ascii="David" w:hAnsi="David" w:cs="David"/>
          <w:sz w:val="24"/>
          <w:szCs w:val="24"/>
          <w:rtl/>
        </w:rPr>
        <w:t>, אינה מאפשרת את סיום ההליך ללא הרשעה, כפי שנ</w:t>
      </w:r>
      <w:r>
        <w:rPr>
          <w:rFonts w:ascii="David" w:hAnsi="David" w:cs="David" w:hint="cs"/>
          <w:sz w:val="24"/>
          <w:szCs w:val="24"/>
          <w:rtl/>
        </w:rPr>
        <w:t xml:space="preserve">יתן ללמוד מהתייחסות כב' בית המשפט העליון למעורב זוטר בעבירת סיוע לסחר בסם, עבירה לגביה </w:t>
      </w:r>
      <w:r>
        <w:rPr>
          <w:rFonts w:ascii="David" w:hAnsi="David" w:cs="David"/>
          <w:sz w:val="24"/>
          <w:szCs w:val="24"/>
          <w:rtl/>
        </w:rPr>
        <w:t>קבע המחוקק מחצית העונש:</w:t>
      </w:r>
    </w:p>
    <w:p w14:paraId="5E846333" w14:textId="77777777" w:rsidR="00774A52" w:rsidRDefault="00774A52" w:rsidP="00774A52">
      <w:pPr>
        <w:pStyle w:val="aa"/>
        <w:spacing w:before="48" w:after="48" w:line="240" w:lineRule="auto"/>
        <w:ind w:left="1361" w:right="1361"/>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בית משפט זה עמד פעמים רבות על החומרה הכרוכה בהפצת סמים מסוכנים ועל "הצורך להכות בכל אחת מחוליות הפצת הסם", גם כאשר מדובר בשותף זוטר בלבד (</w:t>
      </w:r>
      <w:hyperlink r:id="rId26" w:history="1">
        <w:r w:rsidR="00BE1998" w:rsidRPr="00BE1998">
          <w:rPr>
            <w:rFonts w:ascii="David" w:hAnsi="David" w:cs="David"/>
            <w:b/>
            <w:bCs/>
            <w:color w:val="0000FF"/>
            <w:sz w:val="24"/>
            <w:szCs w:val="24"/>
            <w:u w:val="single"/>
            <w:rtl/>
          </w:rPr>
          <w:t>ע"פ 4484/05</w:t>
        </w:r>
      </w:hyperlink>
      <w:r>
        <w:rPr>
          <w:rFonts w:ascii="David" w:hAnsi="David" w:cs="David"/>
          <w:b/>
          <w:bCs/>
          <w:sz w:val="24"/>
          <w:szCs w:val="24"/>
          <w:rtl/>
        </w:rPr>
        <w:t xml:space="preserve"> גונן נ' מדינת ישראל [פורסם בנבו] בפסקה 6 (8.8.2006). בנסיבות אלה, אינני סבור כי מתקיים התנאי הראשון המאפשר להימנע מהרשעה, ולפיכך המקרה דנן אינו נמנה על המקרים החריגים המאפשרים להגיע לתוצאה זו</w:t>
      </w:r>
      <w:r>
        <w:rPr>
          <w:rFonts w:ascii="David" w:hAnsi="David" w:cs="David"/>
          <w:sz w:val="24"/>
          <w:szCs w:val="24"/>
          <w:rtl/>
        </w:rPr>
        <w:t>"</w:t>
      </w:r>
    </w:p>
    <w:p w14:paraId="17DE9716" w14:textId="77777777" w:rsidR="00774A52" w:rsidRDefault="00774A52" w:rsidP="00774A52">
      <w:pPr>
        <w:pStyle w:val="aa"/>
        <w:spacing w:line="240" w:lineRule="auto"/>
        <w:ind w:left="1361" w:right="1361"/>
        <w:jc w:val="both"/>
        <w:rPr>
          <w:rFonts w:ascii="David" w:hAnsi="David" w:cs="David"/>
          <w:sz w:val="24"/>
          <w:szCs w:val="24"/>
          <w:rtl/>
        </w:rPr>
      </w:pPr>
      <w:r>
        <w:rPr>
          <w:rFonts w:ascii="David" w:hAnsi="David" w:cs="David"/>
          <w:sz w:val="24"/>
          <w:szCs w:val="24"/>
          <w:rtl/>
        </w:rPr>
        <w:t>(</w:t>
      </w:r>
      <w:hyperlink r:id="rId27" w:history="1">
        <w:r w:rsidR="00BE1998" w:rsidRPr="00BE1998">
          <w:rPr>
            <w:rFonts w:ascii="David" w:hAnsi="David" w:cs="David"/>
            <w:color w:val="0000FF"/>
            <w:sz w:val="24"/>
            <w:szCs w:val="24"/>
            <w:u w:val="single"/>
            <w:rtl/>
          </w:rPr>
          <w:t>רע"פ 1623/14</w:t>
        </w:r>
      </w:hyperlink>
      <w:r>
        <w:rPr>
          <w:rFonts w:ascii="David" w:hAnsi="David" w:cs="David"/>
          <w:sz w:val="24"/>
          <w:szCs w:val="24"/>
          <w:rtl/>
        </w:rPr>
        <w:t xml:space="preserve"> </w:t>
      </w:r>
      <w:r>
        <w:rPr>
          <w:rFonts w:ascii="David" w:hAnsi="David" w:cs="David"/>
          <w:b/>
          <w:bCs/>
          <w:sz w:val="24"/>
          <w:szCs w:val="24"/>
          <w:rtl/>
        </w:rPr>
        <w:t>סיראג גבארה נ' מדינת ישראל</w:t>
      </w:r>
      <w:r>
        <w:rPr>
          <w:rFonts w:ascii="David" w:hAnsi="David" w:cs="David" w:hint="cs"/>
          <w:sz w:val="24"/>
          <w:szCs w:val="24"/>
          <w:rtl/>
        </w:rPr>
        <w:t xml:space="preserve">, </w:t>
      </w:r>
      <w:r w:rsidRPr="001B62F6">
        <w:rPr>
          <w:rFonts w:ascii="David" w:hAnsi="David" w:cs="David" w:hint="cs"/>
          <w:sz w:val="24"/>
          <w:szCs w:val="24"/>
          <w:rtl/>
        </w:rPr>
        <w:t>פסקה 11</w:t>
      </w:r>
      <w:r>
        <w:rPr>
          <w:rFonts w:ascii="David" w:hAnsi="David" w:cs="David"/>
          <w:b/>
          <w:bCs/>
          <w:sz w:val="24"/>
          <w:szCs w:val="24"/>
          <w:rtl/>
        </w:rPr>
        <w:t xml:space="preserve"> </w:t>
      </w:r>
      <w:r>
        <w:rPr>
          <w:rFonts w:ascii="David" w:hAnsi="David" w:cs="David"/>
          <w:sz w:val="24"/>
          <w:szCs w:val="24"/>
          <w:rtl/>
        </w:rPr>
        <w:t xml:space="preserve">(1.4.2014). </w:t>
      </w:r>
    </w:p>
    <w:p w14:paraId="5156EE9F" w14:textId="77777777" w:rsidR="00774A52" w:rsidRDefault="00774A52" w:rsidP="00774A52">
      <w:pPr>
        <w:pStyle w:val="aa"/>
        <w:spacing w:line="240" w:lineRule="auto"/>
        <w:ind w:left="1361" w:right="1361"/>
        <w:jc w:val="both"/>
        <w:rPr>
          <w:rFonts w:ascii="David" w:hAnsi="David" w:cs="David"/>
          <w:sz w:val="24"/>
          <w:szCs w:val="24"/>
          <w:rtl/>
        </w:rPr>
      </w:pPr>
      <w:r>
        <w:rPr>
          <w:rFonts w:ascii="David" w:hAnsi="David" w:cs="David"/>
          <w:sz w:val="24"/>
          <w:szCs w:val="24"/>
          <w:rtl/>
        </w:rPr>
        <w:t>ראו עוד לעניין זה</w:t>
      </w:r>
      <w:r>
        <w:rPr>
          <w:rFonts w:ascii="David" w:hAnsi="David" w:cs="David" w:hint="cs"/>
          <w:sz w:val="24"/>
          <w:szCs w:val="24"/>
          <w:rtl/>
        </w:rPr>
        <w:t xml:space="preserve">: שני מקרי אספקת סם מסוג חשיש בתמורה ל-50 ₪ לקטינות </w:t>
      </w:r>
      <w:r>
        <w:rPr>
          <w:rFonts w:ascii="David" w:hAnsi="David" w:cs="David"/>
          <w:sz w:val="24"/>
          <w:szCs w:val="24"/>
          <w:rtl/>
        </w:rPr>
        <w:t>–</w:t>
      </w:r>
      <w:r>
        <w:rPr>
          <w:rFonts w:ascii="David" w:hAnsi="David" w:cs="David" w:hint="cs"/>
          <w:sz w:val="24"/>
          <w:szCs w:val="24"/>
          <w:rtl/>
        </w:rPr>
        <w:t xml:space="preserve"> </w:t>
      </w:r>
      <w:hyperlink r:id="rId28" w:history="1">
        <w:r w:rsidR="00BE1998" w:rsidRPr="00BE1998">
          <w:rPr>
            <w:rFonts w:ascii="David" w:hAnsi="David" w:cs="David"/>
            <w:color w:val="0000FF"/>
            <w:sz w:val="24"/>
            <w:szCs w:val="24"/>
            <w:u w:val="single"/>
            <w:rtl/>
          </w:rPr>
          <w:t>רע"פ 2309/21</w:t>
        </w:r>
      </w:hyperlink>
      <w:r>
        <w:rPr>
          <w:rFonts w:ascii="David" w:hAnsi="David" w:cs="David" w:hint="cs"/>
          <w:sz w:val="24"/>
          <w:szCs w:val="24"/>
          <w:rtl/>
        </w:rPr>
        <w:t xml:space="preserve"> </w:t>
      </w:r>
      <w:r>
        <w:rPr>
          <w:rFonts w:ascii="David" w:hAnsi="David" w:cs="David" w:hint="cs"/>
          <w:b/>
          <w:bCs/>
          <w:sz w:val="24"/>
          <w:szCs w:val="24"/>
          <w:rtl/>
        </w:rPr>
        <w:t xml:space="preserve">מקסים ז'גסטיבסקי נ' מדינת ישראל, </w:t>
      </w:r>
      <w:r w:rsidRPr="008578C2">
        <w:rPr>
          <w:rFonts w:ascii="David" w:hAnsi="David" w:cs="David" w:hint="cs"/>
          <w:sz w:val="24"/>
          <w:szCs w:val="24"/>
          <w:rtl/>
        </w:rPr>
        <w:t>פסקאות 8-9</w:t>
      </w:r>
      <w:r>
        <w:rPr>
          <w:rFonts w:ascii="David" w:hAnsi="David" w:cs="David" w:hint="cs"/>
          <w:b/>
          <w:bCs/>
          <w:sz w:val="24"/>
          <w:szCs w:val="24"/>
          <w:rtl/>
        </w:rPr>
        <w:t xml:space="preserve"> </w:t>
      </w:r>
      <w:r>
        <w:rPr>
          <w:rFonts w:ascii="David" w:hAnsi="David" w:cs="David" w:hint="cs"/>
          <w:sz w:val="24"/>
          <w:szCs w:val="24"/>
          <w:rtl/>
        </w:rPr>
        <w:t xml:space="preserve">(8.04.2021) (להלן: </w:t>
      </w:r>
      <w:r w:rsidRPr="00E70470">
        <w:rPr>
          <w:rFonts w:ascii="David" w:hAnsi="David" w:cs="David" w:hint="cs"/>
          <w:b/>
          <w:bCs/>
          <w:sz w:val="24"/>
          <w:szCs w:val="24"/>
          <w:rtl/>
        </w:rPr>
        <w:t>ענין ז'גסטיבסקי</w:t>
      </w:r>
      <w:r>
        <w:rPr>
          <w:rFonts w:ascii="David" w:hAnsi="David" w:cs="David" w:hint="cs"/>
          <w:sz w:val="24"/>
          <w:szCs w:val="24"/>
          <w:rtl/>
        </w:rPr>
        <w:t xml:space="preserve">"); </w:t>
      </w:r>
      <w:r>
        <w:rPr>
          <w:rFonts w:ascii="David" w:hAnsi="David" w:cs="David"/>
          <w:sz w:val="24"/>
          <w:szCs w:val="24"/>
          <w:rtl/>
        </w:rPr>
        <w:t>מקרה של עסקה אחרת וניסיון סחר</w:t>
      </w:r>
      <w:r>
        <w:rPr>
          <w:rFonts w:ascii="David" w:hAnsi="David" w:cs="David" w:hint="cs"/>
          <w:sz w:val="24"/>
          <w:szCs w:val="24"/>
          <w:rtl/>
        </w:rPr>
        <w:t xml:space="preserve"> בסם </w:t>
      </w:r>
      <w:r>
        <w:rPr>
          <w:rFonts w:ascii="David" w:hAnsi="David" w:cs="David"/>
          <w:sz w:val="24"/>
          <w:szCs w:val="24"/>
          <w:rtl/>
        </w:rPr>
        <w:t xml:space="preserve">– </w:t>
      </w:r>
      <w:hyperlink r:id="rId29" w:history="1">
        <w:r w:rsidR="00BE1998" w:rsidRPr="00BE1998">
          <w:rPr>
            <w:rFonts w:ascii="David" w:hAnsi="David" w:cs="David"/>
            <w:color w:val="0000FF"/>
            <w:sz w:val="24"/>
            <w:szCs w:val="24"/>
            <w:u w:val="single"/>
            <w:rtl/>
          </w:rPr>
          <w:t>רע"פ 1183/18</w:t>
        </w:r>
      </w:hyperlink>
      <w:r>
        <w:rPr>
          <w:rFonts w:ascii="David" w:hAnsi="David" w:cs="David"/>
          <w:sz w:val="24"/>
          <w:szCs w:val="24"/>
          <w:rtl/>
        </w:rPr>
        <w:t xml:space="preserve"> </w:t>
      </w:r>
      <w:r>
        <w:rPr>
          <w:rFonts w:ascii="David" w:hAnsi="David" w:cs="David"/>
          <w:b/>
          <w:bCs/>
          <w:sz w:val="24"/>
          <w:szCs w:val="24"/>
          <w:rtl/>
        </w:rPr>
        <w:t>דולב ששון נ' מדינת ישראל</w:t>
      </w:r>
      <w:r>
        <w:rPr>
          <w:rFonts w:ascii="David" w:hAnsi="David" w:cs="David"/>
          <w:sz w:val="24"/>
          <w:szCs w:val="24"/>
          <w:rtl/>
        </w:rPr>
        <w:t>, פסקה 9 (21.3.2018).</w:t>
      </w:r>
      <w:r>
        <w:rPr>
          <w:rFonts w:ascii="David" w:hAnsi="David" w:cs="David" w:hint="cs"/>
          <w:sz w:val="24"/>
          <w:szCs w:val="24"/>
          <w:rtl/>
        </w:rPr>
        <w:t xml:space="preserve"> </w:t>
      </w:r>
    </w:p>
    <w:p w14:paraId="0F0D3C7B" w14:textId="77777777" w:rsidR="00774A52" w:rsidRDefault="00774A52" w:rsidP="00774A52">
      <w:pPr>
        <w:pStyle w:val="aa"/>
        <w:spacing w:line="360" w:lineRule="auto"/>
        <w:ind w:left="1361" w:right="1361"/>
        <w:jc w:val="both"/>
        <w:rPr>
          <w:rFonts w:ascii="David" w:hAnsi="David" w:cs="David"/>
          <w:sz w:val="24"/>
          <w:szCs w:val="24"/>
          <w:rtl/>
        </w:rPr>
      </w:pPr>
    </w:p>
    <w:p w14:paraId="09D5F1AF" w14:textId="77777777" w:rsidR="00774A52" w:rsidRDefault="00774A52" w:rsidP="00774A52">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הגיש </w:t>
      </w:r>
      <w:r>
        <w:rPr>
          <w:rFonts w:ascii="David" w:hAnsi="David" w:cs="David" w:hint="cs"/>
          <w:sz w:val="24"/>
          <w:szCs w:val="24"/>
          <w:rtl/>
        </w:rPr>
        <w:t xml:space="preserve">פסק דין בו </w:t>
      </w:r>
      <w:r>
        <w:rPr>
          <w:rFonts w:ascii="David" w:hAnsi="David" w:cs="David"/>
          <w:sz w:val="24"/>
          <w:szCs w:val="24"/>
          <w:rtl/>
        </w:rPr>
        <w:t xml:space="preserve">נמנע בית משפט </w:t>
      </w:r>
      <w:r>
        <w:rPr>
          <w:rFonts w:ascii="David" w:hAnsi="David" w:cs="David" w:hint="cs"/>
          <w:sz w:val="24"/>
          <w:szCs w:val="24"/>
          <w:rtl/>
        </w:rPr>
        <w:t xml:space="preserve">השלום </w:t>
      </w:r>
      <w:r>
        <w:rPr>
          <w:rFonts w:ascii="David" w:hAnsi="David" w:cs="David"/>
          <w:sz w:val="24"/>
          <w:szCs w:val="24"/>
          <w:rtl/>
        </w:rPr>
        <w:t>מהרשעה ב</w:t>
      </w:r>
      <w:r>
        <w:rPr>
          <w:rFonts w:ascii="David" w:hAnsi="David" w:cs="David" w:hint="cs"/>
          <w:sz w:val="24"/>
          <w:szCs w:val="24"/>
          <w:rtl/>
        </w:rPr>
        <w:t xml:space="preserve">גין שתי </w:t>
      </w:r>
      <w:r>
        <w:rPr>
          <w:rFonts w:ascii="David" w:hAnsi="David" w:cs="David"/>
          <w:sz w:val="24"/>
          <w:szCs w:val="24"/>
          <w:rtl/>
        </w:rPr>
        <w:t>עביר</w:t>
      </w:r>
      <w:r>
        <w:rPr>
          <w:rFonts w:ascii="David" w:hAnsi="David" w:cs="David" w:hint="cs"/>
          <w:sz w:val="24"/>
          <w:szCs w:val="24"/>
          <w:rtl/>
        </w:rPr>
        <w:t>ות תיווך לסחר בסם, ובו הפניה לשני מקרים נוספים אשר הסתיימו ללא הרשעה</w:t>
      </w:r>
      <w:r>
        <w:rPr>
          <w:rFonts w:ascii="David" w:hAnsi="David" w:cs="David"/>
          <w:sz w:val="24"/>
          <w:szCs w:val="24"/>
          <w:rtl/>
        </w:rPr>
        <w:t xml:space="preserve">. </w:t>
      </w:r>
      <w:r>
        <w:rPr>
          <w:rFonts w:ascii="David" w:hAnsi="David" w:cs="David" w:hint="cs"/>
          <w:sz w:val="24"/>
          <w:szCs w:val="24"/>
          <w:rtl/>
        </w:rPr>
        <w:t xml:space="preserve">מדובר בהחלטות שניתנו בבתי משפט השלום, כאשר פסיקת בית המשפט העליון בסוגיות דומות היא המנחה את הדרך בה יש לנקוט במקרה זה (אפנה עוד, באותו ענין, לשני מקרים של תיווך לסחר בסם בהיקף נמוך </w:t>
      </w:r>
      <w:r>
        <w:rPr>
          <w:rFonts w:ascii="David" w:hAnsi="David" w:cs="David"/>
          <w:sz w:val="24"/>
          <w:szCs w:val="24"/>
          <w:rtl/>
        </w:rPr>
        <w:t>–</w:t>
      </w:r>
      <w:r>
        <w:rPr>
          <w:rFonts w:ascii="David" w:hAnsi="David" w:cs="David" w:hint="cs"/>
          <w:sz w:val="24"/>
          <w:szCs w:val="24"/>
          <w:rtl/>
        </w:rPr>
        <w:t xml:space="preserve"> </w:t>
      </w:r>
      <w:hyperlink r:id="rId30" w:history="1">
        <w:r w:rsidR="00BE1998" w:rsidRPr="00BE1998">
          <w:rPr>
            <w:rFonts w:ascii="David" w:hAnsi="David" w:cs="David"/>
            <w:color w:val="0000FF"/>
            <w:sz w:val="24"/>
            <w:szCs w:val="24"/>
            <w:u w:val="single"/>
            <w:rtl/>
          </w:rPr>
          <w:t>רע"פ 2657/12</w:t>
        </w:r>
      </w:hyperlink>
      <w:r>
        <w:rPr>
          <w:rFonts w:ascii="David" w:hAnsi="David" w:cs="David" w:hint="cs"/>
          <w:sz w:val="24"/>
          <w:szCs w:val="24"/>
          <w:rtl/>
        </w:rPr>
        <w:t xml:space="preserve"> </w:t>
      </w:r>
      <w:r>
        <w:rPr>
          <w:rFonts w:ascii="David" w:hAnsi="David" w:cs="David" w:hint="cs"/>
          <w:b/>
          <w:bCs/>
          <w:sz w:val="24"/>
          <w:szCs w:val="24"/>
          <w:rtl/>
        </w:rPr>
        <w:t>חוסאם שואהנה נ' מדינת ישראל</w:t>
      </w:r>
      <w:r>
        <w:rPr>
          <w:rFonts w:ascii="David" w:hAnsi="David" w:cs="David" w:hint="cs"/>
          <w:sz w:val="24"/>
          <w:szCs w:val="24"/>
          <w:rtl/>
        </w:rPr>
        <w:t xml:space="preserve"> </w:t>
      </w:r>
      <w:r w:rsidRPr="00EC21FF">
        <w:rPr>
          <w:rFonts w:ascii="David" w:hAnsi="David" w:cs="David" w:hint="cs"/>
          <w:sz w:val="24"/>
          <w:szCs w:val="24"/>
          <w:rtl/>
        </w:rPr>
        <w:t>(</w:t>
      </w:r>
      <w:r>
        <w:rPr>
          <w:rFonts w:ascii="David" w:hAnsi="David" w:cs="David" w:hint="cs"/>
          <w:sz w:val="24"/>
          <w:szCs w:val="24"/>
          <w:rtl/>
        </w:rPr>
        <w:t>23.05.2012)).</w:t>
      </w:r>
    </w:p>
    <w:p w14:paraId="6FA5867C" w14:textId="77777777" w:rsidR="00774A52" w:rsidRDefault="00774A52" w:rsidP="00774A52">
      <w:pPr>
        <w:pStyle w:val="aa"/>
        <w:spacing w:line="360" w:lineRule="auto"/>
        <w:jc w:val="both"/>
        <w:rPr>
          <w:rFonts w:ascii="David" w:hAnsi="David" w:cs="David"/>
          <w:sz w:val="24"/>
          <w:szCs w:val="24"/>
          <w:rtl/>
        </w:rPr>
      </w:pPr>
      <w:r>
        <w:rPr>
          <w:rFonts w:ascii="David" w:hAnsi="David" w:cs="David" w:hint="cs"/>
          <w:sz w:val="24"/>
          <w:szCs w:val="24"/>
          <w:rtl/>
        </w:rPr>
        <w:t xml:space="preserve"> </w:t>
      </w:r>
    </w:p>
    <w:p w14:paraId="3C2540ED" w14:textId="77777777" w:rsidR="00774A52" w:rsidRDefault="00774A52" w:rsidP="00774A52">
      <w:pPr>
        <w:pStyle w:val="aa"/>
        <w:numPr>
          <w:ilvl w:val="0"/>
          <w:numId w:val="1"/>
        </w:numPr>
        <w:spacing w:line="360" w:lineRule="auto"/>
        <w:jc w:val="both"/>
        <w:rPr>
          <w:rFonts w:ascii="David" w:hAnsi="David" w:cs="David"/>
          <w:sz w:val="24"/>
          <w:szCs w:val="24"/>
        </w:rPr>
      </w:pPr>
      <w:r>
        <w:rPr>
          <w:rFonts w:ascii="David" w:hAnsi="David" w:cs="David"/>
          <w:sz w:val="24"/>
          <w:szCs w:val="24"/>
          <w:rtl/>
        </w:rPr>
        <w:t>למעשה, די בכך שאחד התנאים המצטברים אינו מתקיים</w:t>
      </w:r>
      <w:r>
        <w:rPr>
          <w:rFonts w:ascii="David" w:hAnsi="David" w:cs="David" w:hint="cs"/>
          <w:sz w:val="24"/>
          <w:szCs w:val="24"/>
          <w:rtl/>
        </w:rPr>
        <w:t>,</w:t>
      </w:r>
      <w:r>
        <w:rPr>
          <w:rFonts w:ascii="David" w:hAnsi="David" w:cs="David"/>
          <w:sz w:val="24"/>
          <w:szCs w:val="24"/>
          <w:rtl/>
        </w:rPr>
        <w:t xml:space="preserve"> על מנת לדחות את העתירה לביטול הרשעת הנאשם. בבחינת למעלה מן הצורך, אציין כי אף התנאי המצטבר השני אינו מתקיים</w:t>
      </w:r>
      <w:r>
        <w:rPr>
          <w:rFonts w:ascii="David" w:hAnsi="David" w:cs="David" w:hint="cs"/>
          <w:sz w:val="24"/>
          <w:szCs w:val="24"/>
          <w:rtl/>
        </w:rPr>
        <w:t xml:space="preserve"> במקרה זה</w:t>
      </w:r>
      <w:r>
        <w:rPr>
          <w:rFonts w:ascii="David" w:hAnsi="David" w:cs="David"/>
          <w:sz w:val="24"/>
          <w:szCs w:val="24"/>
          <w:rtl/>
        </w:rPr>
        <w:t xml:space="preserve">. </w:t>
      </w:r>
    </w:p>
    <w:p w14:paraId="7C38A3ED" w14:textId="77777777" w:rsidR="00774A52" w:rsidRPr="005E331C" w:rsidRDefault="00774A52" w:rsidP="00774A52">
      <w:pPr>
        <w:spacing w:line="360" w:lineRule="auto"/>
        <w:ind w:left="720"/>
        <w:jc w:val="both"/>
        <w:rPr>
          <w:rFonts w:ascii="David" w:hAnsi="David"/>
        </w:rPr>
      </w:pPr>
      <w:r w:rsidRPr="005E331C">
        <w:rPr>
          <w:rFonts w:ascii="David" w:hAnsi="David"/>
          <w:rtl/>
        </w:rPr>
        <w:t>ב"כ הנאשם טען כי הרשעת</w:t>
      </w:r>
      <w:r w:rsidRPr="005E331C">
        <w:rPr>
          <w:rFonts w:ascii="David" w:hAnsi="David" w:hint="cs"/>
          <w:rtl/>
        </w:rPr>
        <w:t>ו</w:t>
      </w:r>
      <w:r w:rsidRPr="005E331C">
        <w:rPr>
          <w:rFonts w:ascii="David" w:hAnsi="David"/>
          <w:rtl/>
        </w:rPr>
        <w:t xml:space="preserve"> עלולה לפגוע </w:t>
      </w:r>
      <w:r>
        <w:rPr>
          <w:rFonts w:ascii="David" w:hAnsi="David" w:hint="cs"/>
          <w:rtl/>
        </w:rPr>
        <w:t xml:space="preserve">בעיסוק עתידי </w:t>
      </w:r>
      <w:r w:rsidRPr="005E331C">
        <w:rPr>
          <w:rFonts w:ascii="David" w:hAnsi="David"/>
          <w:rtl/>
        </w:rPr>
        <w:t>בתיווך בנדל"ן</w:t>
      </w:r>
      <w:r w:rsidRPr="005E331C">
        <w:rPr>
          <w:rFonts w:ascii="David" w:hAnsi="David" w:hint="cs"/>
          <w:rtl/>
        </w:rPr>
        <w:t xml:space="preserve">, זאת בהתבסס על </w:t>
      </w:r>
      <w:r w:rsidRPr="005E331C">
        <w:rPr>
          <w:rFonts w:ascii="David" w:hAnsi="David"/>
          <w:rtl/>
        </w:rPr>
        <w:t xml:space="preserve">סעיף </w:t>
      </w:r>
      <w:hyperlink r:id="rId31" w:history="1">
        <w:r w:rsidR="00C86383" w:rsidRPr="00C86383">
          <w:rPr>
            <w:rStyle w:val="Hyperlink"/>
            <w:rFonts w:ascii="David" w:hAnsi="David"/>
            <w:rtl/>
          </w:rPr>
          <w:t>5 (א)(4)</w:t>
        </w:r>
      </w:hyperlink>
      <w:r w:rsidRPr="005E331C">
        <w:rPr>
          <w:rFonts w:ascii="David" w:hAnsi="David"/>
          <w:rtl/>
        </w:rPr>
        <w:t xml:space="preserve"> לחוק המתווכים</w:t>
      </w:r>
      <w:r w:rsidRPr="005E331C">
        <w:rPr>
          <w:rFonts w:ascii="David" w:hAnsi="David" w:hint="cs"/>
          <w:rtl/>
        </w:rPr>
        <w:t xml:space="preserve"> הקובע את אחד התנאים לקבלת רשיון תיווך כדלקמן: </w:t>
      </w:r>
      <w:r w:rsidRPr="005E331C">
        <w:rPr>
          <w:rFonts w:ascii="David" w:hAnsi="David"/>
          <w:rtl/>
        </w:rPr>
        <w:t xml:space="preserve"> </w:t>
      </w:r>
    </w:p>
    <w:p w14:paraId="23F5C784" w14:textId="77777777" w:rsidR="00774A52" w:rsidRPr="0000799F" w:rsidRDefault="00774A52" w:rsidP="00774A52">
      <w:pPr>
        <w:pStyle w:val="aa"/>
        <w:rPr>
          <w:rFonts w:ascii="David" w:hAnsi="David" w:cs="David"/>
          <w:sz w:val="24"/>
          <w:szCs w:val="24"/>
          <w:rtl/>
        </w:rPr>
      </w:pPr>
    </w:p>
    <w:p w14:paraId="26F3D5B7" w14:textId="77777777" w:rsidR="00774A52" w:rsidRDefault="00774A52" w:rsidP="00774A52">
      <w:pPr>
        <w:pStyle w:val="aa"/>
        <w:spacing w:line="240" w:lineRule="auto"/>
        <w:ind w:left="1361" w:right="1276"/>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הוא לא הורשע בעבירה שפאת מהותה, חומרתה ונסיבותיה אין הוא ראוי לשמש מתווך במקרקעין</w:t>
      </w:r>
      <w:r>
        <w:rPr>
          <w:rFonts w:ascii="David" w:hAnsi="David" w:cs="David"/>
          <w:sz w:val="24"/>
          <w:szCs w:val="24"/>
          <w:rtl/>
        </w:rPr>
        <w:t>".</w:t>
      </w:r>
    </w:p>
    <w:p w14:paraId="735AA13F" w14:textId="77777777" w:rsidR="00774A52" w:rsidRDefault="00774A52" w:rsidP="00774A52">
      <w:pPr>
        <w:pStyle w:val="aa"/>
        <w:spacing w:line="360" w:lineRule="auto"/>
        <w:jc w:val="both"/>
        <w:rPr>
          <w:rFonts w:ascii="David" w:hAnsi="David" w:cs="David"/>
          <w:sz w:val="24"/>
          <w:szCs w:val="24"/>
          <w:rtl/>
        </w:rPr>
      </w:pPr>
      <w:r>
        <w:rPr>
          <w:rFonts w:ascii="David" w:hAnsi="David" w:cs="David"/>
          <w:sz w:val="24"/>
          <w:szCs w:val="24"/>
          <w:rtl/>
        </w:rPr>
        <w:t xml:space="preserve"> </w:t>
      </w:r>
    </w:p>
    <w:p w14:paraId="76E8F0EF" w14:textId="77777777" w:rsidR="00774A52" w:rsidRDefault="00774A52" w:rsidP="00774A52">
      <w:pPr>
        <w:pStyle w:val="aa"/>
        <w:spacing w:line="360" w:lineRule="auto"/>
        <w:jc w:val="both"/>
        <w:rPr>
          <w:rFonts w:ascii="David" w:hAnsi="David" w:cs="David"/>
          <w:sz w:val="24"/>
          <w:szCs w:val="24"/>
          <w:rtl/>
        </w:rPr>
      </w:pPr>
      <w:r w:rsidRPr="000D5876">
        <w:rPr>
          <w:rFonts w:ascii="David" w:hAnsi="David" w:cs="David" w:hint="cs"/>
          <w:sz w:val="24"/>
          <w:szCs w:val="24"/>
          <w:u w:val="single"/>
          <w:rtl/>
        </w:rPr>
        <w:t>ראשית</w:t>
      </w:r>
      <w:r>
        <w:rPr>
          <w:rFonts w:ascii="David" w:hAnsi="David" w:cs="David" w:hint="cs"/>
          <w:sz w:val="24"/>
          <w:szCs w:val="24"/>
          <w:rtl/>
        </w:rPr>
        <w:t xml:space="preserve">,  מדובר בתחום אשר הנאשם טרם החל לעסוק בו, הודיע לשרות המבחן כי נרשם לאחרונה ללימודים הצפויים להתחיל בחודש אוקטובר 2021, ורק בעת טיעוניו לעונש ציין כי בכוונתו להיבחן לשם קבלת רשיון התיווך כבר בחודש אפריל 2021. </w:t>
      </w:r>
    </w:p>
    <w:p w14:paraId="616FF530" w14:textId="77777777" w:rsidR="00774A52" w:rsidRDefault="00774A52" w:rsidP="00774A52">
      <w:pPr>
        <w:pStyle w:val="aa"/>
        <w:spacing w:line="360" w:lineRule="auto"/>
        <w:jc w:val="both"/>
        <w:rPr>
          <w:rFonts w:ascii="David" w:hAnsi="David" w:cs="David"/>
          <w:sz w:val="24"/>
          <w:szCs w:val="24"/>
          <w:rtl/>
        </w:rPr>
      </w:pPr>
      <w:r>
        <w:rPr>
          <w:rFonts w:ascii="David" w:hAnsi="David" w:cs="David" w:hint="cs"/>
          <w:sz w:val="24"/>
          <w:szCs w:val="24"/>
          <w:rtl/>
        </w:rPr>
        <w:t xml:space="preserve">מכאן, אין מדובר בנאשם אשר עוסק בתחום מסוים או אף הצביע על סיום לימודים בתחום מסוים, וטיעונו הוא אפשרות תאורטית בלבד לפגיעה בו. לענין זה אפנה לפסיקה המפורטת בסעיף 7 לעיל וכן לקביעה כי אין די אף ב"מידת ודאות קרובה לנזק" (אשר כלל לא הוכחה במקרה הנדון):  </w:t>
      </w:r>
    </w:p>
    <w:p w14:paraId="1F1E0FBA" w14:textId="77777777" w:rsidR="00774A52" w:rsidRDefault="00774A52" w:rsidP="00774A52">
      <w:pPr>
        <w:tabs>
          <w:tab w:val="num" w:pos="907"/>
          <w:tab w:val="left" w:pos="936"/>
        </w:tabs>
        <w:overflowPunct w:val="0"/>
        <w:autoSpaceDE w:val="0"/>
        <w:autoSpaceDN w:val="0"/>
        <w:adjustRightInd w:val="0"/>
        <w:ind w:left="1361" w:right="1276"/>
        <w:jc w:val="both"/>
        <w:rPr>
          <w:rFonts w:ascii="David" w:hAnsi="David"/>
          <w:spacing w:val="10"/>
          <w:rtl/>
        </w:rPr>
      </w:pPr>
      <w:r w:rsidRPr="00DE5532">
        <w:rPr>
          <w:rFonts w:ascii="David" w:hAnsi="David" w:hint="cs"/>
          <w:spacing w:val="10"/>
          <w:rtl/>
        </w:rPr>
        <w:t>"</w:t>
      </w:r>
      <w:r w:rsidRPr="00C96E75">
        <w:rPr>
          <w:rFonts w:ascii="David" w:hAnsi="David"/>
          <w:b/>
          <w:bCs/>
          <w:spacing w:val="10"/>
          <w:rtl/>
        </w:rPr>
        <w:t xml:space="preserve">בראש ובראשונה אבקש להתייחס  לטענה, לפיה </w:t>
      </w:r>
      <w:r w:rsidRPr="00C96E75">
        <w:rPr>
          <w:rFonts w:ascii="David" w:hAnsi="David"/>
          <w:b/>
          <w:bCs/>
          <w:rtl/>
        </w:rPr>
        <w:t xml:space="preserve">"די במידת ודאות קרובה לקיומו של נזק קונקרטי" </w:t>
      </w:r>
      <w:r w:rsidRPr="00C96E75">
        <w:rPr>
          <w:rFonts w:ascii="David" w:hAnsi="David"/>
          <w:b/>
          <w:bCs/>
          <w:spacing w:val="10"/>
          <w:rtl/>
        </w:rPr>
        <w:t>כדי להימנע מהרשעתו של הנאשם. גישה זו אינה עולה בקנה אחד עם פסיקתו של בית משפט זה, לפיה יש להצביע על כך שהרשעתו של הנאשם תביא "</w:t>
      </w:r>
      <w:r w:rsidRPr="00C96E75">
        <w:rPr>
          <w:rFonts w:ascii="David" w:hAnsi="David"/>
          <w:b/>
          <w:bCs/>
          <w:rtl/>
        </w:rPr>
        <w:t>לפגיעה קשה וקונקרטית בסיכויי שיקומו</w:t>
      </w:r>
      <w:r w:rsidRPr="00C96E75">
        <w:rPr>
          <w:rFonts w:ascii="David" w:hAnsi="David"/>
          <w:b/>
          <w:bCs/>
          <w:spacing w:val="10"/>
          <w:rtl/>
        </w:rPr>
        <w:t>", ולבסס טענות אלה בתשתית ראייתית מתאימה</w:t>
      </w:r>
      <w:r>
        <w:rPr>
          <w:rFonts w:ascii="David" w:hAnsi="David" w:hint="cs"/>
          <w:b/>
          <w:bCs/>
          <w:spacing w:val="10"/>
          <w:rtl/>
        </w:rPr>
        <w:t xml:space="preserve">" </w:t>
      </w:r>
    </w:p>
    <w:p w14:paraId="5F4E0B84" w14:textId="77777777" w:rsidR="00774A52" w:rsidRDefault="00774A52" w:rsidP="00774A52">
      <w:pPr>
        <w:tabs>
          <w:tab w:val="num" w:pos="907"/>
          <w:tab w:val="left" w:pos="936"/>
        </w:tabs>
        <w:overflowPunct w:val="0"/>
        <w:autoSpaceDE w:val="0"/>
        <w:autoSpaceDN w:val="0"/>
        <w:adjustRightInd w:val="0"/>
        <w:ind w:left="1361" w:right="1276"/>
        <w:jc w:val="both"/>
        <w:rPr>
          <w:rFonts w:ascii="David" w:hAnsi="David"/>
          <w:rtl/>
        </w:rPr>
      </w:pPr>
      <w:r w:rsidRPr="000116D0">
        <w:rPr>
          <w:rFonts w:ascii="David" w:hAnsi="David" w:hint="cs"/>
          <w:spacing w:val="10"/>
          <w:rtl/>
        </w:rPr>
        <w:t>(</w:t>
      </w:r>
      <w:hyperlink r:id="rId32" w:history="1">
        <w:r w:rsidR="00BE1998" w:rsidRPr="00BE1998">
          <w:rPr>
            <w:rFonts w:ascii="David" w:hAnsi="David"/>
            <w:color w:val="0000FF"/>
            <w:spacing w:val="10"/>
            <w:u w:val="single"/>
            <w:rtl/>
          </w:rPr>
          <w:t>רע"פ 7224/14</w:t>
        </w:r>
      </w:hyperlink>
      <w:r>
        <w:rPr>
          <w:rFonts w:ascii="David" w:hAnsi="David" w:hint="cs"/>
          <w:b/>
          <w:bCs/>
          <w:spacing w:val="10"/>
          <w:rtl/>
        </w:rPr>
        <w:t xml:space="preserve"> </w:t>
      </w:r>
      <w:r w:rsidRPr="000116D0">
        <w:rPr>
          <w:rFonts w:ascii="David" w:hAnsi="David" w:hint="cs"/>
          <w:b/>
          <w:bCs/>
          <w:spacing w:val="10"/>
          <w:rtl/>
        </w:rPr>
        <w:t>משה פרנסקי נ' מדינת ישראל</w:t>
      </w:r>
      <w:r>
        <w:rPr>
          <w:rFonts w:ascii="David" w:hAnsi="David" w:hint="cs"/>
          <w:spacing w:val="10"/>
          <w:rtl/>
        </w:rPr>
        <w:t xml:space="preserve">, פסקה 10 (10.11.2014)).  </w:t>
      </w:r>
      <w:r w:rsidRPr="00C96E75">
        <w:rPr>
          <w:rFonts w:ascii="David" w:hAnsi="David"/>
          <w:b/>
          <w:bCs/>
          <w:spacing w:val="10"/>
          <w:rtl/>
        </w:rPr>
        <w:t xml:space="preserve"> </w:t>
      </w:r>
    </w:p>
    <w:p w14:paraId="501CA297" w14:textId="77777777" w:rsidR="00774A52" w:rsidRDefault="00774A52" w:rsidP="00774A52">
      <w:pPr>
        <w:pStyle w:val="aa"/>
        <w:spacing w:line="360" w:lineRule="auto"/>
        <w:jc w:val="both"/>
        <w:rPr>
          <w:rFonts w:ascii="David" w:hAnsi="David" w:cs="David"/>
          <w:sz w:val="24"/>
          <w:szCs w:val="24"/>
          <w:rtl/>
        </w:rPr>
      </w:pPr>
    </w:p>
    <w:p w14:paraId="75965A50" w14:textId="77777777" w:rsidR="00774A52" w:rsidRDefault="00774A52" w:rsidP="00774A52">
      <w:pPr>
        <w:pStyle w:val="aa"/>
        <w:spacing w:line="360" w:lineRule="auto"/>
        <w:jc w:val="both"/>
        <w:rPr>
          <w:rFonts w:ascii="David" w:hAnsi="David" w:cs="David"/>
          <w:sz w:val="24"/>
          <w:szCs w:val="24"/>
          <w:rtl/>
        </w:rPr>
      </w:pPr>
      <w:r w:rsidRPr="000D5876">
        <w:rPr>
          <w:rFonts w:ascii="David" w:hAnsi="David" w:cs="David" w:hint="cs"/>
          <w:sz w:val="24"/>
          <w:szCs w:val="24"/>
          <w:u w:val="single"/>
          <w:rtl/>
        </w:rPr>
        <w:t>שנית</w:t>
      </w:r>
      <w:r>
        <w:rPr>
          <w:rFonts w:ascii="David" w:hAnsi="David" w:cs="David" w:hint="cs"/>
          <w:sz w:val="24"/>
          <w:szCs w:val="24"/>
          <w:rtl/>
        </w:rPr>
        <w:t>, חוק המתווכים אליו היפנה ב"כ הנאשם, מותיר לגורם מקצועי את שיקול הדעת האם להימנע ממתן רשיון תיווך בשל סוג העבירה, חומרתה ונסיבותיה. שיקול דעת זה יש להפעיל לאחר עריכת שימוע (</w:t>
      </w:r>
      <w:hyperlink r:id="rId33" w:history="1">
        <w:r w:rsidR="00C86383" w:rsidRPr="00C86383">
          <w:rPr>
            <w:rStyle w:val="Hyperlink"/>
            <w:rFonts w:ascii="David" w:hAnsi="David" w:cs="David" w:hint="cs"/>
            <w:sz w:val="24"/>
            <w:szCs w:val="24"/>
            <w:rtl/>
          </w:rPr>
          <w:t>סעיף</w:t>
        </w:r>
        <w:r w:rsidR="00C86383" w:rsidRPr="00C86383">
          <w:rPr>
            <w:rStyle w:val="Hyperlink"/>
            <w:rFonts w:ascii="David" w:hAnsi="David" w:cs="David"/>
            <w:sz w:val="24"/>
            <w:szCs w:val="24"/>
            <w:rtl/>
          </w:rPr>
          <w:t xml:space="preserve"> 5(ג)</w:t>
        </w:r>
      </w:hyperlink>
      <w:r>
        <w:rPr>
          <w:rFonts w:ascii="David" w:hAnsi="David" w:cs="David" w:hint="cs"/>
          <w:sz w:val="24"/>
          <w:szCs w:val="24"/>
          <w:rtl/>
        </w:rPr>
        <w:t xml:space="preserve"> לחוק המתווכים), כאשר ההחלטה נתונה לביקורת שיפוטית ככל החלטה מנהלית. את היקף שיקול הדעת הרחב הנתון לאותו גורם ניתן ללמוד מהוראת </w:t>
      </w:r>
      <w:hyperlink r:id="rId34" w:history="1">
        <w:r w:rsidR="00C86383" w:rsidRPr="00C86383">
          <w:rPr>
            <w:rStyle w:val="Hyperlink"/>
            <w:rFonts w:ascii="David" w:hAnsi="David" w:cs="David" w:hint="cs"/>
            <w:sz w:val="24"/>
            <w:szCs w:val="24"/>
            <w:rtl/>
          </w:rPr>
          <w:t>סעיף</w:t>
        </w:r>
        <w:r w:rsidR="00C86383" w:rsidRPr="00C86383">
          <w:rPr>
            <w:rStyle w:val="Hyperlink"/>
            <w:rFonts w:ascii="David" w:hAnsi="David" w:cs="David"/>
            <w:sz w:val="24"/>
            <w:szCs w:val="24"/>
            <w:rtl/>
          </w:rPr>
          <w:t xml:space="preserve"> 5(א)(5)</w:t>
        </w:r>
      </w:hyperlink>
      <w:r>
        <w:rPr>
          <w:rFonts w:ascii="David" w:hAnsi="David" w:cs="David" w:hint="cs"/>
          <w:sz w:val="24"/>
          <w:szCs w:val="24"/>
          <w:rtl/>
        </w:rPr>
        <w:t xml:space="preserve"> לחוק המתווכים המאפשר קבלת רשיון תיווך לאדם אשר סיים לרצות מאסר בפועל שישה חודשים בטרם הגשת בקשתו לקבלת רשיון: </w:t>
      </w:r>
    </w:p>
    <w:p w14:paraId="241398A3" w14:textId="77777777" w:rsidR="00774A52" w:rsidRPr="001B31E7" w:rsidRDefault="00774A52" w:rsidP="00774A52">
      <w:pPr>
        <w:pStyle w:val="aa"/>
        <w:spacing w:line="240" w:lineRule="auto"/>
        <w:ind w:left="1219" w:right="1418"/>
        <w:jc w:val="both"/>
        <w:rPr>
          <w:rFonts w:ascii="David" w:hAnsi="David" w:cs="David"/>
          <w:sz w:val="24"/>
          <w:szCs w:val="24"/>
          <w:rtl/>
        </w:rPr>
      </w:pPr>
      <w:r>
        <w:rPr>
          <w:rFonts w:ascii="David" w:hAnsi="David" w:cs="David" w:hint="cs"/>
          <w:sz w:val="24"/>
          <w:szCs w:val="24"/>
          <w:rtl/>
        </w:rPr>
        <w:t>"</w:t>
      </w:r>
      <w:r>
        <w:rPr>
          <w:rFonts w:ascii="David" w:hAnsi="David" w:cs="David" w:hint="cs"/>
          <w:b/>
          <w:bCs/>
          <w:sz w:val="24"/>
          <w:szCs w:val="24"/>
          <w:rtl/>
        </w:rPr>
        <w:t>אם הוא נידון לעונש מאסר בפועל, הוא סיים לשאת את עונשו שישה חודשים לפחות לפני הגשת הבקשה לרישיון</w:t>
      </w:r>
      <w:r>
        <w:rPr>
          <w:rFonts w:ascii="David" w:hAnsi="David" w:cs="David" w:hint="cs"/>
          <w:sz w:val="24"/>
          <w:szCs w:val="24"/>
          <w:rtl/>
        </w:rPr>
        <w:t>".</w:t>
      </w:r>
    </w:p>
    <w:p w14:paraId="1ED37C82" w14:textId="77777777" w:rsidR="00774A52" w:rsidRDefault="00774A52" w:rsidP="00774A52">
      <w:pPr>
        <w:pStyle w:val="aa"/>
        <w:spacing w:line="360" w:lineRule="auto"/>
        <w:jc w:val="both"/>
        <w:rPr>
          <w:rFonts w:ascii="David" w:hAnsi="David" w:cs="David"/>
          <w:sz w:val="24"/>
          <w:szCs w:val="24"/>
          <w:rtl/>
        </w:rPr>
      </w:pPr>
    </w:p>
    <w:p w14:paraId="325C5228" w14:textId="77777777" w:rsidR="00774A52" w:rsidRDefault="00774A52" w:rsidP="00774A52">
      <w:pPr>
        <w:pStyle w:val="aa"/>
        <w:spacing w:line="360" w:lineRule="auto"/>
        <w:jc w:val="both"/>
        <w:rPr>
          <w:rFonts w:ascii="David" w:hAnsi="David" w:cs="David"/>
          <w:sz w:val="24"/>
          <w:szCs w:val="24"/>
        </w:rPr>
      </w:pPr>
      <w:r>
        <w:rPr>
          <w:rFonts w:ascii="David" w:hAnsi="David" w:cs="David" w:hint="cs"/>
          <w:sz w:val="24"/>
          <w:szCs w:val="24"/>
          <w:rtl/>
        </w:rPr>
        <w:t xml:space="preserve">בהתחשב בחשיבות שראה המחוקק לאפשר לגורם המקצועי הממונה את הפעלת שיקול הדעת במתן רישיון תיווך לאדם שהורשע בפלילים, אני מוצא כי </w:t>
      </w:r>
      <w:r>
        <w:rPr>
          <w:rFonts w:ascii="David" w:hAnsi="David" w:cs="David"/>
          <w:sz w:val="24"/>
          <w:szCs w:val="24"/>
          <w:rtl/>
        </w:rPr>
        <w:t xml:space="preserve">אין לפעול בדרך שתימנע </w:t>
      </w:r>
      <w:r>
        <w:rPr>
          <w:rFonts w:ascii="David" w:hAnsi="David" w:cs="David" w:hint="cs"/>
          <w:sz w:val="24"/>
          <w:szCs w:val="24"/>
          <w:rtl/>
        </w:rPr>
        <w:t xml:space="preserve">קבלת מידע זה </w:t>
      </w:r>
      <w:r>
        <w:rPr>
          <w:rFonts w:ascii="David" w:hAnsi="David" w:cs="David"/>
          <w:sz w:val="24"/>
          <w:szCs w:val="24"/>
          <w:rtl/>
        </w:rPr>
        <w:t>מאותו גורם מוס</w:t>
      </w:r>
      <w:r>
        <w:rPr>
          <w:rFonts w:ascii="David" w:hAnsi="David" w:cs="David" w:hint="cs"/>
          <w:sz w:val="24"/>
          <w:szCs w:val="24"/>
          <w:rtl/>
        </w:rPr>
        <w:t>מ</w:t>
      </w:r>
      <w:r>
        <w:rPr>
          <w:rFonts w:ascii="David" w:hAnsi="David" w:cs="David"/>
          <w:sz w:val="24"/>
          <w:szCs w:val="24"/>
          <w:rtl/>
        </w:rPr>
        <w:t>ך</w:t>
      </w:r>
      <w:r>
        <w:rPr>
          <w:rFonts w:ascii="David" w:hAnsi="David" w:cs="David" w:hint="cs"/>
          <w:sz w:val="24"/>
          <w:szCs w:val="24"/>
          <w:rtl/>
        </w:rPr>
        <w:t xml:space="preserve">: </w:t>
      </w:r>
    </w:p>
    <w:p w14:paraId="1AC89496" w14:textId="77777777" w:rsidR="00774A52" w:rsidRDefault="00774A52" w:rsidP="00774A52">
      <w:pPr>
        <w:pStyle w:val="aa"/>
        <w:spacing w:before="48" w:after="48" w:line="240" w:lineRule="auto"/>
        <w:ind w:left="1361" w:right="1361"/>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הדבר עולה בקנה אחד עם האינטרס הציבורי שכן משנמצא כי אדם ביצע עבירה פלילית שעלולה להשפיע על כשרותו לעסוק במקצוע מסוים מן הראוי כי הדבר יבחן על ידי הגורמים המתאימים</w:t>
      </w:r>
      <w:r>
        <w:rPr>
          <w:rFonts w:ascii="David" w:hAnsi="David" w:cs="David"/>
          <w:sz w:val="24"/>
          <w:szCs w:val="24"/>
          <w:rtl/>
        </w:rPr>
        <w:t xml:space="preserve">" </w:t>
      </w:r>
    </w:p>
    <w:p w14:paraId="1BF8FFFB" w14:textId="77777777" w:rsidR="00774A52" w:rsidRDefault="00774A52" w:rsidP="00774A52">
      <w:pPr>
        <w:pStyle w:val="aa"/>
        <w:spacing w:before="48" w:after="48" w:line="240" w:lineRule="auto"/>
        <w:ind w:left="1361" w:right="1361"/>
        <w:jc w:val="both"/>
        <w:rPr>
          <w:rFonts w:ascii="David" w:hAnsi="David" w:cs="David"/>
          <w:sz w:val="24"/>
          <w:szCs w:val="24"/>
          <w:rtl/>
        </w:rPr>
      </w:pPr>
      <w:r>
        <w:rPr>
          <w:rFonts w:ascii="David" w:hAnsi="David" w:cs="David"/>
          <w:sz w:val="24"/>
          <w:szCs w:val="24"/>
          <w:rtl/>
        </w:rPr>
        <w:t>(</w:t>
      </w:r>
      <w:hyperlink r:id="rId35" w:history="1">
        <w:r w:rsidR="00BE1998" w:rsidRPr="00BE1998">
          <w:rPr>
            <w:rFonts w:ascii="David" w:hAnsi="David" w:cs="David"/>
            <w:color w:val="0000FF"/>
            <w:sz w:val="24"/>
            <w:szCs w:val="24"/>
            <w:u w:val="single"/>
            <w:rtl/>
          </w:rPr>
          <w:t>רע"פ 5018/18</w:t>
        </w:r>
      </w:hyperlink>
      <w:r>
        <w:rPr>
          <w:rFonts w:ascii="David" w:hAnsi="David" w:cs="David"/>
          <w:sz w:val="24"/>
          <w:szCs w:val="24"/>
          <w:rtl/>
        </w:rPr>
        <w:t xml:space="preserve"> </w:t>
      </w:r>
      <w:r>
        <w:rPr>
          <w:rFonts w:ascii="David" w:hAnsi="David" w:cs="David"/>
          <w:b/>
          <w:bCs/>
          <w:sz w:val="24"/>
          <w:szCs w:val="24"/>
          <w:rtl/>
        </w:rPr>
        <w:t>בוגזלו נ' מדינת ישראל</w:t>
      </w:r>
      <w:r>
        <w:rPr>
          <w:rFonts w:ascii="David" w:hAnsi="David" w:cs="David"/>
          <w:sz w:val="24"/>
          <w:szCs w:val="24"/>
          <w:rtl/>
        </w:rPr>
        <w:t xml:space="preserve">, פסקה 9 (21.10.2018); </w:t>
      </w:r>
      <w:hyperlink r:id="rId36" w:history="1">
        <w:r w:rsidR="00BE1998" w:rsidRPr="00BE1998">
          <w:rPr>
            <w:rFonts w:ascii="David" w:hAnsi="David" w:cs="David"/>
            <w:color w:val="0000FF"/>
            <w:sz w:val="24"/>
            <w:szCs w:val="24"/>
            <w:u w:val="single"/>
            <w:rtl/>
          </w:rPr>
          <w:t>רע"פ 1746/18</w:t>
        </w:r>
      </w:hyperlink>
      <w:r>
        <w:rPr>
          <w:rFonts w:ascii="David" w:hAnsi="David" w:cs="David"/>
          <w:sz w:val="24"/>
          <w:szCs w:val="24"/>
          <w:rtl/>
        </w:rPr>
        <w:t xml:space="preserve"> </w:t>
      </w:r>
      <w:r>
        <w:rPr>
          <w:rFonts w:ascii="David" w:hAnsi="David" w:cs="David"/>
          <w:b/>
          <w:bCs/>
          <w:sz w:val="24"/>
          <w:szCs w:val="24"/>
          <w:rtl/>
        </w:rPr>
        <w:t>פלהיימר נ' מדינת ישראל</w:t>
      </w:r>
      <w:r>
        <w:rPr>
          <w:rFonts w:ascii="David" w:hAnsi="David" w:cs="David"/>
          <w:sz w:val="24"/>
          <w:szCs w:val="24"/>
          <w:rtl/>
        </w:rPr>
        <w:t xml:space="preserve"> (26.4.2018)).</w:t>
      </w:r>
    </w:p>
    <w:p w14:paraId="3A811095" w14:textId="77777777" w:rsidR="00774A52" w:rsidRDefault="00774A52" w:rsidP="00774A52">
      <w:pPr>
        <w:pStyle w:val="aa"/>
        <w:spacing w:before="48" w:after="48" w:line="360" w:lineRule="auto"/>
        <w:ind w:left="1361" w:right="1361"/>
        <w:jc w:val="both"/>
        <w:rPr>
          <w:rFonts w:ascii="David" w:hAnsi="David" w:cs="David"/>
          <w:sz w:val="24"/>
          <w:szCs w:val="24"/>
          <w:rtl/>
        </w:rPr>
      </w:pPr>
    </w:p>
    <w:p w14:paraId="0465FA27" w14:textId="77777777" w:rsidR="00774A52" w:rsidRDefault="00774A52" w:rsidP="00774A52">
      <w:pPr>
        <w:pStyle w:val="aa"/>
        <w:spacing w:after="0" w:line="360" w:lineRule="auto"/>
        <w:ind w:left="652"/>
        <w:jc w:val="both"/>
        <w:rPr>
          <w:rFonts w:ascii="David" w:hAnsi="David" w:cs="David"/>
          <w:sz w:val="24"/>
          <w:szCs w:val="24"/>
          <w:rtl/>
        </w:rPr>
      </w:pPr>
      <w:r w:rsidRPr="000D5876">
        <w:rPr>
          <w:rFonts w:ascii="David" w:hAnsi="David" w:cs="David" w:hint="cs"/>
          <w:sz w:val="24"/>
          <w:szCs w:val="24"/>
          <w:u w:val="single"/>
          <w:rtl/>
        </w:rPr>
        <w:t>שלישית</w:t>
      </w:r>
      <w:r>
        <w:rPr>
          <w:rFonts w:ascii="David" w:hAnsi="David" w:cs="David" w:hint="cs"/>
          <w:sz w:val="24"/>
          <w:szCs w:val="24"/>
          <w:rtl/>
        </w:rPr>
        <w:t xml:space="preserve">, </w:t>
      </w:r>
      <w:r w:rsidRPr="004F642B">
        <w:rPr>
          <w:rFonts w:ascii="David" w:hAnsi="David" w:cs="David" w:hint="cs"/>
          <w:sz w:val="24"/>
          <w:szCs w:val="24"/>
          <w:rtl/>
        </w:rPr>
        <w:t xml:space="preserve">אף אם </w:t>
      </w:r>
      <w:r>
        <w:rPr>
          <w:rFonts w:ascii="David" w:hAnsi="David" w:cs="David" w:hint="cs"/>
          <w:sz w:val="24"/>
          <w:szCs w:val="24"/>
          <w:rtl/>
        </w:rPr>
        <w:t xml:space="preserve">היה עולה בידי הנאשם להוכיח פגיעה ממשית וקונקרטית בו, דוגמת עיסוקו כמתווך בעל רשיון וסכנה כי אותו רשיון ישלל ממנו, היה מקום לתת משקל מכריע לשיקול הדעת של הגורם המוסמך: </w:t>
      </w:r>
    </w:p>
    <w:p w14:paraId="573A4B5C" w14:textId="77777777" w:rsidR="00774A52" w:rsidRPr="00C96E75" w:rsidRDefault="00774A52" w:rsidP="00774A52">
      <w:pPr>
        <w:pStyle w:val="aa"/>
        <w:spacing w:after="0" w:line="240" w:lineRule="auto"/>
        <w:ind w:left="1440" w:right="1361"/>
        <w:jc w:val="both"/>
        <w:rPr>
          <w:rFonts w:ascii="David" w:hAnsi="David" w:cs="David"/>
          <w:b/>
          <w:bCs/>
          <w:sz w:val="24"/>
          <w:szCs w:val="24"/>
          <w:rtl/>
        </w:rPr>
      </w:pPr>
      <w:r w:rsidRPr="00DE5532">
        <w:rPr>
          <w:rFonts w:ascii="David" w:hAnsi="David" w:cs="David" w:hint="cs"/>
          <w:sz w:val="24"/>
          <w:szCs w:val="24"/>
          <w:rtl/>
        </w:rPr>
        <w:t>"</w:t>
      </w:r>
      <w:r w:rsidRPr="00C96E75">
        <w:rPr>
          <w:rFonts w:ascii="David" w:hAnsi="David" w:cs="David"/>
          <w:b/>
          <w:bCs/>
          <w:sz w:val="24"/>
          <w:szCs w:val="24"/>
          <w:rtl/>
        </w:rPr>
        <w:t xml:space="preserve">אני סבור כי גם אם עלולה להיפגע יכולתו של המבקש לשמש </w:t>
      </w:r>
      <w:r w:rsidRPr="004F2643">
        <w:rPr>
          <w:rFonts w:ascii="David" w:hAnsi="David" w:cs="David"/>
          <w:b/>
          <w:bCs/>
          <w:sz w:val="24"/>
          <w:szCs w:val="24"/>
          <w:u w:val="single"/>
          <w:rtl/>
        </w:rPr>
        <w:t>מתווך</w:t>
      </w:r>
      <w:r w:rsidRPr="00C96E75">
        <w:rPr>
          <w:rFonts w:ascii="David" w:hAnsi="David" w:cs="David"/>
          <w:b/>
          <w:bCs/>
          <w:sz w:val="24"/>
          <w:szCs w:val="24"/>
          <w:rtl/>
        </w:rPr>
        <w:t xml:space="preserve"> </w:t>
      </w:r>
      <w:r>
        <w:rPr>
          <w:rFonts w:ascii="David" w:hAnsi="David" w:cs="David" w:hint="cs"/>
          <w:sz w:val="24"/>
          <w:szCs w:val="24"/>
          <w:rtl/>
        </w:rPr>
        <w:t xml:space="preserve">(ההדגשה אינה במקור, א.ק.) </w:t>
      </w:r>
      <w:r w:rsidRPr="00C96E75">
        <w:rPr>
          <w:rFonts w:ascii="David" w:hAnsi="David" w:cs="David"/>
          <w:b/>
          <w:bCs/>
          <w:sz w:val="24"/>
          <w:szCs w:val="24"/>
          <w:rtl/>
        </w:rPr>
        <w:t>או מדביר, יש להותיר את הדיון בדבר בידי הגורם המוסמך. הדבר עולה בקנה אחד עם האינטרס הציבורי שכן משנמצא כי אדם ביצע עבירה פלילית שעלולה להשפיע על כשירותו לעסוק במקצוע מסוים הטעון רישוי, מן הראוי כי הדבר יהיה גלוי בפני גורמי הרישוי המוסמכים בעניין</w:t>
      </w:r>
      <w:r w:rsidRPr="00DE5532">
        <w:rPr>
          <w:rFonts w:ascii="David" w:hAnsi="David" w:cs="David" w:hint="cs"/>
          <w:sz w:val="24"/>
          <w:szCs w:val="24"/>
          <w:rtl/>
        </w:rPr>
        <w:t>"</w:t>
      </w:r>
    </w:p>
    <w:p w14:paraId="7269F42A" w14:textId="77777777" w:rsidR="00774A52" w:rsidRPr="00774A52" w:rsidRDefault="00774A52" w:rsidP="00774A52">
      <w:pPr>
        <w:pStyle w:val="aa"/>
        <w:spacing w:after="0" w:line="360" w:lineRule="auto"/>
        <w:ind w:left="1372" w:firstLine="68"/>
        <w:jc w:val="both"/>
        <w:rPr>
          <w:rFonts w:ascii="David" w:hAnsi="David" w:cs="David"/>
          <w:sz w:val="24"/>
          <w:szCs w:val="24"/>
          <w:rtl/>
        </w:rPr>
      </w:pPr>
      <w:r>
        <w:rPr>
          <w:rFonts w:ascii="David" w:hAnsi="David" w:cs="David" w:hint="cs"/>
          <w:sz w:val="24"/>
          <w:szCs w:val="24"/>
          <w:rtl/>
        </w:rPr>
        <w:t xml:space="preserve">(ענין לוי, </w:t>
      </w:r>
      <w:r>
        <w:rPr>
          <w:rFonts w:ascii="David" w:hAnsi="David" w:cs="David"/>
          <w:sz w:val="24"/>
          <w:szCs w:val="24"/>
          <w:rtl/>
        </w:rPr>
        <w:t>פסקה 8</w:t>
      </w:r>
      <w:r>
        <w:rPr>
          <w:rFonts w:ascii="David" w:hAnsi="David" w:cs="David" w:hint="cs"/>
          <w:sz w:val="24"/>
          <w:szCs w:val="24"/>
          <w:rtl/>
        </w:rPr>
        <w:t xml:space="preserve">). </w:t>
      </w:r>
    </w:p>
    <w:p w14:paraId="65C8F71A" w14:textId="77777777" w:rsidR="00774A52" w:rsidRPr="000630DF" w:rsidRDefault="00774A52" w:rsidP="00774A52">
      <w:pPr>
        <w:pStyle w:val="aa"/>
        <w:spacing w:after="0" w:line="360" w:lineRule="auto"/>
        <w:ind w:right="1361"/>
        <w:jc w:val="both"/>
        <w:rPr>
          <w:rFonts w:ascii="David" w:hAnsi="David" w:cs="David"/>
          <w:sz w:val="24"/>
          <w:szCs w:val="24"/>
          <w:rtl/>
        </w:rPr>
      </w:pPr>
    </w:p>
    <w:p w14:paraId="69BC866C" w14:textId="77777777" w:rsidR="00774A52" w:rsidRPr="000630DF" w:rsidRDefault="00774A52" w:rsidP="00774A52">
      <w:pPr>
        <w:pStyle w:val="aa"/>
        <w:numPr>
          <w:ilvl w:val="0"/>
          <w:numId w:val="1"/>
        </w:numPr>
        <w:spacing w:line="360" w:lineRule="auto"/>
        <w:jc w:val="both"/>
        <w:rPr>
          <w:rFonts w:ascii="David" w:hAnsi="David" w:cs="David"/>
          <w:sz w:val="24"/>
          <w:szCs w:val="24"/>
          <w:rtl/>
        </w:rPr>
      </w:pPr>
      <w:r w:rsidRPr="000630DF">
        <w:rPr>
          <w:rFonts w:ascii="David" w:hAnsi="David" w:cs="David"/>
          <w:sz w:val="24"/>
          <w:szCs w:val="24"/>
          <w:rtl/>
        </w:rPr>
        <w:t>אשר להמלצת שירות המבחן לבט</w:t>
      </w:r>
      <w:r>
        <w:rPr>
          <w:rFonts w:ascii="David" w:hAnsi="David" w:cs="David" w:hint="cs"/>
          <w:sz w:val="24"/>
          <w:szCs w:val="24"/>
          <w:rtl/>
        </w:rPr>
        <w:t>ו</w:t>
      </w:r>
      <w:r w:rsidRPr="000630DF">
        <w:rPr>
          <w:rFonts w:ascii="David" w:hAnsi="David" w:cs="David"/>
          <w:sz w:val="24"/>
          <w:szCs w:val="24"/>
          <w:rtl/>
        </w:rPr>
        <w:t xml:space="preserve">ל הרשעת הנאשם </w:t>
      </w:r>
      <w:r>
        <w:rPr>
          <w:rFonts w:ascii="David" w:hAnsi="David" w:cs="David" w:hint="cs"/>
          <w:sz w:val="24"/>
          <w:szCs w:val="24"/>
          <w:rtl/>
        </w:rPr>
        <w:t xml:space="preserve">בשל </w:t>
      </w:r>
      <w:r w:rsidRPr="000630DF">
        <w:rPr>
          <w:rFonts w:ascii="David" w:hAnsi="David" w:cs="David"/>
          <w:sz w:val="24"/>
          <w:szCs w:val="24"/>
          <w:rtl/>
        </w:rPr>
        <w:t>חשש כי יפגע דימויו העצמי</w:t>
      </w:r>
      <w:r>
        <w:rPr>
          <w:rFonts w:ascii="David" w:hAnsi="David" w:cs="David" w:hint="cs"/>
          <w:sz w:val="24"/>
          <w:szCs w:val="24"/>
          <w:rtl/>
        </w:rPr>
        <w:t xml:space="preserve"> נוכח ההרשעה</w:t>
      </w:r>
      <w:r w:rsidRPr="000630DF">
        <w:rPr>
          <w:rFonts w:ascii="David" w:hAnsi="David" w:cs="David"/>
          <w:sz w:val="24"/>
          <w:szCs w:val="24"/>
          <w:rtl/>
        </w:rPr>
        <w:t xml:space="preserve">, </w:t>
      </w:r>
      <w:r>
        <w:rPr>
          <w:rFonts w:ascii="David" w:hAnsi="David" w:cs="David" w:hint="cs"/>
          <w:sz w:val="24"/>
          <w:szCs w:val="24"/>
          <w:rtl/>
        </w:rPr>
        <w:t>מדובר בסוגיה אשר נדונה ו</w:t>
      </w:r>
      <w:r w:rsidRPr="000630DF">
        <w:rPr>
          <w:rFonts w:ascii="David" w:hAnsi="David" w:cs="David"/>
          <w:sz w:val="24"/>
          <w:szCs w:val="24"/>
          <w:rtl/>
        </w:rPr>
        <w:t xml:space="preserve">נדחתה באופן מפורש על ידי בית המשפט העליון </w:t>
      </w:r>
      <w:r>
        <w:rPr>
          <w:rFonts w:ascii="David" w:hAnsi="David" w:cs="David" w:hint="cs"/>
          <w:sz w:val="24"/>
          <w:szCs w:val="24"/>
          <w:rtl/>
        </w:rPr>
        <w:t xml:space="preserve">כנימוק לביטול הרשעה </w:t>
      </w:r>
      <w:r w:rsidRPr="000630DF">
        <w:rPr>
          <w:rFonts w:ascii="David" w:hAnsi="David" w:cs="David"/>
          <w:sz w:val="24"/>
          <w:szCs w:val="24"/>
          <w:rtl/>
        </w:rPr>
        <w:t>(</w:t>
      </w:r>
      <w:hyperlink r:id="rId37" w:history="1">
        <w:r w:rsidR="00BE1998" w:rsidRPr="00BE1998">
          <w:rPr>
            <w:rFonts w:ascii="David" w:hAnsi="David" w:cs="David"/>
            <w:color w:val="0000FF"/>
            <w:sz w:val="24"/>
            <w:szCs w:val="24"/>
            <w:u w:val="single"/>
            <w:rtl/>
          </w:rPr>
          <w:t>רע"פ 9042/17</w:t>
        </w:r>
      </w:hyperlink>
      <w:r w:rsidRPr="000630DF">
        <w:rPr>
          <w:rFonts w:ascii="David" w:hAnsi="David" w:cs="David"/>
          <w:sz w:val="24"/>
          <w:szCs w:val="24"/>
          <w:rtl/>
        </w:rPr>
        <w:t xml:space="preserve"> </w:t>
      </w:r>
      <w:r w:rsidRPr="000630DF">
        <w:rPr>
          <w:rFonts w:ascii="David" w:hAnsi="David" w:cs="David"/>
          <w:b/>
          <w:bCs/>
          <w:sz w:val="24"/>
          <w:szCs w:val="24"/>
          <w:rtl/>
        </w:rPr>
        <w:t>היאם עאבד נ' מדינת ישראל</w:t>
      </w:r>
      <w:r>
        <w:rPr>
          <w:rFonts w:ascii="David" w:hAnsi="David" w:cs="David" w:hint="cs"/>
          <w:sz w:val="24"/>
          <w:szCs w:val="24"/>
          <w:rtl/>
        </w:rPr>
        <w:t xml:space="preserve">, פסקה 9 </w:t>
      </w:r>
      <w:r w:rsidRPr="000630DF">
        <w:rPr>
          <w:rFonts w:ascii="David" w:hAnsi="David" w:cs="David"/>
          <w:sz w:val="24"/>
          <w:szCs w:val="24"/>
          <w:rtl/>
        </w:rPr>
        <w:t xml:space="preserve">(27.12.2017); </w:t>
      </w:r>
      <w:hyperlink r:id="rId38" w:history="1">
        <w:r w:rsidR="00BE1998" w:rsidRPr="00BE1998">
          <w:rPr>
            <w:rFonts w:ascii="David" w:hAnsi="David" w:cs="David"/>
            <w:color w:val="0000FF"/>
            <w:sz w:val="24"/>
            <w:szCs w:val="24"/>
            <w:u w:val="single"/>
            <w:rtl/>
          </w:rPr>
          <w:t>רע"פ 5261/18</w:t>
        </w:r>
      </w:hyperlink>
      <w:r w:rsidRPr="000630DF">
        <w:rPr>
          <w:rFonts w:ascii="David" w:hAnsi="David" w:cs="David"/>
          <w:sz w:val="24"/>
          <w:szCs w:val="24"/>
          <w:rtl/>
        </w:rPr>
        <w:t xml:space="preserve"> </w:t>
      </w:r>
      <w:r w:rsidRPr="000630DF">
        <w:rPr>
          <w:rFonts w:ascii="David" w:hAnsi="David" w:cs="David"/>
          <w:b/>
          <w:bCs/>
          <w:sz w:val="24"/>
          <w:szCs w:val="24"/>
          <w:rtl/>
        </w:rPr>
        <w:t>רחמים דוידוף נ' מדינת ישראל</w:t>
      </w:r>
      <w:r>
        <w:rPr>
          <w:rFonts w:ascii="David" w:hAnsi="David" w:cs="David" w:hint="cs"/>
          <w:sz w:val="24"/>
          <w:szCs w:val="24"/>
          <w:rtl/>
        </w:rPr>
        <w:t xml:space="preserve">, פסקה 5 </w:t>
      </w:r>
      <w:r w:rsidRPr="000630DF">
        <w:rPr>
          <w:rFonts w:ascii="David" w:hAnsi="David" w:cs="David"/>
          <w:sz w:val="24"/>
          <w:szCs w:val="24"/>
          <w:rtl/>
        </w:rPr>
        <w:t>(12.7.2018)).</w:t>
      </w:r>
    </w:p>
    <w:p w14:paraId="007DBF3F" w14:textId="77777777" w:rsidR="00774A52" w:rsidRPr="00774A52" w:rsidRDefault="00774A52" w:rsidP="00774A52">
      <w:pPr>
        <w:pStyle w:val="aa"/>
        <w:spacing w:after="0" w:line="360" w:lineRule="auto"/>
        <w:ind w:right="1361"/>
        <w:jc w:val="both"/>
        <w:rPr>
          <w:rFonts w:ascii="David" w:hAnsi="David" w:cs="David"/>
          <w:b/>
          <w:bCs/>
          <w:sz w:val="24"/>
          <w:szCs w:val="24"/>
          <w:rtl/>
        </w:rPr>
      </w:pPr>
    </w:p>
    <w:p w14:paraId="731E777A" w14:textId="77777777" w:rsidR="00774A52" w:rsidRPr="004B2FE8" w:rsidRDefault="00774A52" w:rsidP="00774A52">
      <w:pPr>
        <w:pStyle w:val="aa"/>
        <w:spacing w:after="0" w:line="360" w:lineRule="auto"/>
        <w:jc w:val="both"/>
        <w:rPr>
          <w:rFonts w:ascii="David" w:hAnsi="David" w:cs="David"/>
          <w:sz w:val="24"/>
          <w:szCs w:val="24"/>
          <w:rtl/>
        </w:rPr>
      </w:pPr>
      <w:r w:rsidRPr="004B2FE8">
        <w:rPr>
          <w:rFonts w:ascii="David" w:hAnsi="David" w:cs="David"/>
          <w:sz w:val="24"/>
          <w:szCs w:val="24"/>
          <w:rtl/>
        </w:rPr>
        <w:t>לפיכך, כאשר הנאשם לא עמד אף באחד מהתנאים המצטברים הנדרשים לשם ביטול הרשעתו, אני קובע כי ההרשעה תעמוד על כנה.</w:t>
      </w:r>
    </w:p>
    <w:p w14:paraId="72DA67DF" w14:textId="77777777" w:rsidR="00774A52" w:rsidRPr="004B2FE8" w:rsidRDefault="00774A52" w:rsidP="00774A52">
      <w:pPr>
        <w:pStyle w:val="aa"/>
        <w:spacing w:after="0" w:line="360" w:lineRule="auto"/>
        <w:ind w:right="1361"/>
        <w:jc w:val="both"/>
        <w:rPr>
          <w:rFonts w:ascii="David" w:hAnsi="David" w:cs="David"/>
          <w:sz w:val="24"/>
          <w:szCs w:val="24"/>
          <w:rtl/>
        </w:rPr>
      </w:pPr>
      <w:r w:rsidRPr="004B2FE8">
        <w:rPr>
          <w:rFonts w:ascii="David" w:hAnsi="David" w:cs="David"/>
          <w:sz w:val="24"/>
          <w:szCs w:val="24"/>
          <w:rtl/>
        </w:rPr>
        <w:t xml:space="preserve"> </w:t>
      </w:r>
      <w:r w:rsidR="00BE1998">
        <w:rPr>
          <w:rFonts w:ascii="David" w:hAnsi="David" w:cs="David"/>
          <w:sz w:val="24"/>
          <w:szCs w:val="24"/>
          <w:rtl/>
        </w:rPr>
        <w:t xml:space="preserve"> </w:t>
      </w:r>
    </w:p>
    <w:p w14:paraId="3FCFD89D" w14:textId="77777777" w:rsidR="00774A52" w:rsidRPr="004B2FE8" w:rsidRDefault="00774A52" w:rsidP="00774A52">
      <w:pPr>
        <w:spacing w:line="360" w:lineRule="auto"/>
        <w:jc w:val="both"/>
        <w:rPr>
          <w:rFonts w:ascii="David" w:hAnsi="David"/>
          <w:b/>
          <w:bCs/>
          <w:u w:val="single"/>
          <w:rtl/>
        </w:rPr>
      </w:pPr>
      <w:r w:rsidRPr="004B2FE8">
        <w:rPr>
          <w:rFonts w:ascii="David" w:hAnsi="David"/>
          <w:b/>
          <w:bCs/>
          <w:u w:val="single"/>
          <w:rtl/>
        </w:rPr>
        <w:t>קביעת מתחם ענישה</w:t>
      </w:r>
    </w:p>
    <w:p w14:paraId="23B5C997" w14:textId="77777777" w:rsidR="00774A52" w:rsidRPr="004B2FE8" w:rsidRDefault="00774A52" w:rsidP="00774A52">
      <w:pPr>
        <w:pStyle w:val="aa"/>
        <w:numPr>
          <w:ilvl w:val="0"/>
          <w:numId w:val="1"/>
        </w:numPr>
        <w:spacing w:line="360" w:lineRule="auto"/>
        <w:jc w:val="both"/>
        <w:rPr>
          <w:rFonts w:ascii="David" w:hAnsi="David" w:cs="David"/>
          <w:sz w:val="24"/>
          <w:szCs w:val="24"/>
        </w:rPr>
      </w:pPr>
      <w:r w:rsidRPr="004B2FE8">
        <w:rPr>
          <w:rFonts w:ascii="David" w:hAnsi="David" w:cs="David"/>
          <w:sz w:val="24"/>
          <w:szCs w:val="24"/>
          <w:rtl/>
        </w:rPr>
        <w:t xml:space="preserve">עבירת ביצוע עסקה אחרת בסם מסוכן מהווה חלק ממעגל הפצת הסמים, כאשר מבצעי עבירות אלה הם חוליה בשרשרת המספקת את הסם למשתמשים בו. פגיעת סמים מסוכנים היא בעלת רבדים רבים, ולפיכך הפסיקה שבה וקראה להחמיר את הענישה כנגד מרכיביה השונים של שרשרת הפצת הסם. הפסיקה אליה הפנתה המאשימה עוסקת בעבירות סחר בסם מסוג קנאביס בכמויות משמעותיות מהכמות המזערית המיוחסת לנאשם במקרה זה, אשר הורשע בעבירת אספקת סם. יש לציין כי אין זהות בין מתחם העונש ההולם, המגלם הכרעה ערכית המבוססת על שיקולים שונים, לבין מדיניות הענישה הנוהגת המהווה אך את אחד משיקולים אלה (ע"פ </w:t>
      </w:r>
      <w:hyperlink r:id="rId39" w:history="1">
        <w:r w:rsidR="0034272B" w:rsidRPr="0034272B">
          <w:rPr>
            <w:rFonts w:ascii="David" w:hAnsi="David" w:cs="David"/>
            <w:color w:val="0000FF"/>
            <w:sz w:val="24"/>
            <w:szCs w:val="24"/>
            <w:u w:val="single"/>
            <w:rtl/>
          </w:rPr>
          <w:t xml:space="preserve">322/16 </w:t>
        </w:r>
      </w:hyperlink>
      <w:r w:rsidRPr="004B2FE8">
        <w:rPr>
          <w:rFonts w:ascii="David" w:hAnsi="David" w:cs="David"/>
          <w:sz w:val="24"/>
          <w:szCs w:val="24"/>
          <w:rtl/>
        </w:rPr>
        <w:t xml:space="preserve"> </w:t>
      </w:r>
      <w:r w:rsidRPr="004B2FE8">
        <w:rPr>
          <w:rFonts w:ascii="David" w:hAnsi="David" w:cs="David"/>
          <w:b/>
          <w:bCs/>
          <w:sz w:val="24"/>
          <w:szCs w:val="24"/>
          <w:rtl/>
        </w:rPr>
        <w:t xml:space="preserve">פלוני נ' מדינת ישראל, </w:t>
      </w:r>
      <w:r w:rsidRPr="004B2FE8">
        <w:rPr>
          <w:rFonts w:ascii="David" w:hAnsi="David" w:cs="David"/>
          <w:sz w:val="24"/>
          <w:szCs w:val="24"/>
          <w:rtl/>
        </w:rPr>
        <w:t>פסקה 5</w:t>
      </w:r>
      <w:r w:rsidRPr="004B2FE8">
        <w:rPr>
          <w:rFonts w:ascii="David" w:hAnsi="David" w:cs="David"/>
          <w:b/>
          <w:bCs/>
          <w:sz w:val="24"/>
          <w:szCs w:val="24"/>
          <w:rtl/>
        </w:rPr>
        <w:t xml:space="preserve"> </w:t>
      </w:r>
      <w:r w:rsidRPr="004B2FE8">
        <w:rPr>
          <w:rFonts w:ascii="David" w:hAnsi="David" w:cs="David"/>
          <w:sz w:val="24"/>
          <w:szCs w:val="24"/>
          <w:rtl/>
        </w:rPr>
        <w:t xml:space="preserve">(9.10.2016); </w:t>
      </w:r>
      <w:hyperlink r:id="rId40" w:history="1">
        <w:r w:rsidR="00BE1998" w:rsidRPr="00BE1998">
          <w:rPr>
            <w:rFonts w:ascii="David" w:hAnsi="David" w:cs="David"/>
            <w:color w:val="0000FF"/>
            <w:sz w:val="24"/>
            <w:szCs w:val="24"/>
            <w:u w:val="single"/>
            <w:rtl/>
          </w:rPr>
          <w:t>ע"פ 1323/13</w:t>
        </w:r>
      </w:hyperlink>
      <w:r w:rsidRPr="004B2FE8">
        <w:rPr>
          <w:rFonts w:ascii="David" w:hAnsi="David" w:cs="David"/>
          <w:sz w:val="24"/>
          <w:szCs w:val="24"/>
          <w:rtl/>
        </w:rPr>
        <w:t xml:space="preserve"> </w:t>
      </w:r>
      <w:r w:rsidRPr="004B2FE8">
        <w:rPr>
          <w:rFonts w:ascii="David" w:hAnsi="David" w:cs="David"/>
          <w:b/>
          <w:bCs/>
          <w:sz w:val="24"/>
          <w:szCs w:val="24"/>
          <w:rtl/>
        </w:rPr>
        <w:t>רך חסן נ' מדינת ישראל</w:t>
      </w:r>
      <w:r w:rsidRPr="004B2FE8">
        <w:rPr>
          <w:rFonts w:ascii="David" w:hAnsi="David" w:cs="David"/>
          <w:sz w:val="24"/>
          <w:szCs w:val="24"/>
          <w:rtl/>
        </w:rPr>
        <w:t xml:space="preserve">, פסקה 9 (5.6.2013)). הפסיקה הנוהגת משקפת מנעד רחב של עבירות אספקת סם מסוכן, מסוגים שונים, בכמויות משתנות, בתמורה כזו או אחרת ובנסיבות שונות. כך, בענין </w:t>
      </w:r>
      <w:r>
        <w:rPr>
          <w:rFonts w:ascii="David" w:hAnsi="David" w:cs="David" w:hint="cs"/>
          <w:sz w:val="24"/>
          <w:szCs w:val="24"/>
          <w:rtl/>
        </w:rPr>
        <w:t>ז'גסטיבסקי</w:t>
      </w:r>
      <w:r w:rsidRPr="004B2FE8">
        <w:rPr>
          <w:rFonts w:ascii="David" w:hAnsi="David" w:cs="David"/>
          <w:sz w:val="24"/>
          <w:szCs w:val="24"/>
          <w:rtl/>
        </w:rPr>
        <w:t xml:space="preserve"> הוטלו חודשיים מאסר בעבודות שרות תוך מתן דגש משמעותי לכך שהנאשם סיפק סם מסוג חשיש לשתי </w:t>
      </w:r>
      <w:r w:rsidRPr="004B2FE8">
        <w:rPr>
          <w:rFonts w:ascii="David" w:hAnsi="David" w:cs="David"/>
          <w:b/>
          <w:bCs/>
          <w:sz w:val="24"/>
          <w:szCs w:val="24"/>
          <w:rtl/>
        </w:rPr>
        <w:t>קטינות</w:t>
      </w:r>
      <w:r w:rsidRPr="004B2FE8">
        <w:rPr>
          <w:rFonts w:ascii="David" w:hAnsi="David" w:cs="David"/>
          <w:sz w:val="24"/>
          <w:szCs w:val="24"/>
          <w:rtl/>
        </w:rPr>
        <w:t xml:space="preserve"> וכן לכך שמדובר היה בשני מקרים. לעומת זאת, במקרה הנדון מדובר במקרה בודד של אספקת סם מסוג קנאביס במשקל מזערי, פחות מגרם אחד, עבור 100 ₪, לבגיר איתו לנאשם היכרות מוקדמת, וכן </w:t>
      </w:r>
      <w:r>
        <w:rPr>
          <w:rFonts w:ascii="David" w:hAnsi="David" w:cs="David" w:hint="cs"/>
          <w:sz w:val="24"/>
          <w:szCs w:val="24"/>
          <w:rtl/>
        </w:rPr>
        <w:t>ב</w:t>
      </w:r>
      <w:r w:rsidRPr="004B2FE8">
        <w:rPr>
          <w:rFonts w:ascii="David" w:hAnsi="David" w:cs="David"/>
          <w:sz w:val="24"/>
          <w:szCs w:val="24"/>
          <w:rtl/>
        </w:rPr>
        <w:t>החזקת סם דומה בכמות קטנה ביותר</w:t>
      </w:r>
      <w:r>
        <w:rPr>
          <w:rFonts w:ascii="David" w:hAnsi="David" w:cs="David"/>
          <w:sz w:val="24"/>
          <w:szCs w:val="24"/>
          <w:rtl/>
        </w:rPr>
        <w:t xml:space="preserve"> לצריכה עצמית, במהלך אותו אירוע</w:t>
      </w:r>
      <w:r>
        <w:rPr>
          <w:rFonts w:ascii="David" w:hAnsi="David" w:cs="David" w:hint="cs"/>
          <w:sz w:val="24"/>
          <w:szCs w:val="24"/>
          <w:rtl/>
        </w:rPr>
        <w:t xml:space="preserve">. שילוב העבירות בנסיבות אלה מחזק את טיעון ב"כ הנאשם לגבי </w:t>
      </w:r>
      <w:r w:rsidRPr="004B2FE8">
        <w:rPr>
          <w:rFonts w:ascii="David" w:hAnsi="David" w:cs="David"/>
          <w:sz w:val="24"/>
          <w:szCs w:val="24"/>
          <w:rtl/>
        </w:rPr>
        <w:t>הרקע האישי והחברי של אספקת הסם במהלך בילוי. נסיבות אלה אינן דומות לנסיבות הפסיקה שהוצגה בפני ואינן יכולות להיכלל בגדר מתחם הענישה לו עתרה המאשימה, במיוחד בשל הצורך לתת לנסיבות ביצוע העבירה משקל משמעותי בעת קביעת מתחם העונש ההולם (</w:t>
      </w:r>
      <w:hyperlink r:id="rId41" w:history="1">
        <w:r w:rsidR="00BE1998" w:rsidRPr="00BE1998">
          <w:rPr>
            <w:rFonts w:ascii="David" w:hAnsi="David" w:cs="David"/>
            <w:color w:val="0000FF"/>
            <w:sz w:val="24"/>
            <w:szCs w:val="24"/>
            <w:u w:val="single"/>
            <w:rtl/>
          </w:rPr>
          <w:t>ע"פ 1127/13</w:t>
        </w:r>
      </w:hyperlink>
      <w:r w:rsidRPr="004B2FE8">
        <w:rPr>
          <w:rFonts w:ascii="David" w:hAnsi="David" w:cs="David"/>
          <w:sz w:val="24"/>
          <w:szCs w:val="24"/>
          <w:rtl/>
        </w:rPr>
        <w:t xml:space="preserve"> </w:t>
      </w:r>
      <w:r w:rsidRPr="004B2FE8">
        <w:rPr>
          <w:rFonts w:ascii="David" w:hAnsi="David" w:cs="David"/>
          <w:b/>
          <w:bCs/>
          <w:sz w:val="24"/>
          <w:szCs w:val="24"/>
          <w:rtl/>
        </w:rPr>
        <w:t>עמאואל גברזגיי נ'</w:t>
      </w:r>
      <w:r w:rsidRPr="004B2FE8">
        <w:rPr>
          <w:rFonts w:ascii="David" w:hAnsi="David" w:cs="David"/>
          <w:sz w:val="24"/>
          <w:szCs w:val="24"/>
          <w:rtl/>
        </w:rPr>
        <w:t xml:space="preserve"> </w:t>
      </w:r>
      <w:r w:rsidRPr="004B2FE8">
        <w:rPr>
          <w:rFonts w:ascii="David" w:hAnsi="David" w:cs="David"/>
          <w:b/>
          <w:bCs/>
          <w:sz w:val="24"/>
          <w:szCs w:val="24"/>
          <w:rtl/>
        </w:rPr>
        <w:t>מדינת ישראל</w:t>
      </w:r>
      <w:r w:rsidRPr="004B2FE8">
        <w:rPr>
          <w:rFonts w:ascii="David" w:hAnsi="David" w:cs="David"/>
          <w:sz w:val="24"/>
          <w:szCs w:val="24"/>
          <w:rtl/>
        </w:rPr>
        <w:t>, פסקה 25 (15.01.2014)).</w:t>
      </w:r>
    </w:p>
    <w:p w14:paraId="1003756F" w14:textId="77777777" w:rsidR="00774A52" w:rsidRPr="004B2FE8" w:rsidRDefault="00774A52" w:rsidP="00774A52">
      <w:pPr>
        <w:pStyle w:val="aa"/>
        <w:spacing w:line="360" w:lineRule="auto"/>
        <w:jc w:val="both"/>
        <w:rPr>
          <w:rFonts w:ascii="David" w:hAnsi="David" w:cs="David"/>
          <w:sz w:val="24"/>
          <w:szCs w:val="24"/>
        </w:rPr>
      </w:pPr>
    </w:p>
    <w:p w14:paraId="6FBCD30D" w14:textId="77777777" w:rsidR="00774A52" w:rsidRDefault="00774A52" w:rsidP="00774A52">
      <w:pPr>
        <w:spacing w:after="200" w:line="360" w:lineRule="auto"/>
        <w:ind w:left="720" w:hanging="720"/>
        <w:jc w:val="both"/>
        <w:rPr>
          <w:rFonts w:ascii="David" w:hAnsi="David"/>
          <w:rtl/>
        </w:rPr>
      </w:pPr>
      <w:r w:rsidRPr="004B2FE8">
        <w:rPr>
          <w:rFonts w:ascii="David" w:hAnsi="David"/>
          <w:rtl/>
        </w:rPr>
        <w:tab/>
        <w:t>לאחר ששקלתי את כל האמור לעיל, אני קובע כי מתחם הענישה במקרה זה נע בין מאסר מותנה לצד של"צ משמעותי ועד לעשרה חודשי מאסר בפועל. בנוסף, יש מקום להטלת קנס כספי, מאסר</w:t>
      </w:r>
      <w:r>
        <w:rPr>
          <w:rFonts w:ascii="David" w:hAnsi="David"/>
          <w:rtl/>
        </w:rPr>
        <w:t xml:space="preserve"> מותנה וכן פסילת רישיון נהיגה על תנאי.</w:t>
      </w:r>
    </w:p>
    <w:p w14:paraId="39F98E9D" w14:textId="77777777" w:rsidR="00774A52" w:rsidRDefault="00774A52" w:rsidP="00774A52">
      <w:pPr>
        <w:spacing w:after="200" w:line="360" w:lineRule="auto"/>
        <w:ind w:left="720" w:hanging="720"/>
        <w:jc w:val="both"/>
        <w:rPr>
          <w:rFonts w:ascii="David" w:hAnsi="David"/>
          <w:b/>
          <w:bCs/>
          <w:u w:val="single"/>
          <w:rtl/>
        </w:rPr>
      </w:pPr>
      <w:r>
        <w:rPr>
          <w:rFonts w:ascii="David" w:hAnsi="David"/>
          <w:b/>
          <w:bCs/>
          <w:u w:val="single"/>
          <w:rtl/>
        </w:rPr>
        <w:t>העונש המתאים</w:t>
      </w:r>
    </w:p>
    <w:p w14:paraId="35E0DE4C" w14:textId="77777777" w:rsidR="00774A52" w:rsidRDefault="00774A52" w:rsidP="00774A52">
      <w:pPr>
        <w:pStyle w:val="aa"/>
        <w:numPr>
          <w:ilvl w:val="0"/>
          <w:numId w:val="1"/>
        </w:numPr>
        <w:spacing w:after="200" w:line="360" w:lineRule="auto"/>
        <w:jc w:val="both"/>
        <w:rPr>
          <w:rFonts w:ascii="David" w:hAnsi="David" w:cs="David"/>
          <w:sz w:val="24"/>
          <w:szCs w:val="24"/>
          <w:rtl/>
        </w:rPr>
      </w:pPr>
      <w:r>
        <w:rPr>
          <w:rFonts w:ascii="David" w:hAnsi="David" w:cs="David"/>
          <w:sz w:val="24"/>
          <w:szCs w:val="24"/>
          <w:rtl/>
        </w:rPr>
        <w:t>הנאשם בן 36</w:t>
      </w:r>
      <w:r>
        <w:rPr>
          <w:rFonts w:ascii="David" w:hAnsi="David" w:cs="David" w:hint="cs"/>
          <w:sz w:val="24"/>
          <w:szCs w:val="24"/>
          <w:rtl/>
        </w:rPr>
        <w:t xml:space="preserve"> וזו</w:t>
      </w:r>
      <w:r>
        <w:rPr>
          <w:rFonts w:ascii="David" w:hAnsi="David" w:cs="David"/>
          <w:sz w:val="24"/>
          <w:szCs w:val="24"/>
          <w:rtl/>
        </w:rPr>
        <w:t xml:space="preserve"> הסתבכותו הראשונה </w:t>
      </w:r>
      <w:r>
        <w:rPr>
          <w:rFonts w:ascii="David" w:hAnsi="David" w:cs="David" w:hint="cs"/>
          <w:sz w:val="24"/>
          <w:szCs w:val="24"/>
          <w:rtl/>
        </w:rPr>
        <w:t xml:space="preserve">והיחידה </w:t>
      </w:r>
      <w:r>
        <w:rPr>
          <w:rFonts w:ascii="David" w:hAnsi="David" w:cs="David"/>
          <w:sz w:val="24"/>
          <w:szCs w:val="24"/>
          <w:rtl/>
        </w:rPr>
        <w:t xml:space="preserve">עם החוק. הנאשם נטל אחריות על ביצוע העבירות, הביע חרטה וחסך </w:t>
      </w:r>
      <w:r>
        <w:rPr>
          <w:rFonts w:ascii="David" w:hAnsi="David" w:cs="David" w:hint="cs"/>
          <w:sz w:val="24"/>
          <w:szCs w:val="24"/>
          <w:rtl/>
        </w:rPr>
        <w:t>ב</w:t>
      </w:r>
      <w:r>
        <w:rPr>
          <w:rFonts w:ascii="David" w:hAnsi="David" w:cs="David"/>
          <w:sz w:val="24"/>
          <w:szCs w:val="24"/>
          <w:rtl/>
        </w:rPr>
        <w:t>זמן שיפוטי. כמו כן, נתתי דעתי לחלוף הזמן מ</w:t>
      </w:r>
      <w:r>
        <w:rPr>
          <w:rFonts w:ascii="David" w:hAnsi="David" w:cs="David" w:hint="cs"/>
          <w:sz w:val="24"/>
          <w:szCs w:val="24"/>
          <w:rtl/>
        </w:rPr>
        <w:t xml:space="preserve">עת </w:t>
      </w:r>
      <w:r>
        <w:rPr>
          <w:rFonts w:ascii="David" w:hAnsi="David" w:cs="David"/>
          <w:sz w:val="24"/>
          <w:szCs w:val="24"/>
          <w:rtl/>
        </w:rPr>
        <w:t>ביצוע העבירות ולנסיבותיו האישיות של הנאשם</w:t>
      </w:r>
      <w:r>
        <w:rPr>
          <w:rFonts w:ascii="David" w:hAnsi="David" w:cs="David" w:hint="cs"/>
          <w:sz w:val="24"/>
          <w:szCs w:val="24"/>
          <w:rtl/>
        </w:rPr>
        <w:t>,</w:t>
      </w:r>
      <w:r>
        <w:rPr>
          <w:rFonts w:ascii="David" w:hAnsi="David" w:cs="David"/>
          <w:sz w:val="24"/>
          <w:szCs w:val="24"/>
          <w:rtl/>
        </w:rPr>
        <w:t xml:space="preserve"> כפי שפורטו בתסקיר שירות המבחן. </w:t>
      </w:r>
      <w:r>
        <w:rPr>
          <w:rFonts w:ascii="David" w:hAnsi="David" w:cs="David" w:hint="cs"/>
          <w:sz w:val="24"/>
          <w:szCs w:val="24"/>
          <w:rtl/>
        </w:rPr>
        <w:t xml:space="preserve">משקל נוסף יש לתת להתרשמות </w:t>
      </w:r>
      <w:r>
        <w:rPr>
          <w:rFonts w:ascii="David" w:hAnsi="David" w:cs="David"/>
          <w:sz w:val="24"/>
          <w:szCs w:val="24"/>
          <w:rtl/>
        </w:rPr>
        <w:t>שירות המבחן מאדם נורמטיבי</w:t>
      </w:r>
      <w:r>
        <w:rPr>
          <w:rFonts w:ascii="David" w:hAnsi="David" w:cs="David" w:hint="cs"/>
          <w:sz w:val="24"/>
          <w:szCs w:val="24"/>
          <w:rtl/>
        </w:rPr>
        <w:t xml:space="preserve">, </w:t>
      </w:r>
      <w:r>
        <w:rPr>
          <w:rFonts w:ascii="David" w:hAnsi="David" w:cs="David"/>
          <w:sz w:val="24"/>
          <w:szCs w:val="24"/>
          <w:rtl/>
        </w:rPr>
        <w:t xml:space="preserve">נעדר דפוסים עברייניים או שוליים </w:t>
      </w:r>
      <w:r>
        <w:rPr>
          <w:rFonts w:ascii="David" w:hAnsi="David" w:cs="David" w:hint="cs"/>
          <w:sz w:val="24"/>
          <w:szCs w:val="24"/>
          <w:rtl/>
        </w:rPr>
        <w:t xml:space="preserve">אשר </w:t>
      </w:r>
      <w:r>
        <w:rPr>
          <w:rFonts w:ascii="David" w:hAnsi="David" w:cs="David"/>
          <w:sz w:val="24"/>
          <w:szCs w:val="24"/>
          <w:rtl/>
        </w:rPr>
        <w:t>ההליך המשפטי מהווה</w:t>
      </w:r>
      <w:r>
        <w:rPr>
          <w:rFonts w:ascii="David" w:hAnsi="David" w:cs="David" w:hint="cs"/>
          <w:sz w:val="24"/>
          <w:szCs w:val="24"/>
          <w:rtl/>
        </w:rPr>
        <w:t xml:space="preserve"> הרתעה עבורו</w:t>
      </w:r>
      <w:r>
        <w:rPr>
          <w:rFonts w:ascii="David" w:hAnsi="David" w:cs="David"/>
          <w:sz w:val="24"/>
          <w:szCs w:val="24"/>
          <w:rtl/>
        </w:rPr>
        <w:t xml:space="preserve">. </w:t>
      </w:r>
      <w:r>
        <w:rPr>
          <w:rFonts w:ascii="David" w:hAnsi="David" w:cs="David" w:hint="cs"/>
          <w:sz w:val="24"/>
          <w:szCs w:val="24"/>
          <w:rtl/>
        </w:rPr>
        <w:t xml:space="preserve">הצטברות נתונים אלה מציבה את הנאשם </w:t>
      </w:r>
      <w:r>
        <w:rPr>
          <w:rFonts w:ascii="David" w:hAnsi="David" w:cs="David"/>
          <w:sz w:val="24"/>
          <w:szCs w:val="24"/>
          <w:rtl/>
        </w:rPr>
        <w:t xml:space="preserve">בתחתית מתחם הענישה. </w:t>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t xml:space="preserve"> </w:t>
      </w:r>
    </w:p>
    <w:p w14:paraId="0EBCEB78" w14:textId="77777777" w:rsidR="00774A52" w:rsidRPr="001E28B6" w:rsidRDefault="00774A52" w:rsidP="00774A52">
      <w:pPr>
        <w:spacing w:after="200" w:line="360" w:lineRule="auto"/>
        <w:ind w:left="720"/>
        <w:jc w:val="both"/>
        <w:rPr>
          <w:rFonts w:ascii="David" w:hAnsi="David"/>
          <w:rtl/>
        </w:rPr>
      </w:pPr>
      <w:r w:rsidRPr="001E28B6">
        <w:rPr>
          <w:rFonts w:ascii="David" w:hAnsi="David"/>
          <w:rtl/>
        </w:rPr>
        <w:t>לפיכך, החלטתי להטיל על הנאשם את העונשים הבאים:</w:t>
      </w:r>
      <w:r w:rsidRPr="001E28B6">
        <w:rPr>
          <w:rFonts w:ascii="David" w:hAnsi="David"/>
        </w:rPr>
        <w:t xml:space="preserve"> </w:t>
      </w:r>
    </w:p>
    <w:p w14:paraId="00A2169E" w14:textId="77777777" w:rsidR="00774A52" w:rsidRPr="001E28B6" w:rsidRDefault="00774A52" w:rsidP="00774A52">
      <w:pPr>
        <w:pStyle w:val="aa"/>
        <w:numPr>
          <w:ilvl w:val="0"/>
          <w:numId w:val="2"/>
        </w:numPr>
        <w:spacing w:after="200" w:line="360" w:lineRule="auto"/>
        <w:jc w:val="both"/>
        <w:rPr>
          <w:rFonts w:ascii="David" w:hAnsi="David" w:cs="David"/>
          <w:sz w:val="24"/>
          <w:szCs w:val="24"/>
          <w:rtl/>
        </w:rPr>
      </w:pPr>
      <w:r>
        <w:rPr>
          <w:rFonts w:ascii="David" w:hAnsi="David" w:cs="David" w:hint="cs"/>
          <w:sz w:val="24"/>
          <w:szCs w:val="24"/>
          <w:rtl/>
        </w:rPr>
        <w:t>צו של"צ למשך 300</w:t>
      </w:r>
      <w:r w:rsidRPr="001E28B6">
        <w:rPr>
          <w:rFonts w:ascii="David" w:hAnsi="David" w:cs="David"/>
          <w:sz w:val="24"/>
          <w:szCs w:val="24"/>
          <w:rtl/>
        </w:rPr>
        <w:t xml:space="preserve"> שעות, בהתאם לתכנית שערך שרות המבחן. </w:t>
      </w:r>
      <w:r>
        <w:rPr>
          <w:rFonts w:ascii="David" w:hAnsi="David" w:cs="David" w:hint="cs"/>
          <w:sz w:val="24"/>
          <w:szCs w:val="24"/>
          <w:rtl/>
        </w:rPr>
        <w:t xml:space="preserve">בית המשפט הבהיר לנאשם את משמעות צו השל"צ, האפשרות לחידוש ההליך וענישה ככל שלא יעמוד בתנאי הצו. </w:t>
      </w:r>
      <w:r w:rsidRPr="001E28B6">
        <w:rPr>
          <w:rFonts w:ascii="David" w:hAnsi="David" w:cs="David"/>
          <w:sz w:val="24"/>
          <w:szCs w:val="24"/>
          <w:rtl/>
        </w:rPr>
        <w:t xml:space="preserve"> </w:t>
      </w:r>
    </w:p>
    <w:p w14:paraId="654A4B77" w14:textId="77777777" w:rsidR="00774A52" w:rsidRPr="001E28B6" w:rsidRDefault="00774A52" w:rsidP="00774A52">
      <w:pPr>
        <w:pStyle w:val="aa"/>
        <w:numPr>
          <w:ilvl w:val="0"/>
          <w:numId w:val="2"/>
        </w:numPr>
        <w:spacing w:after="200" w:line="360" w:lineRule="auto"/>
        <w:jc w:val="both"/>
        <w:rPr>
          <w:rFonts w:ascii="David" w:hAnsi="David" w:cs="David"/>
          <w:sz w:val="24"/>
          <w:szCs w:val="24"/>
        </w:rPr>
      </w:pPr>
      <w:r w:rsidRPr="001E28B6">
        <w:rPr>
          <w:rFonts w:ascii="David" w:hAnsi="David" w:cs="David"/>
          <w:sz w:val="24"/>
          <w:szCs w:val="24"/>
          <w:rtl/>
        </w:rPr>
        <w:t>מאסר למשך 6 חודשים, אותו לא ירצה אלא אם יעבור תוך שלוש שנים מהיום עבירת סמים מסוג פשע.</w:t>
      </w:r>
    </w:p>
    <w:p w14:paraId="6E3E0A8A" w14:textId="77777777" w:rsidR="00774A52" w:rsidRPr="001E28B6" w:rsidRDefault="00774A52" w:rsidP="00774A52">
      <w:pPr>
        <w:pStyle w:val="aa"/>
        <w:numPr>
          <w:ilvl w:val="0"/>
          <w:numId w:val="2"/>
        </w:numPr>
        <w:spacing w:after="200" w:line="360" w:lineRule="auto"/>
        <w:jc w:val="both"/>
        <w:rPr>
          <w:rFonts w:ascii="David" w:hAnsi="David" w:cs="David"/>
          <w:sz w:val="24"/>
          <w:szCs w:val="24"/>
        </w:rPr>
      </w:pPr>
      <w:r w:rsidRPr="001E28B6">
        <w:rPr>
          <w:rFonts w:ascii="David" w:hAnsi="David" w:cs="David"/>
          <w:sz w:val="24"/>
          <w:szCs w:val="24"/>
          <w:rtl/>
        </w:rPr>
        <w:t>מאסר למשך 3 חודשים, אותו לא ירצה אלא אם יעבור תוך שלוש שנים מהיום עבירת סמים מסוג עוון.</w:t>
      </w:r>
    </w:p>
    <w:p w14:paraId="5D275488" w14:textId="77777777" w:rsidR="00774A52" w:rsidRPr="001E28B6" w:rsidRDefault="00774A52" w:rsidP="00774A52">
      <w:pPr>
        <w:pStyle w:val="aa"/>
        <w:numPr>
          <w:ilvl w:val="0"/>
          <w:numId w:val="2"/>
        </w:numPr>
        <w:spacing w:after="200" w:line="360" w:lineRule="auto"/>
        <w:jc w:val="both"/>
        <w:rPr>
          <w:rFonts w:ascii="David" w:hAnsi="David" w:cs="David"/>
          <w:sz w:val="24"/>
          <w:szCs w:val="24"/>
        </w:rPr>
      </w:pPr>
      <w:r w:rsidRPr="001E28B6">
        <w:rPr>
          <w:rFonts w:ascii="David" w:hAnsi="David" w:cs="David"/>
          <w:sz w:val="24"/>
          <w:szCs w:val="24"/>
          <w:rtl/>
        </w:rPr>
        <w:t xml:space="preserve">אני פוסל את הנאשם מלקבל או להחזיק רישיון נהיגה למשך שלושה חודשים, וזאת על תנאי שמשך שנתיים מהיום לא יעבור עבירה על פקודת הסמים. </w:t>
      </w:r>
    </w:p>
    <w:p w14:paraId="48E2BDBF" w14:textId="77777777" w:rsidR="00774A52" w:rsidRPr="001E28B6" w:rsidRDefault="00774A52" w:rsidP="00774A52">
      <w:pPr>
        <w:pStyle w:val="aa"/>
        <w:numPr>
          <w:ilvl w:val="0"/>
          <w:numId w:val="2"/>
        </w:numPr>
        <w:spacing w:after="200" w:line="360" w:lineRule="auto"/>
        <w:jc w:val="both"/>
        <w:rPr>
          <w:rFonts w:ascii="David" w:hAnsi="David" w:cs="David"/>
          <w:sz w:val="24"/>
          <w:szCs w:val="24"/>
        </w:rPr>
      </w:pPr>
      <w:r w:rsidRPr="001E28B6">
        <w:rPr>
          <w:rFonts w:ascii="David" w:hAnsi="David" w:cs="David"/>
          <w:sz w:val="24"/>
          <w:szCs w:val="24"/>
          <w:rtl/>
        </w:rPr>
        <w:t xml:space="preserve">קנס בסך </w:t>
      </w:r>
      <w:r>
        <w:rPr>
          <w:rFonts w:ascii="David" w:hAnsi="David" w:cs="David" w:hint="cs"/>
          <w:sz w:val="24"/>
          <w:szCs w:val="24"/>
          <w:rtl/>
        </w:rPr>
        <w:t xml:space="preserve">500 ₪ או יום מאסר תמורתו. </w:t>
      </w:r>
    </w:p>
    <w:p w14:paraId="3D962825" w14:textId="77777777" w:rsidR="00774A52" w:rsidRPr="001E28B6" w:rsidRDefault="00774A52" w:rsidP="00774A52">
      <w:pPr>
        <w:pStyle w:val="aa"/>
        <w:numPr>
          <w:ilvl w:val="0"/>
          <w:numId w:val="2"/>
        </w:numPr>
        <w:spacing w:after="200" w:line="360" w:lineRule="auto"/>
        <w:jc w:val="both"/>
        <w:rPr>
          <w:rFonts w:ascii="David" w:hAnsi="David" w:cs="David"/>
          <w:sz w:val="24"/>
          <w:szCs w:val="24"/>
        </w:rPr>
      </w:pPr>
      <w:r>
        <w:rPr>
          <w:rFonts w:ascii="David" w:hAnsi="David" w:cs="David" w:hint="cs"/>
          <w:sz w:val="24"/>
          <w:szCs w:val="24"/>
          <w:rtl/>
        </w:rPr>
        <w:t xml:space="preserve">סך של מאה ₪ שנתפס </w:t>
      </w:r>
      <w:r>
        <w:rPr>
          <w:rFonts w:ascii="David" w:hAnsi="David" w:cs="David"/>
          <w:sz w:val="24"/>
          <w:szCs w:val="24"/>
          <w:rtl/>
        </w:rPr>
        <w:t>–</w:t>
      </w:r>
      <w:r>
        <w:rPr>
          <w:rFonts w:ascii="David" w:hAnsi="David" w:cs="David" w:hint="cs"/>
          <w:sz w:val="24"/>
          <w:szCs w:val="24"/>
          <w:rtl/>
        </w:rPr>
        <w:t xml:space="preserve"> יחולט. מכשיר טלפון יוחזר לידי הנאשם. </w:t>
      </w:r>
      <w:r w:rsidRPr="001E28B6">
        <w:rPr>
          <w:rFonts w:ascii="David" w:hAnsi="David" w:cs="David"/>
          <w:sz w:val="24"/>
          <w:szCs w:val="24"/>
          <w:rtl/>
        </w:rPr>
        <w:t xml:space="preserve">ניתן צו להשמדת הסמים.   </w:t>
      </w:r>
    </w:p>
    <w:p w14:paraId="448EF287" w14:textId="77777777" w:rsidR="00774A52" w:rsidRPr="00774A52" w:rsidRDefault="00774A52" w:rsidP="00774A52">
      <w:pPr>
        <w:spacing w:line="360" w:lineRule="auto"/>
        <w:ind w:left="720"/>
        <w:jc w:val="both"/>
        <w:rPr>
          <w:rFonts w:ascii="David" w:eastAsia="Calibri" w:hAnsi="David"/>
          <w:rtl/>
        </w:rPr>
      </w:pPr>
      <w:r w:rsidRPr="00774A52">
        <w:rPr>
          <w:rFonts w:ascii="David" w:eastAsia="Calibri" w:hAnsi="David" w:hint="cs"/>
          <w:rtl/>
        </w:rPr>
        <w:t xml:space="preserve">זכות ערעור לבית המשפט המחוזי תוך 45 יום מהיום. </w:t>
      </w:r>
    </w:p>
    <w:p w14:paraId="3AFAEBC7" w14:textId="77777777" w:rsidR="00774A52" w:rsidRPr="00774A52" w:rsidRDefault="00774A52" w:rsidP="00774A52">
      <w:pPr>
        <w:spacing w:line="360" w:lineRule="auto"/>
        <w:ind w:left="720"/>
        <w:jc w:val="both"/>
        <w:rPr>
          <w:rFonts w:ascii="David" w:eastAsia="Calibri" w:hAnsi="David"/>
          <w:rtl/>
        </w:rPr>
      </w:pPr>
    </w:p>
    <w:p w14:paraId="4733F6C0" w14:textId="77777777" w:rsidR="00774A52" w:rsidRPr="00774A52" w:rsidRDefault="00774A52" w:rsidP="00774A52">
      <w:pPr>
        <w:spacing w:line="360" w:lineRule="auto"/>
        <w:ind w:left="720"/>
        <w:jc w:val="both"/>
        <w:rPr>
          <w:rFonts w:ascii="David" w:eastAsia="Calibri" w:hAnsi="David"/>
          <w:rtl/>
        </w:rPr>
      </w:pPr>
      <w:r w:rsidRPr="00774A52">
        <w:rPr>
          <w:rFonts w:ascii="David" w:eastAsia="Calibri" w:hAnsi="David" w:hint="cs"/>
          <w:rtl/>
        </w:rPr>
        <w:t xml:space="preserve">המזכירות תעביר עותק גזר הדין לשרות המבחן. </w:t>
      </w:r>
    </w:p>
    <w:p w14:paraId="2F8E0C34" w14:textId="77777777" w:rsidR="00774A52" w:rsidRPr="00B05847" w:rsidRDefault="00774A52" w:rsidP="00774A52">
      <w:pPr>
        <w:rPr>
          <w:rtl/>
        </w:rPr>
      </w:pPr>
    </w:p>
    <w:p w14:paraId="7776E24E" w14:textId="77777777" w:rsidR="00774A52" w:rsidRPr="00B05847" w:rsidRDefault="00774A52" w:rsidP="00774A52">
      <w:pPr>
        <w:rPr>
          <w:rtl/>
        </w:rPr>
      </w:pPr>
    </w:p>
    <w:p w14:paraId="26D4CC1D" w14:textId="77777777" w:rsidR="00774A52" w:rsidRPr="00BE1998" w:rsidRDefault="00BE1998" w:rsidP="00774A52">
      <w:pPr>
        <w:rPr>
          <w:color w:val="FFFFFF"/>
          <w:sz w:val="2"/>
          <w:szCs w:val="2"/>
          <w:rtl/>
        </w:rPr>
      </w:pPr>
      <w:r w:rsidRPr="00BE1998">
        <w:rPr>
          <w:color w:val="FFFFFF"/>
          <w:sz w:val="2"/>
          <w:szCs w:val="2"/>
          <w:rtl/>
        </w:rPr>
        <w:t>5129371</w:t>
      </w:r>
    </w:p>
    <w:p w14:paraId="4CA73F17" w14:textId="77777777" w:rsidR="00774A52" w:rsidRPr="00250B83" w:rsidRDefault="00BE1998" w:rsidP="00774A52">
      <w:pPr>
        <w:rPr>
          <w:rtl/>
        </w:rPr>
      </w:pPr>
      <w:bookmarkStart w:id="8" w:name="Nitan"/>
      <w:r w:rsidRPr="00BE1998">
        <w:rPr>
          <w:rFonts w:ascii="Arial" w:hAnsi="Arial"/>
          <w:color w:val="FFFFFF"/>
          <w:sz w:val="2"/>
          <w:szCs w:val="2"/>
          <w:rtl/>
        </w:rPr>
        <w:t>54678313</w:t>
      </w:r>
      <w:r>
        <w:rPr>
          <w:rFonts w:ascii="Arial" w:hAnsi="Arial"/>
          <w:rtl/>
        </w:rPr>
        <w:t xml:space="preserve">ניתן היום,  י"ד אייר תשפ"א, 26 אפריל 2021, במעמד הצדדים. </w:t>
      </w:r>
      <w:bookmarkEnd w:id="8"/>
    </w:p>
    <w:p w14:paraId="472C24EE" w14:textId="77777777" w:rsidR="00774A52" w:rsidRPr="00250B83" w:rsidRDefault="00774A52" w:rsidP="00BE199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391948F" w14:textId="77777777" w:rsidR="00774A52" w:rsidRPr="00250B83" w:rsidRDefault="00774A52" w:rsidP="00774A52">
      <w:pPr>
        <w:jc w:val="center"/>
        <w:rPr>
          <w:rFonts w:ascii="Arial" w:hAnsi="Arial"/>
          <w:rtl/>
        </w:rPr>
      </w:pPr>
    </w:p>
    <w:p w14:paraId="02FCDA1D" w14:textId="77777777" w:rsidR="00774A52" w:rsidRPr="00250B83" w:rsidRDefault="00774A52" w:rsidP="00774A52">
      <w:pPr>
        <w:rPr>
          <w:rtl/>
        </w:rPr>
      </w:pPr>
    </w:p>
    <w:p w14:paraId="39484BCC" w14:textId="77777777" w:rsidR="00774A52" w:rsidRDefault="00774A52" w:rsidP="00774A52">
      <w:pPr>
        <w:pStyle w:val="a3"/>
        <w:jc w:val="center"/>
        <w:rPr>
          <w:rtl/>
        </w:rPr>
      </w:pPr>
    </w:p>
    <w:p w14:paraId="2590B2F8" w14:textId="77777777" w:rsidR="00F017FD" w:rsidRPr="00BE1998" w:rsidRDefault="00F017FD" w:rsidP="00BE1998">
      <w:pPr>
        <w:keepNext/>
        <w:rPr>
          <w:rFonts w:ascii="David" w:hAnsi="David"/>
          <w:color w:val="000000"/>
          <w:sz w:val="22"/>
          <w:szCs w:val="22"/>
          <w:rtl/>
        </w:rPr>
      </w:pPr>
    </w:p>
    <w:p w14:paraId="3B2EA71D" w14:textId="77777777" w:rsidR="00BE1998" w:rsidRPr="00BE1998" w:rsidRDefault="00BE1998" w:rsidP="00BE1998">
      <w:pPr>
        <w:keepNext/>
        <w:rPr>
          <w:rFonts w:ascii="David" w:hAnsi="David"/>
          <w:color w:val="000000"/>
          <w:sz w:val="22"/>
          <w:szCs w:val="22"/>
          <w:rtl/>
        </w:rPr>
      </w:pPr>
      <w:r w:rsidRPr="00BE1998">
        <w:rPr>
          <w:rFonts w:ascii="David" w:hAnsi="David"/>
          <w:color w:val="000000"/>
          <w:sz w:val="22"/>
          <w:szCs w:val="22"/>
          <w:rtl/>
        </w:rPr>
        <w:t>איתן קורנהאוזר 54678313</w:t>
      </w:r>
    </w:p>
    <w:p w14:paraId="07CDE745" w14:textId="77777777" w:rsidR="00BE1998" w:rsidRDefault="00BE1998" w:rsidP="00BE1998">
      <w:r w:rsidRPr="00BE1998">
        <w:rPr>
          <w:color w:val="000000"/>
          <w:rtl/>
        </w:rPr>
        <w:t>נוסח מסמך זה כפוף לשינויי ניסוח ועריכה</w:t>
      </w:r>
    </w:p>
    <w:p w14:paraId="012DEC7B" w14:textId="77777777" w:rsidR="00BE1998" w:rsidRDefault="00BE1998" w:rsidP="00BE1998">
      <w:pPr>
        <w:rPr>
          <w:rtl/>
        </w:rPr>
      </w:pPr>
    </w:p>
    <w:p w14:paraId="59D5D6D1" w14:textId="77777777" w:rsidR="00BE1998" w:rsidRDefault="00BE1998" w:rsidP="00BE199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B9EE93D" w14:textId="77777777" w:rsidR="00BE1998" w:rsidRPr="00BE1998" w:rsidRDefault="00BE1998" w:rsidP="00BE1998">
      <w:pPr>
        <w:jc w:val="center"/>
        <w:rPr>
          <w:color w:val="0000FF"/>
          <w:u w:val="single"/>
        </w:rPr>
      </w:pPr>
    </w:p>
    <w:sectPr w:rsidR="00BE1998" w:rsidRPr="00BE1998" w:rsidSect="00BE1998">
      <w:headerReference w:type="even" r:id="rId43"/>
      <w:headerReference w:type="default" r:id="rId44"/>
      <w:footerReference w:type="even" r:id="rId45"/>
      <w:footerReference w:type="default" r:id="rId4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4ABC6" w14:textId="77777777" w:rsidR="0005384A" w:rsidRDefault="0005384A" w:rsidP="00011C4C">
      <w:r>
        <w:separator/>
      </w:r>
    </w:p>
  </w:endnote>
  <w:endnote w:type="continuationSeparator" w:id="0">
    <w:p w14:paraId="0272E815" w14:textId="77777777" w:rsidR="0005384A" w:rsidRDefault="0005384A" w:rsidP="00011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9BC1D" w14:textId="77777777" w:rsidR="00BE1998" w:rsidRDefault="00BE1998" w:rsidP="00BE19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1259BC" w14:textId="77777777" w:rsidR="003C5C54" w:rsidRPr="00BE1998" w:rsidRDefault="00BE1998" w:rsidP="00BE19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661B7" w14:textId="77777777" w:rsidR="00BE1998" w:rsidRDefault="00BE1998" w:rsidP="00BE19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6392">
      <w:rPr>
        <w:rFonts w:ascii="FrankRuehl" w:hAnsi="FrankRuehl" w:cs="FrankRuehl"/>
        <w:noProof/>
        <w:rtl/>
      </w:rPr>
      <w:t>1</w:t>
    </w:r>
    <w:r>
      <w:rPr>
        <w:rFonts w:ascii="FrankRuehl" w:hAnsi="FrankRuehl" w:cs="FrankRuehl"/>
        <w:rtl/>
      </w:rPr>
      <w:fldChar w:fldCharType="end"/>
    </w:r>
  </w:p>
  <w:p w14:paraId="3A9F8053" w14:textId="77777777" w:rsidR="003C5C54" w:rsidRPr="00BE1998" w:rsidRDefault="00BE1998" w:rsidP="00BE19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8C54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6B2BD" w14:textId="77777777" w:rsidR="0005384A" w:rsidRDefault="0005384A" w:rsidP="00011C4C">
      <w:r>
        <w:separator/>
      </w:r>
    </w:p>
  </w:footnote>
  <w:footnote w:type="continuationSeparator" w:id="0">
    <w:p w14:paraId="41D50F4E" w14:textId="77777777" w:rsidR="0005384A" w:rsidRDefault="0005384A" w:rsidP="00011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57E3C" w14:textId="77777777" w:rsidR="00BE1998" w:rsidRPr="00BE1998" w:rsidRDefault="00BE1998" w:rsidP="00BE19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26414-08-19</w:t>
    </w:r>
    <w:r>
      <w:rPr>
        <w:rFonts w:ascii="David" w:hAnsi="David"/>
        <w:color w:val="000000"/>
        <w:sz w:val="22"/>
        <w:szCs w:val="22"/>
        <w:rtl/>
      </w:rPr>
      <w:tab/>
      <w:t xml:space="preserve"> מדינת ישראל נ' רועי חובבי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FF92" w14:textId="77777777" w:rsidR="00BE1998" w:rsidRPr="00BE1998" w:rsidRDefault="00BE1998" w:rsidP="00BE19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26414-08-19</w:t>
    </w:r>
    <w:r>
      <w:rPr>
        <w:rFonts w:ascii="David" w:hAnsi="David"/>
        <w:color w:val="000000"/>
        <w:sz w:val="22"/>
        <w:szCs w:val="22"/>
        <w:rtl/>
      </w:rPr>
      <w:tab/>
      <w:t xml:space="preserve"> מדינת ישראל נ' רועי חובבי ציון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D75BF"/>
    <w:multiLevelType w:val="hybridMultilevel"/>
    <w:tmpl w:val="F15AD2B6"/>
    <w:lvl w:ilvl="0" w:tplc="10AA9A7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3E532A"/>
    <w:multiLevelType w:val="hybridMultilevel"/>
    <w:tmpl w:val="7CB6E196"/>
    <w:lvl w:ilvl="0" w:tplc="DC8C9FDE">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645297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4195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4A52"/>
    <w:rsid w:val="00011C4C"/>
    <w:rsid w:val="0005384A"/>
    <w:rsid w:val="000615E6"/>
    <w:rsid w:val="001B5A3B"/>
    <w:rsid w:val="001D6392"/>
    <w:rsid w:val="0022050D"/>
    <w:rsid w:val="0034272B"/>
    <w:rsid w:val="003C5C54"/>
    <w:rsid w:val="00462813"/>
    <w:rsid w:val="00561D94"/>
    <w:rsid w:val="00774A52"/>
    <w:rsid w:val="009971ED"/>
    <w:rsid w:val="00BE1998"/>
    <w:rsid w:val="00C86383"/>
    <w:rsid w:val="00CF722D"/>
    <w:rsid w:val="00E510EC"/>
    <w:rsid w:val="00F017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3A4BAA"/>
  <w15:chartTrackingRefBased/>
  <w15:docId w15:val="{EECDC6C3-6A73-4423-924B-D8F0DE16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4A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4A52"/>
    <w:pPr>
      <w:tabs>
        <w:tab w:val="center" w:pos="4153"/>
        <w:tab w:val="right" w:pos="8306"/>
      </w:tabs>
    </w:pPr>
  </w:style>
  <w:style w:type="character" w:customStyle="1" w:styleId="a4">
    <w:name w:val="כותרת עליונה תו"/>
    <w:link w:val="a3"/>
    <w:rsid w:val="00774A52"/>
    <w:rPr>
      <w:rFonts w:ascii="Times New Roman" w:eastAsia="Times New Roman" w:hAnsi="Times New Roman" w:cs="David"/>
      <w:sz w:val="24"/>
      <w:szCs w:val="24"/>
    </w:rPr>
  </w:style>
  <w:style w:type="paragraph" w:styleId="a5">
    <w:name w:val="footer"/>
    <w:basedOn w:val="a"/>
    <w:link w:val="a6"/>
    <w:rsid w:val="00774A52"/>
    <w:pPr>
      <w:tabs>
        <w:tab w:val="center" w:pos="4153"/>
        <w:tab w:val="right" w:pos="8306"/>
      </w:tabs>
    </w:pPr>
  </w:style>
  <w:style w:type="character" w:customStyle="1" w:styleId="a6">
    <w:name w:val="כותרת תחתונה תו"/>
    <w:link w:val="a5"/>
    <w:rsid w:val="00774A52"/>
    <w:rPr>
      <w:rFonts w:ascii="Times New Roman" w:eastAsia="Times New Roman" w:hAnsi="Times New Roman" w:cs="David"/>
      <w:sz w:val="24"/>
      <w:szCs w:val="24"/>
    </w:rPr>
  </w:style>
  <w:style w:type="table" w:styleId="a7">
    <w:name w:val="Table Grid"/>
    <w:basedOn w:val="a1"/>
    <w:rsid w:val="00774A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4A52"/>
  </w:style>
  <w:style w:type="character" w:customStyle="1" w:styleId="a9">
    <w:name w:val="פיסקת רשימה תו"/>
    <w:link w:val="aa"/>
    <w:locked/>
    <w:rsid w:val="00774A52"/>
  </w:style>
  <w:style w:type="paragraph" w:styleId="aa">
    <w:name w:val="List Paragraph"/>
    <w:basedOn w:val="a"/>
    <w:link w:val="a9"/>
    <w:qFormat/>
    <w:rsid w:val="00774A52"/>
    <w:pPr>
      <w:spacing w:after="160" w:line="256" w:lineRule="auto"/>
      <w:ind w:left="720"/>
      <w:contextualSpacing/>
    </w:pPr>
    <w:rPr>
      <w:rFonts w:ascii="Calibri" w:eastAsia="Calibri" w:hAnsi="Calibri" w:cs="Arial"/>
      <w:sz w:val="22"/>
      <w:szCs w:val="22"/>
    </w:rPr>
  </w:style>
  <w:style w:type="character" w:styleId="Hyperlink">
    <w:name w:val="Hyperlink"/>
    <w:rsid w:val="00774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991/5.a.5" TargetMode="External"/><Relationship Id="rId18" Type="http://schemas.openxmlformats.org/officeDocument/2006/relationships/hyperlink" Target="http://www.nevo.co.il/law/4216/7.a.c" TargetMode="External"/><Relationship Id="rId26" Type="http://schemas.openxmlformats.org/officeDocument/2006/relationships/hyperlink" Target="http://www.nevo.co.il/case/5753269" TargetMode="External"/><Relationship Id="rId39" Type="http://schemas.openxmlformats.org/officeDocument/2006/relationships/hyperlink" Target="http://www.nevo.co.il/case/21477237" TargetMode="External"/><Relationship Id="rId21" Type="http://schemas.openxmlformats.org/officeDocument/2006/relationships/hyperlink" Target="http://www.nevo.co.il/case/25585375" TargetMode="External"/><Relationship Id="rId34" Type="http://schemas.openxmlformats.org/officeDocument/2006/relationships/hyperlink" Target="http://www.nevo.co.il/law/72991/5.a.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case/25945667"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37488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991" TargetMode="External"/><Relationship Id="rId24" Type="http://schemas.openxmlformats.org/officeDocument/2006/relationships/hyperlink" Target="http://www.nevo.co.il/case/5608134" TargetMode="External"/><Relationship Id="rId32" Type="http://schemas.openxmlformats.org/officeDocument/2006/relationships/hyperlink" Target="http://www.nevo.co.il/case/18118854" TargetMode="External"/><Relationship Id="rId37" Type="http://schemas.openxmlformats.org/officeDocument/2006/relationships/hyperlink" Target="http://www.nevo.co.il/case/23508942" TargetMode="External"/><Relationship Id="rId40" Type="http://schemas.openxmlformats.org/officeDocument/2006/relationships/hyperlink" Target="http://www.nevo.co.il/case/647303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459220" TargetMode="External"/><Relationship Id="rId28" Type="http://schemas.openxmlformats.org/officeDocument/2006/relationships/hyperlink" Target="http://www.nevo.co.il/case/27521789" TargetMode="External"/><Relationship Id="rId36" Type="http://schemas.openxmlformats.org/officeDocument/2006/relationships/hyperlink" Target="http://www.nevo.co.il/case/23751652"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2991" TargetMode="External"/><Relationship Id="rId31" Type="http://schemas.openxmlformats.org/officeDocument/2006/relationships/hyperlink" Target="http://www.nevo.co.il/law/72991/5.a.4"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nevo.co.il/law/72991/5.c" TargetMode="External"/><Relationship Id="rId22" Type="http://schemas.openxmlformats.org/officeDocument/2006/relationships/hyperlink" Target="http://www.nevo.co.il/case/5810781" TargetMode="External"/><Relationship Id="rId27" Type="http://schemas.openxmlformats.org/officeDocument/2006/relationships/hyperlink" Target="http://www.nevo.co.il/case/13022245" TargetMode="External"/><Relationship Id="rId30" Type="http://schemas.openxmlformats.org/officeDocument/2006/relationships/hyperlink" Target="http://www.nevo.co.il/case/5581031" TargetMode="External"/><Relationship Id="rId35" Type="http://schemas.openxmlformats.org/officeDocument/2006/relationships/hyperlink" Target="http://www.nevo.co.il/case/2434565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2991/5.a.4"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611948" TargetMode="External"/><Relationship Id="rId33" Type="http://schemas.openxmlformats.org/officeDocument/2006/relationships/hyperlink" Target="http://www.nevo.co.il/law/72991/5.c" TargetMode="External"/><Relationship Id="rId38" Type="http://schemas.openxmlformats.org/officeDocument/2006/relationships/hyperlink" Target="http://www.nevo.co.il/case/24492956"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60185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2396</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14351</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3407997</vt:i4>
      </vt:variant>
      <vt:variant>
        <vt:i4>102</vt:i4>
      </vt:variant>
      <vt:variant>
        <vt:i4>0</vt:i4>
      </vt:variant>
      <vt:variant>
        <vt:i4>5</vt:i4>
      </vt:variant>
      <vt:variant>
        <vt:lpwstr>http://www.nevo.co.il/case/6018516</vt:lpwstr>
      </vt:variant>
      <vt:variant>
        <vt:lpwstr/>
      </vt:variant>
      <vt:variant>
        <vt:i4>3539056</vt:i4>
      </vt:variant>
      <vt:variant>
        <vt:i4>99</vt:i4>
      </vt:variant>
      <vt:variant>
        <vt:i4>0</vt:i4>
      </vt:variant>
      <vt:variant>
        <vt:i4>5</vt:i4>
      </vt:variant>
      <vt:variant>
        <vt:lpwstr>http://www.nevo.co.il/case/6473037</vt:lpwstr>
      </vt:variant>
      <vt:variant>
        <vt:lpwstr/>
      </vt:variant>
      <vt:variant>
        <vt:i4>3276912</vt:i4>
      </vt:variant>
      <vt:variant>
        <vt:i4>96</vt:i4>
      </vt:variant>
      <vt:variant>
        <vt:i4>0</vt:i4>
      </vt:variant>
      <vt:variant>
        <vt:i4>5</vt:i4>
      </vt:variant>
      <vt:variant>
        <vt:lpwstr>http://www.nevo.co.il/case/21477237</vt:lpwstr>
      </vt:variant>
      <vt:variant>
        <vt:lpwstr/>
      </vt:variant>
      <vt:variant>
        <vt:i4>3211376</vt:i4>
      </vt:variant>
      <vt:variant>
        <vt:i4>93</vt:i4>
      </vt:variant>
      <vt:variant>
        <vt:i4>0</vt:i4>
      </vt:variant>
      <vt:variant>
        <vt:i4>5</vt:i4>
      </vt:variant>
      <vt:variant>
        <vt:lpwstr>http://www.nevo.co.il/case/24492956</vt:lpwstr>
      </vt:variant>
      <vt:variant>
        <vt:lpwstr/>
      </vt:variant>
      <vt:variant>
        <vt:i4>3866750</vt:i4>
      </vt:variant>
      <vt:variant>
        <vt:i4>90</vt:i4>
      </vt:variant>
      <vt:variant>
        <vt:i4>0</vt:i4>
      </vt:variant>
      <vt:variant>
        <vt:i4>5</vt:i4>
      </vt:variant>
      <vt:variant>
        <vt:lpwstr>http://www.nevo.co.il/case/23508942</vt:lpwstr>
      </vt:variant>
      <vt:variant>
        <vt:lpwstr/>
      </vt:variant>
      <vt:variant>
        <vt:i4>3211380</vt:i4>
      </vt:variant>
      <vt:variant>
        <vt:i4>87</vt:i4>
      </vt:variant>
      <vt:variant>
        <vt:i4>0</vt:i4>
      </vt:variant>
      <vt:variant>
        <vt:i4>5</vt:i4>
      </vt:variant>
      <vt:variant>
        <vt:lpwstr>http://www.nevo.co.il/case/23751652</vt:lpwstr>
      </vt:variant>
      <vt:variant>
        <vt:lpwstr/>
      </vt:variant>
      <vt:variant>
        <vt:i4>3211378</vt:i4>
      </vt:variant>
      <vt:variant>
        <vt:i4>84</vt:i4>
      </vt:variant>
      <vt:variant>
        <vt:i4>0</vt:i4>
      </vt:variant>
      <vt:variant>
        <vt:i4>5</vt:i4>
      </vt:variant>
      <vt:variant>
        <vt:lpwstr>http://www.nevo.co.il/case/24345651</vt:lpwstr>
      </vt:variant>
      <vt:variant>
        <vt:lpwstr/>
      </vt:variant>
      <vt:variant>
        <vt:i4>6160395</vt:i4>
      </vt:variant>
      <vt:variant>
        <vt:i4>81</vt:i4>
      </vt:variant>
      <vt:variant>
        <vt:i4>0</vt:i4>
      </vt:variant>
      <vt:variant>
        <vt:i4>5</vt:i4>
      </vt:variant>
      <vt:variant>
        <vt:lpwstr>http://www.nevo.co.il/law/72991/5.a.5</vt:lpwstr>
      </vt:variant>
      <vt:variant>
        <vt:lpwstr/>
      </vt:variant>
      <vt:variant>
        <vt:i4>7340138</vt:i4>
      </vt:variant>
      <vt:variant>
        <vt:i4>78</vt:i4>
      </vt:variant>
      <vt:variant>
        <vt:i4>0</vt:i4>
      </vt:variant>
      <vt:variant>
        <vt:i4>5</vt:i4>
      </vt:variant>
      <vt:variant>
        <vt:lpwstr>http://www.nevo.co.il/law/72991/5.c</vt:lpwstr>
      </vt:variant>
      <vt:variant>
        <vt:lpwstr/>
      </vt:variant>
      <vt:variant>
        <vt:i4>3997813</vt:i4>
      </vt:variant>
      <vt:variant>
        <vt:i4>75</vt:i4>
      </vt:variant>
      <vt:variant>
        <vt:i4>0</vt:i4>
      </vt:variant>
      <vt:variant>
        <vt:i4>5</vt:i4>
      </vt:variant>
      <vt:variant>
        <vt:lpwstr>http://www.nevo.co.il/case/18118854</vt:lpwstr>
      </vt:variant>
      <vt:variant>
        <vt:lpwstr/>
      </vt:variant>
      <vt:variant>
        <vt:i4>6160395</vt:i4>
      </vt:variant>
      <vt:variant>
        <vt:i4>72</vt:i4>
      </vt:variant>
      <vt:variant>
        <vt:i4>0</vt:i4>
      </vt:variant>
      <vt:variant>
        <vt:i4>5</vt:i4>
      </vt:variant>
      <vt:variant>
        <vt:lpwstr>http://www.nevo.co.il/law/72991/5.a.4</vt:lpwstr>
      </vt:variant>
      <vt:variant>
        <vt:lpwstr/>
      </vt:variant>
      <vt:variant>
        <vt:i4>3932275</vt:i4>
      </vt:variant>
      <vt:variant>
        <vt:i4>69</vt:i4>
      </vt:variant>
      <vt:variant>
        <vt:i4>0</vt:i4>
      </vt:variant>
      <vt:variant>
        <vt:i4>5</vt:i4>
      </vt:variant>
      <vt:variant>
        <vt:lpwstr>http://www.nevo.co.il/case/5581031</vt:lpwstr>
      </vt:variant>
      <vt:variant>
        <vt:lpwstr/>
      </vt:variant>
      <vt:variant>
        <vt:i4>3407995</vt:i4>
      </vt:variant>
      <vt:variant>
        <vt:i4>66</vt:i4>
      </vt:variant>
      <vt:variant>
        <vt:i4>0</vt:i4>
      </vt:variant>
      <vt:variant>
        <vt:i4>5</vt:i4>
      </vt:variant>
      <vt:variant>
        <vt:lpwstr>http://www.nevo.co.il/case/23748897</vt:lpwstr>
      </vt:variant>
      <vt:variant>
        <vt:lpwstr/>
      </vt:variant>
      <vt:variant>
        <vt:i4>4063350</vt:i4>
      </vt:variant>
      <vt:variant>
        <vt:i4>63</vt:i4>
      </vt:variant>
      <vt:variant>
        <vt:i4>0</vt:i4>
      </vt:variant>
      <vt:variant>
        <vt:i4>5</vt:i4>
      </vt:variant>
      <vt:variant>
        <vt:lpwstr>http://www.nevo.co.il/case/27521789</vt:lpwstr>
      </vt:variant>
      <vt:variant>
        <vt:lpwstr/>
      </vt:variant>
      <vt:variant>
        <vt:i4>3604599</vt:i4>
      </vt:variant>
      <vt:variant>
        <vt:i4>60</vt:i4>
      </vt:variant>
      <vt:variant>
        <vt:i4>0</vt:i4>
      </vt:variant>
      <vt:variant>
        <vt:i4>5</vt:i4>
      </vt:variant>
      <vt:variant>
        <vt:lpwstr>http://www.nevo.co.il/case/13022245</vt:lpwstr>
      </vt:variant>
      <vt:variant>
        <vt:lpwstr/>
      </vt:variant>
      <vt:variant>
        <vt:i4>3866742</vt:i4>
      </vt:variant>
      <vt:variant>
        <vt:i4>57</vt:i4>
      </vt:variant>
      <vt:variant>
        <vt:i4>0</vt:i4>
      </vt:variant>
      <vt:variant>
        <vt:i4>5</vt:i4>
      </vt:variant>
      <vt:variant>
        <vt:lpwstr>http://www.nevo.co.il/case/5753269</vt:lpwstr>
      </vt:variant>
      <vt:variant>
        <vt:lpwstr/>
      </vt:variant>
      <vt:variant>
        <vt:i4>3473527</vt:i4>
      </vt:variant>
      <vt:variant>
        <vt:i4>54</vt:i4>
      </vt:variant>
      <vt:variant>
        <vt:i4>0</vt:i4>
      </vt:variant>
      <vt:variant>
        <vt:i4>5</vt:i4>
      </vt:variant>
      <vt:variant>
        <vt:lpwstr>http://www.nevo.co.il/case/5611948</vt:lpwstr>
      </vt:variant>
      <vt:variant>
        <vt:lpwstr/>
      </vt:variant>
      <vt:variant>
        <vt:i4>3145849</vt:i4>
      </vt:variant>
      <vt:variant>
        <vt:i4>51</vt:i4>
      </vt:variant>
      <vt:variant>
        <vt:i4>0</vt:i4>
      </vt:variant>
      <vt:variant>
        <vt:i4>5</vt:i4>
      </vt:variant>
      <vt:variant>
        <vt:lpwstr>http://www.nevo.co.il/case/5608134</vt:lpwstr>
      </vt:variant>
      <vt:variant>
        <vt:lpwstr/>
      </vt:variant>
      <vt:variant>
        <vt:i4>3997814</vt:i4>
      </vt:variant>
      <vt:variant>
        <vt:i4>48</vt:i4>
      </vt:variant>
      <vt:variant>
        <vt:i4>0</vt:i4>
      </vt:variant>
      <vt:variant>
        <vt:i4>5</vt:i4>
      </vt:variant>
      <vt:variant>
        <vt:lpwstr>http://www.nevo.co.il/case/25459220</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3473530</vt:i4>
      </vt:variant>
      <vt:variant>
        <vt:i4>42</vt:i4>
      </vt:variant>
      <vt:variant>
        <vt:i4>0</vt:i4>
      </vt:variant>
      <vt:variant>
        <vt:i4>5</vt:i4>
      </vt:variant>
      <vt:variant>
        <vt:lpwstr>http://www.nevo.co.il/case/25585375</vt:lpwstr>
      </vt:variant>
      <vt:variant>
        <vt:lpwstr/>
      </vt:variant>
      <vt:variant>
        <vt:i4>7995492</vt:i4>
      </vt:variant>
      <vt:variant>
        <vt:i4>39</vt:i4>
      </vt:variant>
      <vt:variant>
        <vt:i4>0</vt:i4>
      </vt:variant>
      <vt:variant>
        <vt:i4>5</vt:i4>
      </vt:variant>
      <vt:variant>
        <vt:lpwstr>http://www.nevo.co.il/law/70301</vt:lpwstr>
      </vt:variant>
      <vt:variant>
        <vt:lpwstr/>
      </vt:variant>
      <vt:variant>
        <vt:i4>7405678</vt:i4>
      </vt:variant>
      <vt:variant>
        <vt:i4>36</vt:i4>
      </vt:variant>
      <vt:variant>
        <vt:i4>0</vt:i4>
      </vt:variant>
      <vt:variant>
        <vt:i4>5</vt:i4>
      </vt:variant>
      <vt:variant>
        <vt:lpwstr>http://www.nevo.co.il/law/72991</vt:lpwstr>
      </vt:variant>
      <vt:variant>
        <vt:lpwstr/>
      </vt:variant>
      <vt:variant>
        <vt:i4>4915274</vt:i4>
      </vt:variant>
      <vt:variant>
        <vt:i4>33</vt:i4>
      </vt:variant>
      <vt:variant>
        <vt:i4>0</vt:i4>
      </vt:variant>
      <vt:variant>
        <vt:i4>5</vt:i4>
      </vt:variant>
      <vt:variant>
        <vt:lpwstr>http://www.nevo.co.il/law/4216/7.a.c</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7340138</vt:i4>
      </vt:variant>
      <vt:variant>
        <vt:i4>21</vt:i4>
      </vt:variant>
      <vt:variant>
        <vt:i4>0</vt:i4>
      </vt:variant>
      <vt:variant>
        <vt:i4>5</vt:i4>
      </vt:variant>
      <vt:variant>
        <vt:lpwstr>http://www.nevo.co.il/law/72991/5.c</vt:lpwstr>
      </vt:variant>
      <vt:variant>
        <vt:lpwstr/>
      </vt:variant>
      <vt:variant>
        <vt:i4>6160395</vt:i4>
      </vt:variant>
      <vt:variant>
        <vt:i4>18</vt:i4>
      </vt:variant>
      <vt:variant>
        <vt:i4>0</vt:i4>
      </vt:variant>
      <vt:variant>
        <vt:i4>5</vt:i4>
      </vt:variant>
      <vt:variant>
        <vt:lpwstr>http://www.nevo.co.il/law/72991/5.a.5</vt:lpwstr>
      </vt:variant>
      <vt:variant>
        <vt:lpwstr/>
      </vt:variant>
      <vt:variant>
        <vt:i4>6160395</vt:i4>
      </vt:variant>
      <vt:variant>
        <vt:i4>15</vt:i4>
      </vt:variant>
      <vt:variant>
        <vt:i4>0</vt:i4>
      </vt:variant>
      <vt:variant>
        <vt:i4>5</vt:i4>
      </vt:variant>
      <vt:variant>
        <vt:lpwstr>http://www.nevo.co.il/law/72991/5.a.4</vt:lpwstr>
      </vt:variant>
      <vt:variant>
        <vt:lpwstr/>
      </vt:variant>
      <vt:variant>
        <vt:i4>7405678</vt:i4>
      </vt:variant>
      <vt:variant>
        <vt:i4>12</vt:i4>
      </vt:variant>
      <vt:variant>
        <vt:i4>0</vt:i4>
      </vt:variant>
      <vt:variant>
        <vt:i4>5</vt:i4>
      </vt:variant>
      <vt:variant>
        <vt:lpwstr>http://www.nevo.co.il/law/72991</vt:lpwstr>
      </vt:variant>
      <vt:variant>
        <vt:lpwstr/>
      </vt:variant>
      <vt:variant>
        <vt:i4>5177418</vt:i4>
      </vt:variant>
      <vt:variant>
        <vt:i4>9</vt:i4>
      </vt:variant>
      <vt:variant>
        <vt:i4>0</vt:i4>
      </vt:variant>
      <vt:variant>
        <vt:i4>5</vt:i4>
      </vt:variant>
      <vt:variant>
        <vt:lpwstr>http://www.nevo.co.il/law/4216/13</vt:lpwstr>
      </vt:variant>
      <vt:variant>
        <vt:lpwstr/>
      </vt:variant>
      <vt:variant>
        <vt:i4>4915274</vt:i4>
      </vt:variant>
      <vt:variant>
        <vt:i4>6</vt:i4>
      </vt:variant>
      <vt:variant>
        <vt:i4>0</vt:i4>
      </vt:variant>
      <vt:variant>
        <vt:i4>5</vt:i4>
      </vt:variant>
      <vt:variant>
        <vt:lpwstr>http://www.nevo.co.il/law/4216/7.a.c</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3670131</vt:i4>
      </vt:variant>
      <vt:variant>
        <vt:i4>0</vt:i4>
      </vt:variant>
      <vt:variant>
        <vt:i4>0</vt:i4>
      </vt:variant>
      <vt:variant>
        <vt:i4>5</vt:i4>
      </vt:variant>
      <vt:variant>
        <vt:lpwstr>http://www.nevo.co.il/case/25945667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2025-04-23T00:16:00Z</dcterms:created>
  <dcterms:modified xsi:type="dcterms:W3CDTF">2025-04-23T00:16:00Z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26414</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רועי חובבי ציון</vt:lpwstr>
  </property>
  <property fmtid="{D5CDD505-2E9C-101B-9397-08002B2CF9AE}" pid="10" name="LAWYER">
    <vt:lpwstr>אילנה סיריס;אבי אחרק</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20210426</vt:lpwstr>
  </property>
  <property fmtid="{D5CDD505-2E9C-101B-9397-08002B2CF9AE}" pid="14" name="TYPE_N_DATE">
    <vt:lpwstr>38020210426</vt:lpwstr>
  </property>
  <property fmtid="{D5CDD505-2E9C-101B-9397-08002B2CF9AE}" pid="15" name="WORDNUMPAGES">
    <vt:lpwstr>7</vt:lpwstr>
  </property>
  <property fmtid="{D5CDD505-2E9C-101B-9397-08002B2CF9AE}" pid="16" name="TYPE_ABS_DATE">
    <vt:lpwstr>380020210426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25945667;25585375;5810781;25459220;5608134;5611948;5753269;13022245;27521789;23748897;5581031;18118854;24345651;23751652;23508942;24492956;21477237;6473037;6018516</vt:lpwstr>
  </property>
  <property fmtid="{D5CDD505-2E9C-101B-9397-08002B2CF9AE}" pid="36" name="LAWLISTTMP1">
    <vt:lpwstr>4216/013;007.a.c</vt:lpwstr>
  </property>
  <property fmtid="{D5CDD505-2E9C-101B-9397-08002B2CF9AE}" pid="37" name="LAWLISTTMP2">
    <vt:lpwstr>72991/005.a.4;005.c;005.a.5</vt:lpwstr>
  </property>
  <property fmtid="{D5CDD505-2E9C-101B-9397-08002B2CF9AE}" pid="38" name="LAWLISTTMP3">
    <vt:lpwstr>70301</vt:lpwstr>
  </property>
</Properties>
</file>