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238"/>
        <w:gridCol w:w="236"/>
        <w:gridCol w:w="2048"/>
      </w:tblGrid>
      <w:tr w:rsidR="00990309" w:rsidRPr="00990309" w14:paraId="1CEFDA8F" w14:textId="77777777" w:rsidTr="00CE2636">
        <w:trPr>
          <w:trHeight w:hRule="exact" w:val="418"/>
          <w:jc w:val="center"/>
        </w:trPr>
        <w:tc>
          <w:tcPr>
            <w:tcW w:w="8522" w:type="dxa"/>
            <w:gridSpan w:val="3"/>
          </w:tcPr>
          <w:p w14:paraId="765E5BAC" w14:textId="77777777" w:rsidR="00990309" w:rsidRPr="00990309" w:rsidRDefault="00990309" w:rsidP="00EA64DB">
            <w:pPr>
              <w:pStyle w:val="a3"/>
              <w:tabs>
                <w:tab w:val="clear" w:pos="8306"/>
              </w:tabs>
              <w:jc w:val="center"/>
              <w:rPr>
                <w:rFonts w:ascii="Tahoma" w:hAnsi="Tahoma"/>
                <w:b/>
                <w:bCs/>
                <w:color w:val="000080"/>
                <w:sz w:val="32"/>
                <w:szCs w:val="32"/>
                <w:rtl/>
              </w:rPr>
            </w:pPr>
            <w:bookmarkStart w:id="0" w:name="LastJudge"/>
            <w:r w:rsidRPr="00990309">
              <w:rPr>
                <w:rFonts w:ascii="Tahoma" w:hAnsi="Tahoma"/>
                <w:b/>
                <w:bCs/>
                <w:color w:val="000080"/>
                <w:sz w:val="32"/>
                <w:szCs w:val="32"/>
                <w:rtl/>
              </w:rPr>
              <w:t>בית משפט השלום בתל אביב - יפו</w:t>
            </w:r>
          </w:p>
        </w:tc>
      </w:tr>
      <w:tr w:rsidR="00990309" w:rsidRPr="00990309" w14:paraId="4FDBFA4F" w14:textId="77777777" w:rsidTr="00CE2636">
        <w:trPr>
          <w:trHeight w:val="337"/>
          <w:jc w:val="center"/>
        </w:trPr>
        <w:tc>
          <w:tcPr>
            <w:tcW w:w="6238" w:type="dxa"/>
          </w:tcPr>
          <w:p w14:paraId="38A06A34" w14:textId="77777777" w:rsidR="00990309" w:rsidRPr="00990309" w:rsidRDefault="00990309" w:rsidP="00EA64DB">
            <w:pPr>
              <w:rPr>
                <w:b/>
                <w:bCs/>
                <w:sz w:val="26"/>
                <w:szCs w:val="26"/>
                <w:rtl/>
              </w:rPr>
            </w:pPr>
            <w:r w:rsidRPr="00990309">
              <w:rPr>
                <w:b/>
                <w:bCs/>
                <w:sz w:val="26"/>
                <w:szCs w:val="26"/>
                <w:rtl/>
              </w:rPr>
              <w:t>ת"פ 50359-08-19 מדינת ישראל נ' אבו קינץ</w:t>
            </w:r>
          </w:p>
          <w:p w14:paraId="7D1726F3" w14:textId="77777777" w:rsidR="00990309" w:rsidRPr="00990309" w:rsidRDefault="00990309" w:rsidP="00EA64DB">
            <w:pPr>
              <w:pStyle w:val="a3"/>
              <w:rPr>
                <w:sz w:val="26"/>
                <w:szCs w:val="26"/>
                <w:rtl/>
              </w:rPr>
            </w:pPr>
          </w:p>
          <w:p w14:paraId="7C3E4537" w14:textId="77777777" w:rsidR="00990309" w:rsidRPr="00990309" w:rsidRDefault="00990309" w:rsidP="00EA64DB">
            <w:pPr>
              <w:rPr>
                <w:b/>
                <w:bCs/>
                <w:sz w:val="26"/>
                <w:szCs w:val="26"/>
                <w:rtl/>
              </w:rPr>
            </w:pPr>
          </w:p>
        </w:tc>
        <w:tc>
          <w:tcPr>
            <w:tcW w:w="236" w:type="dxa"/>
          </w:tcPr>
          <w:p w14:paraId="7BF24271" w14:textId="77777777" w:rsidR="00990309" w:rsidRPr="00990309" w:rsidRDefault="00990309" w:rsidP="00EA64DB">
            <w:pPr>
              <w:pStyle w:val="a3"/>
              <w:jc w:val="right"/>
              <w:rPr>
                <w:b/>
                <w:bCs/>
                <w:sz w:val="26"/>
                <w:szCs w:val="26"/>
                <w:rtl/>
              </w:rPr>
            </w:pPr>
          </w:p>
        </w:tc>
        <w:tc>
          <w:tcPr>
            <w:tcW w:w="2048" w:type="dxa"/>
          </w:tcPr>
          <w:p w14:paraId="17EBE5CF" w14:textId="77777777" w:rsidR="00990309" w:rsidRPr="00990309" w:rsidRDefault="00990309" w:rsidP="00EA64DB">
            <w:pPr>
              <w:pStyle w:val="a3"/>
              <w:tabs>
                <w:tab w:val="clear" w:pos="4153"/>
              </w:tabs>
              <w:jc w:val="right"/>
              <w:rPr>
                <w:b/>
                <w:bCs/>
                <w:sz w:val="26"/>
                <w:szCs w:val="26"/>
                <w:rtl/>
              </w:rPr>
            </w:pPr>
            <w:r w:rsidRPr="00990309">
              <w:rPr>
                <w:b/>
                <w:bCs/>
                <w:sz w:val="26"/>
                <w:szCs w:val="26"/>
                <w:rtl/>
              </w:rPr>
              <w:t>13 מרץ 2022</w:t>
            </w:r>
          </w:p>
        </w:tc>
      </w:tr>
    </w:tbl>
    <w:p w14:paraId="451E86CF" w14:textId="77777777" w:rsidR="00990309" w:rsidRPr="00990309" w:rsidRDefault="00990309" w:rsidP="00990309">
      <w:pPr>
        <w:pStyle w:val="a3"/>
        <w:tabs>
          <w:tab w:val="left" w:pos="2785"/>
        </w:tabs>
        <w:rPr>
          <w:rFonts w:ascii="Tahoma" w:hAnsi="Tahoma" w:cs="Tahoma"/>
          <w:b/>
          <w:bCs/>
          <w:color w:val="000080"/>
          <w:sz w:val="2"/>
          <w:szCs w:val="2"/>
          <w:rtl/>
        </w:rPr>
      </w:pPr>
    </w:p>
    <w:p w14:paraId="3F26926F" w14:textId="77777777" w:rsidR="00D16716" w:rsidRPr="00990309" w:rsidRDefault="00D16716" w:rsidP="00A05E89">
      <w:pPr>
        <w:suppressLineNumbers/>
        <w:spacing w:line="360" w:lineRule="auto"/>
        <w:rPr>
          <w:sz w:val="8"/>
          <w:szCs w:val="8"/>
          <w:rtl/>
        </w:rPr>
      </w:pPr>
    </w:p>
    <w:p w14:paraId="45CC80FE" w14:textId="77777777" w:rsidR="00D16716" w:rsidRPr="00990309" w:rsidRDefault="00D16716" w:rsidP="004F1851">
      <w:pPr>
        <w:suppressLineNumbers/>
        <w:rPr>
          <w:rFonts w:ascii="Arial" w:hAnsi="Arial"/>
          <w:rtl/>
        </w:rPr>
      </w:pPr>
    </w:p>
    <w:tbl>
      <w:tblPr>
        <w:bidiVisual/>
        <w:tblW w:w="8802" w:type="dxa"/>
        <w:tblInd w:w="-28" w:type="dxa"/>
        <w:tblLook w:val="01E0" w:firstRow="1" w:lastRow="1" w:firstColumn="1" w:lastColumn="1" w:noHBand="0" w:noVBand="0"/>
      </w:tblPr>
      <w:tblGrid>
        <w:gridCol w:w="2880"/>
        <w:gridCol w:w="5838"/>
        <w:gridCol w:w="84"/>
      </w:tblGrid>
      <w:tr w:rsidR="00D16716" w:rsidRPr="00990309" w14:paraId="290877B1" w14:textId="77777777" w:rsidTr="00EC6C1D">
        <w:trPr>
          <w:gridAfter w:val="1"/>
          <w:wAfter w:w="56" w:type="dxa"/>
        </w:trPr>
        <w:tc>
          <w:tcPr>
            <w:tcW w:w="8718" w:type="dxa"/>
            <w:gridSpan w:val="2"/>
          </w:tcPr>
          <w:p w14:paraId="517D73DA" w14:textId="77777777" w:rsidR="00D16716" w:rsidRPr="00990309" w:rsidRDefault="00D16716" w:rsidP="004F1851">
            <w:pPr>
              <w:rPr>
                <w:rFonts w:ascii="Times New Roman" w:hAnsi="Times New Roman"/>
                <w:b/>
                <w:bCs/>
                <w:sz w:val="26"/>
                <w:szCs w:val="26"/>
                <w:rtl/>
              </w:rPr>
            </w:pPr>
          </w:p>
          <w:p w14:paraId="54D25B65" w14:textId="77777777" w:rsidR="00D16716" w:rsidRPr="00990309" w:rsidRDefault="00D16716" w:rsidP="004F1851">
            <w:pPr>
              <w:pStyle w:val="a3"/>
              <w:rPr>
                <w:rFonts w:ascii="Times New Roman" w:hAnsi="Times New Roman" w:cs="Times New Roman"/>
                <w:b/>
                <w:bCs/>
                <w:sz w:val="26"/>
                <w:szCs w:val="26"/>
                <w:rtl/>
              </w:rPr>
            </w:pPr>
            <w:r w:rsidRPr="00990309">
              <w:rPr>
                <w:rFonts w:ascii="Times New Roman" w:hAnsi="Times New Roman" w:cs="Times New Roman"/>
                <w:b/>
                <w:bCs/>
                <w:sz w:val="26"/>
                <w:szCs w:val="26"/>
                <w:rtl/>
              </w:rPr>
              <w:t xml:space="preserve"> מספר פל"א </w:t>
            </w:r>
            <w:r w:rsidRPr="00990309">
              <w:rPr>
                <w:rFonts w:ascii="Times New Roman" w:hAnsi="Times New Roman" w:cs="Times New Roman"/>
                <w:b/>
                <w:bCs/>
                <w:sz w:val="26"/>
                <w:szCs w:val="26"/>
              </w:rPr>
              <w:t>348894/2019</w:t>
            </w:r>
            <w:r w:rsidRPr="00990309">
              <w:rPr>
                <w:rFonts w:ascii="Times New Roman" w:hAnsi="Times New Roman" w:cs="Times New Roman"/>
                <w:b/>
                <w:bCs/>
                <w:sz w:val="26"/>
                <w:szCs w:val="26"/>
                <w:rtl/>
              </w:rPr>
              <w:t xml:space="preserve">  </w:t>
            </w:r>
          </w:p>
          <w:p w14:paraId="25090C6E" w14:textId="77777777" w:rsidR="00D16716" w:rsidRPr="00990309" w:rsidRDefault="00D16716" w:rsidP="004F1851">
            <w:pPr>
              <w:pStyle w:val="a3"/>
              <w:rPr>
                <w:rFonts w:ascii="Times New Roman" w:hAnsi="Times New Roman" w:cs="Times New Roman"/>
                <w:b/>
                <w:bCs/>
                <w:sz w:val="26"/>
                <w:szCs w:val="26"/>
                <w:rtl/>
              </w:rPr>
            </w:pPr>
          </w:p>
          <w:p w14:paraId="672EB086" w14:textId="77777777" w:rsidR="00D16716" w:rsidRPr="00990309" w:rsidRDefault="00D16716" w:rsidP="004F1851">
            <w:pPr>
              <w:pStyle w:val="a3"/>
              <w:rPr>
                <w:rFonts w:ascii="Times New Roman" w:hAnsi="Times New Roman" w:cs="Times New Roman"/>
                <w:b/>
                <w:bCs/>
                <w:sz w:val="26"/>
                <w:szCs w:val="26"/>
                <w:rtl/>
              </w:rPr>
            </w:pPr>
            <w:r w:rsidRPr="00990309">
              <w:rPr>
                <w:rFonts w:ascii="Times New Roman" w:hAnsi="Times New Roman" w:cs="Times New Roman"/>
                <w:b/>
                <w:bCs/>
                <w:sz w:val="26"/>
                <w:szCs w:val="26"/>
                <w:rtl/>
              </w:rPr>
              <w:t xml:space="preserve"> מספר פל"א </w:t>
            </w:r>
            <w:r w:rsidRPr="00990309">
              <w:rPr>
                <w:rFonts w:ascii="Times New Roman" w:hAnsi="Times New Roman" w:cs="Times New Roman"/>
                <w:b/>
                <w:bCs/>
                <w:sz w:val="26"/>
                <w:szCs w:val="26"/>
              </w:rPr>
              <w:t>316058/2019</w:t>
            </w:r>
            <w:r w:rsidRPr="00990309">
              <w:rPr>
                <w:rFonts w:ascii="Times New Roman" w:hAnsi="Times New Roman" w:cs="Times New Roman"/>
                <w:b/>
                <w:bCs/>
                <w:sz w:val="26"/>
                <w:szCs w:val="26"/>
                <w:rtl/>
              </w:rPr>
              <w:t xml:space="preserve">  </w:t>
            </w:r>
          </w:p>
          <w:p w14:paraId="0536F959" w14:textId="77777777" w:rsidR="00D16716" w:rsidRPr="00990309" w:rsidRDefault="00D16716" w:rsidP="004F1851">
            <w:pPr>
              <w:pStyle w:val="a3"/>
              <w:rPr>
                <w:rFonts w:ascii="Times New Roman" w:hAnsi="Times New Roman" w:cs="Times New Roman"/>
                <w:b/>
                <w:bCs/>
                <w:sz w:val="26"/>
                <w:szCs w:val="26"/>
                <w:rtl/>
              </w:rPr>
            </w:pPr>
          </w:p>
        </w:tc>
      </w:tr>
      <w:tr w:rsidR="00D16716" w:rsidRPr="00990309" w14:paraId="0E6EA4CB" w14:textId="77777777" w:rsidTr="00EC6C1D">
        <w:trPr>
          <w:gridAfter w:val="1"/>
          <w:wAfter w:w="56" w:type="dxa"/>
        </w:trPr>
        <w:tc>
          <w:tcPr>
            <w:tcW w:w="8718" w:type="dxa"/>
            <w:gridSpan w:val="2"/>
          </w:tcPr>
          <w:p w14:paraId="44E48928" w14:textId="77777777" w:rsidR="00D16716" w:rsidRPr="00990309" w:rsidRDefault="00D16716" w:rsidP="004F1851">
            <w:pPr>
              <w:rPr>
                <w:rFonts w:ascii="Times New Roman" w:hAnsi="Times New Roman" w:cs="Times New Roman"/>
                <w:b/>
                <w:bCs/>
                <w:sz w:val="12"/>
                <w:szCs w:val="12"/>
                <w:rtl/>
              </w:rPr>
            </w:pPr>
          </w:p>
        </w:tc>
      </w:tr>
      <w:tr w:rsidR="00D16716" w:rsidRPr="00990309" w14:paraId="3EF932A4" w14:textId="77777777" w:rsidTr="00EC6C1D">
        <w:trPr>
          <w:gridAfter w:val="1"/>
          <w:wAfter w:w="56" w:type="dxa"/>
        </w:trPr>
        <w:tc>
          <w:tcPr>
            <w:tcW w:w="8718" w:type="dxa"/>
            <w:gridSpan w:val="2"/>
          </w:tcPr>
          <w:p w14:paraId="45B4AA61" w14:textId="77777777" w:rsidR="00D16716" w:rsidRPr="00990309" w:rsidRDefault="00D16716" w:rsidP="004F1851">
            <w:pPr>
              <w:rPr>
                <w:rFonts w:ascii="Times New Roman" w:hAnsi="Times New Roman" w:cs="Times New Roman"/>
                <w:b/>
                <w:bCs/>
                <w:sz w:val="26"/>
                <w:szCs w:val="26"/>
                <w:rtl/>
              </w:rPr>
            </w:pPr>
            <w:r w:rsidRPr="00990309">
              <w:rPr>
                <w:rFonts w:ascii="Times New Roman" w:hAnsi="Times New Roman"/>
                <w:b/>
                <w:bCs/>
                <w:sz w:val="26"/>
                <w:szCs w:val="26"/>
                <w:rtl/>
              </w:rPr>
              <w:t>לפני כבוד השופט עלאא מסארווה</w:t>
            </w:r>
          </w:p>
        </w:tc>
      </w:tr>
      <w:tr w:rsidR="00D16716" w:rsidRPr="00990309" w14:paraId="75B01A5D" w14:textId="77777777" w:rsidTr="00EC6C1D">
        <w:trPr>
          <w:cantSplit/>
          <w:trHeight w:val="724"/>
        </w:trPr>
        <w:tc>
          <w:tcPr>
            <w:tcW w:w="2880" w:type="dxa"/>
          </w:tcPr>
          <w:p w14:paraId="79188A87" w14:textId="77777777" w:rsidR="00D16716" w:rsidRPr="00990309" w:rsidRDefault="00D16716" w:rsidP="00EC6C1D">
            <w:pPr>
              <w:ind w:left="26"/>
              <w:rPr>
                <w:rFonts w:ascii="Times New Roman" w:hAnsi="Times New Roman"/>
                <w:b/>
                <w:bCs/>
                <w:sz w:val="26"/>
                <w:szCs w:val="26"/>
                <w:rtl/>
              </w:rPr>
            </w:pPr>
            <w:bookmarkStart w:id="1" w:name="FirstAppellant"/>
          </w:p>
          <w:p w14:paraId="3D874BCA" w14:textId="77777777" w:rsidR="00D16716" w:rsidRPr="00990309" w:rsidRDefault="00D16716" w:rsidP="00EC6C1D">
            <w:pPr>
              <w:ind w:left="26"/>
              <w:rPr>
                <w:rFonts w:ascii="Times New Roman" w:hAnsi="Times New Roman"/>
                <w:b/>
                <w:bCs/>
                <w:sz w:val="26"/>
                <w:szCs w:val="26"/>
                <w:rtl/>
              </w:rPr>
            </w:pPr>
            <w:r w:rsidRPr="00990309">
              <w:rPr>
                <w:rFonts w:ascii="Times New Roman" w:hAnsi="Times New Roman"/>
                <w:b/>
                <w:bCs/>
                <w:sz w:val="26"/>
                <w:szCs w:val="26"/>
                <w:rtl/>
              </w:rPr>
              <w:t>המאשימה</w:t>
            </w:r>
          </w:p>
        </w:tc>
        <w:tc>
          <w:tcPr>
            <w:tcW w:w="5922" w:type="dxa"/>
            <w:gridSpan w:val="2"/>
          </w:tcPr>
          <w:p w14:paraId="0A7349D8" w14:textId="77777777" w:rsidR="00D16716" w:rsidRPr="00990309" w:rsidRDefault="00D16716" w:rsidP="007F46CA">
            <w:pPr>
              <w:rPr>
                <w:rFonts w:ascii="Times New Roman" w:hAnsi="Times New Roman"/>
                <w:sz w:val="26"/>
                <w:szCs w:val="26"/>
                <w:rtl/>
              </w:rPr>
            </w:pPr>
          </w:p>
          <w:p w14:paraId="03E4A58F" w14:textId="77777777" w:rsidR="00D16716" w:rsidRPr="00990309" w:rsidRDefault="00D16716" w:rsidP="00940F15">
            <w:pPr>
              <w:rPr>
                <w:rFonts w:ascii="Times New Roman" w:hAnsi="Times New Roman"/>
                <w:b/>
                <w:bCs/>
                <w:sz w:val="26"/>
                <w:szCs w:val="26"/>
                <w:rtl/>
              </w:rPr>
            </w:pPr>
            <w:r w:rsidRPr="00990309">
              <w:rPr>
                <w:rFonts w:ascii="Times New Roman" w:hAnsi="Times New Roman"/>
                <w:sz w:val="26"/>
                <w:szCs w:val="26"/>
                <w:rtl/>
              </w:rPr>
              <w:t xml:space="preserve"> </w:t>
            </w:r>
            <w:r w:rsidRPr="00990309">
              <w:rPr>
                <w:rFonts w:ascii="Times New Roman" w:hAnsi="Times New Roman"/>
                <w:b/>
                <w:bCs/>
                <w:sz w:val="26"/>
                <w:szCs w:val="26"/>
                <w:rtl/>
              </w:rPr>
              <w:t>מדינת ישראל</w:t>
            </w:r>
          </w:p>
        </w:tc>
      </w:tr>
      <w:bookmarkEnd w:id="1"/>
      <w:tr w:rsidR="00D16716" w:rsidRPr="00990309" w14:paraId="073941AD" w14:textId="77777777" w:rsidTr="00EC6C1D">
        <w:tc>
          <w:tcPr>
            <w:tcW w:w="8802" w:type="dxa"/>
            <w:gridSpan w:val="3"/>
            <w:vAlign w:val="center"/>
          </w:tcPr>
          <w:p w14:paraId="7FF0638F" w14:textId="77777777" w:rsidR="00D16716" w:rsidRPr="00990309" w:rsidRDefault="00D16716" w:rsidP="00EC6C1D">
            <w:pPr>
              <w:jc w:val="center"/>
              <w:rPr>
                <w:rFonts w:ascii="Arial" w:hAnsi="Arial"/>
                <w:b/>
                <w:bCs/>
                <w:sz w:val="26"/>
                <w:szCs w:val="26"/>
                <w:rtl/>
              </w:rPr>
            </w:pPr>
          </w:p>
          <w:p w14:paraId="442855DE" w14:textId="77777777" w:rsidR="00D16716" w:rsidRPr="00990309" w:rsidRDefault="00D16716" w:rsidP="00EC6C1D">
            <w:pPr>
              <w:jc w:val="center"/>
              <w:rPr>
                <w:rFonts w:ascii="Arial" w:hAnsi="Arial"/>
                <w:b/>
                <w:bCs/>
                <w:sz w:val="26"/>
                <w:szCs w:val="26"/>
                <w:rtl/>
              </w:rPr>
            </w:pPr>
            <w:r w:rsidRPr="00990309">
              <w:rPr>
                <w:rFonts w:ascii="Arial" w:hAnsi="Arial"/>
                <w:b/>
                <w:bCs/>
                <w:sz w:val="26"/>
                <w:szCs w:val="26"/>
                <w:rtl/>
              </w:rPr>
              <w:t>נגד</w:t>
            </w:r>
          </w:p>
          <w:p w14:paraId="5A72F54C" w14:textId="77777777" w:rsidR="00D16716" w:rsidRPr="00990309" w:rsidRDefault="00D16716" w:rsidP="007F46CA">
            <w:pPr>
              <w:rPr>
                <w:rFonts w:ascii="Arial" w:hAnsi="Arial"/>
                <w:b/>
                <w:bCs/>
                <w:sz w:val="22"/>
                <w:szCs w:val="22"/>
              </w:rPr>
            </w:pPr>
          </w:p>
        </w:tc>
      </w:tr>
      <w:tr w:rsidR="00D16716" w:rsidRPr="00990309" w14:paraId="1DAFC491" w14:textId="77777777" w:rsidTr="00EC6C1D">
        <w:tc>
          <w:tcPr>
            <w:tcW w:w="2880" w:type="dxa"/>
          </w:tcPr>
          <w:p w14:paraId="3A992DE4" w14:textId="77777777" w:rsidR="00D16716" w:rsidRPr="00990309" w:rsidRDefault="00D16716" w:rsidP="00EC6C1D">
            <w:pPr>
              <w:ind w:left="26"/>
              <w:rPr>
                <w:rFonts w:ascii="Times New Roman" w:hAnsi="Times New Roman"/>
                <w:b/>
                <w:bCs/>
                <w:sz w:val="26"/>
                <w:szCs w:val="26"/>
                <w:rtl/>
              </w:rPr>
            </w:pPr>
            <w:r w:rsidRPr="00990309">
              <w:rPr>
                <w:rFonts w:ascii="Times New Roman" w:hAnsi="Times New Roman"/>
                <w:b/>
                <w:bCs/>
                <w:sz w:val="26"/>
                <w:szCs w:val="26"/>
                <w:rtl/>
              </w:rPr>
              <w:t>הנאשם</w:t>
            </w:r>
          </w:p>
        </w:tc>
        <w:tc>
          <w:tcPr>
            <w:tcW w:w="5922" w:type="dxa"/>
            <w:gridSpan w:val="2"/>
          </w:tcPr>
          <w:p w14:paraId="21824578" w14:textId="77777777" w:rsidR="00D16716" w:rsidRPr="00990309" w:rsidRDefault="00D16716" w:rsidP="00940F15">
            <w:pPr>
              <w:rPr>
                <w:rFonts w:ascii="Times New Roman" w:hAnsi="Times New Roman"/>
                <w:b/>
                <w:bCs/>
                <w:sz w:val="26"/>
                <w:szCs w:val="26"/>
                <w:rtl/>
              </w:rPr>
            </w:pPr>
            <w:r w:rsidRPr="00990309">
              <w:rPr>
                <w:rFonts w:ascii="Times New Roman" w:hAnsi="Times New Roman"/>
                <w:sz w:val="26"/>
                <w:szCs w:val="26"/>
                <w:rtl/>
              </w:rPr>
              <w:t xml:space="preserve"> </w:t>
            </w:r>
            <w:r w:rsidRPr="00990309">
              <w:rPr>
                <w:rFonts w:ascii="Times New Roman" w:hAnsi="Times New Roman"/>
                <w:b/>
                <w:bCs/>
                <w:sz w:val="26"/>
                <w:szCs w:val="26"/>
                <w:rtl/>
              </w:rPr>
              <w:t>חסן אבו קינץ</w:t>
            </w:r>
            <w:r w:rsidRPr="00990309">
              <w:rPr>
                <w:rFonts w:ascii="Times New Roman" w:hAnsi="Times New Roman"/>
                <w:sz w:val="26"/>
                <w:szCs w:val="26"/>
                <w:rtl/>
              </w:rPr>
              <w:t xml:space="preserve"> </w:t>
            </w:r>
            <w:r w:rsidRPr="00990309">
              <w:rPr>
                <w:rFonts w:ascii="Times New Roman" w:hAnsi="Times New Roman"/>
                <w:b/>
                <w:bCs/>
                <w:sz w:val="26"/>
                <w:szCs w:val="26"/>
                <w:rtl/>
              </w:rPr>
              <w:t xml:space="preserve">ת"ז  </w:t>
            </w:r>
            <w:r w:rsidR="00990309">
              <w:rPr>
                <w:rFonts w:ascii="Times New Roman" w:hAnsi="Times New Roman"/>
                <w:b/>
                <w:bCs/>
                <w:sz w:val="26"/>
                <w:szCs w:val="26"/>
              </w:rPr>
              <w:t>xxxxxxxxxx</w:t>
            </w:r>
          </w:p>
        </w:tc>
      </w:tr>
      <w:tr w:rsidR="00D16716" w:rsidRPr="00990309" w14:paraId="2562D832" w14:textId="77777777" w:rsidTr="00EC6C1D">
        <w:trPr>
          <w:trHeight w:val="811"/>
        </w:trPr>
        <w:tc>
          <w:tcPr>
            <w:tcW w:w="2880" w:type="dxa"/>
          </w:tcPr>
          <w:p w14:paraId="7B14BC73" w14:textId="77777777" w:rsidR="00D16716" w:rsidRPr="00990309" w:rsidRDefault="00D16716">
            <w:pPr>
              <w:rPr>
                <w:sz w:val="26"/>
                <w:szCs w:val="26"/>
              </w:rPr>
            </w:pPr>
          </w:p>
        </w:tc>
        <w:tc>
          <w:tcPr>
            <w:tcW w:w="5922" w:type="dxa"/>
            <w:gridSpan w:val="2"/>
          </w:tcPr>
          <w:p w14:paraId="658E7672" w14:textId="77777777" w:rsidR="00D16716" w:rsidRPr="00990309" w:rsidRDefault="00D16716">
            <w:pPr>
              <w:rPr>
                <w:rFonts w:ascii="Times New Roman" w:hAnsi="Times New Roman"/>
                <w:sz w:val="26"/>
                <w:szCs w:val="26"/>
              </w:rPr>
            </w:pPr>
          </w:p>
        </w:tc>
      </w:tr>
    </w:tbl>
    <w:p w14:paraId="5C0CB567" w14:textId="77777777" w:rsidR="00D16716" w:rsidRPr="00990309" w:rsidRDefault="00D16716" w:rsidP="009B24E2">
      <w:pPr>
        <w:suppressLineNumbers/>
        <w:spacing w:line="360" w:lineRule="auto"/>
        <w:rPr>
          <w:rFonts w:ascii="Arial" w:hAnsi="Arial"/>
          <w:b/>
          <w:bCs/>
          <w:rtl/>
        </w:rPr>
      </w:pPr>
      <w:r w:rsidRPr="00990309">
        <w:rPr>
          <w:rFonts w:ascii="Arial" w:hAnsi="Arial"/>
          <w:b/>
          <w:bCs/>
          <w:rtl/>
        </w:rPr>
        <w:t>נוכחים:</w:t>
      </w:r>
    </w:p>
    <w:p w14:paraId="6E9815F1" w14:textId="77777777" w:rsidR="00D16716" w:rsidRPr="00990309" w:rsidRDefault="00D16716" w:rsidP="009B24E2">
      <w:pPr>
        <w:suppressLineNumbers/>
        <w:spacing w:line="360" w:lineRule="auto"/>
        <w:rPr>
          <w:rFonts w:ascii="Arial" w:hAnsi="Arial"/>
          <w:rtl/>
        </w:rPr>
      </w:pPr>
      <w:bookmarkStart w:id="2" w:name="FirstLawyer"/>
      <w:r w:rsidRPr="00990309">
        <w:rPr>
          <w:rFonts w:ascii="Arial" w:hAnsi="Arial"/>
          <w:rtl/>
        </w:rPr>
        <w:t>ב"כ</w:t>
      </w:r>
      <w:bookmarkEnd w:id="2"/>
      <w:r w:rsidRPr="00990309">
        <w:rPr>
          <w:rFonts w:ascii="Arial" w:hAnsi="Arial"/>
          <w:rtl/>
        </w:rPr>
        <w:t xml:space="preserve"> המאשימה – עו"ד גיל קרן-רם</w:t>
      </w:r>
    </w:p>
    <w:p w14:paraId="5B8EC379" w14:textId="77777777" w:rsidR="00D16716" w:rsidRPr="00990309" w:rsidRDefault="00D16716" w:rsidP="009B24E2">
      <w:pPr>
        <w:suppressLineNumbers/>
        <w:spacing w:line="360" w:lineRule="auto"/>
        <w:rPr>
          <w:rFonts w:ascii="Arial" w:hAnsi="Arial"/>
          <w:rtl/>
        </w:rPr>
      </w:pPr>
      <w:r w:rsidRPr="00990309">
        <w:rPr>
          <w:rFonts w:ascii="Arial" w:hAnsi="Arial"/>
          <w:rtl/>
        </w:rPr>
        <w:t>ב"כ הנאשם – עו"ד שלמה ניסים</w:t>
      </w:r>
    </w:p>
    <w:p w14:paraId="0EEDDBCA" w14:textId="77777777" w:rsidR="00D16716" w:rsidRPr="00990309" w:rsidRDefault="00D16716" w:rsidP="009B24E2">
      <w:pPr>
        <w:suppressLineNumbers/>
        <w:spacing w:line="360" w:lineRule="auto"/>
        <w:rPr>
          <w:rFonts w:ascii="Arial" w:hAnsi="Arial"/>
          <w:rtl/>
        </w:rPr>
      </w:pPr>
      <w:r w:rsidRPr="00990309">
        <w:rPr>
          <w:rFonts w:ascii="Arial" w:hAnsi="Arial"/>
          <w:rtl/>
        </w:rPr>
        <w:t xml:space="preserve">הנאשם- בעצמו </w:t>
      </w:r>
    </w:p>
    <w:p w14:paraId="56159E43" w14:textId="77777777" w:rsidR="00D16716" w:rsidRPr="00990309" w:rsidRDefault="00D16716">
      <w:pPr>
        <w:spacing w:line="360" w:lineRule="auto"/>
        <w:jc w:val="both"/>
        <w:rPr>
          <w:sz w:val="6"/>
          <w:szCs w:val="6"/>
          <w:rtl/>
        </w:rPr>
      </w:pPr>
      <w:r w:rsidRPr="00990309">
        <w:rPr>
          <w:sz w:val="6"/>
          <w:szCs w:val="6"/>
          <w:rtl/>
        </w:rPr>
        <w:t>&lt;#1#&gt;</w:t>
      </w:r>
    </w:p>
    <w:p w14:paraId="16654DEE" w14:textId="77777777" w:rsidR="00D16716" w:rsidRPr="00990309" w:rsidRDefault="00D16716" w:rsidP="00E06ED4">
      <w:pPr>
        <w:pStyle w:val="12"/>
        <w:rPr>
          <w:b w:val="0"/>
          <w:bCs w:val="0"/>
          <w:u w:val="none"/>
          <w:rtl/>
        </w:rPr>
      </w:pPr>
    </w:p>
    <w:p w14:paraId="476B51EB" w14:textId="77777777" w:rsidR="00CE2636" w:rsidRPr="00CE2636" w:rsidRDefault="00CE2636" w:rsidP="00CE2636">
      <w:pPr>
        <w:spacing w:before="120" w:after="120" w:line="240" w:lineRule="exact"/>
        <w:ind w:left="283" w:hanging="283"/>
        <w:jc w:val="both"/>
        <w:rPr>
          <w:rFonts w:ascii="FrankRuehl" w:hAnsi="FrankRuehl" w:cs="FrankRuehl"/>
          <w:rtl/>
        </w:rPr>
      </w:pPr>
    </w:p>
    <w:p w14:paraId="7B326F85" w14:textId="77777777" w:rsidR="00750D8E" w:rsidRPr="00750D8E" w:rsidRDefault="00750D8E" w:rsidP="00750D8E">
      <w:pPr>
        <w:spacing w:before="120" w:after="120" w:line="240" w:lineRule="exact"/>
        <w:ind w:left="283" w:hanging="283"/>
        <w:jc w:val="both"/>
        <w:rPr>
          <w:rFonts w:ascii="FrankRuehl" w:hAnsi="FrankRuehl" w:cs="FrankRuehl"/>
          <w:rtl/>
        </w:rPr>
      </w:pPr>
    </w:p>
    <w:p w14:paraId="58ED48A3" w14:textId="77777777" w:rsidR="00FD6413" w:rsidRDefault="00FD6413" w:rsidP="00FD6413">
      <w:pPr>
        <w:spacing w:line="360" w:lineRule="auto"/>
        <w:jc w:val="center"/>
        <w:rPr>
          <w:rFonts w:ascii="Arial" w:hAnsi="Arial"/>
          <w:sz w:val="28"/>
          <w:szCs w:val="28"/>
          <w:rtl/>
        </w:rPr>
      </w:pPr>
      <w:bookmarkStart w:id="3" w:name="LawTable"/>
      <w:bookmarkEnd w:id="3"/>
    </w:p>
    <w:p w14:paraId="220870DB" w14:textId="77777777" w:rsidR="00FD6413" w:rsidRPr="00FD6413" w:rsidRDefault="00FD6413" w:rsidP="00FD6413">
      <w:pPr>
        <w:spacing w:before="120" w:after="120" w:line="240" w:lineRule="exact"/>
        <w:ind w:left="283" w:hanging="283"/>
        <w:jc w:val="both"/>
        <w:rPr>
          <w:rFonts w:ascii="FrankRuehl" w:hAnsi="FrankRuehl" w:cs="FrankRuehl"/>
          <w:rtl/>
        </w:rPr>
      </w:pPr>
    </w:p>
    <w:p w14:paraId="38DE3AA8" w14:textId="77777777" w:rsidR="00FD6413" w:rsidRPr="00FD6413" w:rsidRDefault="00FD6413" w:rsidP="00FD6413">
      <w:pPr>
        <w:spacing w:before="120" w:after="120" w:line="240" w:lineRule="exact"/>
        <w:ind w:left="283" w:hanging="283"/>
        <w:jc w:val="both"/>
        <w:rPr>
          <w:rFonts w:ascii="FrankRuehl" w:hAnsi="FrankRuehl" w:cs="FrankRuehl"/>
          <w:rtl/>
        </w:rPr>
      </w:pPr>
    </w:p>
    <w:p w14:paraId="407D023E" w14:textId="77777777" w:rsidR="00FD6413" w:rsidRPr="00FD6413" w:rsidRDefault="00FD6413" w:rsidP="00FD6413">
      <w:pPr>
        <w:spacing w:before="120" w:after="120" w:line="240" w:lineRule="exact"/>
        <w:ind w:left="283" w:hanging="283"/>
        <w:jc w:val="both"/>
        <w:rPr>
          <w:rFonts w:ascii="FrankRuehl" w:hAnsi="FrankRuehl" w:cs="FrankRuehl"/>
          <w:rtl/>
        </w:rPr>
      </w:pPr>
      <w:r w:rsidRPr="00FD6413">
        <w:rPr>
          <w:rFonts w:ascii="FrankRuehl" w:hAnsi="FrankRuehl" w:cs="FrankRuehl"/>
          <w:rtl/>
        </w:rPr>
        <w:t xml:space="preserve">חקיקה שאוזכרה: </w:t>
      </w:r>
    </w:p>
    <w:p w14:paraId="16CBDBBE" w14:textId="77777777" w:rsidR="00FD6413" w:rsidRPr="00FD6413" w:rsidRDefault="00FD6413" w:rsidP="00FD6413">
      <w:pPr>
        <w:spacing w:before="120" w:after="120" w:line="240" w:lineRule="exact"/>
        <w:ind w:left="283" w:hanging="283"/>
        <w:jc w:val="both"/>
        <w:rPr>
          <w:rFonts w:ascii="FrankRuehl" w:hAnsi="FrankRuehl" w:cs="FrankRuehl"/>
          <w:rtl/>
        </w:rPr>
      </w:pPr>
      <w:hyperlink r:id="rId7" w:history="1">
        <w:r w:rsidRPr="00FD6413">
          <w:rPr>
            <w:rFonts w:ascii="FrankRuehl" w:hAnsi="FrankRuehl" w:cs="FrankRuehl"/>
            <w:color w:val="0000FF"/>
            <w:rtl/>
          </w:rPr>
          <w:t>חוק העונשין, תשל"ז-1977</w:t>
        </w:r>
      </w:hyperlink>
      <w:r w:rsidRPr="00FD6413">
        <w:rPr>
          <w:rFonts w:ascii="FrankRuehl" w:hAnsi="FrankRuehl" w:cs="FrankRuehl"/>
          <w:rtl/>
        </w:rPr>
        <w:t xml:space="preserve">: סע'  </w:t>
      </w:r>
      <w:hyperlink r:id="rId8" w:history="1">
        <w:r w:rsidRPr="00FD6413">
          <w:rPr>
            <w:rFonts w:ascii="FrankRuehl" w:hAnsi="FrankRuehl" w:cs="FrankRuehl"/>
            <w:color w:val="0000FF"/>
            <w:rtl/>
          </w:rPr>
          <w:t>40ג(א)</w:t>
        </w:r>
      </w:hyperlink>
      <w:r w:rsidRPr="00FD6413">
        <w:rPr>
          <w:rFonts w:ascii="FrankRuehl" w:hAnsi="FrankRuehl" w:cs="FrankRuehl"/>
          <w:rtl/>
        </w:rPr>
        <w:t xml:space="preserve">, </w:t>
      </w:r>
      <w:hyperlink r:id="rId9" w:history="1">
        <w:r w:rsidRPr="00FD6413">
          <w:rPr>
            <w:rFonts w:ascii="FrankRuehl" w:hAnsi="FrankRuehl" w:cs="FrankRuehl"/>
            <w:color w:val="0000FF"/>
            <w:rtl/>
          </w:rPr>
          <w:t>40ח</w:t>
        </w:r>
      </w:hyperlink>
      <w:r w:rsidRPr="00FD6413">
        <w:rPr>
          <w:rFonts w:ascii="FrankRuehl" w:hAnsi="FrankRuehl" w:cs="FrankRuehl"/>
          <w:rtl/>
        </w:rPr>
        <w:t xml:space="preserve">, </w:t>
      </w:r>
      <w:hyperlink r:id="rId10" w:history="1">
        <w:r w:rsidRPr="00FD6413">
          <w:rPr>
            <w:rFonts w:ascii="FrankRuehl" w:hAnsi="FrankRuehl" w:cs="FrankRuehl"/>
            <w:color w:val="0000FF"/>
            <w:rtl/>
          </w:rPr>
          <w:t>40יא(9)</w:t>
        </w:r>
      </w:hyperlink>
      <w:r w:rsidRPr="00FD6413">
        <w:rPr>
          <w:rFonts w:ascii="FrankRuehl" w:hAnsi="FrankRuehl" w:cs="FrankRuehl"/>
          <w:rtl/>
        </w:rPr>
        <w:t xml:space="preserve">, </w:t>
      </w:r>
      <w:hyperlink r:id="rId11" w:history="1">
        <w:r w:rsidRPr="00FD6413">
          <w:rPr>
            <w:rFonts w:ascii="FrankRuehl" w:hAnsi="FrankRuehl" w:cs="FrankRuehl"/>
            <w:color w:val="0000FF"/>
            <w:rtl/>
          </w:rPr>
          <w:t>40יג(ב)</w:t>
        </w:r>
      </w:hyperlink>
    </w:p>
    <w:p w14:paraId="25B9CBFC" w14:textId="77777777" w:rsidR="00FD6413" w:rsidRPr="00FD6413" w:rsidRDefault="00FD6413" w:rsidP="00FD6413">
      <w:pPr>
        <w:spacing w:before="120" w:after="120" w:line="240" w:lineRule="exact"/>
        <w:ind w:left="283" w:hanging="283"/>
        <w:jc w:val="both"/>
        <w:rPr>
          <w:rFonts w:ascii="FrankRuehl" w:hAnsi="FrankRuehl" w:cs="FrankRuehl"/>
          <w:rtl/>
        </w:rPr>
      </w:pPr>
      <w:hyperlink r:id="rId12" w:history="1">
        <w:r w:rsidRPr="00FD6413">
          <w:rPr>
            <w:rFonts w:ascii="FrankRuehl" w:hAnsi="FrankRuehl" w:cs="FrankRuehl"/>
            <w:color w:val="0000FF"/>
            <w:rtl/>
          </w:rPr>
          <w:t>פקודת הסמים המסוכנים [נוסח חדש], תשל"ג-1973</w:t>
        </w:r>
      </w:hyperlink>
      <w:r w:rsidRPr="00FD6413">
        <w:rPr>
          <w:rFonts w:ascii="FrankRuehl" w:hAnsi="FrankRuehl" w:cs="FrankRuehl"/>
          <w:rtl/>
        </w:rPr>
        <w:t xml:space="preserve">: סע'  </w:t>
      </w:r>
      <w:hyperlink r:id="rId13" w:history="1">
        <w:r w:rsidRPr="00FD6413">
          <w:rPr>
            <w:rFonts w:ascii="FrankRuehl" w:hAnsi="FrankRuehl" w:cs="FrankRuehl"/>
            <w:color w:val="0000FF"/>
            <w:rtl/>
          </w:rPr>
          <w:t>36א(ב)</w:t>
        </w:r>
      </w:hyperlink>
      <w:r w:rsidRPr="00FD6413">
        <w:rPr>
          <w:rFonts w:ascii="FrankRuehl" w:hAnsi="FrankRuehl" w:cs="FrankRuehl"/>
          <w:rtl/>
        </w:rPr>
        <w:t xml:space="preserve">, </w:t>
      </w:r>
      <w:hyperlink r:id="rId14" w:history="1">
        <w:r w:rsidRPr="00FD6413">
          <w:rPr>
            <w:rFonts w:ascii="FrankRuehl" w:hAnsi="FrankRuehl" w:cs="FrankRuehl"/>
            <w:color w:val="0000FF"/>
            <w:rtl/>
          </w:rPr>
          <w:t>37א</w:t>
        </w:r>
      </w:hyperlink>
    </w:p>
    <w:p w14:paraId="63D352B8" w14:textId="77777777" w:rsidR="00FD6413" w:rsidRPr="00FD6413" w:rsidRDefault="00FD6413" w:rsidP="00FD6413">
      <w:pPr>
        <w:spacing w:line="360" w:lineRule="auto"/>
        <w:jc w:val="center"/>
        <w:rPr>
          <w:rFonts w:ascii="Arial" w:hAnsi="Arial"/>
          <w:sz w:val="28"/>
          <w:szCs w:val="28"/>
          <w:rtl/>
        </w:rPr>
      </w:pPr>
      <w:bookmarkStart w:id="4" w:name="LawTable_End"/>
      <w:bookmarkEnd w:id="4"/>
    </w:p>
    <w:p w14:paraId="3D194452" w14:textId="77777777" w:rsidR="00990309" w:rsidRPr="00750D8E" w:rsidRDefault="00990309" w:rsidP="00750D8E">
      <w:pPr>
        <w:spacing w:line="360" w:lineRule="auto"/>
        <w:jc w:val="center"/>
        <w:rPr>
          <w:rFonts w:ascii="Arial" w:hAnsi="Arial"/>
          <w:sz w:val="28"/>
          <w:szCs w:val="28"/>
          <w:rtl/>
        </w:rPr>
      </w:pPr>
    </w:p>
    <w:p w14:paraId="0D5ED1B6" w14:textId="77777777" w:rsidR="00990309" w:rsidRPr="00990309" w:rsidRDefault="00990309" w:rsidP="00990309">
      <w:pPr>
        <w:pStyle w:val="12"/>
        <w:jc w:val="center"/>
        <w:rPr>
          <w:rFonts w:ascii="Arial" w:eastAsia="Times New Roman" w:hAnsi="Arial"/>
          <w:sz w:val="28"/>
          <w:szCs w:val="28"/>
          <w:rtl/>
        </w:rPr>
      </w:pPr>
      <w:bookmarkStart w:id="5" w:name="PsakDin"/>
      <w:bookmarkEnd w:id="0"/>
      <w:r w:rsidRPr="00990309">
        <w:rPr>
          <w:rFonts w:ascii="Arial" w:eastAsia="Times New Roman" w:hAnsi="Arial"/>
          <w:sz w:val="28"/>
          <w:szCs w:val="28"/>
          <w:rtl/>
        </w:rPr>
        <w:t>גזר דין</w:t>
      </w:r>
    </w:p>
    <w:bookmarkEnd w:id="5"/>
    <w:p w14:paraId="099FF761" w14:textId="77777777" w:rsidR="00D16716" w:rsidRPr="001222D1" w:rsidRDefault="00D16716" w:rsidP="001222D1">
      <w:pPr>
        <w:pStyle w:val="12"/>
        <w:jc w:val="both"/>
        <w:rPr>
          <w:rFonts w:ascii="David" w:hAnsi="David"/>
          <w:b w:val="0"/>
          <w:bCs w:val="0"/>
          <w:u w:val="none"/>
          <w:rtl/>
        </w:rPr>
      </w:pPr>
      <w:r>
        <w:rPr>
          <w:rFonts w:ascii="David" w:hAnsi="David"/>
          <w:b w:val="0"/>
          <w:bCs w:val="0"/>
          <w:u w:val="none"/>
          <w:rtl/>
        </w:rPr>
        <w:t xml:space="preserve"> </w:t>
      </w:r>
    </w:p>
    <w:p w14:paraId="58E209EC" w14:textId="77777777" w:rsidR="00D16716" w:rsidRDefault="00D16716" w:rsidP="001222D1">
      <w:pPr>
        <w:pStyle w:val="ac"/>
        <w:spacing w:line="360" w:lineRule="auto"/>
        <w:ind w:left="360"/>
        <w:jc w:val="both"/>
        <w:rPr>
          <w:rFonts w:ascii="David" w:hAnsi="David" w:cs="David"/>
          <w:sz w:val="24"/>
          <w:szCs w:val="24"/>
          <w:rtl/>
        </w:rPr>
      </w:pPr>
      <w:bookmarkStart w:id="6" w:name="ABSTRACT_START"/>
      <w:bookmarkEnd w:id="6"/>
      <w:r w:rsidRPr="003A3FEB">
        <w:rPr>
          <w:rFonts w:ascii="David" w:hAnsi="David" w:cs="David"/>
          <w:sz w:val="24"/>
          <w:szCs w:val="24"/>
          <w:rtl/>
        </w:rPr>
        <w:t xml:space="preserve">הנאשם הורשע לאחר ניהול הוכחות בשלושה אישומים של החזקת סמים שלא לצריכה עצמית, וזאת בחמש הזדמנויות שונות. </w:t>
      </w:r>
    </w:p>
    <w:p w14:paraId="72A379B9" w14:textId="77777777" w:rsidR="00D16716" w:rsidRDefault="00D16716" w:rsidP="001222D1">
      <w:pPr>
        <w:pStyle w:val="ac"/>
        <w:spacing w:line="360" w:lineRule="auto"/>
        <w:ind w:left="360"/>
        <w:jc w:val="both"/>
        <w:rPr>
          <w:rFonts w:ascii="David" w:hAnsi="David" w:cs="David"/>
          <w:sz w:val="24"/>
          <w:szCs w:val="24"/>
          <w:rtl/>
        </w:rPr>
      </w:pPr>
      <w:bookmarkStart w:id="7" w:name="ABSTRACT_END"/>
      <w:bookmarkEnd w:id="7"/>
    </w:p>
    <w:p w14:paraId="0481A9FE" w14:textId="77777777" w:rsidR="00D16716" w:rsidRDefault="00D16716" w:rsidP="001222D1">
      <w:pPr>
        <w:pStyle w:val="ac"/>
        <w:spacing w:line="360" w:lineRule="auto"/>
        <w:ind w:left="360"/>
        <w:jc w:val="both"/>
        <w:rPr>
          <w:rFonts w:ascii="David" w:hAnsi="David" w:cs="David"/>
          <w:sz w:val="24"/>
          <w:szCs w:val="24"/>
          <w:u w:val="single"/>
          <w:rtl/>
        </w:rPr>
      </w:pPr>
      <w:r w:rsidRPr="003A3FEB">
        <w:rPr>
          <w:rFonts w:ascii="David" w:hAnsi="David" w:cs="David"/>
          <w:sz w:val="24"/>
          <w:szCs w:val="24"/>
          <w:u w:val="single"/>
          <w:rtl/>
        </w:rPr>
        <w:lastRenderedPageBreak/>
        <w:t>כתב האישום</w:t>
      </w:r>
    </w:p>
    <w:p w14:paraId="7D632B71" w14:textId="77777777" w:rsidR="00D16716" w:rsidRPr="003A3FEB" w:rsidRDefault="00D16716" w:rsidP="001222D1">
      <w:pPr>
        <w:pStyle w:val="ac"/>
        <w:spacing w:line="360" w:lineRule="auto"/>
        <w:ind w:left="360"/>
        <w:jc w:val="both"/>
        <w:rPr>
          <w:rFonts w:ascii="David" w:hAnsi="David" w:cs="David"/>
          <w:sz w:val="24"/>
          <w:szCs w:val="24"/>
          <w:u w:val="single"/>
          <w:rtl/>
        </w:rPr>
      </w:pPr>
    </w:p>
    <w:p w14:paraId="60869AC4" w14:textId="77777777" w:rsidR="00D16716" w:rsidRPr="003A3FEB" w:rsidRDefault="00D16716" w:rsidP="001222D1">
      <w:pPr>
        <w:pStyle w:val="ac"/>
        <w:numPr>
          <w:ilvl w:val="0"/>
          <w:numId w:val="20"/>
        </w:numPr>
        <w:spacing w:line="360" w:lineRule="auto"/>
        <w:jc w:val="both"/>
        <w:rPr>
          <w:rFonts w:ascii="David" w:hAnsi="David" w:cs="David"/>
          <w:sz w:val="24"/>
          <w:szCs w:val="24"/>
          <w:rtl/>
        </w:rPr>
      </w:pPr>
      <w:r w:rsidRPr="003A3FEB">
        <w:rPr>
          <w:rFonts w:ascii="David" w:hAnsi="David" w:cs="David"/>
          <w:sz w:val="24"/>
          <w:szCs w:val="24"/>
          <w:rtl/>
        </w:rPr>
        <w:t>כתב האישום ייחס לנאשם עבירות של החזקת סם שלא לצריכה עצמית, נהיגה בזמן פסילה וסחר בסם מסוכן (ריבוי עבירות).</w:t>
      </w:r>
    </w:p>
    <w:p w14:paraId="26EC2FD7" w14:textId="77777777" w:rsidR="00D16716" w:rsidRDefault="00D16716" w:rsidP="001222D1">
      <w:pPr>
        <w:pStyle w:val="ac"/>
        <w:spacing w:line="360" w:lineRule="auto"/>
        <w:ind w:left="360"/>
        <w:jc w:val="both"/>
        <w:rPr>
          <w:rFonts w:ascii="David" w:hAnsi="David" w:cs="David"/>
          <w:sz w:val="24"/>
          <w:szCs w:val="24"/>
          <w:rtl/>
        </w:rPr>
      </w:pPr>
      <w:r w:rsidRPr="0000682C">
        <w:rPr>
          <w:rFonts w:ascii="David" w:hAnsi="David" w:cs="David"/>
          <w:sz w:val="24"/>
          <w:szCs w:val="24"/>
          <w:rtl/>
        </w:rPr>
        <w:t xml:space="preserve">ביתר פירוט: האישום הראשון, הוא העיקרי, ייחס לנאשם החזקה של סמים בכמות גדולה יחסית (34.3441 גרם קוקאין ו- 0.7634 גרם מסוג </w:t>
      </w:r>
      <w:r w:rsidRPr="0000682C">
        <w:rPr>
          <w:rFonts w:ascii="David" w:hAnsi="David" w:cs="David"/>
          <w:sz w:val="24"/>
          <w:szCs w:val="24"/>
        </w:rPr>
        <w:t>MDMA</w:t>
      </w:r>
      <w:r w:rsidRPr="0000682C">
        <w:rPr>
          <w:rFonts w:ascii="David" w:hAnsi="David" w:cs="David"/>
          <w:sz w:val="24"/>
          <w:szCs w:val="24"/>
          <w:rtl/>
        </w:rPr>
        <w:t>), שנמצאו בתא המטען (מתחת למושב הנהג) של אופנוע מסוג סאן יאנג שהיה בשימושו והחזקתו של הנאשם ואשר חנה במרחק מה מביתו. האישום השני, ייחס לנאשם עבירות של סחר בסמים שהנאשם מכר "ללקוח" במספר הזדמנויות. האישום השלישי, הוא הפחות מרכזי, ייחס לנאשם החזקת סמים שלא לצריכה עצמית, שהחזיק במועד אחר בביתו 0.8399 גרם קוקאין.</w:t>
      </w:r>
    </w:p>
    <w:p w14:paraId="4DF40E64" w14:textId="77777777" w:rsidR="00D16716" w:rsidRPr="003A3FEB" w:rsidRDefault="00D16716" w:rsidP="001222D1">
      <w:pPr>
        <w:spacing w:line="360" w:lineRule="auto"/>
        <w:ind w:firstLine="360"/>
        <w:jc w:val="both"/>
        <w:rPr>
          <w:u w:val="single"/>
          <w:rtl/>
        </w:rPr>
      </w:pPr>
      <w:r w:rsidRPr="003A3FEB">
        <w:rPr>
          <w:u w:val="single"/>
          <w:rtl/>
        </w:rPr>
        <w:t>הכרעת הדין</w:t>
      </w:r>
    </w:p>
    <w:p w14:paraId="26D8F084" w14:textId="77777777" w:rsidR="00D16716" w:rsidRPr="0000682C" w:rsidRDefault="00D16716" w:rsidP="001222D1">
      <w:pPr>
        <w:pStyle w:val="ac"/>
        <w:numPr>
          <w:ilvl w:val="0"/>
          <w:numId w:val="20"/>
        </w:numPr>
        <w:spacing w:line="360" w:lineRule="auto"/>
        <w:jc w:val="both"/>
        <w:rPr>
          <w:rFonts w:ascii="David" w:hAnsi="David" w:cs="David"/>
          <w:sz w:val="24"/>
          <w:szCs w:val="24"/>
          <w:rtl/>
        </w:rPr>
      </w:pPr>
      <w:r w:rsidRPr="0000682C">
        <w:rPr>
          <w:rFonts w:ascii="David" w:hAnsi="David" w:cs="David"/>
          <w:sz w:val="24"/>
          <w:szCs w:val="24"/>
          <w:rtl/>
        </w:rPr>
        <w:t xml:space="preserve">בהכרעת הדין, </w:t>
      </w:r>
      <w:r w:rsidRPr="0000682C">
        <w:rPr>
          <w:rFonts w:ascii="David" w:hAnsi="David" w:cs="David"/>
          <w:sz w:val="24"/>
          <w:szCs w:val="24"/>
          <w:u w:val="single"/>
          <w:rtl/>
        </w:rPr>
        <w:t>באשר לאישום הראשון</w:t>
      </w:r>
      <w:r w:rsidRPr="0000682C">
        <w:rPr>
          <w:rFonts w:ascii="David" w:hAnsi="David" w:cs="David"/>
          <w:sz w:val="24"/>
          <w:szCs w:val="24"/>
          <w:rtl/>
        </w:rPr>
        <w:t xml:space="preserve">, קבעתי כי הסמים שנתפסו באופנוע שייכים לנאשם והרשעתי אותו במיוחס לו בכתב האישום, תוך שקבעתי שהפגם שנפל בחיפוש, שאיננו זניח, יימצא ביטוי בשלב העונש כגורם בעל משקל ממשי. </w:t>
      </w:r>
    </w:p>
    <w:p w14:paraId="6B8FB7CA" w14:textId="77777777" w:rsidR="00D16716" w:rsidRPr="008146F0" w:rsidRDefault="00D16716" w:rsidP="001222D1">
      <w:pPr>
        <w:spacing w:line="360" w:lineRule="auto"/>
        <w:ind w:firstLine="360"/>
        <w:jc w:val="both"/>
        <w:rPr>
          <w:rtl/>
        </w:rPr>
      </w:pPr>
      <w:r>
        <w:rPr>
          <w:rtl/>
        </w:rPr>
        <w:t>וכך קבעתי ב</w:t>
      </w:r>
      <w:r w:rsidRPr="008146F0">
        <w:rPr>
          <w:rtl/>
        </w:rPr>
        <w:t>הכרעת הדין (</w:t>
      </w:r>
      <w:r>
        <w:rPr>
          <w:rtl/>
        </w:rPr>
        <w:t>פסקאות 59 ו-64)</w:t>
      </w:r>
      <w:r w:rsidRPr="008146F0">
        <w:rPr>
          <w:rtl/>
        </w:rPr>
        <w:t>:</w:t>
      </w:r>
    </w:p>
    <w:p w14:paraId="038AB74C" w14:textId="77777777" w:rsidR="00D16716" w:rsidRPr="00E718E1" w:rsidRDefault="00D16716" w:rsidP="001222D1">
      <w:pPr>
        <w:spacing w:line="360" w:lineRule="auto"/>
        <w:ind w:left="720"/>
        <w:jc w:val="both"/>
        <w:rPr>
          <w:rtl/>
        </w:rPr>
      </w:pPr>
      <w:r w:rsidRPr="00E718E1">
        <w:rPr>
          <w:rtl/>
        </w:rPr>
        <w:t xml:space="preserve">"לאור כל האמור לעיל, </w:t>
      </w:r>
      <w:r w:rsidRPr="00E718E1">
        <w:rPr>
          <w:b/>
          <w:bCs/>
          <w:rtl/>
        </w:rPr>
        <w:t>מצאתי כי נפל פגם בחיפוש ברכב שנמצא במרחק מה מביתו של הנאשם</w:t>
      </w:r>
      <w:r w:rsidRPr="00E718E1">
        <w:rPr>
          <w:rtl/>
        </w:rPr>
        <w:t xml:space="preserve">. הצו השיפוטי התייחס לחיפוש בכתובת מוגדרת וקונקרטית. הצו לא כלל התייחסות לחיפוש ברכב. כמו כן, לא היה במהלך החיפוש, דהיינו במציאת מפתחות הרכב והתכחשות הנאשם למפתחות, משום יס"ל עצמאי ונפרד שניעור במקום. מכל מקום, לא היה "ביס"ל" זה שהתעורר לטענת המשטרה כדי לרפא את הפגם בחיפוש ללא צו שיפוטי. </w:t>
      </w:r>
    </w:p>
    <w:p w14:paraId="7BA69C46" w14:textId="77777777" w:rsidR="00D16716" w:rsidRDefault="00D16716" w:rsidP="001222D1">
      <w:pPr>
        <w:spacing w:line="360" w:lineRule="auto"/>
        <w:ind w:left="720"/>
        <w:jc w:val="both"/>
        <w:rPr>
          <w:rtl/>
        </w:rPr>
      </w:pPr>
      <w:r w:rsidRPr="00E718E1">
        <w:rPr>
          <w:rtl/>
        </w:rPr>
        <w:t>[...]</w:t>
      </w:r>
    </w:p>
    <w:p w14:paraId="41C61613" w14:textId="77777777" w:rsidR="00D16716" w:rsidRPr="00E718E1" w:rsidRDefault="00D16716" w:rsidP="001222D1">
      <w:pPr>
        <w:spacing w:line="360" w:lineRule="auto"/>
        <w:ind w:left="720"/>
        <w:jc w:val="both"/>
        <w:rPr>
          <w:rtl/>
        </w:rPr>
      </w:pPr>
      <w:r w:rsidRPr="00E718E1">
        <w:rPr>
          <w:rtl/>
        </w:rPr>
        <w:t xml:space="preserve">אשר על כן, ובהסתייגות לעניין הפגם שנפל בחיפוש ברכב והשלכתו על העונש, </w:t>
      </w:r>
      <w:r w:rsidRPr="00E718E1">
        <w:rPr>
          <w:b/>
          <w:bCs/>
          <w:rtl/>
        </w:rPr>
        <w:t>אני מרשיע את הנאשם במיוחס לו באישום הראשון</w:t>
      </w:r>
      <w:r>
        <w:rPr>
          <w:rtl/>
        </w:rPr>
        <w:t>".</w:t>
      </w:r>
    </w:p>
    <w:p w14:paraId="6749BF6D" w14:textId="77777777" w:rsidR="00D16716" w:rsidRPr="0000682C" w:rsidRDefault="00D16716" w:rsidP="001222D1">
      <w:pPr>
        <w:pStyle w:val="ac"/>
        <w:spacing w:line="360" w:lineRule="auto"/>
        <w:ind w:left="360"/>
        <w:jc w:val="both"/>
        <w:rPr>
          <w:rFonts w:ascii="David" w:hAnsi="David" w:cs="David"/>
          <w:sz w:val="24"/>
          <w:szCs w:val="24"/>
          <w:rtl/>
        </w:rPr>
      </w:pPr>
      <w:r w:rsidRPr="0000682C">
        <w:rPr>
          <w:rFonts w:ascii="David" w:hAnsi="David" w:cs="David"/>
          <w:sz w:val="24"/>
          <w:szCs w:val="24"/>
          <w:rtl/>
        </w:rPr>
        <w:t>בשולי הדברים, אעיר שלנוכח הודעה מוקדמת של התביעה על מחיקת סעיף האישום של נהיגה בזמן פסילה שהופיע בכתב האישום המקורי, זיכיתי את</w:t>
      </w:r>
      <w:r w:rsidRPr="0000682C">
        <w:rPr>
          <w:rFonts w:ascii="David" w:hAnsi="David" w:cs="David"/>
          <w:b/>
          <w:bCs/>
          <w:sz w:val="24"/>
          <w:szCs w:val="24"/>
          <w:rtl/>
        </w:rPr>
        <w:t xml:space="preserve"> </w:t>
      </w:r>
      <w:r w:rsidRPr="0000682C">
        <w:rPr>
          <w:rFonts w:ascii="David" w:hAnsi="David" w:cs="David"/>
          <w:sz w:val="24"/>
          <w:szCs w:val="24"/>
          <w:rtl/>
        </w:rPr>
        <w:t>הנאשם, בהסכמה, מעבירה זו.</w:t>
      </w:r>
    </w:p>
    <w:p w14:paraId="1341A15A" w14:textId="77777777" w:rsidR="00D16716" w:rsidRPr="005D0864" w:rsidRDefault="00D16716" w:rsidP="001222D1">
      <w:pPr>
        <w:pStyle w:val="ac"/>
        <w:spacing w:line="360" w:lineRule="auto"/>
        <w:ind w:left="360"/>
        <w:jc w:val="both"/>
        <w:rPr>
          <w:rFonts w:ascii="David" w:hAnsi="David" w:cs="David"/>
          <w:sz w:val="24"/>
          <w:szCs w:val="24"/>
        </w:rPr>
      </w:pPr>
    </w:p>
    <w:p w14:paraId="57D7AA9F" w14:textId="77777777" w:rsidR="00D16716" w:rsidRPr="0000682C" w:rsidRDefault="00D16716" w:rsidP="001222D1">
      <w:pPr>
        <w:pStyle w:val="ac"/>
        <w:spacing w:line="360" w:lineRule="auto"/>
        <w:ind w:left="360"/>
        <w:jc w:val="both"/>
        <w:rPr>
          <w:rFonts w:ascii="David" w:hAnsi="David" w:cs="David"/>
          <w:sz w:val="24"/>
          <w:szCs w:val="24"/>
          <w:rtl/>
        </w:rPr>
      </w:pPr>
      <w:r w:rsidRPr="0000682C">
        <w:rPr>
          <w:rFonts w:ascii="David" w:hAnsi="David" w:cs="David"/>
          <w:sz w:val="24"/>
          <w:szCs w:val="24"/>
          <w:u w:val="single"/>
          <w:rtl/>
        </w:rPr>
        <w:t>ב</w:t>
      </w:r>
      <w:r>
        <w:rPr>
          <w:rFonts w:ascii="David" w:hAnsi="David" w:cs="David"/>
          <w:sz w:val="24"/>
          <w:szCs w:val="24"/>
          <w:u w:val="single"/>
          <w:rtl/>
        </w:rPr>
        <w:t xml:space="preserve">הכרעת הדין ביחס </w:t>
      </w:r>
      <w:r w:rsidRPr="0000682C">
        <w:rPr>
          <w:rFonts w:ascii="David" w:hAnsi="David" w:cs="David"/>
          <w:sz w:val="24"/>
          <w:szCs w:val="24"/>
          <w:u w:val="single"/>
          <w:rtl/>
        </w:rPr>
        <w:t>לאישום השני</w:t>
      </w:r>
      <w:r w:rsidRPr="0000682C">
        <w:rPr>
          <w:rFonts w:ascii="David" w:hAnsi="David" w:cs="David"/>
          <w:sz w:val="24"/>
          <w:szCs w:val="24"/>
          <w:rtl/>
        </w:rPr>
        <w:t>, קבעתי שהפגמים שנפלו בחקירת 'הלקוח' בעסקת הסחר בסמים, השליכו גם על תוכן גרסתו, ומכאן ולנוכח עוצמת הפגמים, פסלתי את ההודעות של הקונה. משפסלתי את ההודעות, נותר ספק באשר לחלקו של הנאשם באירוע ועל כן, הרשעתי את הנאשם, בהתבסס על עדות "הקונה" בבית המשפט, חלף עבירת הסחר בסמים, בעבירה של החזקת סמים שלא לצריכה עצמית, בשלוש הזדמנויות, בכך שקנה יחד אחרים סמים מסוג קוקאין ועשה בהם שימוש בביתו. (עמוד 148 פסקה 74):</w:t>
      </w:r>
    </w:p>
    <w:p w14:paraId="07B9870F" w14:textId="77777777" w:rsidR="00D16716" w:rsidRDefault="00D16716" w:rsidP="001222D1">
      <w:pPr>
        <w:spacing w:line="360" w:lineRule="auto"/>
        <w:ind w:left="720"/>
        <w:jc w:val="both"/>
        <w:rPr>
          <w:rtl/>
        </w:rPr>
      </w:pPr>
      <w:r>
        <w:rPr>
          <w:rtl/>
        </w:rPr>
        <w:t>"</w:t>
      </w:r>
      <w:r w:rsidRPr="007E3A02">
        <w:rPr>
          <w:rtl/>
        </w:rPr>
        <w:t xml:space="preserve">בהינתן פסילת ההודעות במשטרה, ועל כך יורחב מיד בהמשך, נותר ספק ביחס לשאלת התקיימות העסקאות שנטען כי בוצעו בין טל לנאשם, ועל כן לא הוכחה עבירת הסחר. ברם, אין ספק כי התקיימו יסודות העבירה של החזקת סמים שלא לצריכה עצמית, וזאת </w:t>
      </w:r>
      <w:r w:rsidRPr="007E3A02">
        <w:rPr>
          <w:rtl/>
        </w:rPr>
        <w:lastRenderedPageBreak/>
        <w:t>אף בהתאם למדיניותה של התביעה שלא להעמיד לדין בעבירת סחר רוכשי סמים (להבדיל מהמוכרים). על כן, ולאור העובדה שמדובר ברכישה משותפת לצורך שימוש בצוותא בסמים, יש להרשיע את הנאשם בעבירה של החזקת סמים שלא לצריכה עצמית, של סם מסוכן מסוג קוקאין בכמויות שנעו בין 0.5 ל- גרם אחד, וזאת בשלוש הזדמנויות</w:t>
      </w:r>
      <w:r>
        <w:rPr>
          <w:rtl/>
        </w:rPr>
        <w:t>.</w:t>
      </w:r>
    </w:p>
    <w:p w14:paraId="737EF023" w14:textId="77777777" w:rsidR="00D16716" w:rsidRDefault="00D16716" w:rsidP="001222D1">
      <w:pPr>
        <w:spacing w:line="360" w:lineRule="auto"/>
        <w:ind w:left="720"/>
        <w:jc w:val="both"/>
        <w:rPr>
          <w:rtl/>
        </w:rPr>
      </w:pPr>
      <w:r>
        <w:rPr>
          <w:rtl/>
        </w:rPr>
        <w:t>[...]</w:t>
      </w:r>
    </w:p>
    <w:p w14:paraId="67CF5690" w14:textId="77777777" w:rsidR="00D16716" w:rsidRDefault="00D16716" w:rsidP="001222D1">
      <w:pPr>
        <w:spacing w:line="360" w:lineRule="auto"/>
        <w:ind w:left="720"/>
        <w:jc w:val="both"/>
        <w:rPr>
          <w:rtl/>
        </w:rPr>
      </w:pPr>
      <w:r w:rsidRPr="003A3FEB">
        <w:rPr>
          <w:rtl/>
        </w:rPr>
        <w:t>אשר על כן, אני מרשיע את הנאשם, חלף עבירת הסחר בסמים, בעבירה של החזקת סמים שלא לצריכה עצמית, בשלוש הזדמנויות, בכך שקנה יחד אחרים סמים מסוג קוקאין ועשה בהם שימוש בביתו".</w:t>
      </w:r>
    </w:p>
    <w:p w14:paraId="1838C93A" w14:textId="77777777" w:rsidR="00D16716" w:rsidRPr="0000682C" w:rsidRDefault="00D16716" w:rsidP="001222D1">
      <w:pPr>
        <w:pStyle w:val="ac"/>
        <w:spacing w:line="360" w:lineRule="auto"/>
        <w:ind w:left="360"/>
        <w:jc w:val="both"/>
        <w:rPr>
          <w:rFonts w:ascii="David" w:hAnsi="David" w:cs="David"/>
          <w:sz w:val="24"/>
          <w:szCs w:val="24"/>
          <w:rtl/>
        </w:rPr>
      </w:pPr>
      <w:r w:rsidRPr="0000682C">
        <w:rPr>
          <w:rFonts w:ascii="David" w:hAnsi="David" w:cs="David"/>
          <w:sz w:val="24"/>
          <w:szCs w:val="24"/>
          <w:u w:val="single"/>
          <w:rtl/>
        </w:rPr>
        <w:t>באשר לאישום השלישי</w:t>
      </w:r>
      <w:r w:rsidRPr="0000682C">
        <w:rPr>
          <w:rFonts w:ascii="David" w:hAnsi="David" w:cs="David"/>
          <w:sz w:val="24"/>
          <w:szCs w:val="24"/>
          <w:rtl/>
        </w:rPr>
        <w:t>, מצאתי שאין ממש בגרסת הנאשם, לפיה החזיק את הסמים לצריכתו העצמית, וקבעתי שלא עלה בידיו לסתור את החזקה הקבועה בחוק</w:t>
      </w:r>
      <w:r>
        <w:rPr>
          <w:rFonts w:ascii="David" w:hAnsi="David" w:cs="David"/>
          <w:sz w:val="24"/>
          <w:szCs w:val="24"/>
          <w:rtl/>
        </w:rPr>
        <w:t>,</w:t>
      </w:r>
      <w:r w:rsidRPr="0000682C">
        <w:rPr>
          <w:rFonts w:ascii="David" w:hAnsi="David" w:cs="David"/>
          <w:sz w:val="24"/>
          <w:szCs w:val="24"/>
          <w:rtl/>
        </w:rPr>
        <w:t xml:space="preserve"> ועל כן הר</w:t>
      </w:r>
      <w:r>
        <w:rPr>
          <w:rFonts w:ascii="David" w:hAnsi="David" w:cs="David"/>
          <w:sz w:val="24"/>
          <w:szCs w:val="24"/>
          <w:rtl/>
        </w:rPr>
        <w:t>שעתי אותו במיוחס לו בכתב האישום -</w:t>
      </w:r>
      <w:r w:rsidRPr="0000682C">
        <w:rPr>
          <w:rFonts w:ascii="David" w:hAnsi="David" w:cs="David"/>
          <w:sz w:val="24"/>
          <w:szCs w:val="24"/>
          <w:rtl/>
        </w:rPr>
        <w:t xml:space="preserve"> בעבירה של החזקה שלא לצריכה עצמית. </w:t>
      </w:r>
    </w:p>
    <w:p w14:paraId="558C73A9" w14:textId="77777777" w:rsidR="00D16716" w:rsidRPr="008146F0" w:rsidRDefault="00D16716" w:rsidP="001222D1">
      <w:pPr>
        <w:spacing w:line="360" w:lineRule="auto"/>
        <w:jc w:val="both"/>
        <w:rPr>
          <w:rtl/>
        </w:rPr>
      </w:pPr>
    </w:p>
    <w:p w14:paraId="083E0013" w14:textId="77777777" w:rsidR="00D16716" w:rsidRPr="008146F0" w:rsidRDefault="00D16716" w:rsidP="001222D1">
      <w:pPr>
        <w:spacing w:line="360" w:lineRule="auto"/>
        <w:jc w:val="both"/>
        <w:rPr>
          <w:b/>
          <w:bCs/>
          <w:u w:val="single"/>
          <w:rtl/>
        </w:rPr>
      </w:pPr>
      <w:r>
        <w:rPr>
          <w:b/>
          <w:bCs/>
          <w:u w:val="single"/>
          <w:rtl/>
        </w:rPr>
        <w:t>טיעוני הצדדים לעונש</w:t>
      </w:r>
    </w:p>
    <w:p w14:paraId="4D959F09" w14:textId="77777777" w:rsidR="00D16716" w:rsidRPr="0000682C" w:rsidRDefault="00D16716" w:rsidP="001222D1">
      <w:pPr>
        <w:pStyle w:val="ac"/>
        <w:numPr>
          <w:ilvl w:val="0"/>
          <w:numId w:val="20"/>
        </w:numPr>
        <w:tabs>
          <w:tab w:val="num" w:pos="1080"/>
        </w:tabs>
        <w:spacing w:line="360" w:lineRule="auto"/>
        <w:jc w:val="both"/>
        <w:rPr>
          <w:rFonts w:ascii="David" w:hAnsi="David" w:cs="David"/>
          <w:sz w:val="24"/>
          <w:szCs w:val="24"/>
        </w:rPr>
      </w:pPr>
      <w:r w:rsidRPr="005D0864">
        <w:rPr>
          <w:rFonts w:ascii="David" w:hAnsi="David" w:cs="David"/>
          <w:b/>
          <w:bCs/>
          <w:sz w:val="24"/>
          <w:szCs w:val="24"/>
          <w:rtl/>
        </w:rPr>
        <w:t>ב"כ המאשימה</w:t>
      </w:r>
      <w:r w:rsidRPr="0000682C">
        <w:rPr>
          <w:rFonts w:ascii="David" w:hAnsi="David" w:cs="David"/>
          <w:sz w:val="24"/>
          <w:szCs w:val="24"/>
          <w:rtl/>
        </w:rPr>
        <w:t xml:space="preserve"> הפנתה לעברו הפלילי והתעבורתי של הנאשם. בטיעוניה לעונש עמדה ב"כ המאשימה על פרטי עובדות כתב האישום, על סוג הסמים המדוברים (קוקאין ו-</w:t>
      </w:r>
      <w:r w:rsidRPr="0000682C">
        <w:rPr>
          <w:rFonts w:ascii="David" w:hAnsi="David" w:cs="David"/>
          <w:sz w:val="24"/>
          <w:szCs w:val="24"/>
        </w:rPr>
        <w:t>MDMA</w:t>
      </w:r>
      <w:r w:rsidRPr="0000682C">
        <w:rPr>
          <w:rFonts w:ascii="David" w:hAnsi="David" w:cs="David"/>
          <w:sz w:val="24"/>
          <w:szCs w:val="24"/>
          <w:rtl/>
        </w:rPr>
        <w:t xml:space="preserve">) וכן העובדה שהסמים נמצאו באופנוע שנמצא במרחק מה מביתו. ב"כ המאשימה הדגישה את הפגיעה שנגרמה עקב מעשי הנאשם לערכים החברתיים של השמירה על שלום הציבור ועל בריאותו, והכל בשל נזקי השימוש בסמים מסוכנים. </w:t>
      </w:r>
    </w:p>
    <w:p w14:paraId="0002F6B6" w14:textId="77777777" w:rsidR="00D16716" w:rsidRDefault="00D16716" w:rsidP="001222D1">
      <w:pPr>
        <w:pStyle w:val="ac"/>
        <w:spacing w:line="360" w:lineRule="auto"/>
        <w:ind w:left="360"/>
        <w:jc w:val="both"/>
        <w:rPr>
          <w:rFonts w:ascii="David" w:hAnsi="David" w:cs="David"/>
          <w:sz w:val="24"/>
          <w:szCs w:val="24"/>
          <w:rtl/>
        </w:rPr>
      </w:pPr>
    </w:p>
    <w:p w14:paraId="0CBF60D0" w14:textId="77777777" w:rsidR="00D16716" w:rsidRPr="0000682C" w:rsidRDefault="00D16716" w:rsidP="001222D1">
      <w:pPr>
        <w:pStyle w:val="ac"/>
        <w:spacing w:line="360" w:lineRule="auto"/>
        <w:ind w:left="360"/>
        <w:jc w:val="both"/>
        <w:rPr>
          <w:rFonts w:ascii="David" w:hAnsi="David" w:cs="David"/>
          <w:sz w:val="24"/>
          <w:szCs w:val="24"/>
          <w:rtl/>
        </w:rPr>
      </w:pPr>
      <w:r w:rsidRPr="0000682C">
        <w:rPr>
          <w:rFonts w:ascii="David" w:hAnsi="David" w:cs="David"/>
          <w:sz w:val="24"/>
          <w:szCs w:val="24"/>
          <w:rtl/>
        </w:rPr>
        <w:t>ב"כ המאשימה טענה כי מדובר בשלושה אירועים נפרדים ועתרה למתחם עונש הנע בין 20 ל-36 חודשי מאסר באישום הראשון, מתחם עונש הנע בין 6 ל-12 חודשי מאסר באישום השני וכך  גם באישום השלישי. ב"כ המאשימה ביקשה לקבוע מתחם עונש כולל הנע בין 28 ל- 48 חודשי מאסר.</w:t>
      </w:r>
    </w:p>
    <w:p w14:paraId="24F1C3FD" w14:textId="77777777" w:rsidR="00D16716" w:rsidRDefault="00D16716" w:rsidP="001222D1">
      <w:pPr>
        <w:pStyle w:val="ac"/>
        <w:spacing w:line="360" w:lineRule="auto"/>
        <w:ind w:left="360"/>
        <w:jc w:val="both"/>
        <w:rPr>
          <w:rFonts w:ascii="David" w:hAnsi="David" w:cs="David"/>
          <w:sz w:val="24"/>
          <w:szCs w:val="24"/>
          <w:rtl/>
        </w:rPr>
      </w:pPr>
    </w:p>
    <w:p w14:paraId="69F8799A" w14:textId="77777777" w:rsidR="00D16716" w:rsidRDefault="00D16716" w:rsidP="001222D1">
      <w:pPr>
        <w:pStyle w:val="ac"/>
        <w:spacing w:line="360" w:lineRule="auto"/>
        <w:ind w:left="360"/>
        <w:jc w:val="both"/>
        <w:rPr>
          <w:rFonts w:ascii="David" w:hAnsi="David" w:cs="David"/>
          <w:sz w:val="24"/>
          <w:szCs w:val="24"/>
          <w:rtl/>
        </w:rPr>
      </w:pPr>
      <w:r w:rsidRPr="0000682C">
        <w:rPr>
          <w:rFonts w:ascii="David" w:hAnsi="David" w:cs="David"/>
          <w:sz w:val="24"/>
          <w:szCs w:val="24"/>
          <w:rtl/>
        </w:rPr>
        <w:t>אשר לגזירת עונשו של הנאשם בתוך מתחם העונש ההולם, עתרה ב"כ המאשימה למיקומו בשליש התחתון של המתחם. ב"כ המאשימה ערה לכך שיש להתחשב במחדלי החקירה והתנהלות הרשויות כנסיבה מקלה למיקומו בתוך המתחם, וכן, אין זקוף לחובתו את בחירתו בניהול הוכחות. עוד עתרה ב"כ המאשימה להשתת ענישה נלווית, שתכלול מאסר מותנה בגין כל עבירה לפי פקודת הסמים קנס כספי שיבטא את חומרת העבירות ושלא יפחת מ-5,000 ₪, מאסר חלף קנס, פסילת רישיון נהיגה לתקופה על-פי שיקול דעת בית המשפט וכן – בהמשך לעתירתה להכריז על הנאשם סוחר סמים – לחילוט הכספים, אופנוע, קסדה, שעון ומשקל שנתפסו ברשות הנאשם לטובת אוצר המדינה.</w:t>
      </w:r>
    </w:p>
    <w:p w14:paraId="7C5DEE9F" w14:textId="77777777" w:rsidR="00D16716" w:rsidRPr="0000682C" w:rsidRDefault="00D16716" w:rsidP="001222D1">
      <w:pPr>
        <w:pStyle w:val="ac"/>
        <w:spacing w:line="360" w:lineRule="auto"/>
        <w:ind w:left="360"/>
        <w:jc w:val="both"/>
        <w:rPr>
          <w:rFonts w:ascii="David" w:hAnsi="David" w:cs="David"/>
          <w:sz w:val="24"/>
          <w:szCs w:val="24"/>
          <w:rtl/>
        </w:rPr>
      </w:pPr>
    </w:p>
    <w:p w14:paraId="3A983642" w14:textId="77777777" w:rsidR="00D16716" w:rsidRPr="0000682C" w:rsidRDefault="00D16716" w:rsidP="001222D1">
      <w:pPr>
        <w:pStyle w:val="ac"/>
        <w:numPr>
          <w:ilvl w:val="0"/>
          <w:numId w:val="20"/>
        </w:numPr>
        <w:spacing w:after="120" w:line="360" w:lineRule="auto"/>
        <w:jc w:val="both"/>
        <w:rPr>
          <w:rFonts w:ascii="David" w:hAnsi="David" w:cs="David"/>
          <w:sz w:val="24"/>
          <w:szCs w:val="24"/>
        </w:rPr>
      </w:pPr>
      <w:r w:rsidRPr="005D0864">
        <w:rPr>
          <w:rFonts w:ascii="David" w:hAnsi="David" w:cs="David"/>
          <w:b/>
          <w:bCs/>
          <w:sz w:val="24"/>
          <w:szCs w:val="24"/>
          <w:rtl/>
        </w:rPr>
        <w:t>ב"כ הנאשם</w:t>
      </w:r>
      <w:r w:rsidRPr="0000682C">
        <w:rPr>
          <w:rFonts w:ascii="David" w:hAnsi="David" w:cs="David"/>
          <w:sz w:val="24"/>
          <w:szCs w:val="24"/>
          <w:rtl/>
        </w:rPr>
        <w:t>, מצדו, התמקד בטיעוניו בנסיבותיו האישיות המיוחדות של הנאשם כפי שעלו מתסקיר המעצר ומצבו הכלכלי של הנאשם. עוד הדגיש ב"כ הנאשם, בהקשר זה, כי עברו הפלילי של הנאשם אינו כה חמור ואף אינו רלוונטי (עבירת סמים בהיותו קטין) וההרשעה המאוחרת בשנת 2019 בגין עבירת תעבורה. ב"כ הנאשם הוסיף וטען כי, ניהול המשפט היה ענייני, תיק מוצגים שהוגש בהסכמה, נחסכו עדויות וכי במשך תקופה ארוכה הנאשם היה מצוי במעצר ובהמשך תחת תנאים מגבילים. ב"כ הנאשם חלק על עמדת המאשימה וטען כי מדובר במסכת אירועים אחת שיש לקבוע לה מתחם עונש הולם אחד.</w:t>
      </w:r>
    </w:p>
    <w:p w14:paraId="7C665C69" w14:textId="77777777" w:rsidR="00D16716" w:rsidRPr="00FD0E68" w:rsidRDefault="00D16716" w:rsidP="001222D1">
      <w:pPr>
        <w:pStyle w:val="ac"/>
        <w:spacing w:after="120" w:line="360" w:lineRule="auto"/>
        <w:ind w:left="360"/>
        <w:jc w:val="both"/>
        <w:rPr>
          <w:rFonts w:ascii="David" w:hAnsi="David" w:cs="David"/>
          <w:sz w:val="24"/>
          <w:szCs w:val="24"/>
          <w:rtl/>
        </w:rPr>
      </w:pPr>
    </w:p>
    <w:p w14:paraId="7DF4318F" w14:textId="77777777" w:rsidR="00D16716" w:rsidRPr="0000682C" w:rsidRDefault="00D16716" w:rsidP="001222D1">
      <w:pPr>
        <w:pStyle w:val="ac"/>
        <w:spacing w:after="120" w:line="360" w:lineRule="auto"/>
        <w:ind w:left="360"/>
        <w:jc w:val="both"/>
        <w:rPr>
          <w:rFonts w:ascii="David" w:hAnsi="David" w:cs="David"/>
          <w:sz w:val="24"/>
          <w:szCs w:val="24"/>
          <w:rtl/>
        </w:rPr>
      </w:pPr>
      <w:r w:rsidRPr="0000682C">
        <w:rPr>
          <w:rFonts w:ascii="David" w:hAnsi="David" w:cs="David"/>
          <w:sz w:val="24"/>
          <w:szCs w:val="24"/>
          <w:rtl/>
        </w:rPr>
        <w:t xml:space="preserve">ב"כ הנאשם חזר והדגיש כי עוצמת הפגם שנפל בחיפוש באישום הראשון עולה לכדי הקלה משמעותית בעונשו של הנאשם ולאור זאת, ולנוכח זיכוי הנאשם באישום השני בשל עוצמת הפגמים שנפלו בחקירת הלקוח, ראוי לתת לכך את המשקל המרבי והוא עונש מאסר שיכול וירוצה בעבודות שירות. </w:t>
      </w:r>
    </w:p>
    <w:p w14:paraId="1C1E4040" w14:textId="77777777" w:rsidR="00D16716" w:rsidRDefault="00D16716" w:rsidP="001222D1">
      <w:pPr>
        <w:pStyle w:val="ac"/>
        <w:spacing w:after="120" w:line="360" w:lineRule="auto"/>
        <w:ind w:left="360"/>
        <w:jc w:val="both"/>
        <w:rPr>
          <w:rFonts w:ascii="David" w:hAnsi="David" w:cs="David"/>
          <w:sz w:val="24"/>
          <w:szCs w:val="24"/>
          <w:rtl/>
        </w:rPr>
      </w:pPr>
    </w:p>
    <w:p w14:paraId="4F93901F" w14:textId="77777777" w:rsidR="00D16716" w:rsidRDefault="00D16716" w:rsidP="001222D1">
      <w:pPr>
        <w:pStyle w:val="ac"/>
        <w:spacing w:after="120" w:line="360" w:lineRule="auto"/>
        <w:ind w:left="360"/>
        <w:jc w:val="both"/>
        <w:rPr>
          <w:rFonts w:ascii="David" w:hAnsi="David" w:cs="David"/>
          <w:sz w:val="24"/>
          <w:szCs w:val="24"/>
          <w:rtl/>
        </w:rPr>
      </w:pPr>
      <w:r w:rsidRPr="0000682C">
        <w:rPr>
          <w:rFonts w:ascii="David" w:hAnsi="David" w:cs="David"/>
          <w:sz w:val="24"/>
          <w:szCs w:val="24"/>
          <w:rtl/>
        </w:rPr>
        <w:t>אשר למתחם העונש, נטען שהרף התחתון של מתחם העונש ההולם צריך לעמוד על מאסר בפועל שיכול וירוצו בעבודות שירות וזאת בהתאם למגוון גזרי דין בהם ניתנו עונשי מאסר בעבודות שירות בגין עבירת החזקה שלא לצריכה עצמית. לפיכך, וכאשר במקרה דנא טען שיש להקל בעונש ככל שניתן לאור כל הנסיבות לקולא ובראשן הפגם בחיפוש – עתר ב"כ הנאשם להקל עם הנאשם ולהסתפק בעניינו בענישה שניתן לשאתה בדרך של עבודות שירות.</w:t>
      </w:r>
    </w:p>
    <w:p w14:paraId="6B0CC9EE" w14:textId="77777777" w:rsidR="00D16716" w:rsidRPr="0000682C" w:rsidRDefault="00D16716" w:rsidP="001222D1">
      <w:pPr>
        <w:pStyle w:val="ac"/>
        <w:spacing w:after="120" w:line="360" w:lineRule="auto"/>
        <w:ind w:left="360"/>
        <w:jc w:val="both"/>
        <w:rPr>
          <w:rFonts w:ascii="David" w:hAnsi="David" w:cs="David"/>
          <w:sz w:val="24"/>
          <w:szCs w:val="24"/>
        </w:rPr>
      </w:pPr>
    </w:p>
    <w:p w14:paraId="64AB930A" w14:textId="77777777" w:rsidR="00D16716" w:rsidRPr="0000682C" w:rsidRDefault="00D16716" w:rsidP="001222D1">
      <w:pPr>
        <w:pStyle w:val="ac"/>
        <w:numPr>
          <w:ilvl w:val="0"/>
          <w:numId w:val="20"/>
        </w:numPr>
        <w:spacing w:line="360" w:lineRule="auto"/>
        <w:jc w:val="both"/>
        <w:rPr>
          <w:rFonts w:ascii="David" w:hAnsi="David" w:cs="David"/>
          <w:sz w:val="24"/>
          <w:szCs w:val="24"/>
          <w:rtl/>
        </w:rPr>
      </w:pPr>
      <w:r w:rsidRPr="005D0864">
        <w:rPr>
          <w:rFonts w:ascii="David" w:hAnsi="David" w:cs="David"/>
          <w:b/>
          <w:bCs/>
          <w:sz w:val="24"/>
          <w:szCs w:val="24"/>
          <w:rtl/>
        </w:rPr>
        <w:t>הנאשם בדברו האחרון</w:t>
      </w:r>
      <w:r w:rsidRPr="0000682C">
        <w:rPr>
          <w:rFonts w:ascii="David" w:hAnsi="David" w:cs="David"/>
          <w:sz w:val="24"/>
          <w:szCs w:val="24"/>
          <w:rtl/>
        </w:rPr>
        <w:t xml:space="preserve"> ביקש מבית המשפט להתחשב במצבו הכלכלי הקשה, הדגיש כי עבר בעצמו הליך גמילה ואינו משתמש יותר בסמים. </w:t>
      </w:r>
    </w:p>
    <w:p w14:paraId="2534CFE9" w14:textId="77777777" w:rsidR="00D16716" w:rsidRPr="008146F0" w:rsidRDefault="00D16716" w:rsidP="001222D1">
      <w:pPr>
        <w:spacing w:line="360" w:lineRule="auto"/>
        <w:jc w:val="both"/>
        <w:rPr>
          <w:b/>
          <w:bCs/>
          <w:u w:val="single"/>
          <w:rtl/>
        </w:rPr>
      </w:pPr>
    </w:p>
    <w:p w14:paraId="7618D8FC" w14:textId="77777777" w:rsidR="00D16716" w:rsidRPr="008146F0" w:rsidRDefault="00D16716" w:rsidP="001222D1">
      <w:pPr>
        <w:spacing w:line="360" w:lineRule="auto"/>
        <w:jc w:val="both"/>
        <w:rPr>
          <w:b/>
          <w:bCs/>
          <w:sz w:val="26"/>
          <w:szCs w:val="26"/>
          <w:u w:val="single"/>
          <w:rtl/>
        </w:rPr>
      </w:pPr>
      <w:r w:rsidRPr="008146F0">
        <w:rPr>
          <w:b/>
          <w:bCs/>
          <w:sz w:val="26"/>
          <w:szCs w:val="26"/>
          <w:u w:val="single"/>
          <w:rtl/>
        </w:rPr>
        <w:t>דיון והכרעה</w:t>
      </w:r>
    </w:p>
    <w:p w14:paraId="3249365B" w14:textId="77777777" w:rsidR="00D16716" w:rsidRPr="008146F0" w:rsidRDefault="00D16716" w:rsidP="001222D1">
      <w:pPr>
        <w:spacing w:line="360" w:lineRule="auto"/>
        <w:jc w:val="both"/>
        <w:rPr>
          <w:b/>
          <w:bCs/>
          <w:u w:val="single"/>
          <w:rtl/>
        </w:rPr>
      </w:pPr>
      <w:r w:rsidRPr="008146F0">
        <w:rPr>
          <w:b/>
          <w:bCs/>
          <w:u w:val="single"/>
          <w:rtl/>
        </w:rPr>
        <w:t>קביעת מתחם העונש ההולם</w:t>
      </w:r>
    </w:p>
    <w:p w14:paraId="3DB70FCF" w14:textId="77777777" w:rsidR="00D16716" w:rsidRPr="008146F0" w:rsidRDefault="00D16716" w:rsidP="001222D1">
      <w:pPr>
        <w:spacing w:line="360" w:lineRule="auto"/>
        <w:jc w:val="both"/>
        <w:rPr>
          <w:rFonts w:ascii="Calibri" w:hAnsi="Calibri"/>
          <w:u w:val="single"/>
        </w:rPr>
      </w:pPr>
      <w:r w:rsidRPr="008146F0">
        <w:rPr>
          <w:u w:val="single"/>
          <w:rtl/>
        </w:rPr>
        <w:t>אירוע אחד או מספר אירועים:</w:t>
      </w:r>
    </w:p>
    <w:p w14:paraId="32E64E5E" w14:textId="77777777" w:rsidR="00D16716" w:rsidRPr="005D0864" w:rsidRDefault="00D16716" w:rsidP="001222D1">
      <w:pPr>
        <w:pStyle w:val="ac"/>
        <w:numPr>
          <w:ilvl w:val="0"/>
          <w:numId w:val="20"/>
        </w:numPr>
        <w:spacing w:after="0" w:line="360" w:lineRule="auto"/>
        <w:jc w:val="both"/>
        <w:rPr>
          <w:rFonts w:cs="David"/>
          <w:sz w:val="24"/>
          <w:szCs w:val="24"/>
          <w:rtl/>
        </w:rPr>
      </w:pPr>
      <w:r w:rsidRPr="005D0864">
        <w:rPr>
          <w:rFonts w:cs="David" w:hint="eastAsia"/>
          <w:sz w:val="24"/>
          <w:szCs w:val="24"/>
          <w:rtl/>
        </w:rPr>
        <w:t>לפי</w:t>
      </w:r>
      <w:r w:rsidRPr="005D0864">
        <w:rPr>
          <w:rFonts w:cs="David"/>
          <w:sz w:val="24"/>
          <w:szCs w:val="24"/>
          <w:rtl/>
        </w:rPr>
        <w:t xml:space="preserve"> </w:t>
      </w:r>
      <w:r w:rsidRPr="005D0864">
        <w:rPr>
          <w:rFonts w:cs="David" w:hint="eastAsia"/>
          <w:sz w:val="24"/>
          <w:szCs w:val="24"/>
          <w:rtl/>
        </w:rPr>
        <w:t>תיקון</w:t>
      </w:r>
      <w:r w:rsidRPr="005D0864">
        <w:rPr>
          <w:rFonts w:cs="David"/>
          <w:sz w:val="24"/>
          <w:szCs w:val="24"/>
          <w:rtl/>
        </w:rPr>
        <w:t xml:space="preserve"> 113 </w:t>
      </w:r>
      <w:r w:rsidRPr="005D0864">
        <w:rPr>
          <w:rFonts w:cs="David" w:hint="eastAsia"/>
          <w:sz w:val="24"/>
          <w:szCs w:val="24"/>
          <w:rtl/>
        </w:rPr>
        <w:t>ל</w:t>
      </w:r>
      <w:hyperlink r:id="rId15" w:history="1">
        <w:r w:rsidR="00990309" w:rsidRPr="00990309">
          <w:rPr>
            <w:rFonts w:cs="David" w:hint="eastAsia"/>
            <w:color w:val="0000FF"/>
            <w:sz w:val="24"/>
            <w:szCs w:val="24"/>
            <w:u w:val="single"/>
            <w:rtl/>
          </w:rPr>
          <w:t>חוק</w:t>
        </w:r>
        <w:r w:rsidR="00990309" w:rsidRPr="00990309">
          <w:rPr>
            <w:rFonts w:cs="David"/>
            <w:color w:val="0000FF"/>
            <w:sz w:val="24"/>
            <w:szCs w:val="24"/>
            <w:u w:val="single"/>
            <w:rtl/>
          </w:rPr>
          <w:t xml:space="preserve"> </w:t>
        </w:r>
        <w:r w:rsidR="00990309" w:rsidRPr="00990309">
          <w:rPr>
            <w:rFonts w:cs="David" w:hint="eastAsia"/>
            <w:color w:val="0000FF"/>
            <w:sz w:val="24"/>
            <w:szCs w:val="24"/>
            <w:u w:val="single"/>
            <w:rtl/>
          </w:rPr>
          <w:t>העונשין</w:t>
        </w:r>
      </w:hyperlink>
      <w:r w:rsidRPr="005D0864">
        <w:rPr>
          <w:rFonts w:cs="David"/>
          <w:sz w:val="24"/>
          <w:szCs w:val="24"/>
          <w:rtl/>
        </w:rPr>
        <w:t xml:space="preserve">, </w:t>
      </w:r>
      <w:r w:rsidRPr="005D0864">
        <w:rPr>
          <w:rFonts w:cs="David" w:hint="eastAsia"/>
          <w:sz w:val="24"/>
          <w:szCs w:val="24"/>
          <w:rtl/>
        </w:rPr>
        <w:t>על</w:t>
      </w:r>
      <w:r w:rsidRPr="005D0864">
        <w:rPr>
          <w:rFonts w:cs="David"/>
          <w:sz w:val="24"/>
          <w:szCs w:val="24"/>
          <w:rtl/>
        </w:rPr>
        <w:t xml:space="preserve"> </w:t>
      </w:r>
      <w:r w:rsidRPr="005D0864">
        <w:rPr>
          <w:rFonts w:cs="David" w:hint="eastAsia"/>
          <w:sz w:val="24"/>
          <w:szCs w:val="24"/>
          <w:rtl/>
        </w:rPr>
        <w:t>בית</w:t>
      </w:r>
      <w:r w:rsidRPr="005D0864">
        <w:rPr>
          <w:rFonts w:cs="David"/>
          <w:sz w:val="24"/>
          <w:szCs w:val="24"/>
          <w:rtl/>
        </w:rPr>
        <w:t xml:space="preserve"> </w:t>
      </w:r>
      <w:r w:rsidRPr="005D0864">
        <w:rPr>
          <w:rFonts w:cs="David" w:hint="eastAsia"/>
          <w:sz w:val="24"/>
          <w:szCs w:val="24"/>
          <w:rtl/>
        </w:rPr>
        <w:t>המשפט</w:t>
      </w:r>
      <w:r w:rsidRPr="005D0864">
        <w:rPr>
          <w:rFonts w:cs="David"/>
          <w:sz w:val="24"/>
          <w:szCs w:val="24"/>
          <w:rtl/>
        </w:rPr>
        <w:t xml:space="preserve"> </w:t>
      </w:r>
      <w:r w:rsidRPr="005D0864">
        <w:rPr>
          <w:rFonts w:cs="David" w:hint="eastAsia"/>
          <w:sz w:val="24"/>
          <w:szCs w:val="24"/>
          <w:rtl/>
        </w:rPr>
        <w:t>לקבוע</w:t>
      </w:r>
      <w:r w:rsidRPr="005D0864">
        <w:rPr>
          <w:rFonts w:cs="David"/>
          <w:sz w:val="24"/>
          <w:szCs w:val="24"/>
          <w:rtl/>
        </w:rPr>
        <w:t xml:space="preserve"> </w:t>
      </w:r>
      <w:r w:rsidRPr="005D0864">
        <w:rPr>
          <w:rFonts w:cs="David" w:hint="eastAsia"/>
          <w:sz w:val="24"/>
          <w:szCs w:val="24"/>
          <w:rtl/>
        </w:rPr>
        <w:t>תחילה</w:t>
      </w:r>
      <w:r w:rsidRPr="005D0864">
        <w:rPr>
          <w:rFonts w:cs="David"/>
          <w:sz w:val="24"/>
          <w:szCs w:val="24"/>
          <w:rtl/>
        </w:rPr>
        <w:t xml:space="preserve"> </w:t>
      </w:r>
      <w:r w:rsidRPr="005D0864">
        <w:rPr>
          <w:rFonts w:cs="David" w:hint="eastAsia"/>
          <w:sz w:val="24"/>
          <w:szCs w:val="24"/>
          <w:rtl/>
        </w:rPr>
        <w:t>האם</w:t>
      </w:r>
      <w:r w:rsidRPr="005D0864">
        <w:rPr>
          <w:rFonts w:cs="David"/>
          <w:sz w:val="24"/>
          <w:szCs w:val="24"/>
          <w:rtl/>
        </w:rPr>
        <w:t xml:space="preserve"> </w:t>
      </w:r>
      <w:r w:rsidRPr="005D0864">
        <w:rPr>
          <w:rFonts w:cs="David" w:hint="eastAsia"/>
          <w:sz w:val="24"/>
          <w:szCs w:val="24"/>
          <w:rtl/>
        </w:rPr>
        <w:t>ניתן</w:t>
      </w:r>
      <w:r w:rsidRPr="005D0864">
        <w:rPr>
          <w:rFonts w:cs="David"/>
          <w:sz w:val="24"/>
          <w:szCs w:val="24"/>
          <w:rtl/>
        </w:rPr>
        <w:t xml:space="preserve"> </w:t>
      </w:r>
      <w:r w:rsidRPr="005D0864">
        <w:rPr>
          <w:rFonts w:cs="David" w:hint="eastAsia"/>
          <w:sz w:val="24"/>
          <w:szCs w:val="24"/>
          <w:rtl/>
        </w:rPr>
        <w:t>להתייחס</w:t>
      </w:r>
      <w:r w:rsidRPr="005D0864">
        <w:rPr>
          <w:rFonts w:cs="David"/>
          <w:sz w:val="24"/>
          <w:szCs w:val="24"/>
          <w:rtl/>
        </w:rPr>
        <w:t xml:space="preserve"> </w:t>
      </w:r>
      <w:r w:rsidRPr="005D0864">
        <w:rPr>
          <w:rFonts w:cs="David" w:hint="eastAsia"/>
          <w:sz w:val="24"/>
          <w:szCs w:val="24"/>
          <w:rtl/>
        </w:rPr>
        <w:t>לנסיבות</w:t>
      </w:r>
      <w:r w:rsidRPr="005D0864">
        <w:rPr>
          <w:rFonts w:cs="David"/>
          <w:sz w:val="24"/>
          <w:szCs w:val="24"/>
          <w:rtl/>
        </w:rPr>
        <w:t xml:space="preserve"> </w:t>
      </w:r>
      <w:r w:rsidRPr="005D0864">
        <w:rPr>
          <w:rFonts w:cs="David" w:hint="eastAsia"/>
          <w:sz w:val="24"/>
          <w:szCs w:val="24"/>
          <w:rtl/>
        </w:rPr>
        <w:t>האישום</w:t>
      </w:r>
      <w:r w:rsidRPr="005D0864">
        <w:rPr>
          <w:rFonts w:cs="David"/>
          <w:sz w:val="24"/>
          <w:szCs w:val="24"/>
          <w:rtl/>
        </w:rPr>
        <w:t xml:space="preserve"> </w:t>
      </w:r>
      <w:r w:rsidRPr="005D0864">
        <w:rPr>
          <w:rFonts w:cs="David" w:hint="eastAsia"/>
          <w:sz w:val="24"/>
          <w:szCs w:val="24"/>
          <w:rtl/>
        </w:rPr>
        <w:t>כאירוע</w:t>
      </w:r>
      <w:r w:rsidRPr="005D0864">
        <w:rPr>
          <w:rFonts w:cs="David"/>
          <w:sz w:val="24"/>
          <w:szCs w:val="24"/>
          <w:rtl/>
        </w:rPr>
        <w:t xml:space="preserve"> </w:t>
      </w:r>
      <w:r w:rsidRPr="005D0864">
        <w:rPr>
          <w:rFonts w:cs="David" w:hint="eastAsia"/>
          <w:sz w:val="24"/>
          <w:szCs w:val="24"/>
          <w:rtl/>
        </w:rPr>
        <w:t>אחד</w:t>
      </w:r>
      <w:r w:rsidRPr="005D0864">
        <w:rPr>
          <w:rFonts w:cs="David"/>
          <w:sz w:val="24"/>
          <w:szCs w:val="24"/>
          <w:rtl/>
        </w:rPr>
        <w:t xml:space="preserve"> </w:t>
      </w:r>
      <w:r w:rsidRPr="005D0864">
        <w:rPr>
          <w:rFonts w:cs="David" w:hint="eastAsia"/>
          <w:sz w:val="24"/>
          <w:szCs w:val="24"/>
          <w:rtl/>
        </w:rPr>
        <w:t>או</w:t>
      </w:r>
      <w:r w:rsidRPr="005D0864">
        <w:rPr>
          <w:rFonts w:cs="David"/>
          <w:sz w:val="24"/>
          <w:szCs w:val="24"/>
          <w:rtl/>
        </w:rPr>
        <w:t xml:space="preserve"> </w:t>
      </w:r>
      <w:r w:rsidRPr="005D0864">
        <w:rPr>
          <w:rFonts w:cs="David" w:hint="eastAsia"/>
          <w:sz w:val="24"/>
          <w:szCs w:val="24"/>
          <w:rtl/>
        </w:rPr>
        <w:t>שמא</w:t>
      </w:r>
      <w:r w:rsidRPr="005D0864">
        <w:rPr>
          <w:rFonts w:cs="David"/>
          <w:sz w:val="24"/>
          <w:szCs w:val="24"/>
          <w:rtl/>
        </w:rPr>
        <w:t xml:space="preserve"> </w:t>
      </w:r>
      <w:r w:rsidRPr="005D0864">
        <w:rPr>
          <w:rFonts w:cs="David" w:hint="eastAsia"/>
          <w:sz w:val="24"/>
          <w:szCs w:val="24"/>
          <w:rtl/>
        </w:rPr>
        <w:t>מדובר</w:t>
      </w:r>
      <w:r w:rsidRPr="005D0864">
        <w:rPr>
          <w:rFonts w:cs="David"/>
          <w:sz w:val="24"/>
          <w:szCs w:val="24"/>
          <w:rtl/>
        </w:rPr>
        <w:t xml:space="preserve"> </w:t>
      </w:r>
      <w:r w:rsidRPr="005D0864">
        <w:rPr>
          <w:rFonts w:cs="David" w:hint="eastAsia"/>
          <w:sz w:val="24"/>
          <w:szCs w:val="24"/>
          <w:rtl/>
        </w:rPr>
        <w:t>במס</w:t>
      </w:r>
      <w:r>
        <w:rPr>
          <w:rFonts w:cs="David" w:hint="eastAsia"/>
          <w:sz w:val="24"/>
          <w:szCs w:val="24"/>
          <w:rtl/>
        </w:rPr>
        <w:t>פ</w:t>
      </w:r>
      <w:r w:rsidRPr="005D0864">
        <w:rPr>
          <w:rFonts w:cs="David" w:hint="eastAsia"/>
          <w:sz w:val="24"/>
          <w:szCs w:val="24"/>
          <w:rtl/>
        </w:rPr>
        <w:t>ר</w:t>
      </w:r>
      <w:r w:rsidRPr="005D0864">
        <w:rPr>
          <w:rFonts w:cs="David"/>
          <w:sz w:val="24"/>
          <w:szCs w:val="24"/>
          <w:rtl/>
        </w:rPr>
        <w:t xml:space="preserve"> </w:t>
      </w:r>
      <w:r w:rsidRPr="005D0864">
        <w:rPr>
          <w:rFonts w:cs="David" w:hint="eastAsia"/>
          <w:sz w:val="24"/>
          <w:szCs w:val="24"/>
          <w:rtl/>
        </w:rPr>
        <w:t>אירועים</w:t>
      </w:r>
      <w:r w:rsidRPr="005D0864">
        <w:rPr>
          <w:rFonts w:cs="David"/>
          <w:sz w:val="24"/>
          <w:szCs w:val="24"/>
          <w:rtl/>
        </w:rPr>
        <w:t xml:space="preserve"> </w:t>
      </w:r>
      <w:r w:rsidRPr="005D0864">
        <w:rPr>
          <w:rFonts w:cs="David" w:hint="eastAsia"/>
          <w:sz w:val="24"/>
          <w:szCs w:val="24"/>
          <w:rtl/>
        </w:rPr>
        <w:t>נפרדים</w:t>
      </w:r>
      <w:r w:rsidRPr="005D0864">
        <w:rPr>
          <w:rFonts w:cs="David"/>
          <w:sz w:val="24"/>
          <w:szCs w:val="24"/>
          <w:rtl/>
        </w:rPr>
        <w:t xml:space="preserve"> </w:t>
      </w:r>
      <w:r w:rsidRPr="005D0864">
        <w:rPr>
          <w:rFonts w:cs="David" w:hint="eastAsia"/>
          <w:sz w:val="24"/>
          <w:szCs w:val="24"/>
          <w:rtl/>
        </w:rPr>
        <w:t>המחייבים</w:t>
      </w:r>
      <w:r w:rsidRPr="005D0864">
        <w:rPr>
          <w:rFonts w:cs="David"/>
          <w:sz w:val="24"/>
          <w:szCs w:val="24"/>
          <w:rtl/>
        </w:rPr>
        <w:t xml:space="preserve"> </w:t>
      </w:r>
      <w:r w:rsidRPr="005D0864">
        <w:rPr>
          <w:rFonts w:cs="David" w:hint="eastAsia"/>
          <w:sz w:val="24"/>
          <w:szCs w:val="24"/>
          <w:rtl/>
        </w:rPr>
        <w:t>קביעת</w:t>
      </w:r>
      <w:r w:rsidRPr="005D0864">
        <w:rPr>
          <w:rFonts w:cs="David"/>
          <w:sz w:val="24"/>
          <w:szCs w:val="24"/>
          <w:rtl/>
        </w:rPr>
        <w:t xml:space="preserve"> </w:t>
      </w:r>
      <w:r w:rsidRPr="005D0864">
        <w:rPr>
          <w:rFonts w:cs="David" w:hint="eastAsia"/>
          <w:sz w:val="24"/>
          <w:szCs w:val="24"/>
          <w:rtl/>
        </w:rPr>
        <w:t>מתחמי</w:t>
      </w:r>
      <w:r w:rsidRPr="005D0864">
        <w:rPr>
          <w:rFonts w:cs="David"/>
          <w:sz w:val="24"/>
          <w:szCs w:val="24"/>
          <w:rtl/>
        </w:rPr>
        <w:t xml:space="preserve"> </w:t>
      </w:r>
      <w:r w:rsidRPr="005D0864">
        <w:rPr>
          <w:rFonts w:cs="David" w:hint="eastAsia"/>
          <w:sz w:val="24"/>
          <w:szCs w:val="24"/>
          <w:rtl/>
        </w:rPr>
        <w:t>ענישה</w:t>
      </w:r>
      <w:r w:rsidRPr="005D0864">
        <w:rPr>
          <w:rFonts w:cs="David"/>
          <w:sz w:val="24"/>
          <w:szCs w:val="24"/>
          <w:rtl/>
        </w:rPr>
        <w:t xml:space="preserve"> </w:t>
      </w:r>
      <w:r w:rsidRPr="005D0864">
        <w:rPr>
          <w:rFonts w:cs="David" w:hint="eastAsia"/>
          <w:sz w:val="24"/>
          <w:szCs w:val="24"/>
          <w:rtl/>
        </w:rPr>
        <w:t>שונים</w:t>
      </w:r>
      <w:r w:rsidRPr="005D0864">
        <w:rPr>
          <w:rFonts w:cs="David"/>
          <w:sz w:val="24"/>
          <w:szCs w:val="24"/>
          <w:rtl/>
        </w:rPr>
        <w:t xml:space="preserve">. </w:t>
      </w:r>
    </w:p>
    <w:p w14:paraId="485941A4" w14:textId="77777777" w:rsidR="00D16716" w:rsidRPr="008146F0" w:rsidRDefault="00D16716" w:rsidP="001222D1">
      <w:pPr>
        <w:spacing w:line="360" w:lineRule="auto"/>
        <w:ind w:left="360"/>
        <w:jc w:val="both"/>
        <w:rPr>
          <w:rtl/>
        </w:rPr>
      </w:pPr>
      <w:r w:rsidRPr="008146F0">
        <w:rPr>
          <w:rtl/>
        </w:rPr>
        <w:t xml:space="preserve">פסיקת בית המשפט העליון בעניין בני ג'אבר התמודדה עם השאלה העקרונית מתי ייחשבו עובדות המקרה כמקימים אירועים שונים. </w:t>
      </w:r>
    </w:p>
    <w:p w14:paraId="23381416" w14:textId="77777777" w:rsidR="00D16716" w:rsidRPr="008146F0" w:rsidRDefault="00D16716" w:rsidP="001222D1">
      <w:pPr>
        <w:spacing w:line="360" w:lineRule="auto"/>
        <w:ind w:left="360"/>
        <w:jc w:val="both"/>
        <w:rPr>
          <w:rtl/>
        </w:rPr>
      </w:pPr>
      <w:r w:rsidRPr="008146F0">
        <w:rPr>
          <w:rtl/>
        </w:rPr>
        <w:t>ב</w:t>
      </w:r>
      <w:hyperlink r:id="rId16" w:history="1">
        <w:r w:rsidR="00990309" w:rsidRPr="00990309">
          <w:rPr>
            <w:color w:val="0000FF"/>
            <w:u w:val="single"/>
            <w:rtl/>
          </w:rPr>
          <w:t>ע"פ 4910/13</w:t>
        </w:r>
      </w:hyperlink>
      <w:r w:rsidRPr="008146F0">
        <w:rPr>
          <w:rtl/>
        </w:rPr>
        <w:t xml:space="preserve"> </w:t>
      </w:r>
      <w:r w:rsidRPr="008146F0">
        <w:rPr>
          <w:b/>
          <w:bCs/>
          <w:rtl/>
        </w:rPr>
        <w:t>אחמד בני ג'אבר נגד מדינת ישראל</w:t>
      </w:r>
      <w:r w:rsidRPr="008146F0">
        <w:rPr>
          <w:rtl/>
        </w:rPr>
        <w:t xml:space="preserve"> (29.10.14) (פורסם באתר נבו), בדעת הרוב, בחוות דעתו של כבוד השופט ע' פוגלמן נפסק: </w:t>
      </w:r>
    </w:p>
    <w:p w14:paraId="39674BDC" w14:textId="77777777" w:rsidR="00D16716" w:rsidRPr="008146F0" w:rsidRDefault="00D16716" w:rsidP="001222D1">
      <w:pPr>
        <w:spacing w:line="360" w:lineRule="auto"/>
        <w:jc w:val="both"/>
        <w:rPr>
          <w:rtl/>
        </w:rPr>
      </w:pPr>
    </w:p>
    <w:p w14:paraId="4AD615C8" w14:textId="77777777" w:rsidR="00D16716" w:rsidRPr="008146F0" w:rsidRDefault="00D16716" w:rsidP="001222D1">
      <w:pPr>
        <w:spacing w:line="360" w:lineRule="auto"/>
        <w:ind w:left="720"/>
        <w:jc w:val="both"/>
        <w:rPr>
          <w:rtl/>
        </w:rPr>
      </w:pPr>
      <w:r w:rsidRPr="008146F0">
        <w:rPr>
          <w:b/>
          <w:bCs/>
          <w:rtl/>
        </w:rPr>
        <w:t>"להשקפתי התיבה "אירוע אחד" רחבה דיה כדי לכלול גם פעולות עברייניות שבוצעו על פני רצף זמן; כללו מעשים שונים; ביחס לקורבנות שונים; ובמקומות שונים. הכל – כל עוד הם מהווים מסכת עבריינית אחת. נמצאנו למדים כי הבחינה אם העבירות השונות שביצע הנאשם מהוות "אירוע אחד" היא תכליתית-פונקציונאלית"</w:t>
      </w:r>
      <w:r w:rsidRPr="008146F0">
        <w:rPr>
          <w:rtl/>
        </w:rPr>
        <w:t>.</w:t>
      </w:r>
    </w:p>
    <w:p w14:paraId="120E71DA" w14:textId="77777777" w:rsidR="00D16716" w:rsidRPr="008146F0" w:rsidRDefault="00D16716" w:rsidP="001222D1">
      <w:pPr>
        <w:spacing w:line="360" w:lineRule="auto"/>
        <w:jc w:val="both"/>
        <w:rPr>
          <w:rtl/>
        </w:rPr>
      </w:pPr>
    </w:p>
    <w:p w14:paraId="4F3263A7" w14:textId="77777777" w:rsidR="00D16716" w:rsidRPr="00B07114" w:rsidRDefault="00D16716" w:rsidP="001222D1">
      <w:pPr>
        <w:pStyle w:val="ac"/>
        <w:spacing w:line="360" w:lineRule="auto"/>
        <w:ind w:left="360"/>
        <w:jc w:val="both"/>
        <w:rPr>
          <w:rFonts w:ascii="David" w:hAnsi="David" w:cs="David"/>
          <w:sz w:val="24"/>
          <w:szCs w:val="24"/>
          <w:rtl/>
        </w:rPr>
      </w:pPr>
      <w:r w:rsidRPr="00B07114">
        <w:rPr>
          <w:rFonts w:ascii="David" w:hAnsi="David" w:cs="David"/>
          <w:sz w:val="24"/>
          <w:szCs w:val="24"/>
          <w:rtl/>
        </w:rPr>
        <w:t xml:space="preserve">לשיטתי, </w:t>
      </w:r>
      <w:r w:rsidRPr="00B07114">
        <w:rPr>
          <w:rFonts w:ascii="David" w:hAnsi="David" w:cs="David"/>
          <w:sz w:val="24"/>
          <w:szCs w:val="24"/>
          <w:u w:val="single"/>
          <w:rtl/>
        </w:rPr>
        <w:t>אין מנוס מקביעת מתחמים שונים עבור האירועים השונים</w:t>
      </w:r>
      <w:r w:rsidRPr="00B07114">
        <w:rPr>
          <w:rFonts w:ascii="David" w:hAnsi="David" w:cs="David"/>
          <w:sz w:val="24"/>
          <w:szCs w:val="24"/>
          <w:rtl/>
        </w:rPr>
        <w:t xml:space="preserve">. מדובר באירועים ממועדים שונים, שנסיבותיהם שונות באופן מהותי. האישום הראשון ייחס לנאשם החזקה של כמות משמעותית של סמים בתוך אופנוע שחנה בקרבת מה לביתו. חרף פגמים שנפלו בחיפוש שהוביל לתפיסת הסמים, קבעתי שאין זה ראוי לפסול את הראיה, וכי הביטוי לפגמים אלה יימצא בשלב העונש בכך שיוענק לנתון זה משקל של ממש. ייחודיות זו, שנוגעת אך ורק לאישום הראשון, מצדיקה, כשלעצמה, קביעת מתחם נפרד לאירוע זה. </w:t>
      </w:r>
    </w:p>
    <w:p w14:paraId="5B25E4FE" w14:textId="77777777" w:rsidR="00D16716" w:rsidRDefault="00D16716" w:rsidP="001222D1">
      <w:pPr>
        <w:pStyle w:val="ac"/>
        <w:spacing w:line="360" w:lineRule="auto"/>
        <w:ind w:left="360"/>
        <w:jc w:val="both"/>
        <w:rPr>
          <w:rFonts w:ascii="David" w:hAnsi="David" w:cs="David"/>
          <w:sz w:val="24"/>
          <w:szCs w:val="24"/>
          <w:rtl/>
        </w:rPr>
      </w:pPr>
    </w:p>
    <w:p w14:paraId="57CED09E" w14:textId="77777777" w:rsidR="00D16716" w:rsidRPr="00046973" w:rsidRDefault="00D16716" w:rsidP="001222D1">
      <w:pPr>
        <w:pStyle w:val="ac"/>
        <w:spacing w:line="360" w:lineRule="auto"/>
        <w:ind w:left="360"/>
        <w:jc w:val="both"/>
        <w:rPr>
          <w:rFonts w:ascii="David" w:hAnsi="David" w:cs="David"/>
          <w:sz w:val="24"/>
          <w:szCs w:val="24"/>
          <w:rtl/>
        </w:rPr>
      </w:pPr>
      <w:r w:rsidRPr="00046973">
        <w:rPr>
          <w:rFonts w:ascii="David" w:hAnsi="David" w:cs="David"/>
          <w:sz w:val="24"/>
          <w:szCs w:val="24"/>
          <w:rtl/>
        </w:rPr>
        <w:t xml:space="preserve">ביחס לאישום השני, הנאשם זוכה מעבירת הסחר והורשע בהחזקה שלא לצריכה עצמית, יחד עם אחר, בנסיבות מסוימות כפי שפורט בהכרעת הדין. מדובר בסמים שנרכשו על ידי הנאשם יחד עם אחר, לצורך צריכה משותפת יחד עם אחרים. זוהי סיבה נוספת מדוע נכון לייחד מתחם נפרד גם לאישום זה. </w:t>
      </w:r>
    </w:p>
    <w:p w14:paraId="34263044" w14:textId="77777777" w:rsidR="00D16716" w:rsidRDefault="00D16716" w:rsidP="001222D1">
      <w:pPr>
        <w:pStyle w:val="ac"/>
        <w:spacing w:line="360" w:lineRule="auto"/>
        <w:ind w:left="360"/>
        <w:jc w:val="both"/>
        <w:rPr>
          <w:rFonts w:ascii="David" w:hAnsi="David" w:cs="David"/>
          <w:sz w:val="24"/>
          <w:szCs w:val="24"/>
          <w:rtl/>
        </w:rPr>
      </w:pPr>
    </w:p>
    <w:p w14:paraId="381665A3" w14:textId="77777777" w:rsidR="00D16716" w:rsidRPr="00046973" w:rsidRDefault="00D16716" w:rsidP="001222D1">
      <w:pPr>
        <w:pStyle w:val="ac"/>
        <w:spacing w:line="360" w:lineRule="auto"/>
        <w:ind w:left="360"/>
        <w:jc w:val="both"/>
        <w:rPr>
          <w:rFonts w:ascii="David" w:hAnsi="David" w:cs="David"/>
          <w:sz w:val="24"/>
          <w:szCs w:val="24"/>
          <w:rtl/>
        </w:rPr>
      </w:pPr>
      <w:r w:rsidRPr="00046973">
        <w:rPr>
          <w:rFonts w:ascii="David" w:hAnsi="David" w:cs="David"/>
          <w:sz w:val="24"/>
          <w:szCs w:val="24"/>
          <w:rtl/>
        </w:rPr>
        <w:t xml:space="preserve">האישום השלישי מתייחס בתורו לכמות קטנה יחסית בביתו של הנאשם, לגבי נדחו טענותיו של הנאשם להחזקה שנועדה לצריכתו העצמית (לאחר שלא הפריך את החזקה בחוק). </w:t>
      </w:r>
    </w:p>
    <w:p w14:paraId="4E45FC40" w14:textId="77777777" w:rsidR="00D16716" w:rsidRDefault="00D16716" w:rsidP="001222D1">
      <w:pPr>
        <w:pStyle w:val="ac"/>
        <w:spacing w:line="360" w:lineRule="auto"/>
        <w:ind w:left="360"/>
        <w:jc w:val="both"/>
        <w:rPr>
          <w:rFonts w:ascii="David" w:hAnsi="David" w:cs="David"/>
          <w:sz w:val="24"/>
          <w:szCs w:val="24"/>
          <w:rtl/>
        </w:rPr>
      </w:pPr>
    </w:p>
    <w:p w14:paraId="6DEAFB83" w14:textId="77777777" w:rsidR="00D16716" w:rsidRDefault="00D16716" w:rsidP="001222D1">
      <w:pPr>
        <w:pStyle w:val="ac"/>
        <w:spacing w:line="360" w:lineRule="auto"/>
        <w:ind w:left="360"/>
        <w:jc w:val="both"/>
        <w:rPr>
          <w:rFonts w:ascii="David" w:hAnsi="David" w:cs="David"/>
          <w:sz w:val="24"/>
          <w:szCs w:val="24"/>
          <w:rtl/>
        </w:rPr>
      </w:pPr>
      <w:r w:rsidRPr="00046973">
        <w:rPr>
          <w:rFonts w:ascii="David" w:hAnsi="David" w:cs="David"/>
          <w:sz w:val="24"/>
          <w:szCs w:val="24"/>
          <w:rtl/>
        </w:rPr>
        <w:t xml:space="preserve">המכנה המשותף הנמוך בין האישומים השונים (שחוזר לסוג הסם וההחזקה בו שלא לצריכה עצמית), איננו גבוה דיו כדי "לספר" את סיפור האירועים השונים, אף לא בקירוב. המועדים השונים, ובעיקר הנסיבות השונות, מקשים על הצגת האירועים השונים כאירוע אחד, אותו ניתן לשקף בסיפור אחד של אירוע. </w:t>
      </w:r>
    </w:p>
    <w:p w14:paraId="6ABFCFBE" w14:textId="77777777" w:rsidR="00D16716" w:rsidRPr="00046973" w:rsidRDefault="00D16716" w:rsidP="001222D1">
      <w:pPr>
        <w:pStyle w:val="ac"/>
        <w:spacing w:line="360" w:lineRule="auto"/>
        <w:ind w:left="360"/>
        <w:jc w:val="both"/>
        <w:rPr>
          <w:rFonts w:ascii="David" w:hAnsi="David" w:cs="David"/>
          <w:sz w:val="24"/>
          <w:szCs w:val="24"/>
          <w:rtl/>
        </w:rPr>
      </w:pPr>
    </w:p>
    <w:p w14:paraId="5B918F4D" w14:textId="77777777" w:rsidR="00D16716" w:rsidRPr="00046973" w:rsidRDefault="00D16716" w:rsidP="001222D1">
      <w:pPr>
        <w:pStyle w:val="ac"/>
        <w:spacing w:line="360" w:lineRule="auto"/>
        <w:ind w:left="360"/>
        <w:jc w:val="both"/>
        <w:rPr>
          <w:rFonts w:ascii="David" w:hAnsi="David" w:cs="David"/>
          <w:sz w:val="24"/>
          <w:szCs w:val="24"/>
          <w:rtl/>
        </w:rPr>
      </w:pPr>
      <w:r>
        <w:rPr>
          <w:rFonts w:ascii="David" w:hAnsi="David" w:cs="David"/>
          <w:sz w:val="24"/>
          <w:szCs w:val="24"/>
          <w:rtl/>
        </w:rPr>
        <w:t xml:space="preserve">לדעתי, </w:t>
      </w:r>
      <w:r w:rsidRPr="00046973">
        <w:rPr>
          <w:rFonts w:ascii="David" w:hAnsi="David" w:cs="David"/>
          <w:sz w:val="24"/>
          <w:szCs w:val="24"/>
          <w:rtl/>
        </w:rPr>
        <w:t>חובת ההנמקה, במובנה המהותי, מצדיקה בנייה מודולרית של גזר הדין, וזאת בצל הנסיבות המיוחדות של המקר</w:t>
      </w:r>
      <w:r>
        <w:rPr>
          <w:rFonts w:ascii="David" w:hAnsi="David" w:cs="David"/>
          <w:sz w:val="24"/>
          <w:szCs w:val="24"/>
          <w:rtl/>
        </w:rPr>
        <w:t>ה. סבורני ש</w:t>
      </w:r>
      <w:r w:rsidRPr="00046973">
        <w:rPr>
          <w:rFonts w:ascii="David" w:hAnsi="David" w:cs="David"/>
          <w:sz w:val="24"/>
          <w:szCs w:val="24"/>
          <w:rtl/>
        </w:rPr>
        <w:t>תהיה בכך תרומה להנמקה ולהבניית שיקול הדעת השיפוטי, ברוח תיקון 113 ל</w:t>
      </w:r>
      <w:hyperlink r:id="rId17" w:history="1">
        <w:r w:rsidR="00990309" w:rsidRPr="00990309">
          <w:rPr>
            <w:rFonts w:ascii="David" w:hAnsi="David" w:cs="David"/>
            <w:color w:val="0000FF"/>
            <w:sz w:val="24"/>
            <w:szCs w:val="24"/>
            <w:u w:val="single"/>
            <w:rtl/>
          </w:rPr>
          <w:t>חוק העונשין</w:t>
        </w:r>
      </w:hyperlink>
      <w:r w:rsidRPr="00046973">
        <w:rPr>
          <w:rFonts w:ascii="David" w:hAnsi="David" w:cs="David"/>
          <w:sz w:val="24"/>
          <w:szCs w:val="24"/>
          <w:rtl/>
        </w:rPr>
        <w:t xml:space="preserve">. בנוסף, ההתייחסות לפגמים באישום הראשון, מצדיקה קביעת מתחם מיוחד, שיקל על בחינת מרכיבי הענישה השונים, וזאת, למשל, בשלב בחינת גזר הדין על ידי ערכאת הערעור, אם יוגש ערעור גם על הכרעת הדין. כאן המקום להזכיר כי הזיכוי מהאישום השני, והקביעות לגבי האישום הראשון, ניתנו לאור ניתוח משפטי על רקע הנסיבות המורכבות יחסית של המקרה. </w:t>
      </w:r>
    </w:p>
    <w:p w14:paraId="7A3370A9" w14:textId="77777777" w:rsidR="00D16716" w:rsidRDefault="00D16716" w:rsidP="001222D1">
      <w:pPr>
        <w:spacing w:line="360" w:lineRule="auto"/>
        <w:jc w:val="both"/>
        <w:rPr>
          <w:u w:val="single"/>
          <w:rtl/>
        </w:rPr>
      </w:pPr>
    </w:p>
    <w:p w14:paraId="2275EE9E" w14:textId="77777777" w:rsidR="00D16716" w:rsidRPr="004C0BCC" w:rsidRDefault="00D16716" w:rsidP="001222D1">
      <w:pPr>
        <w:spacing w:line="360" w:lineRule="auto"/>
        <w:jc w:val="both"/>
        <w:rPr>
          <w:u w:val="single"/>
          <w:rtl/>
        </w:rPr>
      </w:pPr>
      <w:r w:rsidRPr="004C0BCC">
        <w:rPr>
          <w:u w:val="single"/>
          <w:rtl/>
        </w:rPr>
        <w:t>מדיניות הענישה</w:t>
      </w:r>
    </w:p>
    <w:p w14:paraId="214FFA8B" w14:textId="77777777" w:rsidR="00D16716" w:rsidRPr="008146F0" w:rsidRDefault="00D16716" w:rsidP="001222D1">
      <w:pPr>
        <w:spacing w:line="360" w:lineRule="auto"/>
        <w:jc w:val="both"/>
      </w:pPr>
      <w:r>
        <w:rPr>
          <w:rtl/>
        </w:rPr>
        <w:t>באשר לענישה</w:t>
      </w:r>
      <w:r w:rsidRPr="008146F0">
        <w:rPr>
          <w:rtl/>
        </w:rPr>
        <w:t xml:space="preserve"> הנוהגת, </w:t>
      </w:r>
      <w:r>
        <w:rPr>
          <w:rtl/>
        </w:rPr>
        <w:t xml:space="preserve">שחלקה הוגש ע"י ב"כ הצדדים, </w:t>
      </w:r>
      <w:r w:rsidRPr="008146F0">
        <w:rPr>
          <w:rtl/>
        </w:rPr>
        <w:t>מצאתי להתייחס לפסקי הדין הבאים:</w:t>
      </w:r>
    </w:p>
    <w:p w14:paraId="144B637E" w14:textId="77777777" w:rsidR="00D16716" w:rsidRDefault="00990309" w:rsidP="001222D1">
      <w:pPr>
        <w:spacing w:line="360" w:lineRule="auto"/>
        <w:jc w:val="both"/>
        <w:rPr>
          <w:rtl/>
        </w:rPr>
      </w:pPr>
      <w:hyperlink r:id="rId18" w:history="1">
        <w:r w:rsidRPr="00990309">
          <w:rPr>
            <w:color w:val="0000FF"/>
            <w:u w:val="single"/>
            <w:rtl/>
          </w:rPr>
          <w:t>רע"פ 894/16</w:t>
        </w:r>
      </w:hyperlink>
      <w:r>
        <w:t xml:space="preserve"> </w:t>
      </w:r>
      <w:r w:rsidR="00D16716" w:rsidRPr="0042188D">
        <w:rPr>
          <w:b/>
          <w:bCs/>
          <w:rtl/>
        </w:rPr>
        <w:t>פרץ נ' מדינת ישראל</w:t>
      </w:r>
      <w:r>
        <w:rPr>
          <w:b/>
          <w:bCs/>
          <w:rtl/>
        </w:rPr>
        <w:t xml:space="preserve"> </w:t>
      </w:r>
      <w:r w:rsidR="00D16716">
        <w:rPr>
          <w:rtl/>
        </w:rPr>
        <w:t>[פורסם בנבו]</w:t>
      </w:r>
      <w:r>
        <w:t xml:space="preserve"> </w:t>
      </w:r>
      <w:r w:rsidR="00D16716" w:rsidRPr="0042188D">
        <w:rPr>
          <w:rtl/>
        </w:rPr>
        <w:t>(10.2.</w:t>
      </w:r>
      <w:r w:rsidR="00D16716">
        <w:rPr>
          <w:rtl/>
        </w:rPr>
        <w:t>20</w:t>
      </w:r>
      <w:r w:rsidR="00D16716" w:rsidRPr="0042188D">
        <w:rPr>
          <w:rtl/>
        </w:rPr>
        <w:t>16)</w:t>
      </w:r>
      <w:r w:rsidR="00D16716">
        <w:rPr>
          <w:rtl/>
        </w:rPr>
        <w:t>,</w:t>
      </w:r>
      <w:r w:rsidR="00D16716" w:rsidRPr="0042188D">
        <w:rPr>
          <w:rtl/>
        </w:rPr>
        <w:t xml:space="preserve"> דחה בית המשפט העליון בקשת רשות ערעור על פסק דינו של בית המשפט המחוזי, בו נדחה ערעור של המבקש על גזר דינו של בית משפט השלום, במסגרתו נגזרו עליו, לאחר שהורשע בהחזקת 31.05 גרם קוקאין</w:t>
      </w:r>
      <w:r w:rsidR="00D16716">
        <w:rPr>
          <w:rtl/>
        </w:rPr>
        <w:t>.</w:t>
      </w:r>
      <w:r>
        <w:rPr>
          <w:rtl/>
        </w:rPr>
        <w:t xml:space="preserve"> </w:t>
      </w:r>
      <w:r w:rsidR="00D16716">
        <w:rPr>
          <w:rtl/>
        </w:rPr>
        <w:t xml:space="preserve"> המתחם שנקבע, נע בין 15</w:t>
      </w:r>
      <w:r w:rsidR="00D16716" w:rsidRPr="0042188D">
        <w:rPr>
          <w:rtl/>
        </w:rPr>
        <w:t xml:space="preserve"> חודשי מאסר בפועל</w:t>
      </w:r>
      <w:r w:rsidR="00D16716">
        <w:rPr>
          <w:rtl/>
        </w:rPr>
        <w:t xml:space="preserve"> ועד 36 חודשי מאסר בפועל</w:t>
      </w:r>
      <w:r w:rsidR="00D16716" w:rsidRPr="0042188D">
        <w:rPr>
          <w:rtl/>
        </w:rPr>
        <w:t>,</w:t>
      </w:r>
      <w:r w:rsidR="00D16716">
        <w:rPr>
          <w:rtl/>
        </w:rPr>
        <w:t xml:space="preserve"> וכן, ענישה נלווית</w:t>
      </w:r>
      <w:r w:rsidR="00D16716" w:rsidRPr="0042188D">
        <w:rPr>
          <w:rtl/>
        </w:rPr>
        <w:t xml:space="preserve"> </w:t>
      </w:r>
      <w:r w:rsidR="00D16716">
        <w:rPr>
          <w:rtl/>
        </w:rPr>
        <w:t xml:space="preserve">של </w:t>
      </w:r>
      <w:r w:rsidR="00D16716" w:rsidRPr="0042188D">
        <w:rPr>
          <w:rtl/>
        </w:rPr>
        <w:t>מאסר מותנה, התחייבות ופסילת רישיון נהיגה על תנאי</w:t>
      </w:r>
      <w:r w:rsidR="00D16716">
        <w:rPr>
          <w:rtl/>
        </w:rPr>
        <w:t>;</w:t>
      </w:r>
    </w:p>
    <w:p w14:paraId="2B3486B5" w14:textId="77777777" w:rsidR="00D16716" w:rsidRPr="0042188D" w:rsidRDefault="00990309" w:rsidP="001222D1">
      <w:pPr>
        <w:spacing w:line="360" w:lineRule="auto"/>
        <w:jc w:val="both"/>
        <w:rPr>
          <w:rtl/>
        </w:rPr>
      </w:pPr>
      <w:hyperlink r:id="rId19" w:history="1">
        <w:r w:rsidRPr="00990309">
          <w:rPr>
            <w:color w:val="0000FF"/>
            <w:u w:val="single"/>
            <w:rtl/>
          </w:rPr>
          <w:t>רע"פ 5354/12</w:t>
        </w:r>
      </w:hyperlink>
      <w:r>
        <w:t xml:space="preserve"> </w:t>
      </w:r>
      <w:r w:rsidR="00D16716" w:rsidRPr="0042188D">
        <w:rPr>
          <w:b/>
          <w:bCs/>
          <w:rtl/>
        </w:rPr>
        <w:t>קובר נ' מדינת ישראל</w:t>
      </w:r>
      <w:r>
        <w:rPr>
          <w:b/>
          <w:bCs/>
          <w:rtl/>
        </w:rPr>
        <w:t xml:space="preserve"> </w:t>
      </w:r>
      <w:r w:rsidR="00D16716">
        <w:rPr>
          <w:rtl/>
        </w:rPr>
        <w:t>[</w:t>
      </w:r>
      <w:r w:rsidR="00D16716" w:rsidRPr="0042188D">
        <w:rPr>
          <w:rtl/>
        </w:rPr>
        <w:t>פורסם בנבו</w:t>
      </w:r>
      <w:r w:rsidR="00D16716">
        <w:rPr>
          <w:rtl/>
        </w:rPr>
        <w:t>]</w:t>
      </w:r>
      <w:r w:rsidR="00D16716" w:rsidRPr="0042188D">
        <w:rPr>
          <w:rtl/>
        </w:rPr>
        <w:t xml:space="preserve"> </w:t>
      </w:r>
      <w:r w:rsidR="00D16716">
        <w:rPr>
          <w:rtl/>
        </w:rPr>
        <w:t>(</w:t>
      </w:r>
      <w:r w:rsidR="00D16716" w:rsidRPr="0042188D">
        <w:rPr>
          <w:rtl/>
        </w:rPr>
        <w:t>12.7.</w:t>
      </w:r>
      <w:r w:rsidR="00D16716">
        <w:rPr>
          <w:rtl/>
        </w:rPr>
        <w:t>20</w:t>
      </w:r>
      <w:r w:rsidR="00D16716" w:rsidRPr="0042188D">
        <w:rPr>
          <w:rtl/>
        </w:rPr>
        <w:t>12)</w:t>
      </w:r>
      <w:r w:rsidR="00D16716">
        <w:rPr>
          <w:rtl/>
        </w:rPr>
        <w:t>,</w:t>
      </w:r>
      <w:r w:rsidR="00D16716" w:rsidRPr="0042188D">
        <w:rPr>
          <w:rtl/>
        </w:rPr>
        <w:t xml:space="preserve"> דחה בית המשפט העליון בקשת רשות ערעור על פסק דינו של בית המשפט המחוזי, שדחה את הערעור על גזר דינו של בית משפט השלום, שבו נגזרו 14 חודשי מאסר בפועל, מאסר מותנה, קנס ופסילה מלקבל או להחזיק רישיון נהיגה, על נאשם שהורשע בהחזקת 37.96 גרם קוקאין</w:t>
      </w:r>
      <w:r w:rsidR="00D16716">
        <w:rPr>
          <w:rtl/>
        </w:rPr>
        <w:t>;</w:t>
      </w:r>
    </w:p>
    <w:p w14:paraId="19208E7F" w14:textId="77777777" w:rsidR="00D16716" w:rsidRPr="00D41CA3" w:rsidRDefault="00990309" w:rsidP="001222D1">
      <w:pPr>
        <w:spacing w:line="360" w:lineRule="auto"/>
        <w:jc w:val="both"/>
      </w:pPr>
      <w:hyperlink r:id="rId20" w:history="1">
        <w:r w:rsidRPr="00990309">
          <w:rPr>
            <w:color w:val="0000FF"/>
            <w:u w:val="single"/>
            <w:rtl/>
          </w:rPr>
          <w:t>ע"פ 2279/15</w:t>
        </w:r>
      </w:hyperlink>
      <w:r w:rsidR="00D16716" w:rsidRPr="00D41CA3">
        <w:rPr>
          <w:rtl/>
        </w:rPr>
        <w:t xml:space="preserve"> </w:t>
      </w:r>
      <w:r w:rsidR="00D16716" w:rsidRPr="00D41CA3">
        <w:rPr>
          <w:b/>
          <w:bCs/>
          <w:rtl/>
        </w:rPr>
        <w:t xml:space="preserve">בורוחוב נ' מדינת ישראל </w:t>
      </w:r>
      <w:r w:rsidR="00D16716" w:rsidRPr="00D41CA3">
        <w:rPr>
          <w:rtl/>
        </w:rPr>
        <w:t xml:space="preserve">[פורסם בנבו] (31.1.2016), במסגרתו נדון נאשם שהורשע בעבירות של החזקת סם מסוכן מסוג חשיש לצריכה עצמית ובהחזקת כלים להכנת סם, ובאישום נוסף הורשע בעבירת החזקת סמים שלא לצריכה עצמית. באישום זה, דובר בסוגי סם מגוונים, בין היתר קוקאין במשקל כולל של כ- 50 גרם, חשיש במשקל של כ- 17.5 גרם ו- 293 טבליות </w:t>
      </w:r>
      <w:r w:rsidR="00D16716" w:rsidRPr="00D41CA3">
        <w:t>MDMA</w:t>
      </w:r>
      <w:r w:rsidR="00D16716" w:rsidRPr="00D41CA3">
        <w:rPr>
          <w:rtl/>
        </w:rPr>
        <w:t xml:space="preserve"> שהיו מחולקים לאריזות רבות. ביחס לעבירת ההחזקה, קבעה הערכאה הדיונית מתחם של 24 עד 48 חודשי מאסר. ערעור שהגיש הנאשם על חומרת העונש נדחה; </w:t>
      </w:r>
    </w:p>
    <w:p w14:paraId="11074F38" w14:textId="77777777" w:rsidR="00D16716" w:rsidRPr="00D41CA3" w:rsidRDefault="00990309" w:rsidP="001222D1">
      <w:pPr>
        <w:spacing w:line="360" w:lineRule="auto"/>
        <w:jc w:val="both"/>
        <w:rPr>
          <w:rtl/>
        </w:rPr>
      </w:pPr>
      <w:hyperlink r:id="rId21" w:history="1">
        <w:r w:rsidRPr="00990309">
          <w:rPr>
            <w:color w:val="0000FF"/>
            <w:u w:val="single"/>
            <w:rtl/>
          </w:rPr>
          <w:t>ת"פ (מחוזי ת"א) 6322-04-16</w:t>
        </w:r>
      </w:hyperlink>
      <w:r>
        <w:t xml:space="preserve"> </w:t>
      </w:r>
      <w:r w:rsidR="00D16716" w:rsidRPr="00D41CA3">
        <w:rPr>
          <w:b/>
          <w:bCs/>
          <w:rtl/>
        </w:rPr>
        <w:t xml:space="preserve">מדינת ישראל נ' כהן </w:t>
      </w:r>
      <w:r w:rsidR="00D16716" w:rsidRPr="00D41CA3">
        <w:rPr>
          <w:rtl/>
        </w:rPr>
        <w:t>[פורסם בנבו]</w:t>
      </w:r>
      <w:r>
        <w:rPr>
          <w:rtl/>
        </w:rPr>
        <w:t xml:space="preserve"> </w:t>
      </w:r>
      <w:r w:rsidR="00D16716" w:rsidRPr="00D41CA3">
        <w:t>(22.1.2018)</w:t>
      </w:r>
      <w:r w:rsidR="00D16716" w:rsidRPr="00D41CA3">
        <w:rPr>
          <w:rtl/>
        </w:rPr>
        <w:t xml:space="preserve">, הנאשם הורשע בעבירות של החזקת סם מסוכן שלא לצריכה עצמית ושיבוש הליכי משפט בכך שהשליך מחלון דירתו קוקאין במשקל כולל של 278 גרם, שהיה מחולק לשקיות, בזמן שהגיעו למקום שוטרים. באותו </w:t>
      </w:r>
      <w:r w:rsidR="00D16716" w:rsidRPr="00046973">
        <w:rPr>
          <w:rtl/>
        </w:rPr>
        <w:t>מקרה</w:t>
      </w:r>
      <w:r>
        <w:rPr>
          <w:rtl/>
        </w:rPr>
        <w:t xml:space="preserve"> </w:t>
      </w:r>
      <w:r w:rsidR="00D16716" w:rsidRPr="00046973">
        <w:rPr>
          <w:rtl/>
        </w:rPr>
        <w:t>נקבע מתחם ענישה הנע בין 18 ל-42 חודשי מאסר.</w:t>
      </w:r>
      <w:r w:rsidR="00D16716" w:rsidRPr="00D41CA3">
        <w:t xml:space="preserve"> </w:t>
      </w:r>
      <w:r w:rsidR="00D16716" w:rsidRPr="00D41CA3">
        <w:rPr>
          <w:rtl/>
        </w:rPr>
        <w:t>בעקבות נסיבות ייחודיות והליך שיקום מרשים ומשמעותי, מצא בית המשפט שיש לסטות ממתחם העונש והשית על הנאשם 6 חודשי מאסר לריצוי בדרך של עבודות שירות, לצד עונשים נלווים</w:t>
      </w:r>
      <w:r w:rsidR="00D16716" w:rsidRPr="00D41CA3">
        <w:t>.</w:t>
      </w:r>
    </w:p>
    <w:p w14:paraId="6076C9D8" w14:textId="77777777" w:rsidR="00D16716" w:rsidRDefault="00D16716" w:rsidP="001222D1">
      <w:pPr>
        <w:spacing w:line="360" w:lineRule="auto"/>
        <w:jc w:val="both"/>
        <w:rPr>
          <w:u w:val="single"/>
          <w:rtl/>
        </w:rPr>
      </w:pPr>
    </w:p>
    <w:p w14:paraId="482A4DA4" w14:textId="77777777" w:rsidR="00D16716" w:rsidRPr="008146F0" w:rsidRDefault="00D16716" w:rsidP="001222D1">
      <w:pPr>
        <w:spacing w:line="360" w:lineRule="auto"/>
        <w:jc w:val="both"/>
        <w:rPr>
          <w:u w:val="single"/>
          <w:rtl/>
        </w:rPr>
      </w:pPr>
      <w:r w:rsidRPr="008146F0">
        <w:rPr>
          <w:u w:val="single"/>
          <w:rtl/>
        </w:rPr>
        <w:t>מתחם העונש ההולם לגבי האישום הראשון</w:t>
      </w:r>
    </w:p>
    <w:p w14:paraId="19F1752E" w14:textId="77777777" w:rsidR="00D16716" w:rsidRPr="00046973" w:rsidRDefault="00D16716" w:rsidP="001222D1">
      <w:pPr>
        <w:pStyle w:val="ac"/>
        <w:numPr>
          <w:ilvl w:val="0"/>
          <w:numId w:val="20"/>
        </w:numPr>
        <w:spacing w:line="360" w:lineRule="auto"/>
        <w:jc w:val="both"/>
        <w:rPr>
          <w:rFonts w:ascii="David" w:hAnsi="David" w:cs="David"/>
          <w:sz w:val="24"/>
          <w:szCs w:val="24"/>
          <w:rtl/>
        </w:rPr>
      </w:pPr>
      <w:r w:rsidRPr="00046973">
        <w:rPr>
          <w:rFonts w:ascii="David" w:hAnsi="David" w:cs="David"/>
          <w:sz w:val="24"/>
          <w:szCs w:val="24"/>
          <w:rtl/>
        </w:rPr>
        <w:t xml:space="preserve">מדובר </w:t>
      </w:r>
      <w:r w:rsidRPr="00046973">
        <w:rPr>
          <w:rFonts w:ascii="David" w:hAnsi="David" w:cs="David"/>
          <w:b/>
          <w:bCs/>
          <w:sz w:val="24"/>
          <w:szCs w:val="24"/>
          <w:rtl/>
        </w:rPr>
        <w:t>בהחזקה שלא לצריכה עצמית</w:t>
      </w:r>
      <w:r w:rsidRPr="00046973">
        <w:rPr>
          <w:rFonts w:ascii="David" w:hAnsi="David" w:cs="David"/>
          <w:sz w:val="24"/>
          <w:szCs w:val="24"/>
          <w:rtl/>
        </w:rPr>
        <w:t xml:space="preserve"> של סמים במשקל של כ- 35 גרם (מסוג קוקאין, בתוכם כמות קטנה של סמים מסוג </w:t>
      </w:r>
      <w:r w:rsidRPr="00046973">
        <w:rPr>
          <w:rFonts w:ascii="David" w:hAnsi="David" w:cs="David"/>
          <w:sz w:val="24"/>
          <w:szCs w:val="24"/>
        </w:rPr>
        <w:t>MDMA</w:t>
      </w:r>
      <w:r w:rsidRPr="00046973">
        <w:rPr>
          <w:rFonts w:ascii="David" w:hAnsi="David" w:cs="David"/>
          <w:sz w:val="24"/>
          <w:szCs w:val="24"/>
          <w:rtl/>
        </w:rPr>
        <w:t xml:space="preserve">), שהוחזקו בתוך אופנוע שהיה בשימושו של הנאשם. בדרך השגת הראיה המרכזית (תפיסת הסמים) נפלו פגמים שדורגו על ידי כפגמים "בעוצמה בינונית". </w:t>
      </w:r>
    </w:p>
    <w:p w14:paraId="5F292F10" w14:textId="77777777" w:rsidR="00D16716" w:rsidRDefault="00D16716" w:rsidP="001222D1">
      <w:pPr>
        <w:pStyle w:val="ac"/>
        <w:spacing w:line="360" w:lineRule="auto"/>
        <w:ind w:left="360"/>
        <w:jc w:val="both"/>
        <w:rPr>
          <w:rFonts w:ascii="David" w:hAnsi="David" w:cs="David"/>
          <w:sz w:val="24"/>
          <w:szCs w:val="24"/>
          <w:rtl/>
        </w:rPr>
      </w:pPr>
    </w:p>
    <w:p w14:paraId="49FF7259" w14:textId="77777777" w:rsidR="00D16716" w:rsidRPr="00046973" w:rsidRDefault="00D16716" w:rsidP="001222D1">
      <w:pPr>
        <w:pStyle w:val="ac"/>
        <w:numPr>
          <w:ilvl w:val="0"/>
          <w:numId w:val="20"/>
        </w:numPr>
        <w:spacing w:line="360" w:lineRule="auto"/>
        <w:jc w:val="both"/>
        <w:rPr>
          <w:rFonts w:ascii="David" w:hAnsi="David" w:cs="David"/>
          <w:sz w:val="24"/>
          <w:szCs w:val="24"/>
          <w:rtl/>
        </w:rPr>
      </w:pPr>
      <w:r w:rsidRPr="00046973">
        <w:rPr>
          <w:rFonts w:ascii="David" w:hAnsi="David" w:cs="David"/>
          <w:sz w:val="24"/>
          <w:szCs w:val="24"/>
          <w:rtl/>
        </w:rPr>
        <w:t xml:space="preserve">תחילה אקבע מהו מתחם העונש ההולם למקרה הרגיל של החזקה מסוג זה. לאחר מכן, </w:t>
      </w:r>
      <w:r>
        <w:rPr>
          <w:rFonts w:ascii="David" w:hAnsi="David" w:cs="David"/>
          <w:sz w:val="24"/>
          <w:szCs w:val="24"/>
          <w:rtl/>
        </w:rPr>
        <w:t>אקבע מהו המשקל שיינתן לפגמים שנפלו בחיפוש</w:t>
      </w:r>
      <w:r w:rsidRPr="00046973">
        <w:rPr>
          <w:rFonts w:ascii="David" w:hAnsi="David" w:cs="David"/>
          <w:sz w:val="24"/>
          <w:szCs w:val="24"/>
          <w:rtl/>
        </w:rPr>
        <w:t xml:space="preserve">. </w:t>
      </w:r>
    </w:p>
    <w:p w14:paraId="67D28BA2" w14:textId="77777777" w:rsidR="00D16716" w:rsidRDefault="00D16716" w:rsidP="001222D1">
      <w:pPr>
        <w:pStyle w:val="ac"/>
        <w:spacing w:line="360" w:lineRule="auto"/>
        <w:ind w:left="360"/>
        <w:jc w:val="both"/>
        <w:rPr>
          <w:rFonts w:ascii="David" w:hAnsi="David" w:cs="David"/>
          <w:sz w:val="24"/>
          <w:szCs w:val="24"/>
          <w:rtl/>
        </w:rPr>
      </w:pPr>
    </w:p>
    <w:p w14:paraId="1343B4C0" w14:textId="77777777" w:rsidR="00D16716" w:rsidRPr="00046973" w:rsidRDefault="00D16716" w:rsidP="001222D1">
      <w:pPr>
        <w:pStyle w:val="ac"/>
        <w:spacing w:line="360" w:lineRule="auto"/>
        <w:ind w:left="360"/>
        <w:jc w:val="both"/>
        <w:rPr>
          <w:rFonts w:ascii="David" w:hAnsi="David" w:cs="David"/>
          <w:sz w:val="24"/>
          <w:szCs w:val="24"/>
          <w:rtl/>
        </w:rPr>
      </w:pPr>
      <w:r w:rsidRPr="00046973">
        <w:rPr>
          <w:rFonts w:ascii="David" w:hAnsi="David" w:cs="David"/>
          <w:sz w:val="24"/>
          <w:szCs w:val="24"/>
          <w:rtl/>
        </w:rPr>
        <w:t xml:space="preserve">אקדים את המאוחר ואציין שלשיטתי, מתחם העונש במקרה "הרגיל" (ללא הפגמים) נע בין 15 חודשי מאסר ועד 30 חודשי מאסר בפועל, כעונש עיקרי. בנסיבות המקרה שלפניי, ולאחר שהבאתי בחשבון את הפגמים שנפלו בחיפוש, </w:t>
      </w:r>
      <w:r w:rsidRPr="00046973">
        <w:rPr>
          <w:rFonts w:ascii="David" w:hAnsi="David" w:cs="David"/>
          <w:b/>
          <w:bCs/>
          <w:sz w:val="24"/>
          <w:szCs w:val="24"/>
          <w:rtl/>
        </w:rPr>
        <w:t>אני סבור שהמתחם מתחיל מ- 10 חודשי מאסר ועד 20 חודשי מאסר בפועל</w:t>
      </w:r>
      <w:r w:rsidRPr="00046973">
        <w:rPr>
          <w:rFonts w:ascii="David" w:hAnsi="David" w:cs="David"/>
          <w:sz w:val="24"/>
          <w:szCs w:val="24"/>
          <w:rtl/>
        </w:rPr>
        <w:t xml:space="preserve">. </w:t>
      </w:r>
    </w:p>
    <w:p w14:paraId="2779D6A2" w14:textId="77777777" w:rsidR="00D16716" w:rsidRDefault="00D16716" w:rsidP="001222D1">
      <w:pPr>
        <w:spacing w:line="360" w:lineRule="auto"/>
        <w:jc w:val="both"/>
        <w:rPr>
          <w:rtl/>
        </w:rPr>
      </w:pPr>
    </w:p>
    <w:p w14:paraId="082BD720" w14:textId="77777777" w:rsidR="00D16716" w:rsidRPr="008146F0" w:rsidRDefault="00D16716" w:rsidP="001222D1">
      <w:pPr>
        <w:spacing w:line="360" w:lineRule="auto"/>
        <w:jc w:val="both"/>
        <w:rPr>
          <w:rtl/>
        </w:rPr>
      </w:pPr>
      <w:r w:rsidRPr="008146F0">
        <w:rPr>
          <w:rtl/>
        </w:rPr>
        <w:t xml:space="preserve">ואלה נימוקיי: </w:t>
      </w:r>
    </w:p>
    <w:p w14:paraId="14E8AB0A" w14:textId="77777777" w:rsidR="00D16716" w:rsidRPr="00A11915" w:rsidRDefault="00D16716" w:rsidP="001222D1">
      <w:pPr>
        <w:pStyle w:val="ac"/>
        <w:numPr>
          <w:ilvl w:val="0"/>
          <w:numId w:val="20"/>
        </w:numPr>
        <w:spacing w:line="360" w:lineRule="auto"/>
        <w:jc w:val="both"/>
        <w:rPr>
          <w:rFonts w:ascii="David" w:hAnsi="David" w:cs="David"/>
          <w:sz w:val="24"/>
          <w:szCs w:val="24"/>
          <w:rtl/>
        </w:rPr>
      </w:pPr>
      <w:r w:rsidRPr="00A11915">
        <w:rPr>
          <w:rFonts w:ascii="David" w:hAnsi="David" w:cs="David"/>
          <w:sz w:val="24"/>
          <w:szCs w:val="24"/>
          <w:rtl/>
        </w:rPr>
        <w:t xml:space="preserve">הערכים המוגנים בבסיס העבירה של החזקת סמים מסוג קוקאין בכמות כזו ברור מאליו, והוא חוזר לצורך החברתי במיגור תופעת השימוש בסמים "קשים", החזקתם שלא לצריכה עצמית, כדי לשמור על בריאות הציבור ושלומו. מצופה מבית המשפט להרים תרומתו למלחמה בנגע הסם שפשה בחברה. תרומה זו חייבת להיתרגם לענישה כואבת שתהלום את חומרת המעשה, וזאת לפי שיקול הגמול. </w:t>
      </w:r>
    </w:p>
    <w:p w14:paraId="3CF64BE4" w14:textId="77777777" w:rsidR="00D16716" w:rsidRDefault="00D16716" w:rsidP="001222D1">
      <w:pPr>
        <w:pStyle w:val="ac"/>
        <w:spacing w:line="360" w:lineRule="auto"/>
        <w:ind w:left="360"/>
        <w:jc w:val="both"/>
        <w:rPr>
          <w:rFonts w:ascii="David" w:hAnsi="David" w:cs="David"/>
          <w:sz w:val="24"/>
          <w:szCs w:val="24"/>
          <w:rtl/>
        </w:rPr>
      </w:pPr>
    </w:p>
    <w:p w14:paraId="4FCA3894" w14:textId="77777777" w:rsidR="00D16716" w:rsidRPr="00046973" w:rsidRDefault="00D16716" w:rsidP="001222D1">
      <w:pPr>
        <w:pStyle w:val="ac"/>
        <w:spacing w:line="360" w:lineRule="auto"/>
        <w:ind w:left="360"/>
        <w:jc w:val="both"/>
        <w:rPr>
          <w:rFonts w:ascii="David" w:hAnsi="David" w:cs="David"/>
          <w:sz w:val="24"/>
          <w:szCs w:val="24"/>
          <w:rtl/>
        </w:rPr>
      </w:pPr>
      <w:r w:rsidRPr="00046973">
        <w:rPr>
          <w:rFonts w:ascii="David" w:hAnsi="David" w:cs="David"/>
          <w:sz w:val="24"/>
          <w:szCs w:val="24"/>
          <w:rtl/>
        </w:rPr>
        <w:t xml:space="preserve">בחינת מידת הפגיעה בערכים המוגנים תעשה לפי נסיבות ביצוע העבירה. מדובר בהחזקה שלא לצריכה עצמית, בתוך המרחב הציבורי, ברכב בשימוש הנאשם, ולא בביתו, כשמדובר בכמות משמעותית מסוג קוקאין. על הכמות המשמעותית ניתן ללמוד מהיחס בין הכמות </w:t>
      </w:r>
      <w:r>
        <w:rPr>
          <w:rFonts w:ascii="David" w:hAnsi="David" w:cs="David"/>
          <w:sz w:val="24"/>
          <w:szCs w:val="24"/>
          <w:rtl/>
        </w:rPr>
        <w:t xml:space="preserve">שנתפסה </w:t>
      </w:r>
      <w:r w:rsidRPr="00046973">
        <w:rPr>
          <w:rFonts w:ascii="David" w:hAnsi="David" w:cs="David"/>
          <w:sz w:val="24"/>
          <w:szCs w:val="24"/>
          <w:rtl/>
        </w:rPr>
        <w:t xml:space="preserve">לבין הכמות שנקבעה על ידי המחוקק לצורך החזקה שלא לצריכה עצמית לפי סוג הסם (יחס של למעלה 1:100 בקירוב). בנוסף, החזיק הנאשם כמות קטנה נוספת מסוג </w:t>
      </w:r>
      <w:r w:rsidRPr="00046973">
        <w:rPr>
          <w:rFonts w:ascii="David" w:hAnsi="David" w:cs="David"/>
          <w:sz w:val="24"/>
          <w:szCs w:val="24"/>
        </w:rPr>
        <w:t>MDMA</w:t>
      </w:r>
      <w:r w:rsidRPr="00046973">
        <w:rPr>
          <w:rFonts w:ascii="David" w:hAnsi="David" w:cs="David"/>
          <w:sz w:val="24"/>
          <w:szCs w:val="24"/>
          <w:rtl/>
        </w:rPr>
        <w:t xml:space="preserve">. </w:t>
      </w:r>
    </w:p>
    <w:p w14:paraId="1BE95BF0" w14:textId="77777777" w:rsidR="00D16716" w:rsidRDefault="00D16716" w:rsidP="001222D1">
      <w:pPr>
        <w:pStyle w:val="ac"/>
        <w:spacing w:line="360" w:lineRule="auto"/>
        <w:ind w:left="360"/>
        <w:jc w:val="both"/>
        <w:rPr>
          <w:rFonts w:ascii="David" w:hAnsi="David" w:cs="David"/>
          <w:sz w:val="24"/>
          <w:szCs w:val="24"/>
          <w:rtl/>
        </w:rPr>
      </w:pPr>
    </w:p>
    <w:p w14:paraId="6278B551" w14:textId="77777777" w:rsidR="00D16716" w:rsidRPr="00046973" w:rsidRDefault="00D16716" w:rsidP="001222D1">
      <w:pPr>
        <w:pStyle w:val="ac"/>
        <w:spacing w:line="360" w:lineRule="auto"/>
        <w:ind w:left="360"/>
        <w:jc w:val="both"/>
        <w:rPr>
          <w:rFonts w:ascii="David" w:hAnsi="David" w:cs="David"/>
          <w:sz w:val="24"/>
          <w:szCs w:val="24"/>
          <w:rtl/>
        </w:rPr>
      </w:pPr>
      <w:r w:rsidRPr="00046973">
        <w:rPr>
          <w:rFonts w:ascii="David" w:hAnsi="David" w:cs="David"/>
          <w:sz w:val="24"/>
          <w:szCs w:val="24"/>
          <w:rtl/>
        </w:rPr>
        <w:t xml:space="preserve">לעובדה שמדובר בסם שנתפס טרם הפצתו או שימוש אחר בו (טענה שעלתה בטיעוני ההגנה לעונש), וכן לעובדה שמדובר בהחזקה ללא ראיות פוזיטיביות לסחר בסמים, יינתן משקל מסוים, אם כי מוגבל. שכן, ככל שמדובר בכמות גדולה יותר, כך ניתן ללמוד מהפסיקה, מיטשטש קו הגבול בענישה בין עבירת ההחזקה שלא לצריכה עצמית לבין עבירת הסחר. </w:t>
      </w:r>
    </w:p>
    <w:p w14:paraId="4BD0C7EE" w14:textId="77777777" w:rsidR="00D16716" w:rsidRDefault="00D16716" w:rsidP="001222D1">
      <w:pPr>
        <w:pStyle w:val="ac"/>
        <w:spacing w:line="360" w:lineRule="auto"/>
        <w:ind w:left="360"/>
        <w:jc w:val="both"/>
        <w:rPr>
          <w:rFonts w:ascii="David" w:hAnsi="David" w:cs="David"/>
          <w:sz w:val="24"/>
          <w:szCs w:val="24"/>
          <w:rtl/>
        </w:rPr>
      </w:pPr>
    </w:p>
    <w:p w14:paraId="2392D7B2" w14:textId="77777777" w:rsidR="00D16716" w:rsidRPr="00046973" w:rsidRDefault="00D16716" w:rsidP="001222D1">
      <w:pPr>
        <w:pStyle w:val="ac"/>
        <w:spacing w:line="360" w:lineRule="auto"/>
        <w:ind w:left="360"/>
        <w:jc w:val="both"/>
        <w:rPr>
          <w:rFonts w:ascii="David" w:hAnsi="David" w:cs="David"/>
          <w:sz w:val="24"/>
          <w:szCs w:val="24"/>
          <w:rtl/>
        </w:rPr>
      </w:pPr>
      <w:r w:rsidRPr="00046973">
        <w:rPr>
          <w:rFonts w:ascii="David" w:hAnsi="David" w:cs="David"/>
          <w:sz w:val="24"/>
          <w:szCs w:val="24"/>
          <w:rtl/>
        </w:rPr>
        <w:t>ב</w:t>
      </w:r>
      <w:hyperlink r:id="rId22" w:history="1">
        <w:r w:rsidR="00990309" w:rsidRPr="00990309">
          <w:rPr>
            <w:rFonts w:ascii="David" w:hAnsi="David" w:cs="David"/>
            <w:color w:val="0000FF"/>
            <w:sz w:val="24"/>
            <w:szCs w:val="24"/>
            <w:u w:val="single"/>
            <w:rtl/>
          </w:rPr>
          <w:t>עפ"ג 37896-03-21</w:t>
        </w:r>
      </w:hyperlink>
      <w:r w:rsidRPr="00046973">
        <w:rPr>
          <w:rFonts w:ascii="David" w:hAnsi="David" w:cs="David"/>
          <w:sz w:val="24"/>
          <w:szCs w:val="24"/>
          <w:rtl/>
        </w:rPr>
        <w:t xml:space="preserve"> </w:t>
      </w:r>
      <w:r w:rsidRPr="00046973">
        <w:rPr>
          <w:rFonts w:ascii="David" w:hAnsi="David" w:cs="David"/>
          <w:b/>
          <w:bCs/>
          <w:sz w:val="24"/>
          <w:szCs w:val="24"/>
          <w:rtl/>
        </w:rPr>
        <w:t>מדינת ישראל נגד חליל חדאד</w:t>
      </w:r>
      <w:r w:rsidRPr="00046973">
        <w:rPr>
          <w:rFonts w:ascii="David" w:hAnsi="David" w:cs="David"/>
          <w:sz w:val="24"/>
          <w:szCs w:val="24"/>
          <w:rtl/>
        </w:rPr>
        <w:t xml:space="preserve">, דן כבוד בית המשפט המחוזי בתל אביב, בגזר דין שניתן על ידי ואשר התייחס, בין השאר, למתחם העונש ההולם בעבירות של החזקת סמים בכמות של כ- 33 גרם קוקאין. באותו מקרה, הצטרפו להחזקה עבירות של סחר בסמים, אך ניתן לראות שעבירת ההחזקה תרמה למתחם הכולל לפי משקל יחסי בין 12 חודשי מאסר ועד 24 חודשי מאסר. אמנם הערעור התקבל בחלקו, אך לא ביחס ליחידת העונש הבסיסית. הצדדים הסכימו, בהמלצת ערכאת הערעור, לצבירה משמעותית (חלקית) של מאסר על תנאי שהופעל. בית המשפט המחוזי הנכבד לא התערב בעונש שניתן בגין המעשים עצמם. </w:t>
      </w:r>
    </w:p>
    <w:p w14:paraId="53698029" w14:textId="77777777" w:rsidR="00D16716" w:rsidRDefault="00D16716" w:rsidP="001222D1">
      <w:pPr>
        <w:pStyle w:val="ac"/>
        <w:spacing w:line="360" w:lineRule="auto"/>
        <w:ind w:left="360"/>
        <w:jc w:val="both"/>
        <w:rPr>
          <w:rFonts w:ascii="David" w:hAnsi="David" w:cs="David"/>
          <w:sz w:val="24"/>
          <w:szCs w:val="24"/>
        </w:rPr>
      </w:pPr>
    </w:p>
    <w:p w14:paraId="11667D17" w14:textId="77777777" w:rsidR="00D16716" w:rsidRPr="00046973" w:rsidRDefault="00D16716" w:rsidP="001222D1">
      <w:pPr>
        <w:pStyle w:val="ac"/>
        <w:spacing w:line="360" w:lineRule="auto"/>
        <w:ind w:left="360"/>
        <w:jc w:val="both"/>
        <w:rPr>
          <w:rFonts w:ascii="David" w:hAnsi="David" w:cs="David"/>
          <w:sz w:val="24"/>
          <w:szCs w:val="24"/>
          <w:rtl/>
        </w:rPr>
      </w:pPr>
      <w:r w:rsidRPr="00046973">
        <w:rPr>
          <w:rFonts w:ascii="David" w:hAnsi="David" w:cs="David"/>
          <w:sz w:val="24"/>
          <w:szCs w:val="24"/>
          <w:rtl/>
        </w:rPr>
        <w:t xml:space="preserve">המקרה שלפנינו, בהיבטים מסוימים, חמור מהמקרה שם. ראשית, מדובר בהחזקה בתוך רכב שהונח במרחב הציבורי, כשבעניין חדאד דובר על החזקה בבית הנאשם. שנית, במקרה שלפנינו מדובר על שני סוגי סמים (קוקאין ו- </w:t>
      </w:r>
      <w:r w:rsidRPr="00046973">
        <w:rPr>
          <w:rFonts w:ascii="David" w:hAnsi="David" w:cs="David"/>
          <w:sz w:val="24"/>
          <w:szCs w:val="24"/>
        </w:rPr>
        <w:t>MDMA</w:t>
      </w:r>
      <w:r w:rsidRPr="00046973">
        <w:rPr>
          <w:rFonts w:ascii="David" w:hAnsi="David" w:cs="David"/>
          <w:sz w:val="24"/>
          <w:szCs w:val="24"/>
          <w:rtl/>
        </w:rPr>
        <w:t>).</w:t>
      </w:r>
    </w:p>
    <w:p w14:paraId="23D986D1" w14:textId="77777777" w:rsidR="00D16716" w:rsidRDefault="00D16716" w:rsidP="001222D1">
      <w:pPr>
        <w:pStyle w:val="ac"/>
        <w:spacing w:line="360" w:lineRule="auto"/>
        <w:ind w:left="360"/>
        <w:jc w:val="both"/>
        <w:rPr>
          <w:rFonts w:ascii="David" w:hAnsi="David" w:cs="David"/>
          <w:sz w:val="24"/>
          <w:szCs w:val="24"/>
        </w:rPr>
      </w:pPr>
    </w:p>
    <w:p w14:paraId="6B15C0E3" w14:textId="77777777" w:rsidR="00D16716" w:rsidRPr="00046973" w:rsidRDefault="00D16716" w:rsidP="001222D1">
      <w:pPr>
        <w:pStyle w:val="ac"/>
        <w:numPr>
          <w:ilvl w:val="0"/>
          <w:numId w:val="20"/>
        </w:numPr>
        <w:spacing w:line="360" w:lineRule="auto"/>
        <w:jc w:val="both"/>
        <w:rPr>
          <w:rFonts w:ascii="David" w:hAnsi="David" w:cs="David"/>
          <w:sz w:val="24"/>
          <w:szCs w:val="24"/>
          <w:rtl/>
        </w:rPr>
      </w:pPr>
      <w:r w:rsidRPr="00046973">
        <w:rPr>
          <w:rFonts w:ascii="David" w:hAnsi="David" w:cs="David"/>
          <w:sz w:val="24"/>
          <w:szCs w:val="24"/>
          <w:rtl/>
        </w:rPr>
        <w:t xml:space="preserve">אינני מתעלם מפסיקה אליה הפנה הסנגור המלומד, ממנה אפשר ללמוד כי במקרים דומים ניתנו עונשי מאסר בפועל שאפשר לרצותם בעבודות שירות. אלא שבחלק מהמקרים שם הודגש אלמנט השיקום (שאיננו מתקיים בענייננו), ולגבי החלק האחר מדובר בעבירה שאיננה משקפת, כך למיטב שיפוטי, את הזרם המרכזי של הענישה בתחום זה (ראו בפסיקה אליה הפנה הסניגור: </w:t>
      </w:r>
      <w:hyperlink r:id="rId23" w:history="1">
        <w:r w:rsidR="00990309" w:rsidRPr="00990309">
          <w:rPr>
            <w:rFonts w:ascii="David" w:hAnsi="David" w:cs="David"/>
            <w:color w:val="0000FF"/>
            <w:sz w:val="24"/>
            <w:szCs w:val="24"/>
            <w:u w:val="single"/>
            <w:rtl/>
          </w:rPr>
          <w:t>ע"פ 7196/11</w:t>
        </w:r>
      </w:hyperlink>
      <w:r w:rsidRPr="00046973">
        <w:rPr>
          <w:rFonts w:ascii="David" w:hAnsi="David" w:cs="David"/>
          <w:sz w:val="24"/>
          <w:szCs w:val="24"/>
          <w:rtl/>
        </w:rPr>
        <w:t xml:space="preserve"> </w:t>
      </w:r>
      <w:r w:rsidRPr="00046973">
        <w:rPr>
          <w:rFonts w:ascii="David" w:hAnsi="David" w:cs="David"/>
          <w:b/>
          <w:bCs/>
          <w:sz w:val="24"/>
          <w:szCs w:val="24"/>
          <w:rtl/>
        </w:rPr>
        <w:t>מדינת ישראל נ' אביחי ביזאוי</w:t>
      </w:r>
      <w:r w:rsidRPr="00046973">
        <w:rPr>
          <w:rFonts w:ascii="David" w:hAnsi="David" w:cs="David"/>
          <w:sz w:val="24"/>
          <w:szCs w:val="24"/>
          <w:rtl/>
        </w:rPr>
        <w:t xml:space="preserve"> ; </w:t>
      </w:r>
      <w:hyperlink r:id="rId24" w:history="1">
        <w:r w:rsidR="00990309" w:rsidRPr="00990309">
          <w:rPr>
            <w:rFonts w:ascii="David" w:hAnsi="David" w:cs="David"/>
            <w:color w:val="0000FF"/>
            <w:sz w:val="24"/>
            <w:szCs w:val="24"/>
            <w:u w:val="single"/>
            <w:rtl/>
          </w:rPr>
          <w:t>ת"פ 6678-12-20</w:t>
        </w:r>
      </w:hyperlink>
      <w:r w:rsidRPr="00046973">
        <w:rPr>
          <w:rFonts w:ascii="David" w:hAnsi="David" w:cs="David"/>
          <w:sz w:val="24"/>
          <w:szCs w:val="24"/>
          <w:rtl/>
        </w:rPr>
        <w:t xml:space="preserve"> </w:t>
      </w:r>
      <w:r w:rsidRPr="00046973">
        <w:rPr>
          <w:rFonts w:ascii="David" w:hAnsi="David" w:cs="David"/>
          <w:b/>
          <w:bCs/>
          <w:sz w:val="24"/>
          <w:szCs w:val="24"/>
          <w:rtl/>
        </w:rPr>
        <w:t>מדינת ישראל נ' פלוני</w:t>
      </w:r>
      <w:r w:rsidRPr="00046973">
        <w:rPr>
          <w:rFonts w:ascii="David" w:hAnsi="David" w:cs="David"/>
          <w:sz w:val="24"/>
          <w:szCs w:val="24"/>
          <w:rtl/>
        </w:rPr>
        <w:t xml:space="preserve"> ; </w:t>
      </w:r>
      <w:hyperlink r:id="rId25" w:history="1">
        <w:r w:rsidR="00990309" w:rsidRPr="00990309">
          <w:rPr>
            <w:rFonts w:ascii="David" w:hAnsi="David" w:cs="David"/>
            <w:color w:val="0000FF"/>
            <w:sz w:val="24"/>
            <w:szCs w:val="24"/>
            <w:u w:val="single"/>
            <w:rtl/>
          </w:rPr>
          <w:t>ת"פ 24514-09-15</w:t>
        </w:r>
      </w:hyperlink>
      <w:r w:rsidRPr="00046973">
        <w:rPr>
          <w:rFonts w:ascii="David" w:hAnsi="David" w:cs="David"/>
          <w:sz w:val="24"/>
          <w:szCs w:val="24"/>
          <w:rtl/>
        </w:rPr>
        <w:t xml:space="preserve"> </w:t>
      </w:r>
      <w:r w:rsidRPr="00046973">
        <w:rPr>
          <w:rFonts w:ascii="David" w:hAnsi="David" w:cs="David"/>
          <w:b/>
          <w:bCs/>
          <w:sz w:val="24"/>
          <w:szCs w:val="24"/>
          <w:rtl/>
        </w:rPr>
        <w:t>מדינת ישראל נ' דרור פורת</w:t>
      </w:r>
      <w:r w:rsidRPr="00046973">
        <w:rPr>
          <w:rFonts w:ascii="David" w:hAnsi="David" w:cs="David"/>
          <w:sz w:val="24"/>
          <w:szCs w:val="24"/>
          <w:rtl/>
        </w:rPr>
        <w:t>).</w:t>
      </w:r>
    </w:p>
    <w:p w14:paraId="3C95B0D0" w14:textId="77777777" w:rsidR="00D16716" w:rsidRDefault="00D16716" w:rsidP="001222D1">
      <w:pPr>
        <w:pStyle w:val="ac"/>
        <w:spacing w:line="360" w:lineRule="auto"/>
        <w:ind w:left="360"/>
        <w:jc w:val="both"/>
        <w:rPr>
          <w:rFonts w:ascii="David" w:hAnsi="David" w:cs="David"/>
          <w:sz w:val="24"/>
          <w:szCs w:val="24"/>
          <w:rtl/>
        </w:rPr>
      </w:pPr>
    </w:p>
    <w:p w14:paraId="55ACE837" w14:textId="77777777" w:rsidR="00D16716" w:rsidRPr="00046973" w:rsidRDefault="00D16716" w:rsidP="001222D1">
      <w:pPr>
        <w:pStyle w:val="ac"/>
        <w:spacing w:line="360" w:lineRule="auto"/>
        <w:ind w:left="360"/>
        <w:jc w:val="both"/>
        <w:rPr>
          <w:rFonts w:ascii="David" w:hAnsi="David" w:cs="David"/>
          <w:sz w:val="24"/>
          <w:szCs w:val="24"/>
          <w:rtl/>
        </w:rPr>
      </w:pPr>
      <w:r w:rsidRPr="00046973">
        <w:rPr>
          <w:rFonts w:ascii="David" w:hAnsi="David" w:cs="David"/>
          <w:sz w:val="24"/>
          <w:szCs w:val="24"/>
          <w:rtl/>
        </w:rPr>
        <w:t>הענישה תהיה לעולם אינדיבידואלית, גם לאחר תיקון 113 ל</w:t>
      </w:r>
      <w:hyperlink r:id="rId26" w:history="1">
        <w:r w:rsidR="00990309" w:rsidRPr="00990309">
          <w:rPr>
            <w:rFonts w:ascii="David" w:hAnsi="David" w:cs="David"/>
            <w:color w:val="0000FF"/>
            <w:sz w:val="24"/>
            <w:szCs w:val="24"/>
            <w:u w:val="single"/>
            <w:rtl/>
          </w:rPr>
          <w:t>חוק העונשין</w:t>
        </w:r>
      </w:hyperlink>
      <w:r w:rsidRPr="00046973">
        <w:rPr>
          <w:rFonts w:ascii="David" w:hAnsi="David" w:cs="David"/>
          <w:sz w:val="24"/>
          <w:szCs w:val="24"/>
          <w:rtl/>
        </w:rPr>
        <w:t xml:space="preserve">, ולכן במסגרת בחינת "מדיניות הענישה הנוהגת" יש לעמוד על הענישה הרווחת, ומתחם העונש איננו אמור להכיל בהכרח את כל מגוון הקשת של הענישה בפועל. הסנגור המלומד הדגיש בטיעונו לעונש (פסקה ד(6) לטיעון בכתב) כי השונות בין הפסיקה אליה הפנה לבין המקרה שבפנינו מתאזנת ומתקזזת לנוכח הנסיבות הייחודיות במקרה, ובראשן אי החוקיות שדבקה בחיפוש (למשל, </w:t>
      </w:r>
      <w:hyperlink r:id="rId27" w:history="1">
        <w:r w:rsidR="00990309" w:rsidRPr="00990309">
          <w:rPr>
            <w:rFonts w:ascii="David" w:hAnsi="David" w:cs="David"/>
            <w:color w:val="0000FF"/>
            <w:sz w:val="24"/>
            <w:szCs w:val="24"/>
            <w:u w:val="single"/>
            <w:rtl/>
          </w:rPr>
          <w:t>ת"פ 6322-04-16</w:t>
        </w:r>
      </w:hyperlink>
      <w:r w:rsidRPr="00046973">
        <w:rPr>
          <w:rFonts w:ascii="David" w:hAnsi="David" w:cs="David"/>
          <w:sz w:val="24"/>
          <w:szCs w:val="24"/>
          <w:rtl/>
        </w:rPr>
        <w:t xml:space="preserve"> </w:t>
      </w:r>
      <w:r w:rsidRPr="00046973">
        <w:rPr>
          <w:rFonts w:ascii="David" w:hAnsi="David" w:cs="David"/>
          <w:b/>
          <w:bCs/>
          <w:sz w:val="24"/>
          <w:szCs w:val="24"/>
          <w:rtl/>
        </w:rPr>
        <w:t>מדינת ישראל נ' שלמה כהן</w:t>
      </w:r>
      <w:r w:rsidRPr="00046973">
        <w:rPr>
          <w:rFonts w:ascii="David" w:hAnsi="David" w:cs="David"/>
          <w:sz w:val="24"/>
          <w:szCs w:val="24"/>
          <w:rtl/>
        </w:rPr>
        <w:t xml:space="preserve">). אני נוטה להסכים עם הסנגור, אך לא במידה שהציע, קרי לא כדי מתחם שמתחיל בעונש שניתן לריצוי בעבודות שירות. </w:t>
      </w:r>
    </w:p>
    <w:p w14:paraId="655558D9" w14:textId="77777777" w:rsidR="00D16716" w:rsidRPr="00F334F6" w:rsidRDefault="00D16716" w:rsidP="001222D1">
      <w:pPr>
        <w:pStyle w:val="ac"/>
        <w:spacing w:line="360" w:lineRule="auto"/>
        <w:ind w:left="360"/>
        <w:jc w:val="both"/>
        <w:rPr>
          <w:rFonts w:ascii="David" w:hAnsi="David" w:cs="David"/>
          <w:b/>
          <w:bCs/>
          <w:sz w:val="24"/>
          <w:szCs w:val="24"/>
        </w:rPr>
      </w:pPr>
    </w:p>
    <w:p w14:paraId="163E78FE" w14:textId="77777777" w:rsidR="00D16716" w:rsidRDefault="00D16716" w:rsidP="001222D1">
      <w:pPr>
        <w:pStyle w:val="ac"/>
        <w:spacing w:line="360" w:lineRule="auto"/>
        <w:ind w:left="360"/>
        <w:jc w:val="both"/>
        <w:rPr>
          <w:rFonts w:ascii="David" w:hAnsi="David" w:cs="David"/>
          <w:sz w:val="24"/>
          <w:szCs w:val="24"/>
          <w:rtl/>
        </w:rPr>
      </w:pPr>
      <w:r w:rsidRPr="00046973">
        <w:rPr>
          <w:rFonts w:ascii="David" w:hAnsi="David" w:cs="David"/>
          <w:sz w:val="24"/>
          <w:szCs w:val="24"/>
          <w:rtl/>
        </w:rPr>
        <w:t xml:space="preserve">המתחם "הרגיל" ההולם נסיבות המקרה, נע כאמור, בין 15 ועד 30 חודשי מאסר בפועל. כפי שציינתי כבר בהכרעת הדין יש להעניק לפגמים שנפלו באופן השגת הראיה המרכזית בתיק, קרי החיפוש שהוביל לתפיסת הסמים, </w:t>
      </w:r>
      <w:r w:rsidRPr="00046973">
        <w:rPr>
          <w:rFonts w:ascii="David" w:hAnsi="David" w:cs="David"/>
          <w:b/>
          <w:bCs/>
          <w:sz w:val="24"/>
          <w:szCs w:val="24"/>
          <w:u w:val="single"/>
          <w:rtl/>
        </w:rPr>
        <w:t>משקל של ממש</w:t>
      </w:r>
      <w:r w:rsidRPr="00046973">
        <w:rPr>
          <w:rFonts w:ascii="David" w:hAnsi="David" w:cs="David"/>
          <w:sz w:val="24"/>
          <w:szCs w:val="24"/>
          <w:rtl/>
        </w:rPr>
        <w:t xml:space="preserve">. נקבע בהלכת יששכרוב והלכת בורורביץ ניתן וראוי לשקול מתן סעד מתון להפרות, בין אם במסגרת דוקטרינת ההגנה מן הצדק, ובין אם בקשר לאופן השגת הראיות כמקרה פרטי להגנה מן הצדק, וזאת בשלב שקילת העונש. </w:t>
      </w:r>
    </w:p>
    <w:p w14:paraId="75B45AEC" w14:textId="77777777" w:rsidR="00D16716" w:rsidRDefault="00D16716" w:rsidP="001222D1">
      <w:pPr>
        <w:pStyle w:val="ac"/>
        <w:spacing w:line="360" w:lineRule="auto"/>
        <w:ind w:left="360"/>
        <w:jc w:val="both"/>
        <w:rPr>
          <w:rFonts w:ascii="David" w:hAnsi="David" w:cs="David"/>
          <w:sz w:val="24"/>
          <w:szCs w:val="24"/>
          <w:rtl/>
        </w:rPr>
      </w:pPr>
    </w:p>
    <w:p w14:paraId="231107D9" w14:textId="77777777" w:rsidR="00D16716" w:rsidRPr="00046973" w:rsidRDefault="00D16716" w:rsidP="001222D1">
      <w:pPr>
        <w:pStyle w:val="ac"/>
        <w:spacing w:line="360" w:lineRule="auto"/>
        <w:ind w:left="360"/>
        <w:jc w:val="both"/>
        <w:rPr>
          <w:rFonts w:ascii="David" w:hAnsi="David" w:cs="David"/>
          <w:b/>
          <w:bCs/>
          <w:sz w:val="24"/>
          <w:szCs w:val="24"/>
          <w:rtl/>
        </w:rPr>
      </w:pPr>
      <w:r w:rsidRPr="00046973">
        <w:rPr>
          <w:rFonts w:ascii="David" w:hAnsi="David" w:cs="David"/>
          <w:b/>
          <w:bCs/>
          <w:sz w:val="24"/>
          <w:szCs w:val="24"/>
          <w:rtl/>
        </w:rPr>
        <w:t>במונחים של תיקון 113 ל</w:t>
      </w:r>
      <w:hyperlink r:id="rId28" w:history="1">
        <w:r w:rsidR="00990309" w:rsidRPr="00990309">
          <w:rPr>
            <w:rFonts w:ascii="David" w:hAnsi="David" w:cs="David"/>
            <w:b/>
            <w:bCs/>
            <w:color w:val="0000FF"/>
            <w:sz w:val="24"/>
            <w:szCs w:val="24"/>
            <w:u w:val="single"/>
            <w:rtl/>
          </w:rPr>
          <w:t>חוק העונשין</w:t>
        </w:r>
      </w:hyperlink>
      <w:r w:rsidRPr="00046973">
        <w:rPr>
          <w:rFonts w:ascii="David" w:hAnsi="David" w:cs="David"/>
          <w:b/>
          <w:bCs/>
          <w:sz w:val="24"/>
          <w:szCs w:val="24"/>
          <w:rtl/>
        </w:rPr>
        <w:t xml:space="preserve">, </w:t>
      </w:r>
      <w:r w:rsidRPr="003A3FEB">
        <w:rPr>
          <w:rFonts w:ascii="David" w:hAnsi="David" w:cs="David"/>
          <w:b/>
          <w:bCs/>
          <w:sz w:val="24"/>
          <w:szCs w:val="24"/>
          <w:rtl/>
        </w:rPr>
        <w:t>עולה אפוא השאלה,</w:t>
      </w:r>
      <w:r>
        <w:rPr>
          <w:rFonts w:ascii="David" w:hAnsi="David" w:cs="David"/>
          <w:sz w:val="24"/>
          <w:szCs w:val="24"/>
          <w:rtl/>
        </w:rPr>
        <w:t xml:space="preserve"> </w:t>
      </w:r>
      <w:r w:rsidRPr="00046973">
        <w:rPr>
          <w:rFonts w:ascii="David" w:hAnsi="David" w:cs="David"/>
          <w:b/>
          <w:bCs/>
          <w:sz w:val="24"/>
          <w:szCs w:val="24"/>
          <w:rtl/>
        </w:rPr>
        <w:t xml:space="preserve">האם זהו שיקול שפועל </w:t>
      </w:r>
      <w:r w:rsidRPr="00046973">
        <w:rPr>
          <w:rFonts w:ascii="David" w:hAnsi="David" w:cs="David"/>
          <w:b/>
          <w:bCs/>
          <w:sz w:val="24"/>
          <w:szCs w:val="24"/>
          <w:u w:val="single"/>
          <w:rtl/>
        </w:rPr>
        <w:t>בתוך</w:t>
      </w:r>
      <w:r w:rsidRPr="00046973">
        <w:rPr>
          <w:rFonts w:ascii="David" w:hAnsi="David" w:cs="David"/>
          <w:b/>
          <w:bCs/>
          <w:sz w:val="24"/>
          <w:szCs w:val="24"/>
          <w:rtl/>
        </w:rPr>
        <w:t xml:space="preserve"> המתחם ? האם זהו שיקול שמצדיק </w:t>
      </w:r>
      <w:r w:rsidRPr="00046973">
        <w:rPr>
          <w:rFonts w:ascii="David" w:hAnsi="David" w:cs="David"/>
          <w:b/>
          <w:bCs/>
          <w:sz w:val="24"/>
          <w:szCs w:val="24"/>
          <w:u w:val="single"/>
          <w:rtl/>
        </w:rPr>
        <w:t>סטייה מהמתחם</w:t>
      </w:r>
      <w:r w:rsidRPr="00046973">
        <w:rPr>
          <w:rFonts w:ascii="David" w:hAnsi="David" w:cs="David"/>
          <w:b/>
          <w:bCs/>
          <w:sz w:val="24"/>
          <w:szCs w:val="24"/>
          <w:rtl/>
        </w:rPr>
        <w:t xml:space="preserve"> ? או שמא זהו שיקול </w:t>
      </w:r>
      <w:r w:rsidRPr="00046973">
        <w:rPr>
          <w:rFonts w:ascii="David" w:hAnsi="David" w:cs="David"/>
          <w:b/>
          <w:bCs/>
          <w:sz w:val="24"/>
          <w:szCs w:val="24"/>
          <w:u w:val="single"/>
          <w:rtl/>
        </w:rPr>
        <w:t>שקובע את גבולות המתחם</w:t>
      </w:r>
      <w:r w:rsidRPr="00046973">
        <w:rPr>
          <w:rFonts w:ascii="David" w:hAnsi="David" w:cs="David"/>
          <w:b/>
          <w:bCs/>
          <w:sz w:val="24"/>
          <w:szCs w:val="24"/>
          <w:rtl/>
        </w:rPr>
        <w:t xml:space="preserve"> ?</w:t>
      </w:r>
    </w:p>
    <w:p w14:paraId="5F66C9E6" w14:textId="77777777" w:rsidR="00D16716" w:rsidRDefault="00D16716" w:rsidP="001222D1">
      <w:pPr>
        <w:pStyle w:val="ac"/>
        <w:spacing w:line="360" w:lineRule="auto"/>
        <w:ind w:left="360"/>
        <w:jc w:val="both"/>
        <w:rPr>
          <w:rFonts w:ascii="David" w:hAnsi="David" w:cs="David"/>
          <w:sz w:val="24"/>
          <w:szCs w:val="24"/>
        </w:rPr>
      </w:pPr>
    </w:p>
    <w:p w14:paraId="055C73FF" w14:textId="77777777" w:rsidR="00D16716" w:rsidRPr="00046973" w:rsidRDefault="00D16716" w:rsidP="001222D1">
      <w:pPr>
        <w:pStyle w:val="ac"/>
        <w:spacing w:line="360" w:lineRule="auto"/>
        <w:ind w:left="360"/>
        <w:jc w:val="both"/>
        <w:rPr>
          <w:rFonts w:ascii="David" w:hAnsi="David" w:cs="David"/>
          <w:sz w:val="24"/>
          <w:szCs w:val="24"/>
          <w:rtl/>
        </w:rPr>
      </w:pPr>
      <w:r w:rsidRPr="00046973">
        <w:rPr>
          <w:rFonts w:ascii="David" w:hAnsi="David" w:cs="David"/>
          <w:sz w:val="24"/>
          <w:szCs w:val="24"/>
          <w:rtl/>
        </w:rPr>
        <w:t xml:space="preserve">מתברר, וזאת לפי הפסיקה אליה אפנה בהמשך, שכל התשובות נכונות. להבנתי, מדובר בשלוש אפשרויות שיש לבחור ביניהן לפי נסיבות כל מקרה ומקרה. </w:t>
      </w:r>
    </w:p>
    <w:p w14:paraId="46DA9F48" w14:textId="77777777" w:rsidR="00D16716" w:rsidRDefault="00D16716" w:rsidP="001222D1">
      <w:pPr>
        <w:pStyle w:val="ac"/>
        <w:spacing w:line="360" w:lineRule="auto"/>
        <w:ind w:left="360"/>
        <w:jc w:val="both"/>
        <w:rPr>
          <w:rFonts w:ascii="David" w:hAnsi="David" w:cs="David"/>
          <w:sz w:val="24"/>
          <w:szCs w:val="24"/>
          <w:rtl/>
        </w:rPr>
      </w:pPr>
    </w:p>
    <w:p w14:paraId="4C1D55FC" w14:textId="77777777" w:rsidR="00D16716" w:rsidRPr="00046973" w:rsidRDefault="00D16716" w:rsidP="001222D1">
      <w:pPr>
        <w:pStyle w:val="ac"/>
        <w:spacing w:line="360" w:lineRule="auto"/>
        <w:ind w:left="360"/>
        <w:jc w:val="both"/>
        <w:rPr>
          <w:rFonts w:ascii="David" w:hAnsi="David" w:cs="David"/>
          <w:sz w:val="24"/>
          <w:szCs w:val="24"/>
          <w:rtl/>
        </w:rPr>
      </w:pPr>
      <w:r w:rsidRPr="00F334F6">
        <w:rPr>
          <w:rFonts w:ascii="David" w:hAnsi="David" w:cs="David"/>
          <w:sz w:val="24"/>
          <w:szCs w:val="24"/>
          <w:u w:val="single"/>
          <w:rtl/>
        </w:rPr>
        <w:t>האפשרות הראשונה ברורה</w:t>
      </w:r>
      <w:r w:rsidRPr="00046973">
        <w:rPr>
          <w:rFonts w:ascii="David" w:hAnsi="David" w:cs="David"/>
          <w:sz w:val="24"/>
          <w:szCs w:val="24"/>
          <w:rtl/>
        </w:rPr>
        <w:t xml:space="preserve">. לפיה סעד ההקלה בעונש כחלופה לביטול כתב אישום, פועל בתוך המתחם ומטה את העונש לעבר הרף התחתון שבו. אפשרות זו מעוגנת בנוסח החוק באופן חד וברור. שכן, לפי </w:t>
      </w:r>
      <w:hyperlink r:id="rId29" w:history="1">
        <w:r w:rsidR="00CE2636" w:rsidRPr="00CE2636">
          <w:rPr>
            <w:rStyle w:val="Hyperlink"/>
            <w:rFonts w:ascii="David" w:hAnsi="David" w:cs="David"/>
            <w:sz w:val="24"/>
            <w:szCs w:val="24"/>
            <w:rtl/>
          </w:rPr>
          <w:t>סעיף 40יא(9)</w:t>
        </w:r>
      </w:hyperlink>
      <w:r w:rsidRPr="00046973">
        <w:rPr>
          <w:rFonts w:ascii="David" w:hAnsi="David" w:cs="David"/>
          <w:sz w:val="24"/>
          <w:szCs w:val="24"/>
          <w:rtl/>
        </w:rPr>
        <w:t xml:space="preserve"> ל</w:t>
      </w:r>
      <w:hyperlink r:id="rId30" w:history="1">
        <w:r w:rsidR="00990309" w:rsidRPr="00990309">
          <w:rPr>
            <w:rFonts w:ascii="David" w:hAnsi="David" w:cs="David"/>
            <w:color w:val="0000FF"/>
            <w:sz w:val="24"/>
            <w:szCs w:val="24"/>
            <w:u w:val="single"/>
            <w:rtl/>
          </w:rPr>
          <w:t>חוק העונשין</w:t>
        </w:r>
      </w:hyperlink>
      <w:r w:rsidRPr="00046973">
        <w:rPr>
          <w:rFonts w:ascii="David" w:hAnsi="David" w:cs="David"/>
          <w:sz w:val="24"/>
          <w:szCs w:val="24"/>
          <w:rtl/>
        </w:rPr>
        <w:t xml:space="preserve"> ("התנהגות רשויות אכיפת החוק"), הוא אחד השיקולים שפועלים בתוך המתחם. </w:t>
      </w:r>
    </w:p>
    <w:p w14:paraId="1C7893AB" w14:textId="77777777" w:rsidR="00D16716" w:rsidRDefault="00D16716" w:rsidP="001222D1">
      <w:pPr>
        <w:pStyle w:val="ac"/>
        <w:spacing w:line="360" w:lineRule="auto"/>
        <w:ind w:left="360"/>
        <w:jc w:val="both"/>
        <w:rPr>
          <w:rFonts w:ascii="David" w:hAnsi="David" w:cs="David"/>
          <w:sz w:val="24"/>
          <w:szCs w:val="24"/>
          <w:rtl/>
        </w:rPr>
      </w:pPr>
    </w:p>
    <w:p w14:paraId="58C5C8E8" w14:textId="77777777" w:rsidR="00D16716" w:rsidRPr="00046973" w:rsidRDefault="00D16716" w:rsidP="001222D1">
      <w:pPr>
        <w:pStyle w:val="ac"/>
        <w:spacing w:line="360" w:lineRule="auto"/>
        <w:ind w:left="360"/>
        <w:jc w:val="both"/>
        <w:rPr>
          <w:rFonts w:ascii="David" w:hAnsi="David" w:cs="David"/>
          <w:sz w:val="24"/>
          <w:szCs w:val="24"/>
          <w:rtl/>
        </w:rPr>
      </w:pPr>
      <w:r w:rsidRPr="00F334F6">
        <w:rPr>
          <w:rFonts w:ascii="David" w:hAnsi="David" w:cs="David"/>
          <w:sz w:val="24"/>
          <w:szCs w:val="24"/>
          <w:u w:val="single"/>
          <w:rtl/>
        </w:rPr>
        <w:t>האפשרות השנייה</w:t>
      </w:r>
      <w:r w:rsidRPr="00046973">
        <w:rPr>
          <w:rFonts w:ascii="David" w:hAnsi="David" w:cs="David"/>
          <w:sz w:val="24"/>
          <w:szCs w:val="24"/>
          <w:rtl/>
        </w:rPr>
        <w:t>, סטייה מהמתחם משיקולי צדק או הגנה מן הצדק, אף היא עולה מהפסיקה ובספרות המשפטית. למשל, בעניין רובינסון -</w:t>
      </w:r>
      <w:hyperlink r:id="rId31" w:history="1">
        <w:r w:rsidR="00990309" w:rsidRPr="00990309">
          <w:rPr>
            <w:rFonts w:ascii="David" w:hAnsi="David" w:cs="David"/>
            <w:color w:val="0000FF"/>
            <w:sz w:val="24"/>
            <w:szCs w:val="24"/>
            <w:u w:val="single"/>
            <w:rtl/>
          </w:rPr>
          <w:t>ת"פ (מחוזי ת"א) 44959-08-14</w:t>
        </w:r>
      </w:hyperlink>
      <w:r w:rsidRPr="00046973">
        <w:rPr>
          <w:rFonts w:ascii="David" w:hAnsi="David" w:cs="David"/>
          <w:sz w:val="24"/>
          <w:szCs w:val="24"/>
          <w:rtl/>
        </w:rPr>
        <w:t xml:space="preserve"> </w:t>
      </w:r>
      <w:r w:rsidRPr="00046973">
        <w:rPr>
          <w:rFonts w:ascii="David" w:hAnsi="David" w:cs="David"/>
          <w:b/>
          <w:bCs/>
          <w:sz w:val="24"/>
          <w:szCs w:val="24"/>
          <w:rtl/>
        </w:rPr>
        <w:t>מדינת ישראל נ' רובינסון ואח'</w:t>
      </w:r>
      <w:r w:rsidRPr="00046973">
        <w:rPr>
          <w:rFonts w:ascii="David" w:hAnsi="David" w:cs="David"/>
          <w:sz w:val="24"/>
          <w:szCs w:val="24"/>
          <w:rtl/>
        </w:rPr>
        <w:t xml:space="preserve"> (13.7.2016)</w:t>
      </w:r>
      <w:r>
        <w:rPr>
          <w:rFonts w:ascii="David" w:hAnsi="David" w:cs="David"/>
          <w:sz w:val="24"/>
          <w:szCs w:val="24"/>
          <w:rtl/>
        </w:rPr>
        <w:t xml:space="preserve"> – </w:t>
      </w:r>
      <w:r w:rsidRPr="00046973">
        <w:rPr>
          <w:rFonts w:ascii="David" w:hAnsi="David" w:cs="David"/>
          <w:sz w:val="24"/>
          <w:szCs w:val="24"/>
          <w:rtl/>
        </w:rPr>
        <w:t>הורשע הנאשם בשורה ארוכה של עבירות כלכליות חמורות</w:t>
      </w:r>
      <w:r>
        <w:rPr>
          <w:rFonts w:ascii="David" w:hAnsi="David" w:cs="David"/>
          <w:sz w:val="24"/>
          <w:szCs w:val="24"/>
          <w:rtl/>
        </w:rPr>
        <w:t>,</w:t>
      </w:r>
      <w:r w:rsidRPr="00046973">
        <w:rPr>
          <w:rFonts w:ascii="David" w:hAnsi="David" w:cs="David"/>
          <w:sz w:val="24"/>
          <w:szCs w:val="24"/>
          <w:rtl/>
        </w:rPr>
        <w:t xml:space="preserve"> קבלת דבר במרמה, מרמה והפרת אמונים בתאגיד, עבירות מנהלים ועבירות דיווח. לעניין העונש החליט בית המשפט המחוזי בתל אביב לחרוג לקולא מהרף התחתון – 18 חודשים – של מתחם העונש ההולם וזאת משיקולי צדק וחלוף הזמן, תוך הסתפקות בעונש של 15 חודשי מאסר בפועל.</w:t>
      </w:r>
    </w:p>
    <w:p w14:paraId="36B9588E" w14:textId="77777777" w:rsidR="00D16716" w:rsidRPr="00046973" w:rsidRDefault="00D16716" w:rsidP="001222D1">
      <w:pPr>
        <w:pStyle w:val="ac"/>
        <w:spacing w:line="360" w:lineRule="auto"/>
        <w:ind w:left="360"/>
        <w:jc w:val="both"/>
        <w:rPr>
          <w:rFonts w:ascii="David" w:hAnsi="David" w:cs="David"/>
          <w:sz w:val="24"/>
          <w:szCs w:val="24"/>
          <w:rtl/>
        </w:rPr>
      </w:pPr>
      <w:r w:rsidRPr="00046973">
        <w:rPr>
          <w:rFonts w:ascii="David" w:hAnsi="David" w:cs="David"/>
          <w:sz w:val="24"/>
          <w:szCs w:val="24"/>
          <w:rtl/>
        </w:rPr>
        <w:t>בערעור בעניין רובינסון</w:t>
      </w:r>
      <w:r>
        <w:rPr>
          <w:rFonts w:ascii="David" w:hAnsi="David" w:cs="David"/>
          <w:sz w:val="24"/>
          <w:szCs w:val="24"/>
          <w:rtl/>
        </w:rPr>
        <w:t xml:space="preserve"> – </w:t>
      </w:r>
      <w:hyperlink r:id="rId32" w:history="1">
        <w:r w:rsidR="00990309" w:rsidRPr="00990309">
          <w:rPr>
            <w:rFonts w:ascii="David" w:hAnsi="David" w:cs="David"/>
            <w:color w:val="0000FF"/>
            <w:sz w:val="24"/>
            <w:szCs w:val="24"/>
            <w:u w:val="single"/>
            <w:rtl/>
          </w:rPr>
          <w:t>ע"פ 5836/16</w:t>
        </w:r>
      </w:hyperlink>
      <w:r w:rsidRPr="00046973">
        <w:rPr>
          <w:rFonts w:ascii="David" w:hAnsi="David" w:cs="David"/>
          <w:sz w:val="24"/>
          <w:szCs w:val="24"/>
          <w:rtl/>
        </w:rPr>
        <w:t xml:space="preserve"> </w:t>
      </w:r>
      <w:r w:rsidRPr="00046973">
        <w:rPr>
          <w:rFonts w:ascii="David" w:hAnsi="David" w:cs="David"/>
          <w:b/>
          <w:bCs/>
          <w:sz w:val="24"/>
          <w:szCs w:val="24"/>
          <w:rtl/>
        </w:rPr>
        <w:t>רובינסון נ' מדינת ישראל</w:t>
      </w:r>
      <w:r w:rsidRPr="00046973">
        <w:rPr>
          <w:rFonts w:ascii="David" w:hAnsi="David" w:cs="David"/>
          <w:sz w:val="24"/>
          <w:szCs w:val="24"/>
          <w:rtl/>
        </w:rPr>
        <w:t xml:space="preserve"> (2018)</w:t>
      </w:r>
      <w:r>
        <w:rPr>
          <w:rFonts w:ascii="David" w:hAnsi="David" w:cs="David"/>
          <w:sz w:val="24"/>
          <w:szCs w:val="24"/>
          <w:rtl/>
        </w:rPr>
        <w:t>,</w:t>
      </w:r>
      <w:r w:rsidRPr="00046973">
        <w:rPr>
          <w:rFonts w:ascii="David" w:hAnsi="David" w:cs="David"/>
          <w:sz w:val="24"/>
          <w:szCs w:val="24"/>
          <w:rtl/>
        </w:rPr>
        <w:t xml:space="preserve"> הפחית בית המשפט העליון את עונש המאסר והעמידו על 11 חודשים בפועל, חלף 15 חודשים, תוך שהוטעם כי:</w:t>
      </w:r>
    </w:p>
    <w:p w14:paraId="7F87051E" w14:textId="77777777" w:rsidR="00D16716" w:rsidRPr="008146F0" w:rsidRDefault="00D16716" w:rsidP="001222D1">
      <w:pPr>
        <w:spacing w:line="360" w:lineRule="auto"/>
        <w:ind w:left="720"/>
        <w:jc w:val="both"/>
        <w:rPr>
          <w:rtl/>
        </w:rPr>
      </w:pPr>
      <w:r w:rsidRPr="008146F0">
        <w:rPr>
          <w:rtl/>
        </w:rPr>
        <w:t>"2. ... במצב הדברים הרגיל, העונש שהושת על המערער הוא מתון ביותר, שמא אף יתר על המידה. 3. אם מצאנו בסופו של יום להקל במידת מה בעונשו של המערער, עשינו זאת נוכח הצטברותם של הטעמים הבאים: א. חלוף הזמן – ענייננו בעבירות שבוצעו בין השנים 2007-2005 כאשר את חלוף הזמן אין לזקוף לחובתה של ההגנה. המערער נחקר כבר בשנת 2008, התיק הועבר לפרקליטות בשנת 2009 וכתב האישום הוגש רק בשנת 2014. אכן, היו נסיבות אובייקטיביות שגרמו לשיהוי בהגשת כתב האישום – התיק שבפנינו הוא אך חלק מחקירה נרחבת שהתנהלה בשנים הרלוונטיות בשלוש פרשיות מורכבות, לצד חילופי גברי של הגורמים שטיפלו בתיק ברשויות החקירה ובפרקליטות. אלא שבנסיבות העניין, מנקודת מבטו של המערער מדובר בעינוי דין ובשיהוי של ממש. טענת ההגנה לביטול כתב האישום בשל שיהוי זה מחמת הגנה מן הצדק אמנם נדחתה, אך יש בשיהוי הניכר כדי להצדיק הקלה בעונש. ב. לשיהוי הניכר בהגשת כתב האישום, יש השלכה גם במישור נוסף. ככלל, אין לבעל דין זכות קנויה שיושת עליו עונש על פי רמת הענישה שהייתה נהוגה בעת ביצוע העבירות. עם זאת, לא ניתן להתעלם מכך שרמת הענישה בשנת 2005 – ואף רמת המודעות לכללי הממשל התאגידי והחומרה הנוגעת להפרתם – אינה כמו זו שבעשור שלאחר מכן. במסגרת שיקולי הענישה מצאנו לשקלל גם את רמת הענישה שהייתה נהוגה לפני למעלה מעשור שנים, עוד טרם החלה מגמת ההחמרה בענישה בעבירות כלכליות ותאגידיות כגון דא. ג. ולבסוף, נסיבותיו האישיות של המערער..."</w:t>
      </w:r>
      <w:r>
        <w:rPr>
          <w:rtl/>
        </w:rPr>
        <w:t>.</w:t>
      </w:r>
      <w:r w:rsidRPr="008146F0">
        <w:rPr>
          <w:rtl/>
        </w:rPr>
        <w:t xml:space="preserve"> </w:t>
      </w:r>
    </w:p>
    <w:p w14:paraId="79DC3F50" w14:textId="77777777" w:rsidR="00D16716" w:rsidRPr="008146F0" w:rsidRDefault="00D16716" w:rsidP="001222D1">
      <w:pPr>
        <w:pStyle w:val="ac"/>
        <w:spacing w:line="360" w:lineRule="auto"/>
        <w:ind w:left="360"/>
        <w:jc w:val="both"/>
        <w:rPr>
          <w:rFonts w:ascii="David" w:hAnsi="David" w:cs="David"/>
          <w:sz w:val="24"/>
          <w:szCs w:val="24"/>
          <w:rtl/>
        </w:rPr>
      </w:pPr>
      <w:r w:rsidRPr="00F334F6">
        <w:rPr>
          <w:rFonts w:ascii="David" w:hAnsi="David" w:cs="David"/>
          <w:sz w:val="24"/>
          <w:szCs w:val="24"/>
          <w:u w:val="single"/>
          <w:rtl/>
        </w:rPr>
        <w:t>האפשרות השלישית</w:t>
      </w:r>
      <w:r w:rsidRPr="00046973">
        <w:rPr>
          <w:rFonts w:ascii="David" w:hAnsi="David" w:cs="David"/>
          <w:sz w:val="24"/>
          <w:szCs w:val="24"/>
          <w:rtl/>
        </w:rPr>
        <w:t>, היא לראות בסעד ההקלה בעונש כשיקול שקובע את גבולות המתחם.</w:t>
      </w:r>
      <w:r>
        <w:rPr>
          <w:rFonts w:ascii="David" w:hAnsi="David" w:cs="David"/>
          <w:sz w:val="24"/>
          <w:szCs w:val="24"/>
          <w:rtl/>
        </w:rPr>
        <w:t xml:space="preserve"> </w:t>
      </w:r>
      <w:r w:rsidRPr="008146F0">
        <w:rPr>
          <w:rFonts w:ascii="David" w:hAnsi="David" w:cs="David"/>
          <w:sz w:val="24"/>
          <w:szCs w:val="24"/>
          <w:rtl/>
        </w:rPr>
        <w:t>ב-</w:t>
      </w:r>
      <w:hyperlink r:id="rId33" w:history="1">
        <w:r w:rsidR="00990309" w:rsidRPr="00990309">
          <w:rPr>
            <w:rFonts w:ascii="David" w:hAnsi="David" w:cs="David"/>
            <w:color w:val="0000FF"/>
            <w:sz w:val="24"/>
            <w:szCs w:val="24"/>
            <w:u w:val="single"/>
            <w:rtl/>
          </w:rPr>
          <w:t>ע"פ 7621/14</w:t>
        </w:r>
      </w:hyperlink>
      <w:r w:rsidRPr="008146F0">
        <w:rPr>
          <w:rFonts w:ascii="David" w:hAnsi="David" w:cs="David"/>
          <w:sz w:val="24"/>
          <w:szCs w:val="24"/>
          <w:rtl/>
        </w:rPr>
        <w:t xml:space="preserve"> </w:t>
      </w:r>
      <w:r w:rsidRPr="008146F0">
        <w:rPr>
          <w:rFonts w:ascii="David" w:hAnsi="David" w:cs="David"/>
          <w:b/>
          <w:bCs/>
          <w:sz w:val="24"/>
          <w:szCs w:val="24"/>
          <w:rtl/>
        </w:rPr>
        <w:t>גוטסדינר נ' מדינת ישראל</w:t>
      </w:r>
      <w:r w:rsidRPr="008146F0">
        <w:rPr>
          <w:rFonts w:ascii="David" w:hAnsi="David" w:cs="David"/>
          <w:sz w:val="24"/>
          <w:szCs w:val="24"/>
          <w:rtl/>
        </w:rPr>
        <w:t xml:space="preserve"> (1.3.2017), ציין כב' השופט נ' הנדל, בין היתר, כי:</w:t>
      </w:r>
    </w:p>
    <w:p w14:paraId="1175E42A" w14:textId="77777777" w:rsidR="00D16716" w:rsidRPr="008146F0" w:rsidRDefault="00D16716" w:rsidP="001222D1">
      <w:pPr>
        <w:spacing w:line="360" w:lineRule="auto"/>
        <w:ind w:left="720"/>
        <w:jc w:val="both"/>
        <w:rPr>
          <w:rtl/>
        </w:rPr>
      </w:pPr>
      <w:r w:rsidRPr="008146F0">
        <w:rPr>
          <w:rtl/>
        </w:rPr>
        <w:t>"מהו הקשר אפוא בין טענה להגנה מן הצדק ותיקון 113 ל</w:t>
      </w:r>
      <w:hyperlink r:id="rId34" w:history="1">
        <w:r w:rsidR="00990309" w:rsidRPr="00990309">
          <w:rPr>
            <w:color w:val="0000FF"/>
            <w:u w:val="single"/>
            <w:rtl/>
          </w:rPr>
          <w:t>חוק העונשין</w:t>
        </w:r>
      </w:hyperlink>
      <w:r w:rsidRPr="008146F0">
        <w:rPr>
          <w:rtl/>
        </w:rPr>
        <w:t xml:space="preserve">? התשובה לכך כפולה – מהותית ופורמאלית. במובן המהותי, יש חפיפה מסוימת בין שתי המסגרות והעניין מעיד על אחידות בתפיסה העונשית. מכאן נסיק שכשם שהגישה העונשית בשיטה הישראלית היא אינדיבידואלית, כך גם יישום טענת הגנה מן הצדק. ואולם לצד החפיפה החלקית, יש הבדלים מהותיים בין שתי המסגרות. </w:t>
      </w:r>
      <w:r w:rsidRPr="0071764B">
        <w:rPr>
          <w:b/>
          <w:bCs/>
          <w:rtl/>
        </w:rPr>
        <w:t>החלת הדוקטרינה משמעותה היא, כפי שציינתי, שעוצמת הנסיבות העוטפות את רגע האירוע היא כזו שיש בה כדי להשפיע לא רק על הנסיבות שאינן קשורות בביצוע העבירה, אלא אף על מעשה העבירה עצמו.</w:t>
      </w:r>
      <w:r w:rsidRPr="008146F0">
        <w:rPr>
          <w:rtl/>
        </w:rPr>
        <w:t xml:space="preserve"> במובן הפורמאלי, הדבר בא לידי ביטוי בכך שבעוד שההתחשבות בנסיבות העבירה שאינן קשורות בביצועה, על פי תיקון 113 ל</w:t>
      </w:r>
      <w:hyperlink r:id="rId35" w:history="1">
        <w:r w:rsidR="00990309" w:rsidRPr="00990309">
          <w:rPr>
            <w:color w:val="0000FF"/>
            <w:u w:val="single"/>
            <w:rtl/>
          </w:rPr>
          <w:t>חוק העונשין</w:t>
        </w:r>
      </w:hyperlink>
      <w:r w:rsidRPr="008146F0">
        <w:rPr>
          <w:rtl/>
        </w:rPr>
        <w:t xml:space="preserve">, עשויה להשפיע רק על גזירת העונש בתוך המתחם שנקבע; </w:t>
      </w:r>
      <w:r w:rsidRPr="0071764B">
        <w:rPr>
          <w:b/>
          <w:bCs/>
          <w:rtl/>
        </w:rPr>
        <w:t>החלת הגנה מן הצדק עשויה להשפיע אף על קביעת מתחם העונש עצמו, או ליתר דיוק, על נקודת ההתחלה ואף על נקודת הסוף של התוצאה העונשית. בכל מקרה, דעתי היא כי בשל הנסיבות המיוחדות שבתיק זה, קם בסיס לשקול תחולת ההגנה מן הצדק על גזר הדין של המערערים בהתאם לנסיבותיהם</w:t>
      </w:r>
      <w:r w:rsidRPr="008146F0">
        <w:rPr>
          <w:rtl/>
        </w:rPr>
        <w:t>. אף קם צידוק להחיל את ההגנה במידה מסוימת במקרה המתאים..." (בפסקה</w:t>
      </w:r>
      <w:r>
        <w:rPr>
          <w:rtl/>
        </w:rPr>
        <w:t xml:space="preserve"> 50). </w:t>
      </w:r>
    </w:p>
    <w:p w14:paraId="72BEDBB9" w14:textId="77777777" w:rsidR="00D16716" w:rsidRPr="008146F0" w:rsidRDefault="00D16716" w:rsidP="001222D1">
      <w:pPr>
        <w:spacing w:line="360" w:lineRule="auto"/>
        <w:jc w:val="both"/>
        <w:rPr>
          <w:rtl/>
        </w:rPr>
      </w:pPr>
    </w:p>
    <w:p w14:paraId="1F003874" w14:textId="77777777" w:rsidR="00D16716" w:rsidRDefault="00D16716" w:rsidP="001222D1">
      <w:pPr>
        <w:pStyle w:val="ac"/>
        <w:spacing w:line="360" w:lineRule="auto"/>
        <w:ind w:left="360"/>
        <w:jc w:val="both"/>
        <w:rPr>
          <w:rFonts w:ascii="David" w:hAnsi="David" w:cs="David"/>
          <w:sz w:val="24"/>
          <w:szCs w:val="24"/>
          <w:rtl/>
        </w:rPr>
      </w:pPr>
      <w:r w:rsidRPr="00046973">
        <w:rPr>
          <w:rFonts w:ascii="David" w:hAnsi="David" w:cs="David"/>
          <w:sz w:val="24"/>
          <w:szCs w:val="24"/>
          <w:rtl/>
        </w:rPr>
        <w:t>כאן המקום להפנות לניתוח המשפטי המקיף של הסוגיה בכללותה, כפי שניתן על ידי כבוד השופט מ' לוי, מבית המשפט המחוזי בתל אביב (פסקאות 15-18 ב</w:t>
      </w:r>
      <w:hyperlink r:id="rId36" w:history="1">
        <w:r w:rsidR="00990309" w:rsidRPr="00990309">
          <w:rPr>
            <w:rFonts w:ascii="David" w:hAnsi="David" w:cs="David"/>
            <w:color w:val="0000FF"/>
            <w:sz w:val="24"/>
            <w:szCs w:val="24"/>
            <w:u w:val="single"/>
            <w:rtl/>
          </w:rPr>
          <w:t>ת"פ 13776-12-16</w:t>
        </w:r>
      </w:hyperlink>
      <w:r w:rsidRPr="00046973">
        <w:rPr>
          <w:rFonts w:ascii="David" w:hAnsi="David" w:cs="David"/>
          <w:sz w:val="24"/>
          <w:szCs w:val="24"/>
          <w:rtl/>
        </w:rPr>
        <w:t xml:space="preserve"> </w:t>
      </w:r>
      <w:r w:rsidRPr="00046973">
        <w:rPr>
          <w:rFonts w:ascii="David" w:hAnsi="David" w:cs="David"/>
          <w:b/>
          <w:bCs/>
          <w:sz w:val="24"/>
          <w:szCs w:val="24"/>
          <w:rtl/>
        </w:rPr>
        <w:t>ישראל נ' וסרמן ואח'</w:t>
      </w:r>
      <w:r w:rsidRPr="00046973">
        <w:rPr>
          <w:rFonts w:ascii="David" w:hAnsi="David" w:cs="David"/>
          <w:sz w:val="24"/>
          <w:szCs w:val="24"/>
          <w:rtl/>
        </w:rPr>
        <w:t xml:space="preserve"> (2021)). </w:t>
      </w:r>
    </w:p>
    <w:p w14:paraId="66827183" w14:textId="77777777" w:rsidR="00D16716" w:rsidRDefault="00D16716" w:rsidP="001222D1">
      <w:pPr>
        <w:pStyle w:val="ac"/>
        <w:spacing w:line="360" w:lineRule="auto"/>
        <w:ind w:left="360"/>
        <w:jc w:val="both"/>
        <w:rPr>
          <w:rFonts w:ascii="David" w:hAnsi="David" w:cs="David"/>
          <w:sz w:val="24"/>
          <w:szCs w:val="24"/>
        </w:rPr>
      </w:pPr>
    </w:p>
    <w:p w14:paraId="35499159" w14:textId="77777777" w:rsidR="00D16716" w:rsidRDefault="00D16716" w:rsidP="001222D1">
      <w:pPr>
        <w:pStyle w:val="ac"/>
        <w:numPr>
          <w:ilvl w:val="0"/>
          <w:numId w:val="20"/>
        </w:numPr>
        <w:spacing w:line="360" w:lineRule="auto"/>
        <w:jc w:val="both"/>
        <w:rPr>
          <w:rFonts w:ascii="David" w:hAnsi="David" w:cs="David"/>
          <w:sz w:val="24"/>
          <w:szCs w:val="24"/>
        </w:rPr>
      </w:pPr>
      <w:r w:rsidRPr="003A3FEB">
        <w:rPr>
          <w:rFonts w:ascii="David" w:hAnsi="David" w:cs="David"/>
          <w:sz w:val="24"/>
          <w:szCs w:val="24"/>
          <w:rtl/>
        </w:rPr>
        <w:t xml:space="preserve">לפי האמור, מדובר בעניין שבמידה ואולי, ליתר דיוק, בעניין של </w:t>
      </w:r>
      <w:r w:rsidRPr="003A3FEB">
        <w:rPr>
          <w:rFonts w:ascii="David" w:hAnsi="David" w:cs="David"/>
          <w:b/>
          <w:bCs/>
          <w:sz w:val="24"/>
          <w:szCs w:val="24"/>
          <w:rtl/>
        </w:rPr>
        <w:t>התאמה עניינית-מהותית</w:t>
      </w:r>
      <w:r w:rsidRPr="003A3FEB">
        <w:rPr>
          <w:rFonts w:ascii="David" w:hAnsi="David" w:cs="David"/>
          <w:sz w:val="24"/>
          <w:szCs w:val="24"/>
          <w:rtl/>
        </w:rPr>
        <w:t>. במקרה</w:t>
      </w:r>
      <w:r>
        <w:rPr>
          <w:rFonts w:ascii="David" w:hAnsi="David" w:cs="David"/>
          <w:sz w:val="24"/>
          <w:szCs w:val="24"/>
          <w:rtl/>
        </w:rPr>
        <w:t xml:space="preserve"> שלפניי, הפגמים (בעוצמה בינונית)</w:t>
      </w:r>
      <w:r w:rsidRPr="003A3FEB">
        <w:rPr>
          <w:rFonts w:ascii="David" w:hAnsi="David" w:cs="David"/>
          <w:sz w:val="24"/>
          <w:szCs w:val="24"/>
          <w:rtl/>
        </w:rPr>
        <w:t xml:space="preserve"> שנפלו באופן השגת הראיה המרכזית, קרי בהיבט הראייתי, שיקול שקבעתי שיינתן לו משקל של ממש, מצדיקים בחירה באפשרות שאלה יגדירו את גבולות המתחם. </w:t>
      </w:r>
      <w:r w:rsidRPr="00C908FB">
        <w:rPr>
          <w:rFonts w:ascii="David" w:hAnsi="David" w:cs="David"/>
          <w:sz w:val="24"/>
          <w:szCs w:val="24"/>
          <w:u w:val="single"/>
          <w:rtl/>
        </w:rPr>
        <w:t>ארחיב</w:t>
      </w:r>
      <w:r w:rsidRPr="003A3FEB">
        <w:rPr>
          <w:rFonts w:ascii="David" w:hAnsi="David" w:cs="David"/>
          <w:sz w:val="24"/>
          <w:szCs w:val="24"/>
          <w:rtl/>
        </w:rPr>
        <w:t xml:space="preserve">: </w:t>
      </w:r>
    </w:p>
    <w:p w14:paraId="6259C63E" w14:textId="77777777" w:rsidR="00D16716" w:rsidRPr="00046973" w:rsidRDefault="00D16716" w:rsidP="001222D1">
      <w:pPr>
        <w:pStyle w:val="ac"/>
        <w:spacing w:line="360" w:lineRule="auto"/>
        <w:ind w:left="360"/>
        <w:jc w:val="both"/>
        <w:rPr>
          <w:rFonts w:ascii="David" w:hAnsi="David" w:cs="David"/>
          <w:sz w:val="24"/>
          <w:szCs w:val="24"/>
          <w:rtl/>
        </w:rPr>
      </w:pPr>
      <w:r w:rsidRPr="00046973">
        <w:rPr>
          <w:rFonts w:ascii="David" w:hAnsi="David" w:cs="David"/>
          <w:sz w:val="24"/>
          <w:szCs w:val="24"/>
          <w:rtl/>
        </w:rPr>
        <w:t xml:space="preserve">מן העבר האחד, אין מדובר בפגיעה קלה או בשיקול שמשקלו זניח יחסית או מוגבל, שיכול לפעול אך ורק בתוך המתחם פנימה. כפי שקבעתי בהכרעת הדין עוצמת הפגם היא בינונית. עוד קבעתי שיינתן לשיקול זה "משקל של ממש". תיאור זה אינו יכול לפעול אך ורק בתוך המתחם. והרי לגבי מי שעונשו אמור להיות ממוקם בתחתית המתחם בלאו הכי (בשל נסיבות אישיות, למשל), לא תהיה לשיקול זה כל נפקות מעשית. </w:t>
      </w:r>
    </w:p>
    <w:p w14:paraId="29171A3B" w14:textId="77777777" w:rsidR="00D16716" w:rsidRDefault="00D16716" w:rsidP="001222D1">
      <w:pPr>
        <w:pStyle w:val="ac"/>
        <w:spacing w:line="360" w:lineRule="auto"/>
        <w:ind w:left="360"/>
        <w:jc w:val="both"/>
        <w:rPr>
          <w:rFonts w:ascii="David" w:hAnsi="David" w:cs="David"/>
          <w:sz w:val="24"/>
          <w:szCs w:val="24"/>
          <w:rtl/>
        </w:rPr>
      </w:pPr>
    </w:p>
    <w:p w14:paraId="76561DE0" w14:textId="77777777" w:rsidR="00D16716" w:rsidRPr="00046973" w:rsidRDefault="00D16716" w:rsidP="001222D1">
      <w:pPr>
        <w:pStyle w:val="ac"/>
        <w:spacing w:line="360" w:lineRule="auto"/>
        <w:ind w:left="360"/>
        <w:jc w:val="both"/>
        <w:rPr>
          <w:rFonts w:ascii="David" w:hAnsi="David" w:cs="David"/>
          <w:sz w:val="24"/>
          <w:szCs w:val="24"/>
          <w:rtl/>
        </w:rPr>
      </w:pPr>
      <w:r w:rsidRPr="00046973">
        <w:rPr>
          <w:rFonts w:ascii="David" w:hAnsi="David" w:cs="David"/>
          <w:sz w:val="24"/>
          <w:szCs w:val="24"/>
          <w:rtl/>
        </w:rPr>
        <w:t>מאידך, אין מדובר בפגיעה בעוצמה גבוהה (ראו הפירוט בהכרעת הדין), שיכול</w:t>
      </w:r>
      <w:r>
        <w:rPr>
          <w:rFonts w:ascii="David" w:hAnsi="David" w:cs="David"/>
          <w:sz w:val="24"/>
          <w:szCs w:val="24"/>
          <w:rtl/>
        </w:rPr>
        <w:t>ה</w:t>
      </w:r>
      <w:r w:rsidRPr="00046973">
        <w:rPr>
          <w:rFonts w:ascii="David" w:hAnsi="David" w:cs="David"/>
          <w:sz w:val="24"/>
          <w:szCs w:val="24"/>
          <w:rtl/>
        </w:rPr>
        <w:t xml:space="preserve"> להביא לסטייה ממתחם העונש ההולם (ועוד כשיקול יחיד).</w:t>
      </w:r>
    </w:p>
    <w:p w14:paraId="60C50F69" w14:textId="77777777" w:rsidR="00D16716" w:rsidRDefault="00D16716" w:rsidP="001222D1">
      <w:pPr>
        <w:pStyle w:val="ac"/>
        <w:spacing w:line="360" w:lineRule="auto"/>
        <w:ind w:left="360"/>
        <w:jc w:val="both"/>
        <w:rPr>
          <w:rFonts w:ascii="David" w:hAnsi="David" w:cs="David"/>
          <w:sz w:val="24"/>
          <w:szCs w:val="24"/>
          <w:rtl/>
        </w:rPr>
      </w:pPr>
    </w:p>
    <w:p w14:paraId="02ED24DC" w14:textId="77777777" w:rsidR="00D16716" w:rsidRPr="00046973" w:rsidRDefault="00D16716" w:rsidP="001222D1">
      <w:pPr>
        <w:pStyle w:val="ac"/>
        <w:spacing w:line="360" w:lineRule="auto"/>
        <w:ind w:left="360"/>
        <w:jc w:val="both"/>
        <w:rPr>
          <w:rFonts w:ascii="David" w:hAnsi="David" w:cs="David"/>
          <w:sz w:val="24"/>
          <w:szCs w:val="24"/>
          <w:rtl/>
        </w:rPr>
      </w:pPr>
      <w:r w:rsidRPr="00046973">
        <w:rPr>
          <w:rFonts w:ascii="David" w:hAnsi="David" w:cs="David"/>
          <w:sz w:val="24"/>
          <w:szCs w:val="24"/>
          <w:rtl/>
        </w:rPr>
        <w:t>מסקנה זו עולה בקנה אחד עם היגיון הדברים לפיו נסיבות החיפוש בו נפלו הפגמים קרוב</w:t>
      </w:r>
      <w:r>
        <w:rPr>
          <w:rFonts w:ascii="David" w:hAnsi="David" w:cs="David"/>
          <w:sz w:val="24"/>
          <w:szCs w:val="24"/>
          <w:rtl/>
        </w:rPr>
        <w:t xml:space="preserve"> יותר, ולו</w:t>
      </w:r>
      <w:r w:rsidRPr="00046973">
        <w:rPr>
          <w:rFonts w:ascii="David" w:hAnsi="David" w:cs="David"/>
          <w:sz w:val="24"/>
          <w:szCs w:val="24"/>
          <w:rtl/>
        </w:rPr>
        <w:t xml:space="preserve"> רעיונית</w:t>
      </w:r>
      <w:r>
        <w:rPr>
          <w:rFonts w:ascii="David" w:hAnsi="David" w:cs="David"/>
          <w:sz w:val="24"/>
          <w:szCs w:val="24"/>
          <w:rtl/>
        </w:rPr>
        <w:t>,</w:t>
      </w:r>
      <w:r w:rsidRPr="00046973">
        <w:rPr>
          <w:rFonts w:ascii="David" w:hAnsi="David" w:cs="David"/>
          <w:sz w:val="24"/>
          <w:szCs w:val="24"/>
          <w:rtl/>
        </w:rPr>
        <w:t xml:space="preserve"> לנסיבות ביצוע העבירה שקובעות את גדרי המתחם.  </w:t>
      </w:r>
    </w:p>
    <w:p w14:paraId="5EABCD1C" w14:textId="77777777" w:rsidR="00D16716" w:rsidRDefault="00D16716" w:rsidP="001222D1">
      <w:pPr>
        <w:pStyle w:val="ac"/>
        <w:spacing w:line="360" w:lineRule="auto"/>
        <w:ind w:left="360"/>
        <w:jc w:val="both"/>
        <w:rPr>
          <w:rFonts w:ascii="David" w:hAnsi="David" w:cs="David"/>
          <w:sz w:val="24"/>
          <w:szCs w:val="24"/>
        </w:rPr>
      </w:pPr>
    </w:p>
    <w:p w14:paraId="7FE8860F" w14:textId="77777777" w:rsidR="00D16716" w:rsidRPr="003A3FEB" w:rsidRDefault="00D16716" w:rsidP="001222D1">
      <w:pPr>
        <w:pStyle w:val="ac"/>
        <w:numPr>
          <w:ilvl w:val="0"/>
          <w:numId w:val="20"/>
        </w:numPr>
        <w:spacing w:line="360" w:lineRule="auto"/>
        <w:jc w:val="both"/>
        <w:rPr>
          <w:rFonts w:ascii="David" w:hAnsi="David" w:cs="David"/>
          <w:sz w:val="24"/>
          <w:szCs w:val="24"/>
          <w:rtl/>
        </w:rPr>
      </w:pPr>
      <w:r>
        <w:rPr>
          <w:rFonts w:ascii="David" w:hAnsi="David" w:cs="David"/>
          <w:sz w:val="24"/>
          <w:szCs w:val="24"/>
          <w:rtl/>
        </w:rPr>
        <w:t>ל</w:t>
      </w:r>
      <w:r w:rsidRPr="003A3FEB">
        <w:rPr>
          <w:rFonts w:ascii="David" w:hAnsi="David" w:cs="David"/>
          <w:sz w:val="24"/>
          <w:szCs w:val="24"/>
          <w:rtl/>
        </w:rPr>
        <w:t xml:space="preserve">גוף העניין, סבורני כי המשקל המתאים שיש להעניק לפגמים שנפלו באופן השגת הראיות, ראוי לו לעמוד על הפחתה עד כדי </w:t>
      </w:r>
      <w:r w:rsidRPr="003A3FEB">
        <w:rPr>
          <w:rFonts w:ascii="David" w:hAnsi="David" w:cs="David"/>
          <w:sz w:val="24"/>
          <w:szCs w:val="24"/>
          <w:u w:val="single"/>
          <w:rtl/>
        </w:rPr>
        <w:t>שליש</w:t>
      </w:r>
      <w:r w:rsidRPr="003A3FEB">
        <w:rPr>
          <w:rFonts w:ascii="David" w:hAnsi="David" w:cs="David"/>
          <w:sz w:val="24"/>
          <w:szCs w:val="24"/>
          <w:rtl/>
        </w:rPr>
        <w:t xml:space="preserve"> מהמ</w:t>
      </w:r>
      <w:r>
        <w:rPr>
          <w:rFonts w:ascii="David" w:hAnsi="David" w:cs="David"/>
          <w:sz w:val="24"/>
          <w:szCs w:val="24"/>
          <w:rtl/>
        </w:rPr>
        <w:t>ת</w:t>
      </w:r>
      <w:r w:rsidRPr="003A3FEB">
        <w:rPr>
          <w:rFonts w:ascii="David" w:hAnsi="David" w:cs="David"/>
          <w:sz w:val="24"/>
          <w:szCs w:val="24"/>
          <w:rtl/>
        </w:rPr>
        <w:t xml:space="preserve">חם, שכן הפחתה משמעותית מזו (מחצית, למשל) עלולה לפגוע יתר על המידה באינטרס הציבורי לנוכח חומרת המעשה עצמו. מנגד, הפחתה קלה משליש, איננה עומדת בהלימה עם דרגת הפגיעה והמשקל שהובטח שיינתן לה (משקל של ממש). </w:t>
      </w:r>
    </w:p>
    <w:p w14:paraId="166BEAF5" w14:textId="77777777" w:rsidR="00D16716" w:rsidRPr="00046973" w:rsidRDefault="00D16716" w:rsidP="001222D1">
      <w:pPr>
        <w:pStyle w:val="ac"/>
        <w:spacing w:line="360" w:lineRule="auto"/>
        <w:ind w:left="360"/>
        <w:jc w:val="both"/>
        <w:rPr>
          <w:rFonts w:ascii="David" w:hAnsi="David" w:cs="David"/>
          <w:sz w:val="24"/>
          <w:szCs w:val="24"/>
          <w:rtl/>
        </w:rPr>
      </w:pPr>
    </w:p>
    <w:p w14:paraId="45217612" w14:textId="77777777" w:rsidR="00D16716" w:rsidRPr="00AE1CE6" w:rsidRDefault="00D16716" w:rsidP="001222D1">
      <w:pPr>
        <w:pStyle w:val="ac"/>
        <w:numPr>
          <w:ilvl w:val="0"/>
          <w:numId w:val="20"/>
        </w:numPr>
        <w:spacing w:line="360" w:lineRule="auto"/>
        <w:jc w:val="both"/>
        <w:rPr>
          <w:rFonts w:ascii="David" w:hAnsi="David" w:cs="David"/>
          <w:sz w:val="24"/>
          <w:szCs w:val="24"/>
          <w:rtl/>
        </w:rPr>
      </w:pPr>
      <w:r w:rsidRPr="00AE1CE6">
        <w:rPr>
          <w:rFonts w:ascii="David" w:hAnsi="David" w:cs="David"/>
          <w:sz w:val="24"/>
          <w:szCs w:val="24"/>
          <w:rtl/>
        </w:rPr>
        <w:t xml:space="preserve">לאור כל האמור, </w:t>
      </w:r>
      <w:r w:rsidRPr="00AE1CE6">
        <w:rPr>
          <w:rFonts w:ascii="David" w:hAnsi="David" w:cs="David"/>
          <w:b/>
          <w:bCs/>
          <w:sz w:val="24"/>
          <w:szCs w:val="24"/>
          <w:rtl/>
        </w:rPr>
        <w:t>מצאתי לקבוע כי מתחם העונש ההולם ביחס לאישום זה, לאחר שקלול מידת הפגיעה בערכים המוגנים, מדיניות הענישה, הפגמים שנפלו באכיפה, על רקע נסיבות ביצוע העבירה, נע בין 10 חודשי מאסר ועד 20 חודשי מאסר</w:t>
      </w:r>
      <w:r w:rsidRPr="00AE1CE6">
        <w:rPr>
          <w:rFonts w:ascii="David" w:hAnsi="David" w:cs="David"/>
          <w:sz w:val="24"/>
          <w:szCs w:val="24"/>
          <w:rtl/>
        </w:rPr>
        <w:t xml:space="preserve">. </w:t>
      </w:r>
    </w:p>
    <w:p w14:paraId="2FBB6BCE" w14:textId="77777777" w:rsidR="00D16716" w:rsidRPr="008146F0" w:rsidRDefault="00D16716" w:rsidP="001222D1">
      <w:pPr>
        <w:spacing w:line="360" w:lineRule="auto"/>
        <w:jc w:val="both"/>
        <w:rPr>
          <w:rtl/>
        </w:rPr>
      </w:pPr>
    </w:p>
    <w:p w14:paraId="44237A74" w14:textId="77777777" w:rsidR="00D16716" w:rsidRPr="008146F0" w:rsidRDefault="00D16716" w:rsidP="001222D1">
      <w:pPr>
        <w:spacing w:line="360" w:lineRule="auto"/>
        <w:jc w:val="both"/>
        <w:rPr>
          <w:u w:val="single"/>
          <w:rtl/>
        </w:rPr>
      </w:pPr>
      <w:r w:rsidRPr="008146F0">
        <w:rPr>
          <w:u w:val="single"/>
          <w:rtl/>
        </w:rPr>
        <w:t xml:space="preserve">מתחם העונש ההולם לגבי האישום השני </w:t>
      </w:r>
    </w:p>
    <w:p w14:paraId="201D8BF5" w14:textId="77777777" w:rsidR="00D16716" w:rsidRPr="00F13883" w:rsidRDefault="00D16716" w:rsidP="001222D1">
      <w:pPr>
        <w:pStyle w:val="ac"/>
        <w:numPr>
          <w:ilvl w:val="0"/>
          <w:numId w:val="20"/>
        </w:numPr>
        <w:spacing w:line="360" w:lineRule="auto"/>
        <w:jc w:val="both"/>
        <w:rPr>
          <w:rFonts w:ascii="David" w:hAnsi="David" w:cs="David"/>
          <w:sz w:val="24"/>
          <w:szCs w:val="24"/>
          <w:rtl/>
        </w:rPr>
      </w:pPr>
      <w:r w:rsidRPr="00F13883">
        <w:rPr>
          <w:rFonts w:ascii="David" w:hAnsi="David" w:cs="David"/>
          <w:sz w:val="24"/>
          <w:szCs w:val="24"/>
          <w:rtl/>
        </w:rPr>
        <w:t xml:space="preserve">מדובר בהחזקה שלא לצריכה עצמית, יחד עם אחר, שבשלוש הזדמנויות רכשו סמים בכמויות קטנות יחסית לצרכי שימוש עם אחרים. </w:t>
      </w:r>
      <w:r w:rsidRPr="00F13883">
        <w:rPr>
          <w:rFonts w:ascii="David" w:hAnsi="David" w:cs="David"/>
          <w:b/>
          <w:bCs/>
          <w:sz w:val="24"/>
          <w:szCs w:val="24"/>
          <w:rtl/>
        </w:rPr>
        <w:t>מתחם העונש ההולם נע לשיטתי בין מספר חודשי מאסר שיכול שירוצו בעבודות שירות ועד 12 חודשי מאסר בפועל</w:t>
      </w:r>
      <w:r w:rsidRPr="00F13883">
        <w:rPr>
          <w:rFonts w:ascii="David" w:hAnsi="David" w:cs="David"/>
          <w:sz w:val="24"/>
          <w:szCs w:val="24"/>
          <w:rtl/>
        </w:rPr>
        <w:t xml:space="preserve">. </w:t>
      </w:r>
    </w:p>
    <w:p w14:paraId="288F0B59" w14:textId="77777777" w:rsidR="00D16716" w:rsidRDefault="00D16716" w:rsidP="001222D1">
      <w:pPr>
        <w:spacing w:line="360" w:lineRule="auto"/>
        <w:jc w:val="both"/>
        <w:rPr>
          <w:u w:val="single"/>
          <w:rtl/>
        </w:rPr>
      </w:pPr>
    </w:p>
    <w:p w14:paraId="12B32AE7" w14:textId="77777777" w:rsidR="00D16716" w:rsidRPr="008146F0" w:rsidRDefault="00D16716" w:rsidP="001222D1">
      <w:pPr>
        <w:spacing w:line="360" w:lineRule="auto"/>
        <w:jc w:val="both"/>
        <w:rPr>
          <w:u w:val="single"/>
          <w:rtl/>
        </w:rPr>
      </w:pPr>
      <w:r w:rsidRPr="008146F0">
        <w:rPr>
          <w:u w:val="single"/>
          <w:rtl/>
        </w:rPr>
        <w:t>מתחם העונש לגבי האישום השלישי</w:t>
      </w:r>
    </w:p>
    <w:p w14:paraId="7E81A406" w14:textId="77777777" w:rsidR="00D16716" w:rsidRDefault="00D16716" w:rsidP="001222D1">
      <w:pPr>
        <w:pStyle w:val="ac"/>
        <w:numPr>
          <w:ilvl w:val="0"/>
          <w:numId w:val="20"/>
        </w:numPr>
        <w:spacing w:line="360" w:lineRule="auto"/>
        <w:jc w:val="both"/>
        <w:rPr>
          <w:rFonts w:ascii="David" w:hAnsi="David" w:cs="David"/>
          <w:sz w:val="24"/>
          <w:szCs w:val="24"/>
        </w:rPr>
      </w:pPr>
      <w:r w:rsidRPr="00F13883">
        <w:rPr>
          <w:rFonts w:ascii="David" w:hAnsi="David" w:cs="David"/>
          <w:sz w:val="24"/>
          <w:szCs w:val="24"/>
          <w:rtl/>
        </w:rPr>
        <w:t xml:space="preserve">מדובר בהחזקה שלא לצריכה עצמית של קוקאין בכמות </w:t>
      </w:r>
      <w:r w:rsidRPr="00F13883">
        <w:rPr>
          <w:rFonts w:ascii="David" w:hAnsi="David" w:cs="David"/>
          <w:sz w:val="24"/>
          <w:szCs w:val="24"/>
          <w:u w:val="single"/>
          <w:rtl/>
        </w:rPr>
        <w:t>הנופלת מגרם בביתו</w:t>
      </w:r>
      <w:r w:rsidRPr="00F13883">
        <w:rPr>
          <w:rFonts w:ascii="David" w:hAnsi="David" w:cs="David"/>
          <w:sz w:val="24"/>
          <w:szCs w:val="24"/>
          <w:rtl/>
        </w:rPr>
        <w:t xml:space="preserve">. </w:t>
      </w:r>
      <w:r w:rsidRPr="00F13883">
        <w:rPr>
          <w:rFonts w:ascii="David" w:hAnsi="David" w:cs="David"/>
          <w:b/>
          <w:bCs/>
          <w:sz w:val="24"/>
          <w:szCs w:val="24"/>
          <w:rtl/>
        </w:rPr>
        <w:t>מתחם העונש נע בין מאסר על תנאי ורכיבי ענישה נלווים לבין מספר חודשי מאסר (עד תשעה) שיכול שירוצו בעבודות שירות</w:t>
      </w:r>
      <w:r w:rsidRPr="00F13883">
        <w:rPr>
          <w:rFonts w:ascii="David" w:hAnsi="David" w:cs="David"/>
          <w:sz w:val="24"/>
          <w:szCs w:val="24"/>
          <w:rtl/>
        </w:rPr>
        <w:t xml:space="preserve">. </w:t>
      </w:r>
    </w:p>
    <w:p w14:paraId="4E7E7EA7" w14:textId="77777777" w:rsidR="00D16716" w:rsidRPr="00F13883" w:rsidRDefault="00D16716" w:rsidP="001222D1">
      <w:pPr>
        <w:pStyle w:val="ac"/>
        <w:spacing w:line="360" w:lineRule="auto"/>
        <w:ind w:left="360"/>
        <w:jc w:val="both"/>
        <w:rPr>
          <w:rFonts w:ascii="David" w:hAnsi="David" w:cs="David"/>
          <w:sz w:val="24"/>
          <w:szCs w:val="24"/>
          <w:rtl/>
        </w:rPr>
      </w:pPr>
    </w:p>
    <w:p w14:paraId="65CDABE6" w14:textId="77777777" w:rsidR="00D16716" w:rsidRPr="00F13883" w:rsidRDefault="00D16716" w:rsidP="001222D1">
      <w:pPr>
        <w:pStyle w:val="ac"/>
        <w:numPr>
          <w:ilvl w:val="0"/>
          <w:numId w:val="20"/>
        </w:numPr>
        <w:spacing w:line="360" w:lineRule="auto"/>
        <w:jc w:val="both"/>
        <w:rPr>
          <w:rFonts w:ascii="David" w:hAnsi="David" w:cs="David"/>
          <w:sz w:val="24"/>
          <w:szCs w:val="24"/>
          <w:rtl/>
        </w:rPr>
      </w:pPr>
      <w:r w:rsidRPr="00F13883">
        <w:rPr>
          <w:rFonts w:ascii="David" w:hAnsi="David" w:cs="David"/>
          <w:sz w:val="24"/>
          <w:szCs w:val="24"/>
          <w:rtl/>
        </w:rPr>
        <w:t xml:space="preserve">לא הרחבתי בנושא המתחמים לגבי האישומים השני והשלישי, </w:t>
      </w:r>
      <w:r w:rsidRPr="00ED466C">
        <w:rPr>
          <w:rFonts w:ascii="David" w:hAnsi="David" w:cs="David"/>
          <w:sz w:val="24"/>
          <w:szCs w:val="24"/>
          <w:u w:val="single"/>
          <w:rtl/>
        </w:rPr>
        <w:t>משני טעמים</w:t>
      </w:r>
      <w:r w:rsidRPr="00F13883">
        <w:rPr>
          <w:rFonts w:ascii="David" w:hAnsi="David" w:cs="David"/>
          <w:sz w:val="24"/>
          <w:szCs w:val="24"/>
          <w:rtl/>
        </w:rPr>
        <w:t xml:space="preserve">: ראשית, הפערים בין הצדדים מצומצמים יחסית ביחס לשני אישומים אלה. שנית, כפי שניתן לראות בהמשך, העונש הכולל נקבע לפי האישום העיקרי הוא האישום הראשון. </w:t>
      </w:r>
    </w:p>
    <w:p w14:paraId="1E489197" w14:textId="77777777" w:rsidR="00D16716" w:rsidRDefault="00D16716" w:rsidP="001222D1">
      <w:pPr>
        <w:pStyle w:val="ac"/>
        <w:spacing w:line="360" w:lineRule="auto"/>
        <w:ind w:left="360"/>
        <w:jc w:val="both"/>
        <w:rPr>
          <w:rFonts w:ascii="David" w:hAnsi="David" w:cs="David"/>
          <w:sz w:val="24"/>
          <w:szCs w:val="24"/>
        </w:rPr>
      </w:pPr>
    </w:p>
    <w:p w14:paraId="61060B12" w14:textId="77777777" w:rsidR="00D16716" w:rsidRPr="00F13883" w:rsidRDefault="00D16716" w:rsidP="001222D1">
      <w:pPr>
        <w:pStyle w:val="ac"/>
        <w:numPr>
          <w:ilvl w:val="0"/>
          <w:numId w:val="20"/>
        </w:numPr>
        <w:spacing w:line="360" w:lineRule="auto"/>
        <w:jc w:val="both"/>
        <w:rPr>
          <w:rFonts w:ascii="David" w:hAnsi="David" w:cs="David"/>
          <w:sz w:val="24"/>
          <w:szCs w:val="24"/>
          <w:rtl/>
        </w:rPr>
      </w:pPr>
      <w:r w:rsidRPr="00F13883">
        <w:rPr>
          <w:rFonts w:ascii="David" w:hAnsi="David" w:cs="David"/>
          <w:sz w:val="24"/>
          <w:szCs w:val="24"/>
          <w:rtl/>
        </w:rPr>
        <w:t xml:space="preserve">לא מצאתי סיבה לסטות מהמתחמים לעיל, לקולא או לחומרה. </w:t>
      </w:r>
    </w:p>
    <w:p w14:paraId="3FE39ABD" w14:textId="77777777" w:rsidR="00D16716" w:rsidRPr="008146F0" w:rsidRDefault="00D16716" w:rsidP="001222D1">
      <w:pPr>
        <w:spacing w:line="360" w:lineRule="auto"/>
        <w:jc w:val="both"/>
        <w:rPr>
          <w:b/>
          <w:bCs/>
          <w:u w:val="single"/>
          <w:rtl/>
        </w:rPr>
      </w:pPr>
      <w:r w:rsidRPr="008146F0">
        <w:rPr>
          <w:b/>
          <w:bCs/>
          <w:u w:val="single"/>
          <w:rtl/>
        </w:rPr>
        <w:t>מיקומו של הנאשם בתוך המתחם</w:t>
      </w:r>
    </w:p>
    <w:p w14:paraId="19B41F67" w14:textId="77777777" w:rsidR="00D16716" w:rsidRDefault="00D16716" w:rsidP="001222D1">
      <w:pPr>
        <w:pStyle w:val="ac"/>
        <w:numPr>
          <w:ilvl w:val="0"/>
          <w:numId w:val="20"/>
        </w:numPr>
        <w:spacing w:line="360" w:lineRule="auto"/>
        <w:jc w:val="both"/>
        <w:rPr>
          <w:rFonts w:ascii="David" w:hAnsi="David" w:cs="David"/>
          <w:sz w:val="24"/>
          <w:szCs w:val="24"/>
        </w:rPr>
      </w:pPr>
      <w:r w:rsidRPr="00EC3091">
        <w:rPr>
          <w:rFonts w:ascii="David" w:hAnsi="David" w:cs="David"/>
          <w:sz w:val="24"/>
          <w:szCs w:val="24"/>
          <w:rtl/>
        </w:rPr>
        <w:t xml:space="preserve">שיקול השיקום לא מתקיים בתיק זה. ניתן להבין מטיעוני ההגנה כי לשיטתה אפיק השיקום נחסם, ולו באופן חלקי, רק בשל החלטתי לדחות את עתירת ההגנה, לאחר הכרעת הדין להזמין תסקיר מאת שירות המבחן.  אפנה לנימוקיי בהחלטתי מיום 28.12.21, </w:t>
      </w:r>
      <w:r w:rsidRPr="00EC3091">
        <w:rPr>
          <w:rFonts w:ascii="David" w:hAnsi="David" w:cs="David"/>
          <w:sz w:val="24"/>
          <w:szCs w:val="24"/>
          <w:u w:val="single"/>
          <w:rtl/>
        </w:rPr>
        <w:t>ואוסיף</w:t>
      </w:r>
      <w:r w:rsidRPr="00EC3091">
        <w:rPr>
          <w:rFonts w:ascii="David" w:hAnsi="David" w:cs="David"/>
          <w:sz w:val="24"/>
          <w:szCs w:val="24"/>
          <w:rtl/>
        </w:rPr>
        <w:t>:</w:t>
      </w:r>
    </w:p>
    <w:p w14:paraId="2E25649F" w14:textId="77777777" w:rsidR="00D16716" w:rsidRPr="00EC3091" w:rsidRDefault="00D16716" w:rsidP="001222D1">
      <w:pPr>
        <w:pStyle w:val="ac"/>
        <w:spacing w:line="360" w:lineRule="auto"/>
        <w:ind w:left="360"/>
        <w:jc w:val="both"/>
        <w:rPr>
          <w:rFonts w:ascii="David" w:hAnsi="David" w:cs="David"/>
          <w:sz w:val="24"/>
          <w:szCs w:val="24"/>
          <w:rtl/>
        </w:rPr>
      </w:pPr>
    </w:p>
    <w:p w14:paraId="6B91F60F" w14:textId="77777777" w:rsidR="00D16716" w:rsidRPr="00EC3091" w:rsidRDefault="00D16716" w:rsidP="001222D1">
      <w:pPr>
        <w:pStyle w:val="ac"/>
        <w:numPr>
          <w:ilvl w:val="0"/>
          <w:numId w:val="20"/>
        </w:numPr>
        <w:spacing w:line="360" w:lineRule="auto"/>
        <w:jc w:val="both"/>
        <w:rPr>
          <w:rFonts w:ascii="David" w:hAnsi="David" w:cs="David"/>
          <w:sz w:val="24"/>
          <w:szCs w:val="24"/>
          <w:rtl/>
        </w:rPr>
      </w:pPr>
      <w:r w:rsidRPr="00EC3091">
        <w:rPr>
          <w:rFonts w:ascii="David" w:hAnsi="David" w:cs="David"/>
          <w:sz w:val="24"/>
          <w:szCs w:val="24"/>
          <w:rtl/>
        </w:rPr>
        <w:t xml:space="preserve">מקובל עליי שכפירה וניהול הוכחות אינם סותמים את הגולל על האפשרות לבקש לצעוד בנתיב הטיפול והשיקום מיד לאחר הכרעת הדין המרשיעה. אלא שמטבע הדברים, ההתכחשות (הלגיטימית) מצמצמת את הפתח האמור לכדי סדק צר יחסית שראוי לשמור אותו למקרים חריגים. בצל טענות הנאשם </w:t>
      </w:r>
      <w:r w:rsidRPr="002306AE">
        <w:rPr>
          <w:rFonts w:ascii="David" w:hAnsi="David" w:cs="David"/>
          <w:sz w:val="24"/>
          <w:szCs w:val="24"/>
          <w:u w:val="single"/>
          <w:rtl/>
        </w:rPr>
        <w:t>שלא</w:t>
      </w:r>
      <w:r w:rsidRPr="00EC3091">
        <w:rPr>
          <w:rFonts w:ascii="David" w:hAnsi="David" w:cs="David"/>
          <w:sz w:val="24"/>
          <w:szCs w:val="24"/>
          <w:rtl/>
        </w:rPr>
        <w:t xml:space="preserve"> החזיק בסמים באישומים הראשון והשני, וכי החזיק בכמות הקטנה </w:t>
      </w:r>
      <w:r w:rsidRPr="002306AE">
        <w:rPr>
          <w:rFonts w:ascii="David" w:hAnsi="David" w:cs="David"/>
          <w:sz w:val="24"/>
          <w:szCs w:val="24"/>
          <w:u w:val="single"/>
          <w:rtl/>
        </w:rPr>
        <w:t>לצריכתו העצמית</w:t>
      </w:r>
      <w:r w:rsidRPr="00EC3091">
        <w:rPr>
          <w:rFonts w:ascii="David" w:hAnsi="David" w:cs="David"/>
          <w:sz w:val="24"/>
          <w:szCs w:val="24"/>
          <w:rtl/>
        </w:rPr>
        <w:t xml:space="preserve"> (באישום השלישי), עליו היה לשכנע שראוי, חרף זאת, להזמין תסקיר מאת שירות המבחן. לא שמעתי טיעו</w:t>
      </w:r>
      <w:r>
        <w:rPr>
          <w:rFonts w:ascii="David" w:hAnsi="David" w:cs="David"/>
          <w:sz w:val="24"/>
          <w:szCs w:val="24"/>
          <w:rtl/>
        </w:rPr>
        <w:t xml:space="preserve">נים כבדי משקל שבכוחן להטות </w:t>
      </w:r>
      <w:r w:rsidRPr="00EC3091">
        <w:rPr>
          <w:rFonts w:ascii="David" w:hAnsi="David" w:cs="David"/>
          <w:sz w:val="24"/>
          <w:szCs w:val="24"/>
          <w:rtl/>
        </w:rPr>
        <w:t xml:space="preserve">את הכף לעבר היעתרות לבקשה חריגה כזו. אין גם להתעלם מכך שמדובר בעתירה שכרוכה בדחייה ממושכת של ההליך, מעבר להימשכותו עד כה, וזאת לאור העומס הקשה והשיבושים בעבודת שירות המבחן לאחרונה. משאב מדולדל זה של תסקיר שירות המבחן יש לייחד למקרים המתאימים, ולכן יש לעשות בו שימוש במשורה וביד קמוצה. עוד אציין שהכרעת הדין מבוססת על ניתוח משפטי טהור, ואיננה כוללת אמירות ערכיות שיכלו לבסס טענה </w:t>
      </w:r>
      <w:r>
        <w:rPr>
          <w:rFonts w:ascii="David" w:hAnsi="David" w:cs="David"/>
          <w:sz w:val="24"/>
          <w:szCs w:val="24"/>
          <w:rtl/>
        </w:rPr>
        <w:t xml:space="preserve">אפשרית </w:t>
      </w:r>
      <w:r w:rsidRPr="00EC3091">
        <w:rPr>
          <w:rFonts w:ascii="David" w:hAnsi="David" w:cs="David"/>
          <w:sz w:val="24"/>
          <w:szCs w:val="24"/>
          <w:rtl/>
        </w:rPr>
        <w:t xml:space="preserve">של הנאשם שהכרעת הדין היוותה עבורו "הארה או קריאת השקמה". </w:t>
      </w:r>
    </w:p>
    <w:p w14:paraId="59999688" w14:textId="77777777" w:rsidR="00D16716" w:rsidRDefault="00D16716" w:rsidP="001222D1">
      <w:pPr>
        <w:pStyle w:val="ac"/>
        <w:spacing w:line="360" w:lineRule="auto"/>
        <w:ind w:left="360"/>
        <w:jc w:val="both"/>
        <w:rPr>
          <w:rFonts w:ascii="David" w:hAnsi="David" w:cs="David"/>
          <w:sz w:val="24"/>
          <w:szCs w:val="24"/>
        </w:rPr>
      </w:pPr>
    </w:p>
    <w:p w14:paraId="7430CD9F" w14:textId="77777777" w:rsidR="00D16716" w:rsidRPr="00EC3091" w:rsidRDefault="00D16716" w:rsidP="001222D1">
      <w:pPr>
        <w:pStyle w:val="ac"/>
        <w:numPr>
          <w:ilvl w:val="0"/>
          <w:numId w:val="20"/>
        </w:numPr>
        <w:spacing w:line="360" w:lineRule="auto"/>
        <w:jc w:val="both"/>
        <w:rPr>
          <w:rFonts w:ascii="David" w:hAnsi="David" w:cs="David"/>
          <w:sz w:val="24"/>
          <w:szCs w:val="24"/>
          <w:rtl/>
        </w:rPr>
      </w:pPr>
      <w:r w:rsidRPr="00EC3091">
        <w:rPr>
          <w:rFonts w:ascii="David" w:hAnsi="David" w:cs="David"/>
          <w:sz w:val="24"/>
          <w:szCs w:val="24"/>
          <w:rtl/>
        </w:rPr>
        <w:t xml:space="preserve">בתוך המתחם יש להביא בחשבון שיקולים שונים, שפועלים לשני הכיוונים, לקולא ולחומרה. לאחר שניתן לפגמים משקל בשלב קביעת גדרי המתחם, לא מצאתי לייחס משקל נוסף בשלב מיקום העונש בתוך המתחם. </w:t>
      </w:r>
    </w:p>
    <w:p w14:paraId="0F4D5463" w14:textId="77777777" w:rsidR="00D16716" w:rsidRDefault="00D16716" w:rsidP="001222D1">
      <w:pPr>
        <w:pStyle w:val="ac"/>
        <w:spacing w:line="360" w:lineRule="auto"/>
        <w:ind w:left="360"/>
        <w:jc w:val="both"/>
        <w:rPr>
          <w:rFonts w:ascii="David" w:hAnsi="David" w:cs="David"/>
          <w:sz w:val="24"/>
          <w:szCs w:val="24"/>
          <w:rtl/>
        </w:rPr>
      </w:pPr>
    </w:p>
    <w:p w14:paraId="24AB04C0" w14:textId="77777777" w:rsidR="00D16716" w:rsidRPr="00EC3091" w:rsidRDefault="00D16716" w:rsidP="001222D1">
      <w:pPr>
        <w:pStyle w:val="ac"/>
        <w:spacing w:line="360" w:lineRule="auto"/>
        <w:ind w:left="360"/>
        <w:jc w:val="both"/>
        <w:rPr>
          <w:rFonts w:ascii="David" w:hAnsi="David" w:cs="David"/>
          <w:sz w:val="24"/>
          <w:szCs w:val="24"/>
          <w:rtl/>
        </w:rPr>
      </w:pPr>
      <w:r w:rsidRPr="00EC3091">
        <w:rPr>
          <w:rFonts w:ascii="David" w:hAnsi="David" w:cs="David"/>
          <w:sz w:val="24"/>
          <w:szCs w:val="24"/>
          <w:rtl/>
        </w:rPr>
        <w:t>לחובת הנאשם עבר הפלילי לא מבוטל. בעברו הרשעות בעבירות אלימות חמורות. הוא ריצה בעבר מאסר בפועל. העונשים בעבר, לרבות מאסר בפועל בדרך של עבודות שירות, לא הרתיעו את הנאשם</w:t>
      </w:r>
      <w:r>
        <w:rPr>
          <w:rFonts w:ascii="David" w:hAnsi="David" w:cs="David"/>
          <w:sz w:val="24"/>
          <w:szCs w:val="24"/>
          <w:rtl/>
        </w:rPr>
        <w:t>,</w:t>
      </w:r>
      <w:r w:rsidRPr="00EC3091">
        <w:rPr>
          <w:rFonts w:ascii="David" w:hAnsi="David" w:cs="David"/>
          <w:sz w:val="24"/>
          <w:szCs w:val="24"/>
          <w:rtl/>
        </w:rPr>
        <w:t xml:space="preserve"> ומכאן הצורך בהרתעה אישית באמצעות ענישה ממשית. אמנם עיקר העבר הפלילי הוא בעבירות אלימות, ואולם קיימת משמעות לכך שהנאשם הרחיב לאחרונה את פעילותו העבריינית בתחום חדש, תחום הסמים ועוד בחמש הזדמנויות שונות (לא התייחסתי לרישום בעבירת החזקה לצריכה עצמית לאור טיב העבירה ומועד ביצועה בהיותו קטין). </w:t>
      </w:r>
    </w:p>
    <w:p w14:paraId="4FE208B9" w14:textId="77777777" w:rsidR="00D16716" w:rsidRDefault="00D16716" w:rsidP="001222D1">
      <w:pPr>
        <w:pStyle w:val="ac"/>
        <w:spacing w:line="360" w:lineRule="auto"/>
        <w:ind w:left="360"/>
        <w:jc w:val="both"/>
        <w:rPr>
          <w:rFonts w:ascii="David" w:hAnsi="David" w:cs="David"/>
          <w:sz w:val="24"/>
          <w:szCs w:val="24"/>
          <w:rtl/>
        </w:rPr>
      </w:pPr>
    </w:p>
    <w:p w14:paraId="2D758C48" w14:textId="77777777" w:rsidR="00D16716" w:rsidRPr="00EC3091" w:rsidRDefault="00D16716" w:rsidP="001222D1">
      <w:pPr>
        <w:pStyle w:val="ac"/>
        <w:spacing w:line="360" w:lineRule="auto"/>
        <w:ind w:left="360"/>
        <w:jc w:val="both"/>
        <w:rPr>
          <w:rFonts w:ascii="David" w:hAnsi="David" w:cs="David"/>
          <w:sz w:val="24"/>
          <w:szCs w:val="24"/>
          <w:rtl/>
        </w:rPr>
      </w:pPr>
      <w:r w:rsidRPr="00EC3091">
        <w:rPr>
          <w:rFonts w:ascii="David" w:hAnsi="David" w:cs="David"/>
          <w:sz w:val="24"/>
          <w:szCs w:val="24"/>
          <w:rtl/>
        </w:rPr>
        <w:t xml:space="preserve">מנגד, עומדים שיקולים רבים לזכותו, שהעיקריים ביניהם: </w:t>
      </w:r>
    </w:p>
    <w:p w14:paraId="11936F4A" w14:textId="77777777" w:rsidR="00D16716" w:rsidRPr="008146F0" w:rsidRDefault="00D16716" w:rsidP="001222D1">
      <w:pPr>
        <w:pStyle w:val="ac"/>
        <w:numPr>
          <w:ilvl w:val="0"/>
          <w:numId w:val="18"/>
        </w:numPr>
        <w:spacing w:line="360" w:lineRule="auto"/>
        <w:jc w:val="both"/>
        <w:rPr>
          <w:rFonts w:ascii="David" w:hAnsi="David" w:cs="David"/>
          <w:sz w:val="24"/>
          <w:szCs w:val="24"/>
        </w:rPr>
      </w:pPr>
      <w:r w:rsidRPr="008146F0">
        <w:rPr>
          <w:rFonts w:ascii="David" w:hAnsi="David" w:cs="David"/>
          <w:sz w:val="24"/>
          <w:szCs w:val="24"/>
          <w:rtl/>
        </w:rPr>
        <w:t xml:space="preserve">נסיבות אישיות ומשפחתיות קשות (פסקה ב(2)) לטיעון ההגנה לעונש בכתב. </w:t>
      </w:r>
    </w:p>
    <w:p w14:paraId="60212826" w14:textId="77777777" w:rsidR="00D16716" w:rsidRPr="008146F0" w:rsidRDefault="00D16716" w:rsidP="001222D1">
      <w:pPr>
        <w:pStyle w:val="ac"/>
        <w:numPr>
          <w:ilvl w:val="0"/>
          <w:numId w:val="18"/>
        </w:numPr>
        <w:spacing w:line="360" w:lineRule="auto"/>
        <w:jc w:val="both"/>
        <w:rPr>
          <w:rFonts w:ascii="David" w:hAnsi="David" w:cs="David"/>
          <w:sz w:val="24"/>
          <w:szCs w:val="24"/>
        </w:rPr>
      </w:pPr>
      <w:r w:rsidRPr="008146F0">
        <w:rPr>
          <w:rFonts w:ascii="David" w:hAnsi="David" w:cs="David"/>
          <w:sz w:val="24"/>
          <w:szCs w:val="24"/>
          <w:rtl/>
        </w:rPr>
        <w:t xml:space="preserve">מצב כלכלי ירוד. </w:t>
      </w:r>
    </w:p>
    <w:p w14:paraId="730E1178" w14:textId="77777777" w:rsidR="00D16716" w:rsidRPr="008146F0" w:rsidRDefault="00D16716" w:rsidP="001222D1">
      <w:pPr>
        <w:pStyle w:val="ac"/>
        <w:numPr>
          <w:ilvl w:val="0"/>
          <w:numId w:val="18"/>
        </w:numPr>
        <w:spacing w:line="360" w:lineRule="auto"/>
        <w:jc w:val="both"/>
        <w:rPr>
          <w:rFonts w:ascii="David" w:hAnsi="David" w:cs="David"/>
          <w:sz w:val="24"/>
          <w:szCs w:val="24"/>
        </w:rPr>
      </w:pPr>
      <w:r w:rsidRPr="008146F0">
        <w:rPr>
          <w:rFonts w:ascii="David" w:hAnsi="David" w:cs="David"/>
          <w:sz w:val="24"/>
          <w:szCs w:val="24"/>
          <w:rtl/>
        </w:rPr>
        <w:t xml:space="preserve">העדר הרשעות בשנים האחרונות והעדר הסתבכויות עם החוק מאז שנת 2009. </w:t>
      </w:r>
    </w:p>
    <w:p w14:paraId="7DC1165C" w14:textId="77777777" w:rsidR="00D16716" w:rsidRPr="008146F0" w:rsidRDefault="00D16716" w:rsidP="001222D1">
      <w:pPr>
        <w:pStyle w:val="ac"/>
        <w:numPr>
          <w:ilvl w:val="0"/>
          <w:numId w:val="18"/>
        </w:numPr>
        <w:spacing w:line="360" w:lineRule="auto"/>
        <w:jc w:val="both"/>
        <w:rPr>
          <w:rFonts w:ascii="David" w:hAnsi="David" w:cs="David"/>
          <w:sz w:val="24"/>
          <w:szCs w:val="24"/>
        </w:rPr>
      </w:pPr>
      <w:r w:rsidRPr="008146F0">
        <w:rPr>
          <w:rFonts w:ascii="David" w:hAnsi="David" w:cs="David"/>
          <w:sz w:val="24"/>
          <w:szCs w:val="24"/>
          <w:rtl/>
        </w:rPr>
        <w:t xml:space="preserve">רלוונטיות שולית יחסית לעברו התעבורתי (15 הרשעות קודמות לאורך השנים). </w:t>
      </w:r>
    </w:p>
    <w:p w14:paraId="7383CBAB" w14:textId="77777777" w:rsidR="00D16716" w:rsidRPr="008146F0" w:rsidRDefault="00D16716" w:rsidP="001222D1">
      <w:pPr>
        <w:pStyle w:val="ac"/>
        <w:numPr>
          <w:ilvl w:val="0"/>
          <w:numId w:val="18"/>
        </w:numPr>
        <w:spacing w:line="360" w:lineRule="auto"/>
        <w:jc w:val="both"/>
        <w:rPr>
          <w:rFonts w:ascii="David" w:hAnsi="David" w:cs="David"/>
          <w:sz w:val="24"/>
          <w:szCs w:val="24"/>
        </w:rPr>
      </w:pPr>
      <w:r w:rsidRPr="008146F0">
        <w:rPr>
          <w:rFonts w:ascii="David" w:hAnsi="David" w:cs="David"/>
          <w:sz w:val="24"/>
          <w:szCs w:val="24"/>
          <w:rtl/>
        </w:rPr>
        <w:t xml:space="preserve">ניהול הגנה באופן ענייני וזיכוי חלקי. </w:t>
      </w:r>
    </w:p>
    <w:p w14:paraId="22294FE4" w14:textId="77777777" w:rsidR="00D16716" w:rsidRPr="008146F0" w:rsidRDefault="00D16716" w:rsidP="001222D1">
      <w:pPr>
        <w:pStyle w:val="ac"/>
        <w:numPr>
          <w:ilvl w:val="0"/>
          <w:numId w:val="18"/>
        </w:numPr>
        <w:spacing w:line="360" w:lineRule="auto"/>
        <w:jc w:val="both"/>
        <w:rPr>
          <w:rFonts w:ascii="David" w:hAnsi="David" w:cs="David"/>
          <w:sz w:val="24"/>
          <w:szCs w:val="24"/>
        </w:rPr>
      </w:pPr>
      <w:r w:rsidRPr="008146F0">
        <w:rPr>
          <w:rFonts w:ascii="David" w:hAnsi="David" w:cs="David"/>
          <w:sz w:val="24"/>
          <w:szCs w:val="24"/>
          <w:rtl/>
        </w:rPr>
        <w:t xml:space="preserve">חלוף הזמן (עבירות משנת 2019). </w:t>
      </w:r>
    </w:p>
    <w:p w14:paraId="25EA9F8B" w14:textId="77777777" w:rsidR="00D16716" w:rsidRPr="008146F0" w:rsidRDefault="00D16716" w:rsidP="001222D1">
      <w:pPr>
        <w:pStyle w:val="ac"/>
        <w:numPr>
          <w:ilvl w:val="0"/>
          <w:numId w:val="18"/>
        </w:numPr>
        <w:spacing w:line="360" w:lineRule="auto"/>
        <w:jc w:val="both"/>
        <w:rPr>
          <w:rFonts w:ascii="David" w:hAnsi="David" w:cs="David"/>
          <w:sz w:val="24"/>
          <w:szCs w:val="24"/>
        </w:rPr>
      </w:pPr>
      <w:r w:rsidRPr="008146F0">
        <w:rPr>
          <w:rFonts w:ascii="David" w:hAnsi="David" w:cs="David"/>
          <w:sz w:val="24"/>
          <w:szCs w:val="24"/>
          <w:rtl/>
        </w:rPr>
        <w:t>שהיה לתקופה לא קצרה במעצר ממש (23 ימים) ותנאי</w:t>
      </w:r>
      <w:r>
        <w:rPr>
          <w:rFonts w:ascii="David" w:hAnsi="David" w:cs="David"/>
          <w:sz w:val="24"/>
          <w:szCs w:val="24"/>
          <w:rtl/>
        </w:rPr>
        <w:t>ם</w:t>
      </w:r>
      <w:r w:rsidRPr="008146F0">
        <w:rPr>
          <w:rFonts w:ascii="David" w:hAnsi="David" w:cs="David"/>
          <w:sz w:val="24"/>
          <w:szCs w:val="24"/>
          <w:rtl/>
        </w:rPr>
        <w:t xml:space="preserve"> מגבילים שהוטלו עליו לאחר שחרורו למשך תקופה לא קצרה. </w:t>
      </w:r>
    </w:p>
    <w:p w14:paraId="34F75670" w14:textId="77777777" w:rsidR="00D16716" w:rsidRPr="008146F0" w:rsidRDefault="00D16716" w:rsidP="001222D1">
      <w:pPr>
        <w:pStyle w:val="ac"/>
        <w:numPr>
          <w:ilvl w:val="0"/>
          <w:numId w:val="18"/>
        </w:numPr>
        <w:spacing w:line="360" w:lineRule="auto"/>
        <w:jc w:val="both"/>
        <w:rPr>
          <w:rFonts w:ascii="David" w:hAnsi="David" w:cs="David"/>
          <w:sz w:val="24"/>
          <w:szCs w:val="24"/>
        </w:rPr>
      </w:pPr>
      <w:r w:rsidRPr="008146F0">
        <w:rPr>
          <w:rFonts w:ascii="David" w:hAnsi="David" w:cs="David"/>
          <w:sz w:val="24"/>
          <w:szCs w:val="24"/>
          <w:rtl/>
        </w:rPr>
        <w:t xml:space="preserve">העובדה שהנאשם כפר וניהל את הגנתו עד תום מהווה בעיניי נתון ניטראלי, שכן ניהול המשפט היה ענייני והוא אף הוביל לזיכוי חלקי. מנגד, לא ניתן לזקוף לטובת הנאשם הודאה, נטילת אחריות והבעת חרטה שברגיל מהווים שיקולים כבדי משקל בשלב העונש. </w:t>
      </w:r>
    </w:p>
    <w:p w14:paraId="0FBBD058" w14:textId="77777777" w:rsidR="00D16716" w:rsidRPr="008146F0" w:rsidRDefault="00D16716" w:rsidP="001222D1">
      <w:pPr>
        <w:pStyle w:val="ac"/>
        <w:numPr>
          <w:ilvl w:val="0"/>
          <w:numId w:val="18"/>
        </w:numPr>
        <w:spacing w:line="360" w:lineRule="auto"/>
        <w:jc w:val="both"/>
        <w:rPr>
          <w:rFonts w:ascii="David" w:hAnsi="David" w:cs="David"/>
          <w:sz w:val="24"/>
          <w:szCs w:val="24"/>
          <w:rtl/>
        </w:rPr>
      </w:pPr>
      <w:r w:rsidRPr="008146F0">
        <w:rPr>
          <w:rFonts w:ascii="David" w:hAnsi="David" w:cs="David"/>
          <w:sz w:val="24"/>
          <w:szCs w:val="24"/>
          <w:rtl/>
        </w:rPr>
        <w:t xml:space="preserve">בהעדר הוכחה פוזיטיבית להשתלבות בהליך טיפולי משמעותי מאז מועד ביצוע העבירות, לא ניתן לדבר על שיקום או על מאמצי שיקום מיוחדים ולא די בטענה להעדר הסתבכויות מאוחרות. </w:t>
      </w:r>
    </w:p>
    <w:p w14:paraId="333488A6" w14:textId="77777777" w:rsidR="00D16716" w:rsidRDefault="00D16716" w:rsidP="001222D1">
      <w:pPr>
        <w:spacing w:line="360" w:lineRule="auto"/>
        <w:jc w:val="both"/>
        <w:rPr>
          <w:rtl/>
        </w:rPr>
      </w:pPr>
    </w:p>
    <w:p w14:paraId="016B297E" w14:textId="77777777" w:rsidR="00D16716" w:rsidRPr="008146F0" w:rsidRDefault="00D16716" w:rsidP="001222D1">
      <w:pPr>
        <w:spacing w:line="360" w:lineRule="auto"/>
        <w:jc w:val="both"/>
        <w:rPr>
          <w:rtl/>
        </w:rPr>
      </w:pPr>
      <w:r w:rsidRPr="008146F0">
        <w:rPr>
          <w:rtl/>
        </w:rPr>
        <w:t xml:space="preserve">לאור כל האמור, </w:t>
      </w:r>
      <w:r w:rsidRPr="002E1AC5">
        <w:rPr>
          <w:b/>
          <w:bCs/>
          <w:rtl/>
        </w:rPr>
        <w:t xml:space="preserve">נכון למקם את עונשו של הנאשם </w:t>
      </w:r>
      <w:r w:rsidRPr="002E1AC5">
        <w:rPr>
          <w:b/>
          <w:bCs/>
          <w:u w:val="single"/>
          <w:rtl/>
        </w:rPr>
        <w:t>בשליש התחתון במתחמי העונש שנקבעו</w:t>
      </w:r>
      <w:r w:rsidRPr="008146F0">
        <w:rPr>
          <w:rtl/>
        </w:rPr>
        <w:t xml:space="preserve">. </w:t>
      </w:r>
    </w:p>
    <w:p w14:paraId="07236A71" w14:textId="77777777" w:rsidR="00D16716" w:rsidRPr="008146F0" w:rsidRDefault="00D16716" w:rsidP="001222D1">
      <w:pPr>
        <w:spacing w:line="360" w:lineRule="auto"/>
        <w:jc w:val="both"/>
        <w:rPr>
          <w:rtl/>
        </w:rPr>
      </w:pPr>
    </w:p>
    <w:p w14:paraId="74B73635" w14:textId="77777777" w:rsidR="00D16716" w:rsidRPr="00EC3091" w:rsidRDefault="00D16716" w:rsidP="001222D1">
      <w:pPr>
        <w:pStyle w:val="ac"/>
        <w:numPr>
          <w:ilvl w:val="0"/>
          <w:numId w:val="20"/>
        </w:numPr>
        <w:spacing w:line="360" w:lineRule="auto"/>
        <w:jc w:val="both"/>
        <w:rPr>
          <w:rFonts w:ascii="David" w:hAnsi="David" w:cs="David"/>
          <w:sz w:val="24"/>
          <w:szCs w:val="24"/>
          <w:rtl/>
        </w:rPr>
      </w:pPr>
      <w:r w:rsidRPr="00EC3091">
        <w:rPr>
          <w:rFonts w:ascii="David" w:hAnsi="David" w:cs="David"/>
          <w:sz w:val="24"/>
          <w:szCs w:val="24"/>
          <w:rtl/>
        </w:rPr>
        <w:t xml:space="preserve">על אף קביעתי ביחס לאירועים השונים והמתחמים בהתאם, החלטתי, תוך התחשבות במצבו האישי של הנאשם, והמכנה המשותף לאישומים השונים, </w:t>
      </w:r>
      <w:r w:rsidRPr="002E1AC5">
        <w:rPr>
          <w:rFonts w:ascii="David" w:hAnsi="David" w:cs="David"/>
          <w:b/>
          <w:bCs/>
          <w:sz w:val="24"/>
          <w:szCs w:val="24"/>
          <w:rtl/>
        </w:rPr>
        <w:t>לשים דגש על האישום המרכזי, ובכך להביא לכדי ביטוי נוסף את מכלול השיקולים שנמנו לעיל</w:t>
      </w:r>
      <w:r w:rsidRPr="00EC3091">
        <w:rPr>
          <w:rFonts w:ascii="David" w:hAnsi="David" w:cs="David"/>
          <w:sz w:val="24"/>
          <w:szCs w:val="24"/>
          <w:rtl/>
        </w:rPr>
        <w:t xml:space="preserve">, והכל לפי </w:t>
      </w:r>
      <w:hyperlink r:id="rId37" w:history="1">
        <w:r w:rsidR="00CE2636" w:rsidRPr="00CE2636">
          <w:rPr>
            <w:rStyle w:val="Hyperlink"/>
            <w:rFonts w:ascii="David" w:hAnsi="David" w:cs="David"/>
            <w:sz w:val="24"/>
            <w:szCs w:val="24"/>
            <w:rtl/>
          </w:rPr>
          <w:t>סעיף 40יג(ב)</w:t>
        </w:r>
      </w:hyperlink>
      <w:r w:rsidRPr="00EC3091">
        <w:rPr>
          <w:rFonts w:ascii="David" w:hAnsi="David" w:cs="David"/>
          <w:sz w:val="24"/>
          <w:szCs w:val="24"/>
          <w:rtl/>
        </w:rPr>
        <w:t xml:space="preserve"> ל</w:t>
      </w:r>
      <w:hyperlink r:id="rId38" w:history="1">
        <w:r w:rsidR="00990309" w:rsidRPr="00990309">
          <w:rPr>
            <w:rFonts w:ascii="David" w:hAnsi="David" w:cs="David"/>
            <w:color w:val="0000FF"/>
            <w:sz w:val="24"/>
            <w:szCs w:val="24"/>
            <w:u w:val="single"/>
            <w:rtl/>
          </w:rPr>
          <w:t>חוק העונשין</w:t>
        </w:r>
      </w:hyperlink>
      <w:r w:rsidRPr="00EC3091">
        <w:rPr>
          <w:rFonts w:ascii="David" w:hAnsi="David" w:cs="David"/>
          <w:sz w:val="24"/>
          <w:szCs w:val="24"/>
          <w:rtl/>
        </w:rPr>
        <w:t xml:space="preserve"> שזו לשונו:</w:t>
      </w:r>
    </w:p>
    <w:p w14:paraId="33A78DB2" w14:textId="77777777" w:rsidR="00D16716" w:rsidRPr="008146F0" w:rsidRDefault="00D16716" w:rsidP="001222D1">
      <w:pPr>
        <w:spacing w:line="360" w:lineRule="auto"/>
        <w:ind w:left="720"/>
        <w:jc w:val="both"/>
        <w:rPr>
          <w:rtl/>
        </w:rPr>
      </w:pPr>
      <w:r w:rsidRPr="008146F0">
        <w:rPr>
          <w:rtl/>
        </w:rPr>
        <w:t xml:space="preserve">"הרשיע בית המשפט נאשם בכמה עבירות המהוות כמה אירועים, יקבע מתחם עונש הולם כאמור </w:t>
      </w:r>
      <w:hyperlink r:id="rId39" w:history="1">
        <w:r w:rsidR="00CE2636" w:rsidRPr="00CE2636">
          <w:rPr>
            <w:rStyle w:val="Hyperlink"/>
            <w:rtl/>
          </w:rPr>
          <w:t>בסעיף 40ג(א)</w:t>
        </w:r>
      </w:hyperlink>
      <w:r w:rsidRPr="008146F0">
        <w:rPr>
          <w:rtl/>
        </w:rPr>
        <w:t xml:space="preserve"> לכל אירוע בנפרד, ולאחר מכן רשאי הוא לגזור עונש נפרד לכל אירוע </w:t>
      </w:r>
      <w:r w:rsidRPr="008146F0">
        <w:rPr>
          <w:b/>
          <w:bCs/>
          <w:rtl/>
        </w:rPr>
        <w:t>או עונש כולל לכל האירועים</w:t>
      </w:r>
      <w:r w:rsidRPr="008146F0">
        <w:rPr>
          <w:rtl/>
        </w:rPr>
        <w:t>".</w:t>
      </w:r>
    </w:p>
    <w:p w14:paraId="3DF3C041" w14:textId="77777777" w:rsidR="00D16716" w:rsidRPr="00EC3091" w:rsidRDefault="00D16716" w:rsidP="001222D1">
      <w:pPr>
        <w:pStyle w:val="ac"/>
        <w:numPr>
          <w:ilvl w:val="0"/>
          <w:numId w:val="20"/>
        </w:numPr>
        <w:spacing w:line="360" w:lineRule="auto"/>
        <w:jc w:val="both"/>
        <w:rPr>
          <w:rFonts w:ascii="David" w:hAnsi="David" w:cs="David"/>
          <w:sz w:val="24"/>
          <w:szCs w:val="24"/>
          <w:rtl/>
        </w:rPr>
      </w:pPr>
      <w:r w:rsidRPr="00EC3091">
        <w:rPr>
          <w:rFonts w:ascii="David" w:hAnsi="David" w:cs="David"/>
          <w:sz w:val="24"/>
          <w:szCs w:val="24"/>
          <w:rtl/>
        </w:rPr>
        <w:t xml:space="preserve">אשר לרכיבי הענישה האחרים, </w:t>
      </w:r>
      <w:r w:rsidRPr="00EC3091">
        <w:rPr>
          <w:rFonts w:ascii="David" w:hAnsi="David" w:cs="David"/>
          <w:b/>
          <w:bCs/>
          <w:sz w:val="24"/>
          <w:szCs w:val="24"/>
          <w:rtl/>
        </w:rPr>
        <w:t>מצאתי לקבל את טיעוני ההגנה ביחס למתחם הקנס שהוצע</w:t>
      </w:r>
      <w:r w:rsidRPr="00EC3091">
        <w:rPr>
          <w:rFonts w:ascii="David" w:hAnsi="David" w:cs="David"/>
          <w:sz w:val="24"/>
          <w:szCs w:val="24"/>
          <w:rtl/>
        </w:rPr>
        <w:t xml:space="preserve">, וזאת בהתחשב במצבו הכלכלי של הנאשם (שהיווה חלק מהנימוקים לדחיית טענותיו של הנאשם ביחס לאישום השלישי). תשומת הלב </w:t>
      </w:r>
      <w:hyperlink r:id="rId40" w:history="1">
        <w:r w:rsidR="00CE2636" w:rsidRPr="00CE2636">
          <w:rPr>
            <w:rStyle w:val="Hyperlink"/>
            <w:rFonts w:ascii="David" w:hAnsi="David" w:cs="David"/>
            <w:sz w:val="24"/>
            <w:szCs w:val="24"/>
            <w:rtl/>
          </w:rPr>
          <w:t>לסעיף 40ח</w:t>
        </w:r>
      </w:hyperlink>
      <w:r w:rsidRPr="00EC3091">
        <w:rPr>
          <w:rFonts w:ascii="David" w:hAnsi="David" w:cs="David"/>
          <w:sz w:val="24"/>
          <w:szCs w:val="24"/>
          <w:rtl/>
        </w:rPr>
        <w:t xml:space="preserve"> ל</w:t>
      </w:r>
      <w:hyperlink r:id="rId41" w:history="1">
        <w:r w:rsidR="00990309" w:rsidRPr="00990309">
          <w:rPr>
            <w:rFonts w:ascii="David" w:hAnsi="David" w:cs="David"/>
            <w:color w:val="0000FF"/>
            <w:sz w:val="24"/>
            <w:szCs w:val="24"/>
            <w:u w:val="single"/>
            <w:rtl/>
          </w:rPr>
          <w:t>חוק העונשין</w:t>
        </w:r>
      </w:hyperlink>
      <w:r w:rsidRPr="00EC3091">
        <w:rPr>
          <w:rFonts w:ascii="David" w:hAnsi="David" w:cs="David"/>
          <w:sz w:val="24"/>
          <w:szCs w:val="24"/>
          <w:rtl/>
        </w:rPr>
        <w:t xml:space="preserve"> לעניין רכיב הקנס, לפיו, בחריגה מעקרונות תיקון 113 לחוק, הנתון הסובייקטיבי של מצבו הכלכלי של הנאשם, פועל לא רק בתוך המתחם, אלא גם "לצורך קביעת מתחם עונש הקנס ההולם". למרות האמור, אני סבור שקנס שיפחת מ- 5000 ₪, עלולה להחטיא את תכלית הענישה. מדובר בעתירה מתונה מצד התביעה. הפן הכספי והתקיפה הכלכלית במסגרת המלחמה בנגע הסם כמעט מובנים מאליהם.  </w:t>
      </w:r>
    </w:p>
    <w:p w14:paraId="4B23483E" w14:textId="77777777" w:rsidR="00D16716" w:rsidRDefault="00D16716" w:rsidP="001222D1">
      <w:pPr>
        <w:pStyle w:val="ac"/>
        <w:spacing w:line="360" w:lineRule="auto"/>
        <w:ind w:left="360"/>
        <w:jc w:val="both"/>
        <w:rPr>
          <w:rFonts w:ascii="David" w:hAnsi="David" w:cs="David"/>
          <w:sz w:val="24"/>
          <w:szCs w:val="24"/>
        </w:rPr>
      </w:pPr>
    </w:p>
    <w:p w14:paraId="23974911" w14:textId="77777777" w:rsidR="00D16716" w:rsidRPr="00EC3091" w:rsidRDefault="00D16716" w:rsidP="001222D1">
      <w:pPr>
        <w:pStyle w:val="ac"/>
        <w:numPr>
          <w:ilvl w:val="0"/>
          <w:numId w:val="20"/>
        </w:numPr>
        <w:spacing w:line="360" w:lineRule="auto"/>
        <w:jc w:val="both"/>
        <w:rPr>
          <w:rFonts w:ascii="David" w:hAnsi="David" w:cs="David"/>
          <w:sz w:val="24"/>
          <w:szCs w:val="24"/>
          <w:rtl/>
        </w:rPr>
      </w:pPr>
      <w:r w:rsidRPr="00EC3091">
        <w:rPr>
          <w:rFonts w:ascii="David" w:hAnsi="David" w:cs="David"/>
          <w:sz w:val="24"/>
          <w:szCs w:val="24"/>
          <w:rtl/>
        </w:rPr>
        <w:t xml:space="preserve">אינני יכול לקבל עמדת ההגנה ביחס </w:t>
      </w:r>
      <w:r w:rsidRPr="00EC3091">
        <w:rPr>
          <w:rFonts w:ascii="David" w:hAnsi="David" w:cs="David"/>
          <w:b/>
          <w:bCs/>
          <w:sz w:val="24"/>
          <w:szCs w:val="24"/>
          <w:rtl/>
        </w:rPr>
        <w:t>לפסילת רישיון הנהיגה</w:t>
      </w:r>
      <w:r w:rsidRPr="00EC3091">
        <w:rPr>
          <w:rFonts w:ascii="David" w:hAnsi="David" w:cs="David"/>
          <w:sz w:val="24"/>
          <w:szCs w:val="24"/>
          <w:rtl/>
        </w:rPr>
        <w:t xml:space="preserve">. העובדה שמדובר בסמים שנתפסו בתוך רכב בשימושו של הנאשם, בצל הוראות </w:t>
      </w:r>
      <w:hyperlink r:id="rId42" w:history="1">
        <w:r w:rsidR="00CE2636" w:rsidRPr="00CE2636">
          <w:rPr>
            <w:rStyle w:val="Hyperlink"/>
            <w:rFonts w:ascii="David" w:hAnsi="David" w:cs="David"/>
            <w:sz w:val="24"/>
            <w:szCs w:val="24"/>
            <w:rtl/>
          </w:rPr>
          <w:t>סעיף 37א</w:t>
        </w:r>
      </w:hyperlink>
      <w:r w:rsidRPr="00EC3091">
        <w:rPr>
          <w:rFonts w:ascii="David" w:hAnsi="David" w:cs="David"/>
          <w:sz w:val="24"/>
          <w:szCs w:val="24"/>
          <w:rtl/>
        </w:rPr>
        <w:t xml:space="preserve"> לפקודת הסמים, מצדיקה התייחסות לפסילת רישיון הנהיגה. </w:t>
      </w:r>
      <w:hyperlink r:id="rId43" w:history="1">
        <w:r w:rsidR="00CE2636" w:rsidRPr="00CE2636">
          <w:rPr>
            <w:rStyle w:val="Hyperlink"/>
            <w:rFonts w:ascii="David" w:hAnsi="David" w:cs="David"/>
            <w:sz w:val="24"/>
            <w:szCs w:val="24"/>
            <w:rtl/>
          </w:rPr>
          <w:t>סעיף 37א</w:t>
        </w:r>
      </w:hyperlink>
      <w:r w:rsidRPr="00EC3091">
        <w:rPr>
          <w:rFonts w:ascii="David" w:hAnsi="David" w:cs="David"/>
          <w:sz w:val="24"/>
          <w:szCs w:val="24"/>
          <w:rtl/>
        </w:rPr>
        <w:t xml:space="preserve"> לפקודה, על אף שאיננו מחייב את בית המשפט לפסול רישיון נאשם שהורשע, מהווה, לכל הפחות, מעין תזכורת לבית המשפט בשלב גזר הדין כי בעבירות סמים עסקינן ולכן יש, למצער, להידרש לסוגיית הפסילה. לנוכח כמות וסוג הסמים, בחירת הנאשם ברכב כמעין "מחסן סמים", כשבעברו רישום מסוג "אי הרשעה" בעבירת סמים, במסגרתה הוטלה עליו פסילה על תנאי, </w:t>
      </w:r>
      <w:r w:rsidRPr="00EC3091">
        <w:rPr>
          <w:rFonts w:ascii="David" w:hAnsi="David" w:cs="David"/>
          <w:b/>
          <w:bCs/>
          <w:sz w:val="24"/>
          <w:szCs w:val="24"/>
          <w:rtl/>
        </w:rPr>
        <w:t>מצאתי שאין מנוס בנסיבות העניין אלא להורות על פסילת רישיון נהיגה</w:t>
      </w:r>
      <w:r w:rsidRPr="00EC3091">
        <w:rPr>
          <w:rFonts w:ascii="David" w:hAnsi="David" w:cs="David"/>
          <w:sz w:val="24"/>
          <w:szCs w:val="24"/>
          <w:rtl/>
        </w:rPr>
        <w:t xml:space="preserve">, </w:t>
      </w:r>
      <w:r w:rsidRPr="002306AE">
        <w:rPr>
          <w:rFonts w:ascii="David" w:hAnsi="David" w:cs="David"/>
          <w:b/>
          <w:bCs/>
          <w:sz w:val="24"/>
          <w:szCs w:val="24"/>
          <w:rtl/>
        </w:rPr>
        <w:t>וכי טיעוני ההגנה ישמשו אותי לגבי אורך ומשך התקופה</w:t>
      </w:r>
      <w:r w:rsidRPr="00EC3091">
        <w:rPr>
          <w:rFonts w:ascii="David" w:hAnsi="David" w:cs="David"/>
          <w:sz w:val="24"/>
          <w:szCs w:val="24"/>
          <w:rtl/>
        </w:rPr>
        <w:t xml:space="preserve">. כל זאת, לצד פסילה על תנאי בנוסף ולא במקום. </w:t>
      </w:r>
    </w:p>
    <w:p w14:paraId="7DDAE325" w14:textId="77777777" w:rsidR="00D16716" w:rsidRDefault="00D16716" w:rsidP="001222D1">
      <w:pPr>
        <w:pStyle w:val="ac"/>
        <w:spacing w:line="360" w:lineRule="auto"/>
        <w:ind w:left="360"/>
        <w:jc w:val="both"/>
        <w:rPr>
          <w:rFonts w:ascii="David" w:hAnsi="David" w:cs="David"/>
          <w:sz w:val="24"/>
          <w:szCs w:val="24"/>
        </w:rPr>
      </w:pPr>
    </w:p>
    <w:p w14:paraId="5148F7B4" w14:textId="77777777" w:rsidR="00D16716" w:rsidRDefault="00D16716" w:rsidP="001222D1">
      <w:pPr>
        <w:pStyle w:val="ac"/>
        <w:numPr>
          <w:ilvl w:val="0"/>
          <w:numId w:val="20"/>
        </w:numPr>
        <w:spacing w:line="360" w:lineRule="auto"/>
        <w:jc w:val="both"/>
        <w:rPr>
          <w:rFonts w:ascii="David" w:hAnsi="David" w:cs="David"/>
          <w:sz w:val="24"/>
          <w:szCs w:val="24"/>
        </w:rPr>
      </w:pPr>
      <w:r w:rsidRPr="00EC3091">
        <w:rPr>
          <w:rFonts w:ascii="David" w:hAnsi="David" w:cs="David"/>
          <w:sz w:val="24"/>
          <w:szCs w:val="24"/>
          <w:rtl/>
        </w:rPr>
        <w:t>אשר להכרזה הפונקציונלית על הנאשם כ</w:t>
      </w:r>
      <w:r w:rsidRPr="00EC3091">
        <w:rPr>
          <w:rFonts w:ascii="David" w:hAnsi="David" w:cs="David"/>
          <w:b/>
          <w:bCs/>
          <w:sz w:val="24"/>
          <w:szCs w:val="24"/>
          <w:rtl/>
        </w:rPr>
        <w:t>סוחר סמים לצורך חילוט</w:t>
      </w:r>
      <w:r w:rsidRPr="00EC3091">
        <w:rPr>
          <w:rFonts w:ascii="David" w:hAnsi="David" w:cs="David"/>
          <w:sz w:val="24"/>
          <w:szCs w:val="24"/>
          <w:rtl/>
        </w:rPr>
        <w:t xml:space="preserve"> (לפי </w:t>
      </w:r>
      <w:hyperlink r:id="rId44" w:history="1">
        <w:r w:rsidR="00CE2636" w:rsidRPr="00CE2636">
          <w:rPr>
            <w:rStyle w:val="Hyperlink"/>
            <w:rFonts w:ascii="David" w:hAnsi="David" w:cs="David"/>
            <w:sz w:val="24"/>
            <w:szCs w:val="24"/>
            <w:rtl/>
          </w:rPr>
          <w:t>סעיף 36א(ב)</w:t>
        </w:r>
      </w:hyperlink>
      <w:r w:rsidRPr="00EC3091">
        <w:rPr>
          <w:rFonts w:ascii="David" w:hAnsi="David" w:cs="David"/>
          <w:sz w:val="24"/>
          <w:szCs w:val="24"/>
          <w:rtl/>
        </w:rPr>
        <w:t xml:space="preserve"> לפקודת הסמים), מצאתי לקבל עתירת התביעה. אכן, דרך המלך היא שהכרזה זו תיקבע בשלב הכרעת הדין לפי בקשת התביעה. </w:t>
      </w:r>
      <w:r w:rsidRPr="002306AE">
        <w:rPr>
          <w:rFonts w:ascii="David" w:hAnsi="David" w:cs="David"/>
          <w:b/>
          <w:bCs/>
          <w:sz w:val="24"/>
          <w:szCs w:val="24"/>
          <w:rtl/>
        </w:rPr>
        <w:t>על אף שלא נתבקשתי לעשות כן בסיכומי התביעה, ובטרם נגזר דינו של הנאשם, החלטתי להכריז עליו כסוחר סמים</w:t>
      </w:r>
      <w:r w:rsidRPr="00EC3091">
        <w:rPr>
          <w:rFonts w:ascii="David" w:hAnsi="David" w:cs="David"/>
          <w:sz w:val="24"/>
          <w:szCs w:val="24"/>
          <w:rtl/>
        </w:rPr>
        <w:t xml:space="preserve">. בתיק זה, מעייני הצדדים, שניהם, בשלב הכרעת הדין, היו נתונים להתמודדות עם הסוגיות המשפטיות שעלו בתיק בשלב בירור האשמה. ההכרזה על הנאשם "כסוחר בסמים" על אף שהיא ממוקמת בשלב הכרעת הדין, בין לאחר הודאה ובין לאחר ניהול הוכחות, היא מכוונת עצמה לשלב גזירת הדין כשבית המשפט נדרש לשאלת החילוט. אי הכרזה על הנאשם כסוחר סמים בשלב הכרעת הדין, לא הייתה כרוכה, בנסיבות תיק זה, בפגיעה בזכויותיו ובציפייתו. משמדובר בהכרזה (פונקציונלית) נעדרת משמעות החורגת מתכלית החילוט, לא מצאתי, בנסיבות התיק, לייחס משקל רב למועד העלאתה, בשלב הטיעונים לעונש, ולא בשלב הכרעת הדין או מיד לאחר שניתנה.  </w:t>
      </w:r>
    </w:p>
    <w:p w14:paraId="77539891" w14:textId="77777777" w:rsidR="00D16716" w:rsidRPr="00C82E19" w:rsidRDefault="00D16716" w:rsidP="001222D1">
      <w:pPr>
        <w:pStyle w:val="ac"/>
        <w:rPr>
          <w:rFonts w:ascii="David" w:hAnsi="David" w:cs="David"/>
          <w:sz w:val="24"/>
          <w:szCs w:val="24"/>
          <w:rtl/>
        </w:rPr>
      </w:pPr>
    </w:p>
    <w:p w14:paraId="5D10ED42" w14:textId="77777777" w:rsidR="00D16716" w:rsidRDefault="00D16716" w:rsidP="001222D1">
      <w:pPr>
        <w:pStyle w:val="ac"/>
        <w:spacing w:line="360" w:lineRule="auto"/>
        <w:ind w:left="360"/>
        <w:jc w:val="both"/>
        <w:rPr>
          <w:rFonts w:ascii="David" w:hAnsi="David" w:cs="David"/>
          <w:sz w:val="24"/>
          <w:szCs w:val="24"/>
          <w:rtl/>
        </w:rPr>
      </w:pPr>
      <w:r w:rsidRPr="00EC3091">
        <w:rPr>
          <w:rFonts w:ascii="David" w:hAnsi="David" w:cs="David"/>
          <w:sz w:val="24"/>
          <w:szCs w:val="24"/>
          <w:rtl/>
        </w:rPr>
        <w:t xml:space="preserve">לגוף העניין, הכמות "המסחרית" פי למעלה מ- 100 מהכמות הקבועה בחוק לעניין חזקה שלא לצריכה עצמית, בצירוף נסיבות ביצוע העבירה אליהן נחשפתי במהלך שמיעת הראיות, מצדיקה הכרזה, גם אם מאוחרת, על הנאשם כסוחר סמים לצורך חילוט הכספים. לנוכח הכרעת הדין המרשיעה, ועל רקע התכחשותו של הנאשם מבלי גרסה חלופית, </w:t>
      </w:r>
      <w:r w:rsidRPr="00EC3091">
        <w:rPr>
          <w:rFonts w:ascii="David" w:hAnsi="David" w:cs="David"/>
          <w:b/>
          <w:bCs/>
          <w:sz w:val="24"/>
          <w:szCs w:val="24"/>
          <w:rtl/>
        </w:rPr>
        <w:t xml:space="preserve">סבורני כי די בנסיבות ביצוע העבירה כפי שעלו וצפו במהלך ניהול ההוכחות, כדי לבסס את התנאים </w:t>
      </w:r>
      <w:hyperlink r:id="rId45" w:history="1">
        <w:r w:rsidR="00CE2636" w:rsidRPr="00CE2636">
          <w:rPr>
            <w:rStyle w:val="Hyperlink"/>
            <w:rFonts w:ascii="David" w:hAnsi="David" w:cs="David"/>
            <w:b/>
            <w:bCs/>
            <w:sz w:val="24"/>
            <w:szCs w:val="24"/>
            <w:rtl/>
          </w:rPr>
          <w:t>בסעיף 36א(ב)</w:t>
        </w:r>
      </w:hyperlink>
      <w:r w:rsidRPr="00EC3091">
        <w:rPr>
          <w:rFonts w:ascii="David" w:hAnsi="David" w:cs="David"/>
          <w:b/>
          <w:bCs/>
          <w:sz w:val="24"/>
          <w:szCs w:val="24"/>
          <w:rtl/>
        </w:rPr>
        <w:t xml:space="preserve"> לפקודת הסמים</w:t>
      </w:r>
      <w:r w:rsidRPr="00EC3091">
        <w:rPr>
          <w:rFonts w:ascii="David" w:hAnsi="David" w:cs="David"/>
          <w:sz w:val="24"/>
          <w:szCs w:val="24"/>
          <w:rtl/>
        </w:rPr>
        <w:t xml:space="preserve"> באשר הנאשם "היה אמור להפיק רווח מהעבירה", וזאת לאחר שהורשע בעבירה של החזקה </w:t>
      </w:r>
      <w:r w:rsidRPr="00EC3091">
        <w:rPr>
          <w:rFonts w:ascii="David" w:hAnsi="David" w:cs="David"/>
          <w:b/>
          <w:bCs/>
          <w:sz w:val="24"/>
          <w:szCs w:val="24"/>
          <w:u w:val="single"/>
          <w:rtl/>
        </w:rPr>
        <w:t>שלא</w:t>
      </w:r>
      <w:r w:rsidRPr="00EC3091">
        <w:rPr>
          <w:rFonts w:ascii="David" w:hAnsi="David" w:cs="David"/>
          <w:sz w:val="24"/>
          <w:szCs w:val="24"/>
          <w:rtl/>
        </w:rPr>
        <w:t xml:space="preserve"> לצריכה עצמית.  </w:t>
      </w:r>
    </w:p>
    <w:p w14:paraId="6D6ADD1B" w14:textId="77777777" w:rsidR="00D16716" w:rsidRPr="00EC3091" w:rsidRDefault="00D16716" w:rsidP="001222D1">
      <w:pPr>
        <w:pStyle w:val="ac"/>
        <w:spacing w:line="360" w:lineRule="auto"/>
        <w:ind w:left="360"/>
        <w:jc w:val="both"/>
        <w:rPr>
          <w:rFonts w:ascii="David" w:hAnsi="David" w:cs="David"/>
          <w:sz w:val="24"/>
          <w:szCs w:val="24"/>
          <w:rtl/>
        </w:rPr>
      </w:pPr>
    </w:p>
    <w:p w14:paraId="37B156BC" w14:textId="77777777" w:rsidR="00D16716" w:rsidRPr="00EC3091" w:rsidRDefault="00D16716" w:rsidP="001222D1">
      <w:pPr>
        <w:pStyle w:val="ac"/>
        <w:numPr>
          <w:ilvl w:val="0"/>
          <w:numId w:val="20"/>
        </w:numPr>
        <w:spacing w:line="360" w:lineRule="auto"/>
        <w:jc w:val="both"/>
        <w:rPr>
          <w:rFonts w:ascii="David" w:hAnsi="David" w:cs="David"/>
          <w:sz w:val="24"/>
          <w:szCs w:val="24"/>
          <w:rtl/>
        </w:rPr>
      </w:pPr>
      <w:r w:rsidRPr="00EC3091">
        <w:rPr>
          <w:rFonts w:ascii="David" w:hAnsi="David" w:cs="David"/>
          <w:sz w:val="24"/>
          <w:szCs w:val="24"/>
          <w:rtl/>
        </w:rPr>
        <w:t xml:space="preserve">אשר </w:t>
      </w:r>
      <w:r w:rsidRPr="00EC3091">
        <w:rPr>
          <w:rFonts w:ascii="David" w:hAnsi="David" w:cs="David"/>
          <w:b/>
          <w:bCs/>
          <w:sz w:val="24"/>
          <w:szCs w:val="24"/>
          <w:rtl/>
        </w:rPr>
        <w:t>לאופנוע</w:t>
      </w:r>
      <w:r w:rsidRPr="00EC3091">
        <w:rPr>
          <w:rFonts w:ascii="David" w:hAnsi="David" w:cs="David"/>
          <w:sz w:val="24"/>
          <w:szCs w:val="24"/>
          <w:rtl/>
        </w:rPr>
        <w:t xml:space="preserve">, לנוכח הראיות שהוגשו, והתייחסותי בשלב הכרעת הדין, ביחס לבעלות על הרכב והשימוש בפועל בו, לרבות התייחסות הבעלים הרשמי של האופנוע למנהגם של המשתמשים למיניהם ברכב, כל אלה מלמדים שהבעלים לא גילו בו כל עניין. העובדה שלא הוגשה בקשה מתאימה על ידי מאן דהוא, בצירוף השימוש הפעיל של הנאשם ברכב, </w:t>
      </w:r>
      <w:r w:rsidRPr="00EC3091">
        <w:rPr>
          <w:rFonts w:ascii="David" w:hAnsi="David" w:cs="David"/>
          <w:b/>
          <w:bCs/>
          <w:sz w:val="24"/>
          <w:szCs w:val="24"/>
          <w:rtl/>
        </w:rPr>
        <w:t>כל אלה מצדיקים חילוטו</w:t>
      </w:r>
      <w:r w:rsidRPr="00EC3091">
        <w:rPr>
          <w:rFonts w:ascii="David" w:hAnsi="David" w:cs="David"/>
          <w:sz w:val="24"/>
          <w:szCs w:val="24"/>
          <w:rtl/>
        </w:rPr>
        <w:t xml:space="preserve">. </w:t>
      </w:r>
    </w:p>
    <w:p w14:paraId="295942F0" w14:textId="77777777" w:rsidR="00D16716" w:rsidRDefault="00D16716" w:rsidP="001222D1">
      <w:pPr>
        <w:pStyle w:val="ac"/>
        <w:spacing w:line="360" w:lineRule="auto"/>
        <w:ind w:left="360"/>
        <w:jc w:val="both"/>
        <w:rPr>
          <w:rFonts w:ascii="David" w:hAnsi="David" w:cs="David"/>
          <w:sz w:val="24"/>
          <w:szCs w:val="24"/>
          <w:rtl/>
        </w:rPr>
      </w:pPr>
      <w:r w:rsidRPr="00EC3091">
        <w:rPr>
          <w:rFonts w:ascii="David" w:hAnsi="David" w:cs="David"/>
          <w:sz w:val="24"/>
          <w:szCs w:val="24"/>
          <w:rtl/>
        </w:rPr>
        <w:t>כמו כן, וכאמור לעיל, הנאשם עשה שימוש ברכב כ</w:t>
      </w:r>
      <w:r>
        <w:rPr>
          <w:rFonts w:ascii="David" w:hAnsi="David" w:cs="David"/>
          <w:sz w:val="24"/>
          <w:szCs w:val="24"/>
          <w:rtl/>
        </w:rPr>
        <w:t>"</w:t>
      </w:r>
      <w:r w:rsidRPr="00EC3091">
        <w:rPr>
          <w:rFonts w:ascii="David" w:hAnsi="David" w:cs="David"/>
          <w:sz w:val="24"/>
          <w:szCs w:val="24"/>
          <w:rtl/>
        </w:rPr>
        <w:t>מחסן סמים</w:t>
      </w:r>
      <w:r>
        <w:rPr>
          <w:rFonts w:ascii="David" w:hAnsi="David" w:cs="David"/>
          <w:sz w:val="24"/>
          <w:szCs w:val="24"/>
          <w:rtl/>
        </w:rPr>
        <w:t>"</w:t>
      </w:r>
      <w:r w:rsidRPr="00EC3091">
        <w:rPr>
          <w:rFonts w:ascii="David" w:hAnsi="David" w:cs="David"/>
          <w:sz w:val="24"/>
          <w:szCs w:val="24"/>
          <w:rtl/>
        </w:rPr>
        <w:t xml:space="preserve">. הנאשם בחר בכך והדעת נותנת שהיו בפניו אפשרויות אחרות. החזקת הסמים ברכב, 'כזולה' ניידת, ככלי קיבול וכמקום מסתור, אפשרה את ביצוע העבירה, היא עבירת ההחזקה. </w:t>
      </w:r>
    </w:p>
    <w:p w14:paraId="6069C674" w14:textId="77777777" w:rsidR="00D16716" w:rsidRPr="00EC3091" w:rsidRDefault="00D16716" w:rsidP="001222D1">
      <w:pPr>
        <w:pStyle w:val="ac"/>
        <w:spacing w:line="360" w:lineRule="auto"/>
        <w:ind w:left="360"/>
        <w:jc w:val="both"/>
        <w:rPr>
          <w:rFonts w:ascii="David" w:hAnsi="David" w:cs="David"/>
          <w:sz w:val="24"/>
          <w:szCs w:val="24"/>
          <w:rtl/>
        </w:rPr>
      </w:pPr>
    </w:p>
    <w:p w14:paraId="54EF451A" w14:textId="77777777" w:rsidR="00D16716" w:rsidRPr="00EC3091" w:rsidRDefault="00D16716" w:rsidP="001222D1">
      <w:pPr>
        <w:pStyle w:val="ac"/>
        <w:numPr>
          <w:ilvl w:val="0"/>
          <w:numId w:val="20"/>
        </w:numPr>
        <w:spacing w:line="360" w:lineRule="auto"/>
        <w:jc w:val="both"/>
        <w:rPr>
          <w:rFonts w:ascii="David" w:hAnsi="David" w:cs="David"/>
          <w:sz w:val="24"/>
          <w:szCs w:val="24"/>
          <w:rtl/>
        </w:rPr>
      </w:pPr>
      <w:r w:rsidRPr="00EC3091">
        <w:rPr>
          <w:rFonts w:ascii="David" w:hAnsi="David" w:cs="David"/>
          <w:sz w:val="24"/>
          <w:szCs w:val="24"/>
          <w:rtl/>
        </w:rPr>
        <w:t xml:space="preserve">שאר הפריטים האישיים (שעון, קסדה וכיוצ"ב), אם לנאשם עניין בהם, </w:t>
      </w:r>
      <w:r w:rsidRPr="00EC3091">
        <w:rPr>
          <w:rFonts w:ascii="David" w:hAnsi="David" w:cs="David"/>
          <w:b/>
          <w:bCs/>
          <w:sz w:val="24"/>
          <w:szCs w:val="24"/>
          <w:rtl/>
        </w:rPr>
        <w:t>יושבו לו</w:t>
      </w:r>
      <w:r w:rsidRPr="00EC3091">
        <w:rPr>
          <w:rFonts w:ascii="David" w:hAnsi="David" w:cs="David"/>
          <w:sz w:val="24"/>
          <w:szCs w:val="24"/>
          <w:rtl/>
        </w:rPr>
        <w:t xml:space="preserve">. </w:t>
      </w:r>
    </w:p>
    <w:p w14:paraId="7A3AE509" w14:textId="77777777" w:rsidR="00D16716" w:rsidRPr="008146F0" w:rsidRDefault="00D16716" w:rsidP="001222D1">
      <w:pPr>
        <w:spacing w:line="360" w:lineRule="auto"/>
        <w:jc w:val="both"/>
        <w:rPr>
          <w:rtl/>
        </w:rPr>
      </w:pPr>
    </w:p>
    <w:p w14:paraId="40718E5E" w14:textId="77777777" w:rsidR="00D16716" w:rsidRPr="008146F0" w:rsidRDefault="00D16716" w:rsidP="001222D1">
      <w:pPr>
        <w:spacing w:line="360" w:lineRule="auto"/>
        <w:jc w:val="both"/>
        <w:rPr>
          <w:rtl/>
        </w:rPr>
      </w:pPr>
      <w:r w:rsidRPr="008146F0">
        <w:rPr>
          <w:u w:val="single"/>
          <w:rtl/>
        </w:rPr>
        <w:t>לאור</w:t>
      </w:r>
      <w:r w:rsidRPr="008146F0">
        <w:rPr>
          <w:rtl/>
        </w:rPr>
        <w:t xml:space="preserve"> המקבץ האמור, ולאחר שנתתי דעתי לתיקון 113 ל</w:t>
      </w:r>
      <w:hyperlink r:id="rId46" w:history="1">
        <w:r w:rsidR="00990309" w:rsidRPr="00990309">
          <w:rPr>
            <w:color w:val="0000FF"/>
            <w:u w:val="single"/>
            <w:rtl/>
          </w:rPr>
          <w:t>חוק העונשין</w:t>
        </w:r>
      </w:hyperlink>
      <w:r w:rsidRPr="008146F0">
        <w:rPr>
          <w:rtl/>
        </w:rPr>
        <w:t xml:space="preserve"> ולטיעוני הצדדים, החלטתי לגזור על הנאשם את העונשים הבאים:</w:t>
      </w:r>
    </w:p>
    <w:p w14:paraId="5F6F8EFA" w14:textId="77777777" w:rsidR="00D16716" w:rsidRPr="008146F0" w:rsidRDefault="00D16716" w:rsidP="001222D1">
      <w:pPr>
        <w:pStyle w:val="ac"/>
        <w:numPr>
          <w:ilvl w:val="1"/>
          <w:numId w:val="19"/>
        </w:numPr>
        <w:spacing w:after="200" w:line="360" w:lineRule="auto"/>
        <w:jc w:val="both"/>
        <w:rPr>
          <w:rFonts w:ascii="David" w:hAnsi="David" w:cs="David"/>
          <w:sz w:val="24"/>
          <w:szCs w:val="24"/>
          <w:rtl/>
        </w:rPr>
      </w:pPr>
      <w:r w:rsidRPr="008146F0">
        <w:rPr>
          <w:rFonts w:ascii="David" w:hAnsi="David" w:cs="David"/>
          <w:b/>
          <w:bCs/>
          <w:sz w:val="24"/>
          <w:szCs w:val="24"/>
          <w:u w:val="single"/>
          <w:rtl/>
        </w:rPr>
        <w:t>מאסר בפועל</w:t>
      </w:r>
      <w:r w:rsidRPr="008146F0">
        <w:rPr>
          <w:rFonts w:ascii="David" w:hAnsi="David" w:cs="David"/>
          <w:sz w:val="24"/>
          <w:szCs w:val="24"/>
          <w:rtl/>
        </w:rPr>
        <w:t xml:space="preserve"> למשך 12 חודשים, </w:t>
      </w:r>
      <w:r>
        <w:rPr>
          <w:rFonts w:ascii="David" w:hAnsi="David" w:cs="David"/>
          <w:sz w:val="24"/>
          <w:szCs w:val="24"/>
          <w:rtl/>
        </w:rPr>
        <w:t xml:space="preserve">בניכוי ימי מעצרו. </w:t>
      </w:r>
    </w:p>
    <w:p w14:paraId="55CCFD10" w14:textId="77777777" w:rsidR="00D16716" w:rsidRPr="008146F0" w:rsidRDefault="00D16716" w:rsidP="001222D1">
      <w:pPr>
        <w:pStyle w:val="ac"/>
        <w:numPr>
          <w:ilvl w:val="1"/>
          <w:numId w:val="19"/>
        </w:numPr>
        <w:spacing w:after="200" w:line="360" w:lineRule="auto"/>
        <w:jc w:val="both"/>
        <w:rPr>
          <w:rFonts w:ascii="David" w:hAnsi="David" w:cs="David"/>
          <w:sz w:val="24"/>
          <w:szCs w:val="24"/>
          <w:rtl/>
        </w:rPr>
      </w:pPr>
      <w:r w:rsidRPr="008146F0">
        <w:rPr>
          <w:rFonts w:ascii="David" w:hAnsi="David" w:cs="David"/>
          <w:sz w:val="24"/>
          <w:szCs w:val="24"/>
          <w:rtl/>
        </w:rPr>
        <w:t xml:space="preserve">6 חודשי </w:t>
      </w:r>
      <w:r w:rsidRPr="008146F0">
        <w:rPr>
          <w:rFonts w:ascii="David" w:hAnsi="David" w:cs="David"/>
          <w:b/>
          <w:bCs/>
          <w:sz w:val="24"/>
          <w:szCs w:val="24"/>
          <w:u w:val="single"/>
          <w:rtl/>
        </w:rPr>
        <w:t>מאסר על תנאי</w:t>
      </w:r>
      <w:r w:rsidRPr="008146F0">
        <w:rPr>
          <w:rFonts w:ascii="David" w:hAnsi="David" w:cs="David"/>
          <w:sz w:val="24"/>
          <w:szCs w:val="24"/>
          <w:rtl/>
        </w:rPr>
        <w:t xml:space="preserve"> למשך 3 שנים, שלא יעבור עבירה בה הורשע וזאת החל מיום שחרורו ממאסר.</w:t>
      </w:r>
    </w:p>
    <w:p w14:paraId="34152C66" w14:textId="77777777" w:rsidR="00D16716" w:rsidRPr="008146F0" w:rsidRDefault="00D16716" w:rsidP="001222D1">
      <w:pPr>
        <w:pStyle w:val="ac"/>
        <w:numPr>
          <w:ilvl w:val="1"/>
          <w:numId w:val="19"/>
        </w:numPr>
        <w:spacing w:after="200" w:line="360" w:lineRule="auto"/>
        <w:jc w:val="both"/>
        <w:rPr>
          <w:rFonts w:ascii="David" w:hAnsi="David" w:cs="David"/>
          <w:sz w:val="24"/>
          <w:szCs w:val="24"/>
        </w:rPr>
      </w:pPr>
      <w:r w:rsidRPr="008146F0">
        <w:rPr>
          <w:rFonts w:ascii="David" w:hAnsi="David" w:cs="David"/>
          <w:b/>
          <w:bCs/>
          <w:sz w:val="24"/>
          <w:szCs w:val="24"/>
          <w:u w:val="single"/>
          <w:rtl/>
        </w:rPr>
        <w:t>קנס</w:t>
      </w:r>
      <w:r w:rsidRPr="008146F0">
        <w:rPr>
          <w:rFonts w:ascii="David" w:hAnsi="David" w:cs="David"/>
          <w:sz w:val="24"/>
          <w:szCs w:val="24"/>
          <w:rtl/>
        </w:rPr>
        <w:t xml:space="preserve"> בסך 5000 או 50 ימי מאסר תמורתו. הקנס ישולם עד ליום 1.9.22.</w:t>
      </w:r>
    </w:p>
    <w:p w14:paraId="2B5519E0" w14:textId="77777777" w:rsidR="00D16716" w:rsidRPr="008146F0" w:rsidRDefault="00D16716" w:rsidP="001222D1">
      <w:pPr>
        <w:pStyle w:val="ac"/>
        <w:numPr>
          <w:ilvl w:val="1"/>
          <w:numId w:val="19"/>
        </w:numPr>
        <w:spacing w:after="200" w:line="360" w:lineRule="auto"/>
        <w:jc w:val="both"/>
        <w:rPr>
          <w:rFonts w:ascii="David" w:hAnsi="David" w:cs="David"/>
          <w:sz w:val="24"/>
          <w:szCs w:val="24"/>
          <w:rtl/>
        </w:rPr>
      </w:pPr>
      <w:r w:rsidRPr="008146F0">
        <w:rPr>
          <w:rFonts w:ascii="David" w:hAnsi="David" w:cs="David"/>
          <w:b/>
          <w:bCs/>
          <w:sz w:val="24"/>
          <w:szCs w:val="24"/>
          <w:u w:val="single"/>
          <w:rtl/>
        </w:rPr>
        <w:t>התחייבות כספית</w:t>
      </w:r>
      <w:r w:rsidRPr="008146F0">
        <w:rPr>
          <w:rFonts w:ascii="David" w:hAnsi="David" w:cs="David"/>
          <w:sz w:val="24"/>
          <w:szCs w:val="24"/>
          <w:rtl/>
        </w:rPr>
        <w:t xml:space="preserve"> על סך 5000 ₪ להימנע במשך שנתיים מביצוע עבירה בה הורשע</w:t>
      </w:r>
      <w:r>
        <w:rPr>
          <w:rFonts w:ascii="David" w:hAnsi="David" w:cs="David"/>
          <w:sz w:val="24"/>
          <w:szCs w:val="24"/>
          <w:rtl/>
        </w:rPr>
        <w:t>. ההתחייבות</w:t>
      </w:r>
      <w:r w:rsidRPr="008146F0">
        <w:rPr>
          <w:rFonts w:ascii="David" w:hAnsi="David" w:cs="David"/>
          <w:sz w:val="24"/>
          <w:szCs w:val="24"/>
          <w:rtl/>
        </w:rPr>
        <w:t xml:space="preserve"> ניתנה בעל-פה במעמד הדיון כנדרש בתקנות העונשין (התחייבות להימנע מעבירה).</w:t>
      </w:r>
    </w:p>
    <w:p w14:paraId="7ACE7186" w14:textId="77777777" w:rsidR="00D16716" w:rsidRPr="008146F0" w:rsidRDefault="00D16716" w:rsidP="001D2B8A">
      <w:pPr>
        <w:pStyle w:val="ac"/>
        <w:numPr>
          <w:ilvl w:val="1"/>
          <w:numId w:val="19"/>
        </w:numPr>
        <w:spacing w:after="200" w:line="360" w:lineRule="auto"/>
        <w:jc w:val="both"/>
        <w:rPr>
          <w:rFonts w:ascii="David" w:hAnsi="David" w:cs="David"/>
          <w:sz w:val="24"/>
          <w:szCs w:val="24"/>
        </w:rPr>
      </w:pPr>
      <w:r w:rsidRPr="008146F0">
        <w:rPr>
          <w:rFonts w:ascii="David" w:hAnsi="David" w:cs="David"/>
          <w:b/>
          <w:bCs/>
          <w:sz w:val="24"/>
          <w:szCs w:val="24"/>
          <w:u w:val="single"/>
          <w:rtl/>
        </w:rPr>
        <w:t>פסילת רישיון נהיגה בפועל</w:t>
      </w:r>
      <w:r w:rsidRPr="008146F0">
        <w:rPr>
          <w:rFonts w:ascii="David" w:hAnsi="David" w:cs="David"/>
          <w:sz w:val="24"/>
          <w:szCs w:val="24"/>
          <w:rtl/>
        </w:rPr>
        <w:t xml:space="preserve"> למשך 6 חודשים. </w:t>
      </w:r>
      <w:r>
        <w:rPr>
          <w:rFonts w:ascii="David" w:hAnsi="David" w:cs="David"/>
          <w:sz w:val="24"/>
          <w:szCs w:val="24"/>
          <w:rtl/>
        </w:rPr>
        <w:t xml:space="preserve">רשמתי לפני כי רשיונו של הנאשם מופקד בידי המשטרה ולכן מנין הפסילה יחל מהיום. </w:t>
      </w:r>
    </w:p>
    <w:p w14:paraId="5CE62900" w14:textId="77777777" w:rsidR="00D16716" w:rsidRPr="008146F0" w:rsidRDefault="00D16716" w:rsidP="001222D1">
      <w:pPr>
        <w:pStyle w:val="ac"/>
        <w:numPr>
          <w:ilvl w:val="1"/>
          <w:numId w:val="19"/>
        </w:numPr>
        <w:spacing w:after="200" w:line="360" w:lineRule="auto"/>
        <w:jc w:val="both"/>
        <w:rPr>
          <w:rFonts w:ascii="David" w:hAnsi="David" w:cs="David"/>
          <w:sz w:val="24"/>
          <w:szCs w:val="24"/>
        </w:rPr>
      </w:pPr>
      <w:r w:rsidRPr="008146F0">
        <w:rPr>
          <w:rFonts w:ascii="David" w:hAnsi="David" w:cs="David"/>
          <w:b/>
          <w:bCs/>
          <w:sz w:val="24"/>
          <w:szCs w:val="24"/>
          <w:u w:val="single"/>
          <w:rtl/>
        </w:rPr>
        <w:t>פסילת רישיון נהיגה לתקופה של 6 חודשים על תנאי למשך שנתיים</w:t>
      </w:r>
      <w:r w:rsidRPr="008146F0">
        <w:rPr>
          <w:rFonts w:ascii="David" w:hAnsi="David" w:cs="David"/>
          <w:sz w:val="24"/>
          <w:szCs w:val="24"/>
          <w:rtl/>
        </w:rPr>
        <w:t xml:space="preserve">, שלא יעבור עבירה מסוג פשע לפי </w:t>
      </w:r>
      <w:hyperlink r:id="rId47" w:history="1">
        <w:r w:rsidR="00990309" w:rsidRPr="00990309">
          <w:rPr>
            <w:rFonts w:ascii="David" w:hAnsi="David" w:cs="David"/>
            <w:color w:val="0000FF"/>
            <w:sz w:val="24"/>
            <w:szCs w:val="24"/>
            <w:u w:val="single"/>
            <w:rtl/>
          </w:rPr>
          <w:t>פקודת הסמים המסוכנים</w:t>
        </w:r>
      </w:hyperlink>
      <w:r w:rsidRPr="008146F0">
        <w:rPr>
          <w:rFonts w:ascii="David" w:hAnsi="David" w:cs="David"/>
          <w:sz w:val="24"/>
          <w:szCs w:val="24"/>
          <w:rtl/>
        </w:rPr>
        <w:t>.</w:t>
      </w:r>
    </w:p>
    <w:p w14:paraId="04BFC0A4" w14:textId="77777777" w:rsidR="00D16716" w:rsidRPr="008146F0" w:rsidRDefault="00D16716" w:rsidP="001222D1">
      <w:pPr>
        <w:pStyle w:val="ac"/>
        <w:numPr>
          <w:ilvl w:val="1"/>
          <w:numId w:val="19"/>
        </w:numPr>
        <w:spacing w:after="200" w:line="360" w:lineRule="auto"/>
        <w:jc w:val="both"/>
        <w:rPr>
          <w:rFonts w:ascii="David" w:hAnsi="David" w:cs="David"/>
          <w:sz w:val="24"/>
          <w:szCs w:val="24"/>
        </w:rPr>
      </w:pPr>
      <w:r w:rsidRPr="008146F0">
        <w:rPr>
          <w:rFonts w:ascii="David" w:hAnsi="David" w:cs="David"/>
          <w:b/>
          <w:bCs/>
          <w:sz w:val="24"/>
          <w:szCs w:val="24"/>
          <w:u w:val="single"/>
          <w:rtl/>
        </w:rPr>
        <w:t>אני מכריז על הנאשם סוחר סמים</w:t>
      </w:r>
      <w:r>
        <w:rPr>
          <w:rFonts w:ascii="David" w:hAnsi="David" w:cs="David"/>
          <w:sz w:val="24"/>
          <w:szCs w:val="24"/>
          <w:rtl/>
        </w:rPr>
        <w:t>.</w:t>
      </w:r>
    </w:p>
    <w:p w14:paraId="4B4E0CAC" w14:textId="77777777" w:rsidR="00D16716" w:rsidRPr="008146F0" w:rsidRDefault="00D16716" w:rsidP="001222D1">
      <w:pPr>
        <w:pStyle w:val="ac"/>
        <w:numPr>
          <w:ilvl w:val="1"/>
          <w:numId w:val="19"/>
        </w:numPr>
        <w:spacing w:after="200" w:line="360" w:lineRule="auto"/>
        <w:jc w:val="both"/>
        <w:rPr>
          <w:rFonts w:ascii="David" w:hAnsi="David" w:cs="David"/>
          <w:sz w:val="24"/>
          <w:szCs w:val="24"/>
          <w:rtl/>
        </w:rPr>
      </w:pPr>
      <w:r w:rsidRPr="008146F0">
        <w:rPr>
          <w:rFonts w:ascii="David" w:hAnsi="David" w:cs="David"/>
          <w:b/>
          <w:bCs/>
          <w:sz w:val="24"/>
          <w:szCs w:val="24"/>
          <w:u w:val="single"/>
          <w:rtl/>
        </w:rPr>
        <w:t>אני מורה על חילוט האופנוע שפרטיו מופיעים בכתב האישום.</w:t>
      </w:r>
      <w:r w:rsidRPr="008146F0">
        <w:rPr>
          <w:rFonts w:ascii="David" w:hAnsi="David" w:cs="David"/>
          <w:sz w:val="24"/>
          <w:szCs w:val="24"/>
          <w:rtl/>
        </w:rPr>
        <w:tab/>
      </w:r>
    </w:p>
    <w:p w14:paraId="0C490C10" w14:textId="77777777" w:rsidR="00D16716" w:rsidRPr="008146F0" w:rsidRDefault="00D16716" w:rsidP="001222D1">
      <w:pPr>
        <w:spacing w:line="360" w:lineRule="auto"/>
        <w:jc w:val="both"/>
        <w:rPr>
          <w:rtl/>
        </w:rPr>
      </w:pPr>
      <w:r w:rsidRPr="008146F0">
        <w:rPr>
          <w:u w:val="single"/>
          <w:rtl/>
        </w:rPr>
        <w:t>ניתן צו כללי למוצגים. המוצגים יחולטו/יושמדו/יושבו לבעליהם על פי החלטת קצין משטרה</w:t>
      </w:r>
      <w:r w:rsidRPr="008146F0">
        <w:rPr>
          <w:rtl/>
        </w:rPr>
        <w:t>.</w:t>
      </w:r>
    </w:p>
    <w:p w14:paraId="696072AA" w14:textId="77777777" w:rsidR="00D16716" w:rsidRPr="008146F0" w:rsidRDefault="00D16716" w:rsidP="001D2B8A">
      <w:pPr>
        <w:spacing w:line="360" w:lineRule="auto"/>
        <w:jc w:val="both"/>
        <w:rPr>
          <w:u w:val="single"/>
          <w:rtl/>
        </w:rPr>
      </w:pPr>
      <w:r w:rsidRPr="008146F0">
        <w:rPr>
          <w:u w:val="single"/>
          <w:rtl/>
        </w:rPr>
        <w:t xml:space="preserve">הכספים שהופקדו עבור הנאשם בתיק </w:t>
      </w:r>
      <w:hyperlink r:id="rId48" w:history="1">
        <w:r w:rsidR="00990309" w:rsidRPr="00990309">
          <w:rPr>
            <w:color w:val="0000FF"/>
            <w:u w:val="single"/>
            <w:rtl/>
          </w:rPr>
          <w:t>מ"ת 50353-08-19</w:t>
        </w:r>
      </w:hyperlink>
      <w:r w:rsidRPr="008146F0">
        <w:rPr>
          <w:u w:val="single"/>
          <w:rtl/>
        </w:rPr>
        <w:t xml:space="preserve"> יועברו לצורך תשלום הקנס שנפסק בגזר דין זה, וככל שתיוותר יתרה היא תושב לידי המפקיד, בכפוף לכל עיקול או למגבלה אחרת על פי דין</w:t>
      </w:r>
      <w:r w:rsidRPr="008146F0">
        <w:rPr>
          <w:rtl/>
        </w:rPr>
        <w:t>.</w:t>
      </w:r>
    </w:p>
    <w:p w14:paraId="341BCE15" w14:textId="77777777" w:rsidR="00D16716" w:rsidRPr="008146F0" w:rsidRDefault="00D16716" w:rsidP="001222D1">
      <w:pPr>
        <w:spacing w:line="360" w:lineRule="auto"/>
        <w:jc w:val="both"/>
        <w:rPr>
          <w:rtl/>
        </w:rPr>
      </w:pPr>
    </w:p>
    <w:p w14:paraId="29BDCBCE" w14:textId="77777777" w:rsidR="00D16716" w:rsidRPr="008146F0" w:rsidRDefault="00D16716" w:rsidP="001222D1">
      <w:pPr>
        <w:spacing w:line="360" w:lineRule="auto"/>
        <w:jc w:val="both"/>
        <w:rPr>
          <w:rtl/>
        </w:rPr>
      </w:pPr>
      <w:r w:rsidRPr="008146F0">
        <w:rPr>
          <w:b/>
          <w:bCs/>
          <w:u w:val="single"/>
          <w:rtl/>
        </w:rPr>
        <w:t>זכות ערעור לבית משפט המחוזי בתוך 45 ימים מהיום</w:t>
      </w:r>
      <w:r w:rsidRPr="008146F0">
        <w:rPr>
          <w:rtl/>
        </w:rPr>
        <w:t>.</w:t>
      </w:r>
    </w:p>
    <w:p w14:paraId="71405EF2" w14:textId="77777777" w:rsidR="00D16716" w:rsidRPr="008146F0" w:rsidRDefault="00D16716" w:rsidP="001222D1">
      <w:pPr>
        <w:spacing w:line="360" w:lineRule="auto"/>
        <w:jc w:val="both"/>
      </w:pPr>
    </w:p>
    <w:p w14:paraId="4D876432" w14:textId="77777777" w:rsidR="00D16716" w:rsidRDefault="00D16716" w:rsidP="00E06ED4">
      <w:pPr>
        <w:spacing w:line="360" w:lineRule="auto"/>
        <w:jc w:val="both"/>
        <w:rPr>
          <w:rtl/>
        </w:rPr>
      </w:pPr>
    </w:p>
    <w:p w14:paraId="5E1BBCC9" w14:textId="77777777" w:rsidR="00D16716" w:rsidRDefault="00D16716" w:rsidP="00E06ED4">
      <w:pPr>
        <w:spacing w:line="360" w:lineRule="auto"/>
        <w:jc w:val="both"/>
        <w:rPr>
          <w:rtl/>
        </w:rPr>
      </w:pPr>
    </w:p>
    <w:p w14:paraId="69265710" w14:textId="77777777" w:rsidR="00D16716" w:rsidRDefault="00D16716" w:rsidP="00E06ED4">
      <w:pPr>
        <w:spacing w:line="360" w:lineRule="auto"/>
        <w:jc w:val="both"/>
        <w:rPr>
          <w:sz w:val="6"/>
          <w:szCs w:val="6"/>
        </w:rPr>
      </w:pPr>
      <w:r>
        <w:rPr>
          <w:sz w:val="6"/>
          <w:szCs w:val="6"/>
          <w:rtl/>
        </w:rPr>
        <w:t>&lt;#3#&gt;</w:t>
      </w:r>
    </w:p>
    <w:p w14:paraId="7EE6FE2A" w14:textId="77777777" w:rsidR="00D16716" w:rsidRDefault="00D16716" w:rsidP="003B08F6">
      <w:pPr>
        <w:rPr>
          <w:rtl/>
        </w:rPr>
      </w:pPr>
    </w:p>
    <w:p w14:paraId="7EB18D09" w14:textId="77777777" w:rsidR="00D16716" w:rsidRDefault="00D16716" w:rsidP="003B08F6">
      <w:pPr>
        <w:spacing w:line="360" w:lineRule="auto"/>
        <w:rPr>
          <w:rtl/>
        </w:rPr>
      </w:pPr>
      <w:r>
        <w:rPr>
          <w:b/>
          <w:bCs/>
          <w:rtl/>
        </w:rPr>
        <w:t xml:space="preserve">ניתנה והודעה היום י' אדר ב' תשפ"ב, </w:t>
      </w:r>
      <w:r>
        <w:rPr>
          <w:b/>
          <w:bCs/>
        </w:rPr>
        <w:t>13/03/2022</w:t>
      </w:r>
      <w:r>
        <w:rPr>
          <w:b/>
          <w:bCs/>
          <w:rtl/>
        </w:rPr>
        <w:t xml:space="preserve"> במעמד הנוכחים.</w:t>
      </w:r>
    </w:p>
    <w:p w14:paraId="7C7C952A" w14:textId="77777777" w:rsidR="00D16716" w:rsidRDefault="00D16716" w:rsidP="003B08F6">
      <w:pP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D16716" w14:paraId="61CA3106" w14:textId="77777777" w:rsidTr="00EC6C1D">
        <w:trPr>
          <w:trHeight w:val="316"/>
          <w:jc w:val="right"/>
        </w:trPr>
        <w:tc>
          <w:tcPr>
            <w:tcW w:w="3936" w:type="dxa"/>
            <w:vAlign w:val="center"/>
          </w:tcPr>
          <w:p w14:paraId="5273790C" w14:textId="77777777" w:rsidR="00D16716" w:rsidRPr="00EC6C1D" w:rsidRDefault="00D16716" w:rsidP="00EC6C1D">
            <w:pPr>
              <w:jc w:val="center"/>
              <w:rPr>
                <w:rFonts w:ascii="Times New Roman" w:hAnsi="Times New Roman" w:cs="Times New Roman"/>
              </w:rPr>
            </w:pPr>
            <w:r w:rsidRPr="00EC6C1D">
              <w:rPr>
                <w:rFonts w:ascii="Times New Roman" w:hAnsi="Times New Roman" w:cs="Times New Roman"/>
                <w:noProof/>
              </w:rPr>
              <w:pict w14:anchorId="28BCB3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105pt;height:47.25pt;visibility:visible">
                  <v:imagedata r:id="rId49" o:title=""/>
                </v:shape>
              </w:pict>
            </w:r>
          </w:p>
          <w:p w14:paraId="32F7A6E3" w14:textId="77777777" w:rsidR="00D16716" w:rsidRPr="00EC6C1D" w:rsidRDefault="00D16716" w:rsidP="00EC6C1D">
            <w:pPr>
              <w:jc w:val="center"/>
              <w:rPr>
                <w:rFonts w:ascii="Times New Roman" w:hAnsi="Times New Roman" w:cs="Times New Roman"/>
                <w:rtl/>
              </w:rPr>
            </w:pPr>
          </w:p>
        </w:tc>
      </w:tr>
      <w:tr w:rsidR="00D16716" w14:paraId="17CCFB3B" w14:textId="77777777" w:rsidTr="00EC6C1D">
        <w:trPr>
          <w:trHeight w:val="361"/>
          <w:jc w:val="right"/>
        </w:trPr>
        <w:tc>
          <w:tcPr>
            <w:tcW w:w="3936" w:type="dxa"/>
            <w:vAlign w:val="center"/>
          </w:tcPr>
          <w:p w14:paraId="24C795DD" w14:textId="77777777" w:rsidR="00D16716" w:rsidRPr="00EC6C1D" w:rsidRDefault="00D16716" w:rsidP="00EC6C1D">
            <w:pPr>
              <w:jc w:val="center"/>
              <w:rPr>
                <w:rFonts w:ascii="Times New Roman" w:hAnsi="Times New Roman"/>
                <w:b/>
                <w:bCs/>
                <w:rtl/>
              </w:rPr>
            </w:pPr>
            <w:r w:rsidRPr="00EC6C1D">
              <w:rPr>
                <w:rFonts w:ascii="Times New Roman" w:hAnsi="Times New Roman"/>
                <w:b/>
                <w:bCs/>
                <w:rtl/>
              </w:rPr>
              <w:t>עלאא מסארווה, שופט</w:t>
            </w:r>
          </w:p>
        </w:tc>
      </w:tr>
    </w:tbl>
    <w:p w14:paraId="2DCEC5E6" w14:textId="77777777" w:rsidR="00D16716" w:rsidRDefault="00D16716" w:rsidP="001222D1">
      <w:pPr>
        <w:rPr>
          <w:rtl/>
        </w:rPr>
      </w:pPr>
    </w:p>
    <w:p w14:paraId="708ADC9F" w14:textId="77777777" w:rsidR="00D16716" w:rsidRDefault="00D16716" w:rsidP="001222D1">
      <w:pPr>
        <w:rPr>
          <w:rFonts w:ascii="Calibri" w:hAnsi="Calibri"/>
          <w:sz w:val="22"/>
          <w:szCs w:val="22"/>
          <w:rtl/>
        </w:rPr>
      </w:pPr>
    </w:p>
    <w:p w14:paraId="1A3EB853" w14:textId="77777777" w:rsidR="00D16716" w:rsidRDefault="00D16716" w:rsidP="001222D1">
      <w:pPr>
        <w:rPr>
          <w:rFonts w:ascii="Calibri" w:hAnsi="Calibri"/>
          <w:sz w:val="22"/>
          <w:szCs w:val="22"/>
          <w:rtl/>
        </w:rPr>
      </w:pPr>
    </w:p>
    <w:p w14:paraId="733205AA" w14:textId="77777777" w:rsidR="00D16716" w:rsidRDefault="00D16716" w:rsidP="001222D1">
      <w:pPr>
        <w:rPr>
          <w:rFonts w:ascii="Calibri" w:hAnsi="Calibri"/>
          <w:sz w:val="22"/>
          <w:szCs w:val="22"/>
          <w:rtl/>
        </w:rPr>
      </w:pPr>
    </w:p>
    <w:p w14:paraId="61104FD4" w14:textId="77777777" w:rsidR="00D16716" w:rsidRDefault="00D16716" w:rsidP="001222D1">
      <w:pPr>
        <w:rPr>
          <w:rFonts w:ascii="Calibri" w:hAnsi="Calibri"/>
          <w:sz w:val="22"/>
          <w:szCs w:val="22"/>
          <w:rtl/>
        </w:rPr>
      </w:pPr>
    </w:p>
    <w:p w14:paraId="49D368A2" w14:textId="77777777" w:rsidR="00D16716" w:rsidRDefault="00D16716" w:rsidP="001222D1">
      <w:pPr>
        <w:rPr>
          <w:rFonts w:ascii="Calibri" w:hAnsi="Calibri"/>
          <w:sz w:val="22"/>
          <w:szCs w:val="22"/>
          <w:rtl/>
        </w:rPr>
      </w:pPr>
    </w:p>
    <w:p w14:paraId="4E61E8EA" w14:textId="77777777" w:rsidR="00D16716" w:rsidRDefault="00D16716" w:rsidP="001222D1">
      <w:pPr>
        <w:rPr>
          <w:rFonts w:ascii="Calibri" w:hAnsi="Calibri"/>
          <w:sz w:val="22"/>
          <w:szCs w:val="22"/>
          <w:rtl/>
        </w:rPr>
      </w:pPr>
    </w:p>
    <w:p w14:paraId="1D313F96" w14:textId="77777777" w:rsidR="00D16716" w:rsidRDefault="00D16716" w:rsidP="001222D1">
      <w:pPr>
        <w:rPr>
          <w:rFonts w:ascii="Calibri" w:hAnsi="Calibri"/>
          <w:sz w:val="22"/>
          <w:szCs w:val="22"/>
          <w:rtl/>
        </w:rPr>
      </w:pPr>
    </w:p>
    <w:p w14:paraId="05612A86" w14:textId="77777777" w:rsidR="00D16716" w:rsidRDefault="00D16716" w:rsidP="001222D1">
      <w:pPr>
        <w:rPr>
          <w:rFonts w:ascii="Calibri" w:hAnsi="Calibri"/>
          <w:sz w:val="22"/>
          <w:szCs w:val="22"/>
          <w:rtl/>
        </w:rPr>
      </w:pPr>
    </w:p>
    <w:p w14:paraId="7BA8FFAA" w14:textId="77777777" w:rsidR="00D16716" w:rsidRDefault="00D16716" w:rsidP="001222D1">
      <w:pPr>
        <w:rPr>
          <w:rFonts w:ascii="Calibri" w:hAnsi="Calibri"/>
          <w:sz w:val="22"/>
          <w:szCs w:val="22"/>
          <w:rtl/>
        </w:rPr>
      </w:pPr>
    </w:p>
    <w:p w14:paraId="1D650450" w14:textId="77777777" w:rsidR="00D16716" w:rsidRDefault="00D16716" w:rsidP="001222D1">
      <w:pPr>
        <w:rPr>
          <w:sz w:val="6"/>
          <w:szCs w:val="6"/>
          <w:rtl/>
        </w:rPr>
      </w:pPr>
      <w:r>
        <w:rPr>
          <w:sz w:val="6"/>
          <w:szCs w:val="6"/>
          <w:rtl/>
        </w:rPr>
        <w:t>&lt;#4#&gt;</w:t>
      </w:r>
    </w:p>
    <w:p w14:paraId="476325BD" w14:textId="77777777" w:rsidR="00D16716" w:rsidRDefault="00D16716">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41AB91BC" w14:textId="77777777" w:rsidR="00D16716" w:rsidRDefault="00D16716">
      <w:pPr>
        <w:spacing w:line="360" w:lineRule="auto"/>
        <w:jc w:val="both"/>
        <w:rPr>
          <w:rtl/>
        </w:rPr>
      </w:pPr>
      <w:r>
        <w:rPr>
          <w:rtl/>
        </w:rPr>
        <w:t xml:space="preserve">בהסכמת הצדדים, הנאשם יתייצב לריצוי עונשו ביום 28/4/22, אלא אם תינתן החלטה אחרת. </w:t>
      </w:r>
    </w:p>
    <w:p w14:paraId="6E02BD79" w14:textId="77777777" w:rsidR="00D16716" w:rsidRDefault="00D16716">
      <w:pPr>
        <w:spacing w:line="360" w:lineRule="auto"/>
        <w:jc w:val="both"/>
        <w:rPr>
          <w:rtl/>
        </w:rPr>
      </w:pPr>
      <w:r>
        <w:rPr>
          <w:rtl/>
        </w:rPr>
        <w:t xml:space="preserve">ניתן צו איסור יציאה מן הארץ. </w:t>
      </w:r>
    </w:p>
    <w:p w14:paraId="7A2BC589" w14:textId="77777777" w:rsidR="00D16716" w:rsidRDefault="00D16716">
      <w:pPr>
        <w:spacing w:line="360" w:lineRule="auto"/>
        <w:jc w:val="both"/>
        <w:rPr>
          <w:rtl/>
        </w:rPr>
      </w:pPr>
      <w:r>
        <w:rPr>
          <w:rtl/>
        </w:rPr>
        <w:t xml:space="preserve">רשמתי לפני שאין בידי הנאשם להפקיד דרכון. </w:t>
      </w:r>
    </w:p>
    <w:p w14:paraId="7C461F43" w14:textId="77777777" w:rsidR="00D16716" w:rsidRDefault="00D16716">
      <w:pPr>
        <w:spacing w:line="360" w:lineRule="auto"/>
        <w:jc w:val="both"/>
        <w:rPr>
          <w:rtl/>
        </w:rPr>
      </w:pPr>
      <w:r>
        <w:rPr>
          <w:rtl/>
        </w:rPr>
        <w:t xml:space="preserve">הערבויות, למעט הערבות הכספית, שהופקדו במסגרת הליך המעצר, ישמשו לצורך הבטחת התייצבותו של הנאשם לריצוי עונשו. על הנאשם לפנות למיון מוקדם במסגרת שב"ס. </w:t>
      </w:r>
    </w:p>
    <w:p w14:paraId="292A4F58" w14:textId="77777777" w:rsidR="00D16716" w:rsidRDefault="00D16716">
      <w:pPr>
        <w:spacing w:line="360" w:lineRule="auto"/>
        <w:jc w:val="both"/>
        <w:rPr>
          <w:rtl/>
        </w:rPr>
      </w:pPr>
    </w:p>
    <w:p w14:paraId="57329C23" w14:textId="77777777" w:rsidR="00D16716" w:rsidRDefault="00D16716">
      <w:pPr>
        <w:spacing w:line="360" w:lineRule="auto"/>
        <w:jc w:val="both"/>
        <w:rPr>
          <w:sz w:val="6"/>
          <w:szCs w:val="6"/>
          <w:rtl/>
        </w:rPr>
      </w:pPr>
      <w:r>
        <w:rPr>
          <w:sz w:val="6"/>
          <w:szCs w:val="6"/>
          <w:rtl/>
        </w:rPr>
        <w:t>&lt;#5#&gt;</w:t>
      </w:r>
    </w:p>
    <w:p w14:paraId="4B9CDB42" w14:textId="77777777" w:rsidR="00D16716" w:rsidRDefault="00D16716" w:rsidP="003B08F6">
      <w:pPr>
        <w:rPr>
          <w:rtl/>
        </w:rPr>
      </w:pPr>
    </w:p>
    <w:p w14:paraId="5B944612" w14:textId="77777777" w:rsidR="00D16716" w:rsidRDefault="00990309" w:rsidP="003B08F6">
      <w:pPr>
        <w:rPr>
          <w:rtl/>
        </w:rPr>
      </w:pPr>
      <w:bookmarkStart w:id="8" w:name="Nitan"/>
      <w:r>
        <w:rPr>
          <w:b/>
          <w:bCs/>
          <w:rtl/>
        </w:rPr>
        <w:t xml:space="preserve">ניתנה והודעה היום י' אדר ב' תשפ"ב, 13/03/2022 במעמד הנוכחים. </w:t>
      </w:r>
      <w:bookmarkEnd w:id="8"/>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D16716" w14:paraId="6F84D16E" w14:textId="77777777" w:rsidTr="00EC6C1D">
        <w:trPr>
          <w:trHeight w:val="316"/>
          <w:jc w:val="right"/>
        </w:trPr>
        <w:tc>
          <w:tcPr>
            <w:tcW w:w="3936" w:type="dxa"/>
            <w:vAlign w:val="center"/>
          </w:tcPr>
          <w:p w14:paraId="62510B3C" w14:textId="77777777" w:rsidR="00D16716" w:rsidRPr="00EC6C1D" w:rsidRDefault="00D16716" w:rsidP="00EC6C1D">
            <w:pPr>
              <w:jc w:val="center"/>
              <w:rPr>
                <w:rFonts w:ascii="Times New Roman" w:hAnsi="Times New Roman" w:cs="Times New Roman"/>
              </w:rPr>
            </w:pPr>
          </w:p>
          <w:p w14:paraId="5A28EFCF" w14:textId="77777777" w:rsidR="00D16716" w:rsidRPr="00EC6C1D" w:rsidRDefault="00D16716" w:rsidP="00EC6C1D">
            <w:pPr>
              <w:jc w:val="center"/>
              <w:rPr>
                <w:rFonts w:ascii="Times New Roman" w:hAnsi="Times New Roman" w:cs="Times New Roman"/>
                <w:rtl/>
              </w:rPr>
            </w:pPr>
          </w:p>
        </w:tc>
      </w:tr>
      <w:tr w:rsidR="00D16716" w14:paraId="612B08FD" w14:textId="77777777" w:rsidTr="00EC6C1D">
        <w:trPr>
          <w:trHeight w:val="361"/>
          <w:jc w:val="right"/>
        </w:trPr>
        <w:tc>
          <w:tcPr>
            <w:tcW w:w="3936" w:type="dxa"/>
            <w:vAlign w:val="center"/>
          </w:tcPr>
          <w:p w14:paraId="5563651E" w14:textId="77777777" w:rsidR="00D16716" w:rsidRPr="00EC6C1D" w:rsidRDefault="00D16716" w:rsidP="00EC6C1D">
            <w:pPr>
              <w:jc w:val="center"/>
              <w:rPr>
                <w:rFonts w:ascii="Times New Roman" w:hAnsi="Times New Roman"/>
                <w:b/>
                <w:bCs/>
                <w:rtl/>
              </w:rPr>
            </w:pPr>
            <w:r w:rsidRPr="00EC6C1D">
              <w:rPr>
                <w:rFonts w:ascii="Times New Roman" w:hAnsi="Times New Roman"/>
                <w:b/>
                <w:bCs/>
                <w:rtl/>
              </w:rPr>
              <w:t>עלאא מסארווה, שופט</w:t>
            </w:r>
          </w:p>
        </w:tc>
      </w:tr>
    </w:tbl>
    <w:p w14:paraId="4B04AAA0" w14:textId="77777777" w:rsidR="00D16716" w:rsidRDefault="00D16716" w:rsidP="003B08F6">
      <w:pPr>
        <w:rPr>
          <w:rtl/>
        </w:rPr>
      </w:pPr>
    </w:p>
    <w:p w14:paraId="0D12985D" w14:textId="77777777" w:rsidR="00D16716" w:rsidRPr="00990309" w:rsidRDefault="00990309" w:rsidP="003B08F6">
      <w:pPr>
        <w:rPr>
          <w:color w:val="FFFFFF"/>
          <w:sz w:val="2"/>
          <w:szCs w:val="2"/>
          <w:rtl/>
        </w:rPr>
      </w:pPr>
      <w:r w:rsidRPr="00990309">
        <w:rPr>
          <w:color w:val="FFFFFF"/>
          <w:sz w:val="2"/>
          <w:szCs w:val="2"/>
          <w:rtl/>
        </w:rPr>
        <w:t>5129371</w:t>
      </w:r>
    </w:p>
    <w:p w14:paraId="1D6BF244" w14:textId="77777777" w:rsidR="00D16716" w:rsidRPr="00990309" w:rsidRDefault="00990309" w:rsidP="004A71FF">
      <w:pPr>
        <w:spacing w:line="360" w:lineRule="auto"/>
        <w:jc w:val="center"/>
        <w:rPr>
          <w:color w:val="FFFFFF"/>
          <w:sz w:val="2"/>
          <w:szCs w:val="2"/>
          <w:rtl/>
        </w:rPr>
      </w:pPr>
      <w:r w:rsidRPr="00990309">
        <w:rPr>
          <w:color w:val="FFFFFF"/>
          <w:sz w:val="2"/>
          <w:szCs w:val="2"/>
          <w:rtl/>
        </w:rPr>
        <w:t>54678313</w:t>
      </w:r>
    </w:p>
    <w:p w14:paraId="5139E34F" w14:textId="77777777" w:rsidR="00D16716" w:rsidRPr="004A71FF" w:rsidRDefault="00D16716" w:rsidP="004A71FF">
      <w:pPr>
        <w:spacing w:line="360" w:lineRule="auto"/>
        <w:jc w:val="both"/>
        <w:rPr>
          <w:rtl/>
        </w:rPr>
      </w:pPr>
      <w:r>
        <w:rPr>
          <w:rtl/>
        </w:rPr>
        <w:t xml:space="preserve"> </w:t>
      </w:r>
    </w:p>
    <w:p w14:paraId="34D227EA" w14:textId="77777777" w:rsidR="00D16716" w:rsidRDefault="00D16716" w:rsidP="004A71FF">
      <w:pPr>
        <w:jc w:val="center"/>
        <w:rPr>
          <w:rtl/>
        </w:rPr>
      </w:pPr>
    </w:p>
    <w:p w14:paraId="7D520A28" w14:textId="77777777" w:rsidR="00D16716" w:rsidRPr="004A71FF" w:rsidRDefault="00D16716" w:rsidP="004A71FF">
      <w:pPr>
        <w:jc w:val="both"/>
        <w:rPr>
          <w:rtl/>
        </w:rPr>
      </w:pPr>
      <w:r>
        <w:rPr>
          <w:rtl/>
        </w:rPr>
        <w:t xml:space="preserve"> </w:t>
      </w:r>
    </w:p>
    <w:p w14:paraId="4F5C8BAE" w14:textId="77777777" w:rsidR="00D16716" w:rsidRPr="00990309" w:rsidRDefault="00D16716" w:rsidP="00990309">
      <w:pPr>
        <w:keepNext/>
        <w:rPr>
          <w:color w:val="000000"/>
          <w:sz w:val="22"/>
          <w:szCs w:val="22"/>
        </w:rPr>
      </w:pPr>
      <w:r>
        <w:rPr>
          <w:rtl/>
        </w:rPr>
        <w:t>הוקלד</w:t>
      </w:r>
      <w:r>
        <w:t xml:space="preserve"> </w:t>
      </w:r>
      <w:r>
        <w:rPr>
          <w:rtl/>
        </w:rPr>
        <w:t>על</w:t>
      </w:r>
      <w:r>
        <w:t xml:space="preserve"> </w:t>
      </w:r>
      <w:r>
        <w:rPr>
          <w:rtl/>
        </w:rPr>
        <w:t>ידי</w:t>
      </w:r>
      <w:r>
        <w:t xml:space="preserve"> </w:t>
      </w:r>
      <w:r>
        <w:rPr>
          <w:rtl/>
        </w:rPr>
        <w:t>קרן</w:t>
      </w:r>
      <w:r>
        <w:t xml:space="preserve"> </w:t>
      </w:r>
      <w:r>
        <w:rPr>
          <w:rtl/>
        </w:rPr>
        <w:t>נעמן</w:t>
      </w:r>
    </w:p>
    <w:p w14:paraId="2C676276" w14:textId="77777777" w:rsidR="00990309" w:rsidRPr="00990309" w:rsidRDefault="00990309" w:rsidP="00990309">
      <w:pPr>
        <w:keepNext/>
        <w:rPr>
          <w:color w:val="000000"/>
          <w:sz w:val="22"/>
          <w:szCs w:val="22"/>
          <w:rtl/>
        </w:rPr>
      </w:pPr>
      <w:r w:rsidRPr="00990309">
        <w:rPr>
          <w:color w:val="000000"/>
          <w:sz w:val="22"/>
          <w:szCs w:val="22"/>
          <w:rtl/>
        </w:rPr>
        <w:t>עלאא מסארווה 54678313</w:t>
      </w:r>
    </w:p>
    <w:p w14:paraId="153910F3" w14:textId="77777777" w:rsidR="00990309" w:rsidRDefault="00990309" w:rsidP="00990309">
      <w:r w:rsidRPr="00990309">
        <w:rPr>
          <w:color w:val="000000"/>
          <w:rtl/>
        </w:rPr>
        <w:t>נוסח מסמך זה כפוף לשינויי ניסוח ועריכה</w:t>
      </w:r>
    </w:p>
    <w:p w14:paraId="494C0A13" w14:textId="77777777" w:rsidR="00990309" w:rsidRDefault="00990309" w:rsidP="00990309">
      <w:pPr>
        <w:rPr>
          <w:rtl/>
        </w:rPr>
      </w:pPr>
    </w:p>
    <w:p w14:paraId="052B65E7" w14:textId="77777777" w:rsidR="00990309" w:rsidRDefault="00990309" w:rsidP="00990309">
      <w:pPr>
        <w:jc w:val="center"/>
        <w:rPr>
          <w:color w:val="0000FF"/>
          <w:u w:val="single"/>
        </w:rPr>
      </w:pPr>
      <w:hyperlink r:id="rId50" w:history="1">
        <w:r>
          <w:rPr>
            <w:color w:val="0000FF"/>
            <w:u w:val="single"/>
            <w:rtl/>
          </w:rPr>
          <w:t>בעניין עריכה ושינויים במסמכי פסיקה, חקיקה ועוד באתר נבו – הקש כאן</w:t>
        </w:r>
      </w:hyperlink>
    </w:p>
    <w:p w14:paraId="6CF11114" w14:textId="77777777" w:rsidR="00990309" w:rsidRPr="00990309" w:rsidRDefault="00990309" w:rsidP="00990309">
      <w:pPr>
        <w:jc w:val="center"/>
        <w:rPr>
          <w:color w:val="0000FF"/>
          <w:u w:val="single"/>
        </w:rPr>
      </w:pPr>
    </w:p>
    <w:sectPr w:rsidR="00990309" w:rsidRPr="00990309" w:rsidSect="00990309">
      <w:headerReference w:type="even" r:id="rId51"/>
      <w:headerReference w:type="default" r:id="rId52"/>
      <w:footerReference w:type="even" r:id="rId53"/>
      <w:footerReference w:type="default" r:id="rId54"/>
      <w:pgSz w:w="11906" w:h="16838" w:code="9"/>
      <w:pgMar w:top="1701" w:right="1800" w:bottom="1440" w:left="1800"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81BB2A" w14:textId="77777777" w:rsidR="005031C3" w:rsidRDefault="005031C3">
      <w:r>
        <w:separator/>
      </w:r>
    </w:p>
  </w:endnote>
  <w:endnote w:type="continuationSeparator" w:id="0">
    <w:p w14:paraId="39A2C2FF" w14:textId="77777777" w:rsidR="005031C3" w:rsidRDefault="00503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C7F6FB" w14:textId="77777777" w:rsidR="00990309" w:rsidRDefault="00990309" w:rsidP="00990309">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170</w:t>
    </w:r>
    <w:r>
      <w:rPr>
        <w:rFonts w:ascii="FrankRuehl" w:hAnsi="FrankRuehl" w:cs="FrankRuehl"/>
        <w:rtl/>
      </w:rPr>
      <w:fldChar w:fldCharType="end"/>
    </w:r>
  </w:p>
  <w:p w14:paraId="465AE4C2" w14:textId="77777777" w:rsidR="00D16716" w:rsidRPr="00990309" w:rsidRDefault="00990309" w:rsidP="00990309">
    <w:pPr>
      <w:pStyle w:val="a4"/>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A819A0" w14:textId="77777777" w:rsidR="00990309" w:rsidRDefault="00990309" w:rsidP="00990309">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 xml:space="preserve">PAGE </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576DD8">
      <w:rPr>
        <w:rFonts w:ascii="FrankRuehl" w:hAnsi="FrankRuehl" w:cs="FrankRuehl"/>
        <w:noProof/>
        <w:rtl/>
      </w:rPr>
      <w:t>1</w:t>
    </w:r>
    <w:r>
      <w:rPr>
        <w:rFonts w:ascii="FrankRuehl" w:hAnsi="FrankRuehl" w:cs="FrankRuehl"/>
        <w:rtl/>
      </w:rPr>
      <w:fldChar w:fldCharType="end"/>
    </w:r>
  </w:p>
  <w:p w14:paraId="3CEBDF4C" w14:textId="77777777" w:rsidR="00D16716" w:rsidRPr="00990309" w:rsidRDefault="00990309" w:rsidP="00990309">
    <w:pPr>
      <w:pStyle w:val="a4"/>
      <w:pBdr>
        <w:top w:val="single" w:sz="4" w:space="1" w:color="auto"/>
        <w:between w:val="single" w:sz="4" w:space="0" w:color="auto"/>
      </w:pBdr>
      <w:spacing w:after="60"/>
      <w:jc w:val="center"/>
      <w:rPr>
        <w:rFonts w:ascii="FrankRuehl" w:hAnsi="FrankRuehl" w:cs="FrankRuehl" w:hint="cs"/>
        <w:color w:val="000000"/>
        <w:rtl/>
      </w:rPr>
    </w:pPr>
    <w:r>
      <w:rPr>
        <w:rFonts w:ascii="FrankRuehl" w:hAnsi="FrankRuehl" w:cs="FrankRuehl" w:hint="cs"/>
        <w:color w:val="000000"/>
      </w:rPr>
      <w:pict w14:anchorId="42EA56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1811E4" w14:textId="77777777" w:rsidR="005031C3" w:rsidRDefault="005031C3">
      <w:r>
        <w:separator/>
      </w:r>
    </w:p>
  </w:footnote>
  <w:footnote w:type="continuationSeparator" w:id="0">
    <w:p w14:paraId="6FE27E34" w14:textId="77777777" w:rsidR="005031C3" w:rsidRDefault="005031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F09D6A" w14:textId="77777777" w:rsidR="00990309" w:rsidRPr="00990309" w:rsidRDefault="00990309" w:rsidP="00990309">
    <w:pPr>
      <w:pStyle w:val="a3"/>
      <w:pBdr>
        <w:bottom w:val="single" w:sz="4" w:space="1" w:color="auto"/>
      </w:pBdr>
      <w:tabs>
        <w:tab w:val="clear" w:pos="4153"/>
        <w:tab w:val="clear" w:pos="8306"/>
        <w:tab w:val="right" w:pos="8311"/>
      </w:tabs>
      <w:spacing w:line="220" w:lineRule="auto"/>
      <w:rPr>
        <w:color w:val="000000"/>
        <w:sz w:val="22"/>
        <w:szCs w:val="22"/>
        <w:rtl/>
      </w:rPr>
    </w:pPr>
    <w:r>
      <w:rPr>
        <w:color w:val="000000"/>
        <w:sz w:val="22"/>
        <w:szCs w:val="22"/>
        <w:rtl/>
      </w:rPr>
      <w:t>תפ (ת"א) 50359-08-19</w:t>
    </w:r>
    <w:r>
      <w:rPr>
        <w:color w:val="000000"/>
        <w:sz w:val="22"/>
        <w:szCs w:val="22"/>
        <w:rtl/>
      </w:rPr>
      <w:tab/>
      <w:t xml:space="preserve"> מדינת ישראל נ' חסן אבו קינץ </w:t>
    </w:r>
    <w:r>
      <w:rPr>
        <w:color w:val="000000"/>
        <w:sz w:val="22"/>
        <w:szCs w:val="22"/>
      </w:rPr>
      <w:t>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40CDC1" w14:textId="77777777" w:rsidR="00990309" w:rsidRPr="00990309" w:rsidRDefault="00990309" w:rsidP="00990309">
    <w:pPr>
      <w:pStyle w:val="a3"/>
      <w:pBdr>
        <w:bottom w:val="single" w:sz="4" w:space="1" w:color="auto"/>
      </w:pBdr>
      <w:tabs>
        <w:tab w:val="clear" w:pos="4153"/>
        <w:tab w:val="clear" w:pos="8306"/>
        <w:tab w:val="right" w:pos="8311"/>
      </w:tabs>
      <w:spacing w:line="220" w:lineRule="auto"/>
      <w:rPr>
        <w:color w:val="000000"/>
        <w:sz w:val="22"/>
        <w:szCs w:val="22"/>
        <w:rtl/>
      </w:rPr>
    </w:pPr>
    <w:r>
      <w:rPr>
        <w:color w:val="000000"/>
        <w:sz w:val="22"/>
        <w:szCs w:val="22"/>
        <w:rtl/>
      </w:rPr>
      <w:t>תפ (ת"א) 50359-08-19</w:t>
    </w:r>
    <w:r>
      <w:rPr>
        <w:color w:val="000000"/>
        <w:sz w:val="22"/>
        <w:szCs w:val="22"/>
        <w:rtl/>
      </w:rPr>
      <w:tab/>
      <w:t xml:space="preserve"> מדינת ישראל נ' חסן אבו קינץ </w:t>
    </w:r>
    <w:r>
      <w:rPr>
        <w:color w:val="000000"/>
        <w:sz w:val="22"/>
        <w:szCs w:val="22"/>
      </w:rPr>
      <w:t>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 w15:restartNumberingAfterBreak="0">
    <w:nsid w:val="2BC44040"/>
    <w:multiLevelType w:val="hybridMultilevel"/>
    <w:tmpl w:val="48A20172"/>
    <w:lvl w:ilvl="0" w:tplc="C9E83CFE">
      <w:start w:val="1"/>
      <w:numFmt w:val="decimal"/>
      <w:lvlText w:val="%1."/>
      <w:lvlJc w:val="left"/>
      <w:pPr>
        <w:ind w:left="360" w:hanging="360"/>
      </w:pPr>
      <w:rPr>
        <w:rFonts w:cs="Times New Roman" w:hint="default"/>
        <w:b w:val="0"/>
        <w:bCs w:val="0"/>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tentative="1">
      <w:start w:val="1"/>
      <w:numFmt w:val="lowerLetter"/>
      <w:lvlText w:val="%2."/>
      <w:lvlJc w:val="left"/>
      <w:pPr>
        <w:tabs>
          <w:tab w:val="num" w:pos="1575"/>
        </w:tabs>
        <w:ind w:left="1575" w:hanging="360"/>
      </w:pPr>
      <w:rPr>
        <w:rFonts w:cs="Times New Roman"/>
      </w:rPr>
    </w:lvl>
    <w:lvl w:ilvl="2" w:tplc="0409001B" w:tentative="1">
      <w:start w:val="1"/>
      <w:numFmt w:val="lowerRoman"/>
      <w:lvlText w:val="%3."/>
      <w:lvlJc w:val="right"/>
      <w:pPr>
        <w:tabs>
          <w:tab w:val="num" w:pos="2295"/>
        </w:tabs>
        <w:ind w:left="2295" w:hanging="180"/>
      </w:pPr>
      <w:rPr>
        <w:rFonts w:cs="Times New Roman"/>
      </w:rPr>
    </w:lvl>
    <w:lvl w:ilvl="3" w:tplc="0409000F" w:tentative="1">
      <w:start w:val="1"/>
      <w:numFmt w:val="decimal"/>
      <w:lvlText w:val="%4."/>
      <w:lvlJc w:val="left"/>
      <w:pPr>
        <w:tabs>
          <w:tab w:val="num" w:pos="3015"/>
        </w:tabs>
        <w:ind w:left="3015" w:hanging="360"/>
      </w:pPr>
      <w:rPr>
        <w:rFonts w:cs="Times New Roman"/>
      </w:rPr>
    </w:lvl>
    <w:lvl w:ilvl="4" w:tplc="04090019" w:tentative="1">
      <w:start w:val="1"/>
      <w:numFmt w:val="lowerLetter"/>
      <w:lvlText w:val="%5."/>
      <w:lvlJc w:val="left"/>
      <w:pPr>
        <w:tabs>
          <w:tab w:val="num" w:pos="3735"/>
        </w:tabs>
        <w:ind w:left="3735" w:hanging="360"/>
      </w:pPr>
      <w:rPr>
        <w:rFonts w:cs="Times New Roman"/>
      </w:rPr>
    </w:lvl>
    <w:lvl w:ilvl="5" w:tplc="0409001B" w:tentative="1">
      <w:start w:val="1"/>
      <w:numFmt w:val="lowerRoman"/>
      <w:lvlText w:val="%6."/>
      <w:lvlJc w:val="right"/>
      <w:pPr>
        <w:tabs>
          <w:tab w:val="num" w:pos="4455"/>
        </w:tabs>
        <w:ind w:left="4455" w:hanging="180"/>
      </w:pPr>
      <w:rPr>
        <w:rFonts w:cs="Times New Roman"/>
      </w:rPr>
    </w:lvl>
    <w:lvl w:ilvl="6" w:tplc="0409000F" w:tentative="1">
      <w:start w:val="1"/>
      <w:numFmt w:val="decimal"/>
      <w:lvlText w:val="%7."/>
      <w:lvlJc w:val="left"/>
      <w:pPr>
        <w:tabs>
          <w:tab w:val="num" w:pos="5175"/>
        </w:tabs>
        <w:ind w:left="5175" w:hanging="360"/>
      </w:pPr>
      <w:rPr>
        <w:rFonts w:cs="Times New Roman"/>
      </w:rPr>
    </w:lvl>
    <w:lvl w:ilvl="7" w:tplc="04090019" w:tentative="1">
      <w:start w:val="1"/>
      <w:numFmt w:val="lowerLetter"/>
      <w:lvlText w:val="%8."/>
      <w:lvlJc w:val="left"/>
      <w:pPr>
        <w:tabs>
          <w:tab w:val="num" w:pos="5895"/>
        </w:tabs>
        <w:ind w:left="5895" w:hanging="360"/>
      </w:pPr>
      <w:rPr>
        <w:rFonts w:cs="Times New Roman"/>
      </w:rPr>
    </w:lvl>
    <w:lvl w:ilvl="8" w:tplc="0409001B" w:tentative="1">
      <w:start w:val="1"/>
      <w:numFmt w:val="lowerRoman"/>
      <w:lvlText w:val="%9."/>
      <w:lvlJc w:val="right"/>
      <w:pPr>
        <w:tabs>
          <w:tab w:val="num" w:pos="6615"/>
        </w:tabs>
        <w:ind w:left="6615" w:hanging="180"/>
      </w:pPr>
      <w:rPr>
        <w:rFonts w:cs="Times New Roman"/>
      </w:rPr>
    </w:lvl>
  </w:abstractNum>
  <w:abstractNum w:abstractNumId="4"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5"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6"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8"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9"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0"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1"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2"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4"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5"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66C57159"/>
    <w:multiLevelType w:val="hybridMultilevel"/>
    <w:tmpl w:val="64F22F94"/>
    <w:lvl w:ilvl="0" w:tplc="35464C24">
      <w:start w:val="1"/>
      <w:numFmt w:val="hebrew1"/>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8"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9" w15:restartNumberingAfterBreak="0">
    <w:nsid w:val="7D6A16BE"/>
    <w:multiLevelType w:val="hybridMultilevel"/>
    <w:tmpl w:val="EEAE09B6"/>
    <w:lvl w:ilvl="0" w:tplc="CF905CF4">
      <w:start w:val="1"/>
      <w:numFmt w:val="decimal"/>
      <w:lvlText w:val="%1."/>
      <w:lvlJc w:val="left"/>
      <w:pPr>
        <w:ind w:left="720" w:hanging="360"/>
      </w:pPr>
      <w:rPr>
        <w:rFonts w:cs="Times New Roman" w:hint="default"/>
      </w:rPr>
    </w:lvl>
    <w:lvl w:ilvl="1" w:tplc="5E763F56">
      <w:start w:val="1"/>
      <w:numFmt w:val="hebrew1"/>
      <w:lvlText w:val="%2."/>
      <w:lvlJc w:val="left"/>
      <w:pPr>
        <w:ind w:left="1440" w:hanging="360"/>
      </w:pPr>
      <w:rPr>
        <w:rFonts w:cs="Times New Roman" w:hint="default"/>
        <w:b/>
        <w:u w:val="none"/>
      </w:rPr>
    </w:lvl>
    <w:lvl w:ilvl="2" w:tplc="2D70B0EA" w:tentative="1">
      <w:start w:val="1"/>
      <w:numFmt w:val="lowerRoman"/>
      <w:lvlText w:val="%3."/>
      <w:lvlJc w:val="right"/>
      <w:pPr>
        <w:ind w:left="2160" w:hanging="180"/>
      </w:pPr>
      <w:rPr>
        <w:rFonts w:cs="Times New Roman"/>
      </w:rPr>
    </w:lvl>
    <w:lvl w:ilvl="3" w:tplc="89D4277C" w:tentative="1">
      <w:start w:val="1"/>
      <w:numFmt w:val="decimal"/>
      <w:lvlText w:val="%4."/>
      <w:lvlJc w:val="left"/>
      <w:pPr>
        <w:ind w:left="2880" w:hanging="360"/>
      </w:pPr>
      <w:rPr>
        <w:rFonts w:cs="Times New Roman"/>
      </w:rPr>
    </w:lvl>
    <w:lvl w:ilvl="4" w:tplc="355EDD8A" w:tentative="1">
      <w:start w:val="1"/>
      <w:numFmt w:val="lowerLetter"/>
      <w:lvlText w:val="%5."/>
      <w:lvlJc w:val="left"/>
      <w:pPr>
        <w:ind w:left="3600" w:hanging="360"/>
      </w:pPr>
      <w:rPr>
        <w:rFonts w:cs="Times New Roman"/>
      </w:rPr>
    </w:lvl>
    <w:lvl w:ilvl="5" w:tplc="87925DBC" w:tentative="1">
      <w:start w:val="1"/>
      <w:numFmt w:val="lowerRoman"/>
      <w:lvlText w:val="%6."/>
      <w:lvlJc w:val="right"/>
      <w:pPr>
        <w:ind w:left="4320" w:hanging="180"/>
      </w:pPr>
      <w:rPr>
        <w:rFonts w:cs="Times New Roman"/>
      </w:rPr>
    </w:lvl>
    <w:lvl w:ilvl="6" w:tplc="4EF216AA" w:tentative="1">
      <w:start w:val="1"/>
      <w:numFmt w:val="decimal"/>
      <w:lvlText w:val="%7."/>
      <w:lvlJc w:val="left"/>
      <w:pPr>
        <w:ind w:left="5040" w:hanging="360"/>
      </w:pPr>
      <w:rPr>
        <w:rFonts w:cs="Times New Roman"/>
      </w:rPr>
    </w:lvl>
    <w:lvl w:ilvl="7" w:tplc="CA3AC000" w:tentative="1">
      <w:start w:val="1"/>
      <w:numFmt w:val="lowerLetter"/>
      <w:lvlText w:val="%8."/>
      <w:lvlJc w:val="left"/>
      <w:pPr>
        <w:ind w:left="5760" w:hanging="360"/>
      </w:pPr>
      <w:rPr>
        <w:rFonts w:cs="Times New Roman"/>
      </w:rPr>
    </w:lvl>
    <w:lvl w:ilvl="8" w:tplc="54220128" w:tentative="1">
      <w:start w:val="1"/>
      <w:numFmt w:val="lowerRoman"/>
      <w:lvlText w:val="%9."/>
      <w:lvlJc w:val="right"/>
      <w:pPr>
        <w:ind w:left="6480" w:hanging="180"/>
      </w:pPr>
      <w:rPr>
        <w:rFonts w:cs="Times New Roman"/>
      </w:rPr>
    </w:lvl>
  </w:abstractNum>
  <w:num w:numId="1" w16cid:durableId="1131829815">
    <w:abstractNumId w:val="15"/>
  </w:num>
  <w:num w:numId="2" w16cid:durableId="975992968">
    <w:abstractNumId w:val="6"/>
  </w:num>
  <w:num w:numId="3" w16cid:durableId="1218083896">
    <w:abstractNumId w:val="13"/>
  </w:num>
  <w:num w:numId="4" w16cid:durableId="1318732183">
    <w:abstractNumId w:val="12"/>
  </w:num>
  <w:num w:numId="5" w16cid:durableId="1982492849">
    <w:abstractNumId w:val="5"/>
  </w:num>
  <w:num w:numId="6" w16cid:durableId="2031564007">
    <w:abstractNumId w:val="7"/>
  </w:num>
  <w:num w:numId="7" w16cid:durableId="834108015">
    <w:abstractNumId w:val="18"/>
  </w:num>
  <w:num w:numId="8" w16cid:durableId="1478303903">
    <w:abstractNumId w:val="0"/>
  </w:num>
  <w:num w:numId="9" w16cid:durableId="871577256">
    <w:abstractNumId w:val="11"/>
  </w:num>
  <w:num w:numId="10" w16cid:durableId="399207178">
    <w:abstractNumId w:val="9"/>
  </w:num>
  <w:num w:numId="11" w16cid:durableId="895120510">
    <w:abstractNumId w:val="4"/>
  </w:num>
  <w:num w:numId="12" w16cid:durableId="1137338650">
    <w:abstractNumId w:val="17"/>
  </w:num>
  <w:num w:numId="13" w16cid:durableId="1671370545">
    <w:abstractNumId w:val="10"/>
  </w:num>
  <w:num w:numId="14" w16cid:durableId="1490632855">
    <w:abstractNumId w:val="3"/>
  </w:num>
  <w:num w:numId="15" w16cid:durableId="561713973">
    <w:abstractNumId w:val="14"/>
  </w:num>
  <w:num w:numId="16" w16cid:durableId="2145348109">
    <w:abstractNumId w:val="1"/>
  </w:num>
  <w:num w:numId="17" w16cid:durableId="1253705195">
    <w:abstractNumId w:val="8"/>
  </w:num>
  <w:num w:numId="18" w16cid:durableId="1259368220">
    <w:abstractNumId w:val="16"/>
  </w:num>
  <w:num w:numId="19" w16cid:durableId="1722552895">
    <w:abstractNumId w:val="19"/>
  </w:num>
  <w:num w:numId="20" w16cid:durableId="5134244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saveInvalidXml/>
  <w:ignoreMixedContent/>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50359-08-19"/>
    <w:docVar w:name="caseId" w:val="76726785"/>
    <w:docVar w:name="deriveClass" w:val="NGCS.Protocol.BL.Client.ProtocolBLClientCriminal"/>
    <w:docVar w:name="firstPageNumber" w:val="169"/>
    <w:docVar w:name="MyInfo" w:val="This document was extracted from Nevo's site"/>
    <w:docVar w:name="NGCS.caseInterestID" w:val="-1"/>
    <w:docVar w:name="NGCS.caseTypeID" w:val="-1"/>
    <w:docVar w:name="NGCS.courtID" w:val="32"/>
    <w:docVar w:name="NGCS.isReservedAddressPlace" w:val="0"/>
    <w:docVar w:name="NGCS.isReservedVoucherPlace" w:val="0"/>
    <w:docVar w:name="NGCS.proceedingID" w:val="2"/>
    <w:docVar w:name="NGCS.userUPN" w:val="ëåìí"/>
    <w:docVar w:name="privellegeId" w:val="1"/>
    <w:docVar w:name="protocolId" w:val="12361059"/>
    <w:docVar w:name="releaseSign" w:val="0"/>
    <w:docVar w:name="sittingDateTime" w:val="13/03/2022 12:00     "/>
    <w:docVar w:name="sittingId" w:val="92629307"/>
    <w:docVar w:name="sittingTypeId" w:val="2"/>
    <w:docVar w:name="WordClientAssemblyName" w:val="NGCS.Protocol.BL.Client"/>
    <w:docVar w:name="WordClientClassName" w:val="NGCS.Templates.UIP.TemplateWordClient"/>
  </w:docVars>
  <w:rsids>
    <w:rsidRoot w:val="00EB1D9D"/>
    <w:rsid w:val="0000682C"/>
    <w:rsid w:val="0000736A"/>
    <w:rsid w:val="00014F26"/>
    <w:rsid w:val="00016C3B"/>
    <w:rsid w:val="00030486"/>
    <w:rsid w:val="000309E2"/>
    <w:rsid w:val="00032A68"/>
    <w:rsid w:val="000404A6"/>
    <w:rsid w:val="00046973"/>
    <w:rsid w:val="00053909"/>
    <w:rsid w:val="000555F0"/>
    <w:rsid w:val="000608AB"/>
    <w:rsid w:val="00074BD2"/>
    <w:rsid w:val="000A4C4B"/>
    <w:rsid w:val="000C3D5F"/>
    <w:rsid w:val="000C7499"/>
    <w:rsid w:val="000D0CF6"/>
    <w:rsid w:val="000E1A65"/>
    <w:rsid w:val="000E37CD"/>
    <w:rsid w:val="000E3D26"/>
    <w:rsid w:val="00100FD9"/>
    <w:rsid w:val="00115104"/>
    <w:rsid w:val="001222D1"/>
    <w:rsid w:val="00131385"/>
    <w:rsid w:val="00137D59"/>
    <w:rsid w:val="00143A36"/>
    <w:rsid w:val="0014434E"/>
    <w:rsid w:val="001526FC"/>
    <w:rsid w:val="0016231B"/>
    <w:rsid w:val="00163279"/>
    <w:rsid w:val="001666D0"/>
    <w:rsid w:val="001705B8"/>
    <w:rsid w:val="00174C6C"/>
    <w:rsid w:val="00180246"/>
    <w:rsid w:val="001870A5"/>
    <w:rsid w:val="001A63A4"/>
    <w:rsid w:val="001C548C"/>
    <w:rsid w:val="001D2B8A"/>
    <w:rsid w:val="001E6DFB"/>
    <w:rsid w:val="002063A6"/>
    <w:rsid w:val="00210DB0"/>
    <w:rsid w:val="00227A15"/>
    <w:rsid w:val="002306AE"/>
    <w:rsid w:val="00237F64"/>
    <w:rsid w:val="00245547"/>
    <w:rsid w:val="002736EA"/>
    <w:rsid w:val="00296868"/>
    <w:rsid w:val="002A1C94"/>
    <w:rsid w:val="002E1AC5"/>
    <w:rsid w:val="002E24EE"/>
    <w:rsid w:val="002F455E"/>
    <w:rsid w:val="002F5A82"/>
    <w:rsid w:val="00301481"/>
    <w:rsid w:val="0031264F"/>
    <w:rsid w:val="00323201"/>
    <w:rsid w:val="00340759"/>
    <w:rsid w:val="0034100C"/>
    <w:rsid w:val="00342D84"/>
    <w:rsid w:val="00347ACF"/>
    <w:rsid w:val="00376476"/>
    <w:rsid w:val="003A3FEB"/>
    <w:rsid w:val="003B08F6"/>
    <w:rsid w:val="003E3045"/>
    <w:rsid w:val="003F6EFC"/>
    <w:rsid w:val="0042188D"/>
    <w:rsid w:val="00440118"/>
    <w:rsid w:val="00442655"/>
    <w:rsid w:val="004473FE"/>
    <w:rsid w:val="0046310D"/>
    <w:rsid w:val="004752AF"/>
    <w:rsid w:val="00486DEE"/>
    <w:rsid w:val="00494C2F"/>
    <w:rsid w:val="004A71FF"/>
    <w:rsid w:val="004B74CF"/>
    <w:rsid w:val="004C0BCC"/>
    <w:rsid w:val="004C0CA7"/>
    <w:rsid w:val="004D4B57"/>
    <w:rsid w:val="004F1851"/>
    <w:rsid w:val="004F1DCD"/>
    <w:rsid w:val="004F4B4A"/>
    <w:rsid w:val="005031C3"/>
    <w:rsid w:val="00503959"/>
    <w:rsid w:val="00510083"/>
    <w:rsid w:val="00532A9F"/>
    <w:rsid w:val="00551705"/>
    <w:rsid w:val="00560CB1"/>
    <w:rsid w:val="00564AAC"/>
    <w:rsid w:val="00576DD8"/>
    <w:rsid w:val="00577444"/>
    <w:rsid w:val="0058186B"/>
    <w:rsid w:val="005832BA"/>
    <w:rsid w:val="00594F89"/>
    <w:rsid w:val="005B395D"/>
    <w:rsid w:val="005D0864"/>
    <w:rsid w:val="005D47FD"/>
    <w:rsid w:val="005D5393"/>
    <w:rsid w:val="005D68B0"/>
    <w:rsid w:val="005D6FD9"/>
    <w:rsid w:val="00600219"/>
    <w:rsid w:val="00601F75"/>
    <w:rsid w:val="006110FD"/>
    <w:rsid w:val="0061652F"/>
    <w:rsid w:val="00620E3F"/>
    <w:rsid w:val="00623CCF"/>
    <w:rsid w:val="00631222"/>
    <w:rsid w:val="00633BA9"/>
    <w:rsid w:val="00635C8E"/>
    <w:rsid w:val="006424C7"/>
    <w:rsid w:val="006830E7"/>
    <w:rsid w:val="006A4D3D"/>
    <w:rsid w:val="006B639D"/>
    <w:rsid w:val="006D72D1"/>
    <w:rsid w:val="006E3A90"/>
    <w:rsid w:val="006F0E02"/>
    <w:rsid w:val="006F7F2D"/>
    <w:rsid w:val="00700409"/>
    <w:rsid w:val="00701199"/>
    <w:rsid w:val="0071764B"/>
    <w:rsid w:val="00717ADE"/>
    <w:rsid w:val="007378AE"/>
    <w:rsid w:val="007378FE"/>
    <w:rsid w:val="00750D8E"/>
    <w:rsid w:val="00770F7C"/>
    <w:rsid w:val="00781736"/>
    <w:rsid w:val="00791EB6"/>
    <w:rsid w:val="007A3152"/>
    <w:rsid w:val="007B3880"/>
    <w:rsid w:val="007B6499"/>
    <w:rsid w:val="007C0D02"/>
    <w:rsid w:val="007D4DDF"/>
    <w:rsid w:val="007D71BF"/>
    <w:rsid w:val="007E3A02"/>
    <w:rsid w:val="007E4ADE"/>
    <w:rsid w:val="007F46CA"/>
    <w:rsid w:val="007F4959"/>
    <w:rsid w:val="008100EF"/>
    <w:rsid w:val="0081212E"/>
    <w:rsid w:val="008138D1"/>
    <w:rsid w:val="008146F0"/>
    <w:rsid w:val="008147C4"/>
    <w:rsid w:val="00816980"/>
    <w:rsid w:val="0083639D"/>
    <w:rsid w:val="0085535F"/>
    <w:rsid w:val="0088228B"/>
    <w:rsid w:val="00890B56"/>
    <w:rsid w:val="008A636F"/>
    <w:rsid w:val="008B5819"/>
    <w:rsid w:val="008D15AB"/>
    <w:rsid w:val="008D7896"/>
    <w:rsid w:val="008E7204"/>
    <w:rsid w:val="00927BB3"/>
    <w:rsid w:val="00934BA1"/>
    <w:rsid w:val="0094049A"/>
    <w:rsid w:val="0094092B"/>
    <w:rsid w:val="00940F15"/>
    <w:rsid w:val="00943E5D"/>
    <w:rsid w:val="009474AF"/>
    <w:rsid w:val="009521C7"/>
    <w:rsid w:val="00960E66"/>
    <w:rsid w:val="00966439"/>
    <w:rsid w:val="0097713F"/>
    <w:rsid w:val="0098094C"/>
    <w:rsid w:val="009809D5"/>
    <w:rsid w:val="009857E4"/>
    <w:rsid w:val="00990309"/>
    <w:rsid w:val="009B24E2"/>
    <w:rsid w:val="009C08D6"/>
    <w:rsid w:val="009D7934"/>
    <w:rsid w:val="009E46EC"/>
    <w:rsid w:val="009E6E0A"/>
    <w:rsid w:val="00A04531"/>
    <w:rsid w:val="00A05E89"/>
    <w:rsid w:val="00A11915"/>
    <w:rsid w:val="00A1573A"/>
    <w:rsid w:val="00A25356"/>
    <w:rsid w:val="00A64302"/>
    <w:rsid w:val="00A64696"/>
    <w:rsid w:val="00A67D1A"/>
    <w:rsid w:val="00A910BF"/>
    <w:rsid w:val="00A9385E"/>
    <w:rsid w:val="00A94180"/>
    <w:rsid w:val="00AA3C0A"/>
    <w:rsid w:val="00AB1CE7"/>
    <w:rsid w:val="00AC7677"/>
    <w:rsid w:val="00AD1366"/>
    <w:rsid w:val="00AE1CE6"/>
    <w:rsid w:val="00B07114"/>
    <w:rsid w:val="00B24CA7"/>
    <w:rsid w:val="00B30584"/>
    <w:rsid w:val="00B44123"/>
    <w:rsid w:val="00B44DFD"/>
    <w:rsid w:val="00B6568E"/>
    <w:rsid w:val="00B66459"/>
    <w:rsid w:val="00B82C03"/>
    <w:rsid w:val="00B870E1"/>
    <w:rsid w:val="00BA3141"/>
    <w:rsid w:val="00BD13A0"/>
    <w:rsid w:val="00BF00B0"/>
    <w:rsid w:val="00C4595F"/>
    <w:rsid w:val="00C471D1"/>
    <w:rsid w:val="00C50277"/>
    <w:rsid w:val="00C518EA"/>
    <w:rsid w:val="00C667A1"/>
    <w:rsid w:val="00C82E19"/>
    <w:rsid w:val="00C8613B"/>
    <w:rsid w:val="00C908FB"/>
    <w:rsid w:val="00CA022A"/>
    <w:rsid w:val="00CA26CF"/>
    <w:rsid w:val="00CB6B34"/>
    <w:rsid w:val="00CE2636"/>
    <w:rsid w:val="00D0615F"/>
    <w:rsid w:val="00D16716"/>
    <w:rsid w:val="00D23D09"/>
    <w:rsid w:val="00D240DE"/>
    <w:rsid w:val="00D2736A"/>
    <w:rsid w:val="00D41CA3"/>
    <w:rsid w:val="00D420A0"/>
    <w:rsid w:val="00D57D9B"/>
    <w:rsid w:val="00D86190"/>
    <w:rsid w:val="00DA7A07"/>
    <w:rsid w:val="00DC3CD8"/>
    <w:rsid w:val="00DC4526"/>
    <w:rsid w:val="00DC7E11"/>
    <w:rsid w:val="00DD4926"/>
    <w:rsid w:val="00DF69AA"/>
    <w:rsid w:val="00E06ED4"/>
    <w:rsid w:val="00E15F20"/>
    <w:rsid w:val="00E37759"/>
    <w:rsid w:val="00E420DA"/>
    <w:rsid w:val="00E4581A"/>
    <w:rsid w:val="00E45BE2"/>
    <w:rsid w:val="00E620AB"/>
    <w:rsid w:val="00E679BB"/>
    <w:rsid w:val="00E718E1"/>
    <w:rsid w:val="00E74FCF"/>
    <w:rsid w:val="00E866B5"/>
    <w:rsid w:val="00EA333A"/>
    <w:rsid w:val="00EA64DB"/>
    <w:rsid w:val="00EB1D9D"/>
    <w:rsid w:val="00EC3091"/>
    <w:rsid w:val="00EC6C1D"/>
    <w:rsid w:val="00ED466C"/>
    <w:rsid w:val="00F13883"/>
    <w:rsid w:val="00F24B4E"/>
    <w:rsid w:val="00F30675"/>
    <w:rsid w:val="00F334F6"/>
    <w:rsid w:val="00F44082"/>
    <w:rsid w:val="00F449AC"/>
    <w:rsid w:val="00F53B32"/>
    <w:rsid w:val="00F56690"/>
    <w:rsid w:val="00F56B3A"/>
    <w:rsid w:val="00F579C4"/>
    <w:rsid w:val="00F773E3"/>
    <w:rsid w:val="00F776F9"/>
    <w:rsid w:val="00F861D3"/>
    <w:rsid w:val="00F91F7D"/>
    <w:rsid w:val="00F941D7"/>
    <w:rsid w:val="00FA2034"/>
    <w:rsid w:val="00FA308E"/>
    <w:rsid w:val="00FA615F"/>
    <w:rsid w:val="00FC6FCE"/>
    <w:rsid w:val="00FD0E68"/>
    <w:rsid w:val="00FD12D3"/>
    <w:rsid w:val="00FD30D2"/>
    <w:rsid w:val="00FD6413"/>
    <w:rsid w:val="00FE234A"/>
    <w:rsid w:val="00FF139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6324EBF"/>
  <w15:chartTrackingRefBased/>
  <w15:docId w15:val="{CF39EA35-B15E-476A-808F-4BF84641B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2" w:locked="1"/>
    <w:lsdException w:name="List 3"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eastAsia="Times New Roman"/>
      <w:sz w:val="24"/>
      <w:szCs w:val="24"/>
    </w:rPr>
  </w:style>
  <w:style w:type="paragraph" w:styleId="1">
    <w:name w:val="heading 1"/>
    <w:basedOn w:val="a"/>
    <w:next w:val="a"/>
    <w:qFormat/>
    <w:pPr>
      <w:keepNext/>
      <w:spacing w:before="240" w:after="60"/>
      <w:outlineLvl w:val="0"/>
    </w:pPr>
    <w:rPr>
      <w:rFonts w:ascii="Arial" w:hAnsi="Arial"/>
      <w:b/>
      <w:bCs/>
      <w:kern w:val="32"/>
      <w:sz w:val="32"/>
      <w:szCs w:val="32"/>
    </w:rPr>
  </w:style>
  <w:style w:type="paragraph" w:styleId="2">
    <w:name w:val="heading 2"/>
    <w:basedOn w:val="a"/>
    <w:next w:val="a"/>
    <w:qFormat/>
    <w:pPr>
      <w:keepNext/>
      <w:spacing w:before="240" w:after="60"/>
      <w:outlineLvl w:val="1"/>
    </w:pPr>
    <w:rPr>
      <w:b/>
      <w:bCs/>
      <w:i/>
      <w:iCs/>
    </w:rPr>
  </w:style>
  <w:style w:type="paragraph" w:styleId="3">
    <w:name w:val="heading 3"/>
    <w:basedOn w:val="a"/>
    <w:next w:val="a"/>
    <w:qFormat/>
    <w:pPr>
      <w:keepNext/>
      <w:spacing w:before="240" w:after="60"/>
      <w:outlineLvl w:val="2"/>
    </w:pPr>
    <w:rPr>
      <w:b/>
      <w:bCs/>
      <w:sz w:val="26"/>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table" w:styleId="a5">
    <w:name w:val="Table Grid"/>
    <w:basedOn w:val="a1"/>
    <w:pPr>
      <w:jc w:val="righ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annotation text"/>
    <w:basedOn w:val="a"/>
    <w:semiHidden/>
    <w:rPr>
      <w:rFonts w:ascii="Times New Roman" w:eastAsia="David" w:hAnsi="Times New Roman" w:cs="Times New Roman"/>
      <w:sz w:val="20"/>
      <w:szCs w:val="20"/>
    </w:rPr>
  </w:style>
  <w:style w:type="character" w:styleId="a7">
    <w:name w:val="annotation reference"/>
    <w:semiHidden/>
    <w:rPr>
      <w:sz w:val="16"/>
    </w:rPr>
  </w:style>
  <w:style w:type="paragraph" w:styleId="a8">
    <w:name w:val="Balloon Text"/>
    <w:basedOn w:val="a"/>
    <w:semiHidden/>
    <w:rPr>
      <w:rFonts w:ascii="Tahoma" w:hAnsi="Tahoma" w:cs="Tahoma"/>
      <w:sz w:val="16"/>
      <w:szCs w:val="16"/>
    </w:rPr>
  </w:style>
  <w:style w:type="character" w:styleId="a9">
    <w:name w:val="page number"/>
    <w:rPr>
      <w:rFonts w:cs="Times New Roman"/>
    </w:rPr>
  </w:style>
  <w:style w:type="character" w:styleId="aa">
    <w:name w:val="line number"/>
    <w:rPr>
      <w:sz w:val="20"/>
    </w:rPr>
  </w:style>
  <w:style w:type="character" w:customStyle="1" w:styleId="TimesNewRomanTimesNewRoman">
    <w:name w:val="סגנון (לטיני) Times New Roman (עברית ושפות אחרות) Times New Roman..."/>
    <w:rsid w:val="0000736A"/>
    <w:rPr>
      <w:rFonts w:ascii="Times New Roman" w:hAnsi="Times New Roman"/>
      <w:b/>
      <w:sz w:val="26"/>
    </w:rPr>
  </w:style>
  <w:style w:type="paragraph" w:customStyle="1" w:styleId="Arial">
    <w:name w:val="סגנון (לטיני) Arial מיושר לשני הצדדים מרווח בין שורות:  שורה וחצי"/>
    <w:basedOn w:val="a"/>
    <w:rsid w:val="0000736A"/>
    <w:pPr>
      <w:spacing w:line="360" w:lineRule="auto"/>
      <w:jc w:val="both"/>
    </w:pPr>
    <w:rPr>
      <w:rFonts w:ascii="Arial" w:eastAsia="David" w:hAnsi="Arial"/>
    </w:rPr>
  </w:style>
  <w:style w:type="paragraph" w:customStyle="1" w:styleId="Arial0">
    <w:name w:val="סגנון (לטיני) Arial מודגש מיושר לשני הצדדים מרווח בין שורות:  שו..."/>
    <w:basedOn w:val="a"/>
    <w:rsid w:val="00631222"/>
    <w:pPr>
      <w:spacing w:line="360" w:lineRule="auto"/>
      <w:jc w:val="both"/>
    </w:pPr>
    <w:rPr>
      <w:rFonts w:ascii="Arial" w:eastAsia="David" w:hAnsi="Arial"/>
      <w:b/>
      <w:bCs/>
    </w:rPr>
  </w:style>
  <w:style w:type="paragraph" w:customStyle="1" w:styleId="TimesNewRoman13">
    <w:name w:val="סגנון (לטיני) Times New Roman ‏13 נק' מודגש מיושר לשני הצדדים מ..."/>
    <w:basedOn w:val="a"/>
    <w:rsid w:val="00163279"/>
    <w:pPr>
      <w:spacing w:line="360" w:lineRule="auto"/>
      <w:jc w:val="both"/>
    </w:pPr>
    <w:rPr>
      <w:rFonts w:ascii="Times New Roman" w:eastAsia="David" w:hAnsi="Times New Roman"/>
      <w:b/>
      <w:bCs/>
      <w:sz w:val="26"/>
      <w:szCs w:val="26"/>
    </w:rPr>
  </w:style>
  <w:style w:type="character" w:styleId="ab">
    <w:name w:val="Placeholder Text"/>
    <w:semiHidden/>
    <w:rsid w:val="004D4B57"/>
    <w:rPr>
      <w:color w:val="808080"/>
    </w:rPr>
  </w:style>
  <w:style w:type="paragraph" w:customStyle="1" w:styleId="12">
    <w:name w:val="רגיל + ‏12 נק'"/>
    <w:aliases w:val="מיושר לשני הצדדים,מרווח בין שורות:  שורה וחצי"/>
    <w:basedOn w:val="a"/>
    <w:rsid w:val="00A05E89"/>
    <w:rPr>
      <w:rFonts w:ascii="Times New Roman" w:eastAsia="David" w:hAnsi="Times New Roman"/>
      <w:b/>
      <w:bCs/>
      <w:u w:val="single"/>
    </w:rPr>
  </w:style>
  <w:style w:type="paragraph" w:styleId="ac">
    <w:name w:val="List Paragraph"/>
    <w:basedOn w:val="a"/>
    <w:qFormat/>
    <w:rsid w:val="001222D1"/>
    <w:pPr>
      <w:spacing w:after="160" w:line="259" w:lineRule="auto"/>
      <w:ind w:left="720"/>
      <w:contextualSpacing/>
    </w:pPr>
    <w:rPr>
      <w:rFonts w:ascii="Calibri" w:hAnsi="Calibri" w:cs="Arial"/>
      <w:sz w:val="22"/>
      <w:szCs w:val="22"/>
    </w:rPr>
  </w:style>
  <w:style w:type="character" w:styleId="Hyperlink">
    <w:name w:val="Hyperlink"/>
    <w:locked/>
    <w:rsid w:val="009903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36a.b" TargetMode="External"/><Relationship Id="rId18" Type="http://schemas.openxmlformats.org/officeDocument/2006/relationships/hyperlink" Target="http://www.nevo.co.il/case/20956295" TargetMode="External"/><Relationship Id="rId26" Type="http://schemas.openxmlformats.org/officeDocument/2006/relationships/hyperlink" Target="http://www.nevo.co.il/law/70301" TargetMode="External"/><Relationship Id="rId39" Type="http://schemas.openxmlformats.org/officeDocument/2006/relationships/hyperlink" Target="http://www.nevo.co.il/law/70301/40c.a" TargetMode="External"/><Relationship Id="rId21" Type="http://schemas.openxmlformats.org/officeDocument/2006/relationships/hyperlink" Target="http://www.nevo.co.il/case/21274851" TargetMode="External"/><Relationship Id="rId34" Type="http://schemas.openxmlformats.org/officeDocument/2006/relationships/hyperlink" Target="http://www.nevo.co.il/law/70301" TargetMode="External"/><Relationship Id="rId42" Type="http://schemas.openxmlformats.org/officeDocument/2006/relationships/hyperlink" Target="http://www.nevo.co.il/law/4216/37a" TargetMode="External"/><Relationship Id="rId47" Type="http://schemas.openxmlformats.org/officeDocument/2006/relationships/hyperlink" Target="http://www.nevo.co.il/law/4216" TargetMode="External"/><Relationship Id="rId50" Type="http://schemas.openxmlformats.org/officeDocument/2006/relationships/hyperlink" Target="http://www.nevo.co.il/advertisements/nevo-100.doc" TargetMode="External"/><Relationship Id="rId55"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13093721" TargetMode="External"/><Relationship Id="rId29" Type="http://schemas.openxmlformats.org/officeDocument/2006/relationships/hyperlink" Target="http://www.nevo.co.il/law/70301/40ja.9" TargetMode="External"/><Relationship Id="rId11" Type="http://schemas.openxmlformats.org/officeDocument/2006/relationships/hyperlink" Target="http://www.nevo.co.il/law/70301/40jc.b" TargetMode="External"/><Relationship Id="rId24" Type="http://schemas.openxmlformats.org/officeDocument/2006/relationships/hyperlink" Target="http://www.nevo.co.il/case/27208273" TargetMode="External"/><Relationship Id="rId32" Type="http://schemas.openxmlformats.org/officeDocument/2006/relationships/hyperlink" Target="http://www.nevo.co.il/case/21476660" TargetMode="External"/><Relationship Id="rId37" Type="http://schemas.openxmlformats.org/officeDocument/2006/relationships/hyperlink" Target="http://www.nevo.co.il/law/70301/40jc.b" TargetMode="External"/><Relationship Id="rId40" Type="http://schemas.openxmlformats.org/officeDocument/2006/relationships/hyperlink" Target="http://www.nevo.co.il/law/70301/40h" TargetMode="External"/><Relationship Id="rId45" Type="http://schemas.openxmlformats.org/officeDocument/2006/relationships/hyperlink" Target="http://www.nevo.co.il/law/4216/36a.b" TargetMode="External"/><Relationship Id="rId53"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nevo.co.il/law/70301/40ja.9" TargetMode="External"/><Relationship Id="rId19" Type="http://schemas.openxmlformats.org/officeDocument/2006/relationships/hyperlink" Target="http://www.nevo.co.il/case/5590169" TargetMode="External"/><Relationship Id="rId31" Type="http://schemas.openxmlformats.org/officeDocument/2006/relationships/hyperlink" Target="http://www.nevo.co.il/case/17992396" TargetMode="External"/><Relationship Id="rId44" Type="http://schemas.openxmlformats.org/officeDocument/2006/relationships/hyperlink" Target="http://www.nevo.co.il/law/4216/36a.b" TargetMode="External"/><Relationship Id="rId52"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40h" TargetMode="External"/><Relationship Id="rId14" Type="http://schemas.openxmlformats.org/officeDocument/2006/relationships/hyperlink" Target="http://www.nevo.co.il/law/4216/37a" TargetMode="External"/><Relationship Id="rId22" Type="http://schemas.openxmlformats.org/officeDocument/2006/relationships/hyperlink" Target="http://www.nevo.co.il/case/27481099" TargetMode="External"/><Relationship Id="rId27" Type="http://schemas.openxmlformats.org/officeDocument/2006/relationships/hyperlink" Target="http://www.nevo.co.il/case/21274851" TargetMode="External"/><Relationship Id="rId30" Type="http://schemas.openxmlformats.org/officeDocument/2006/relationships/hyperlink" Target="http://www.nevo.co.il/law/70301" TargetMode="External"/><Relationship Id="rId35" Type="http://schemas.openxmlformats.org/officeDocument/2006/relationships/hyperlink" Target="http://www.nevo.co.il/law/70301" TargetMode="External"/><Relationship Id="rId43" Type="http://schemas.openxmlformats.org/officeDocument/2006/relationships/hyperlink" Target="http://www.nevo.co.il/law/4216/37a" TargetMode="External"/><Relationship Id="rId48" Type="http://schemas.openxmlformats.org/officeDocument/2006/relationships/hyperlink" Target="http://www.nevo.co.il/case/25983397" TargetMode="External"/><Relationship Id="rId56" Type="http://schemas.openxmlformats.org/officeDocument/2006/relationships/theme" Target="theme/theme1.xml"/><Relationship Id="rId8" Type="http://schemas.openxmlformats.org/officeDocument/2006/relationships/hyperlink" Target="http://www.nevo.co.il/law/70301/40c.a" TargetMode="External"/><Relationship Id="rId51"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www.nevo.co.il/law/4216"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0571533" TargetMode="External"/><Relationship Id="rId33" Type="http://schemas.openxmlformats.org/officeDocument/2006/relationships/hyperlink" Target="http://www.nevo.co.il/case/18653868" TargetMode="External"/><Relationship Id="rId38" Type="http://schemas.openxmlformats.org/officeDocument/2006/relationships/hyperlink" Target="http://www.nevo.co.il/law/70301" TargetMode="External"/><Relationship Id="rId46" Type="http://schemas.openxmlformats.org/officeDocument/2006/relationships/hyperlink" Target="http://www.nevo.co.il/law/70301" TargetMode="External"/><Relationship Id="rId20" Type="http://schemas.openxmlformats.org/officeDocument/2006/relationships/hyperlink" Target="http://www.nevo.co.il/case/20151395" TargetMode="External"/><Relationship Id="rId41" Type="http://schemas.openxmlformats.org/officeDocument/2006/relationships/hyperlink" Target="http://www.nevo.co.il/law/70301" TargetMode="External"/><Relationship Id="rId54"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case/5599403"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21732263" TargetMode="External"/><Relationship Id="rId4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5010</Words>
  <Characters>25050</Characters>
  <Application>Microsoft Office Word</Application>
  <DocSecurity>0</DocSecurity>
  <Lines>208</Lines>
  <Paragraphs>59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30001</CharactersWithSpaces>
  <SharedDoc>false</SharedDoc>
  <HLinks>
    <vt:vector size="258" baseType="variant">
      <vt:variant>
        <vt:i4>393283</vt:i4>
      </vt:variant>
      <vt:variant>
        <vt:i4>126</vt:i4>
      </vt:variant>
      <vt:variant>
        <vt:i4>0</vt:i4>
      </vt:variant>
      <vt:variant>
        <vt:i4>5</vt:i4>
      </vt:variant>
      <vt:variant>
        <vt:lpwstr>http://www.nevo.co.il/advertisements/nevo-100.doc</vt:lpwstr>
      </vt:variant>
      <vt:variant>
        <vt:lpwstr/>
      </vt:variant>
      <vt:variant>
        <vt:i4>3211386</vt:i4>
      </vt:variant>
      <vt:variant>
        <vt:i4>123</vt:i4>
      </vt:variant>
      <vt:variant>
        <vt:i4>0</vt:i4>
      </vt:variant>
      <vt:variant>
        <vt:i4>5</vt:i4>
      </vt:variant>
      <vt:variant>
        <vt:lpwstr>http://www.nevo.co.il/case/25983397</vt:lpwstr>
      </vt:variant>
      <vt:variant>
        <vt:lpwstr/>
      </vt:variant>
      <vt:variant>
        <vt:i4>8257637</vt:i4>
      </vt:variant>
      <vt:variant>
        <vt:i4>120</vt:i4>
      </vt:variant>
      <vt:variant>
        <vt:i4>0</vt:i4>
      </vt:variant>
      <vt:variant>
        <vt:i4>5</vt:i4>
      </vt:variant>
      <vt:variant>
        <vt:lpwstr>http://www.nevo.co.il/law/4216</vt:lpwstr>
      </vt:variant>
      <vt:variant>
        <vt:lpwstr/>
      </vt:variant>
      <vt:variant>
        <vt:i4>7995492</vt:i4>
      </vt:variant>
      <vt:variant>
        <vt:i4>117</vt:i4>
      </vt:variant>
      <vt:variant>
        <vt:i4>0</vt:i4>
      </vt:variant>
      <vt:variant>
        <vt:i4>5</vt:i4>
      </vt:variant>
      <vt:variant>
        <vt:lpwstr>http://www.nevo.co.il/law/70301</vt:lpwstr>
      </vt:variant>
      <vt:variant>
        <vt:lpwstr/>
      </vt:variant>
      <vt:variant>
        <vt:i4>5111890</vt:i4>
      </vt:variant>
      <vt:variant>
        <vt:i4>114</vt:i4>
      </vt:variant>
      <vt:variant>
        <vt:i4>0</vt:i4>
      </vt:variant>
      <vt:variant>
        <vt:i4>5</vt:i4>
      </vt:variant>
      <vt:variant>
        <vt:lpwstr>http://www.nevo.co.il/law/4216/36a.b</vt:lpwstr>
      </vt:variant>
      <vt:variant>
        <vt:lpwstr/>
      </vt:variant>
      <vt:variant>
        <vt:i4>5111890</vt:i4>
      </vt:variant>
      <vt:variant>
        <vt:i4>111</vt:i4>
      </vt:variant>
      <vt:variant>
        <vt:i4>0</vt:i4>
      </vt:variant>
      <vt:variant>
        <vt:i4>5</vt:i4>
      </vt:variant>
      <vt:variant>
        <vt:lpwstr>http://www.nevo.co.il/law/4216/36a.b</vt:lpwstr>
      </vt:variant>
      <vt:variant>
        <vt:lpwstr/>
      </vt:variant>
      <vt:variant>
        <vt:i4>2883709</vt:i4>
      </vt:variant>
      <vt:variant>
        <vt:i4>108</vt:i4>
      </vt:variant>
      <vt:variant>
        <vt:i4>0</vt:i4>
      </vt:variant>
      <vt:variant>
        <vt:i4>5</vt:i4>
      </vt:variant>
      <vt:variant>
        <vt:lpwstr>http://www.nevo.co.il/law/4216/37a</vt:lpwstr>
      </vt:variant>
      <vt:variant>
        <vt:lpwstr/>
      </vt:variant>
      <vt:variant>
        <vt:i4>2883709</vt:i4>
      </vt:variant>
      <vt:variant>
        <vt:i4>105</vt:i4>
      </vt:variant>
      <vt:variant>
        <vt:i4>0</vt:i4>
      </vt:variant>
      <vt:variant>
        <vt:i4>5</vt:i4>
      </vt:variant>
      <vt:variant>
        <vt:lpwstr>http://www.nevo.co.il/law/4216/37a</vt:lpwstr>
      </vt:variant>
      <vt:variant>
        <vt:lpwstr/>
      </vt:variant>
      <vt:variant>
        <vt:i4>7995492</vt:i4>
      </vt:variant>
      <vt:variant>
        <vt:i4>102</vt:i4>
      </vt:variant>
      <vt:variant>
        <vt:i4>0</vt:i4>
      </vt:variant>
      <vt:variant>
        <vt:i4>5</vt:i4>
      </vt:variant>
      <vt:variant>
        <vt:lpwstr>http://www.nevo.co.il/law/70301</vt:lpwstr>
      </vt:variant>
      <vt:variant>
        <vt:lpwstr/>
      </vt:variant>
      <vt:variant>
        <vt:i4>6619233</vt:i4>
      </vt:variant>
      <vt:variant>
        <vt:i4>99</vt:i4>
      </vt:variant>
      <vt:variant>
        <vt:i4>0</vt:i4>
      </vt:variant>
      <vt:variant>
        <vt:i4>5</vt:i4>
      </vt:variant>
      <vt:variant>
        <vt:lpwstr>http://www.nevo.co.il/law/70301/40h</vt:lpwstr>
      </vt:variant>
      <vt:variant>
        <vt:lpwstr/>
      </vt:variant>
      <vt:variant>
        <vt:i4>4915202</vt:i4>
      </vt:variant>
      <vt:variant>
        <vt:i4>96</vt:i4>
      </vt:variant>
      <vt:variant>
        <vt:i4>0</vt:i4>
      </vt:variant>
      <vt:variant>
        <vt:i4>5</vt:i4>
      </vt:variant>
      <vt:variant>
        <vt:lpwstr>http://www.nevo.co.il/law/70301/40c.a</vt:lpwstr>
      </vt:variant>
      <vt:variant>
        <vt:lpwstr/>
      </vt:variant>
      <vt:variant>
        <vt:i4>7995492</vt:i4>
      </vt:variant>
      <vt:variant>
        <vt:i4>93</vt:i4>
      </vt:variant>
      <vt:variant>
        <vt:i4>0</vt:i4>
      </vt:variant>
      <vt:variant>
        <vt:i4>5</vt:i4>
      </vt:variant>
      <vt:variant>
        <vt:lpwstr>http://www.nevo.co.il/law/70301</vt:lpwstr>
      </vt:variant>
      <vt:variant>
        <vt:lpwstr/>
      </vt:variant>
      <vt:variant>
        <vt:i4>6553637</vt:i4>
      </vt:variant>
      <vt:variant>
        <vt:i4>90</vt:i4>
      </vt:variant>
      <vt:variant>
        <vt:i4>0</vt:i4>
      </vt:variant>
      <vt:variant>
        <vt:i4>5</vt:i4>
      </vt:variant>
      <vt:variant>
        <vt:lpwstr>http://www.nevo.co.il/law/70301/40jc.b</vt:lpwstr>
      </vt:variant>
      <vt:variant>
        <vt:lpwstr/>
      </vt:variant>
      <vt:variant>
        <vt:i4>3211380</vt:i4>
      </vt:variant>
      <vt:variant>
        <vt:i4>87</vt:i4>
      </vt:variant>
      <vt:variant>
        <vt:i4>0</vt:i4>
      </vt:variant>
      <vt:variant>
        <vt:i4>5</vt:i4>
      </vt:variant>
      <vt:variant>
        <vt:lpwstr>http://www.nevo.co.il/case/21732263</vt:lpwstr>
      </vt:variant>
      <vt:variant>
        <vt:lpwstr/>
      </vt:variant>
      <vt:variant>
        <vt:i4>7995492</vt:i4>
      </vt:variant>
      <vt:variant>
        <vt:i4>84</vt:i4>
      </vt:variant>
      <vt:variant>
        <vt:i4>0</vt:i4>
      </vt:variant>
      <vt:variant>
        <vt:i4>5</vt:i4>
      </vt:variant>
      <vt:variant>
        <vt:lpwstr>http://www.nevo.co.il/law/70301</vt:lpwstr>
      </vt:variant>
      <vt:variant>
        <vt:lpwstr/>
      </vt:variant>
      <vt:variant>
        <vt:i4>7995492</vt:i4>
      </vt:variant>
      <vt:variant>
        <vt:i4>81</vt:i4>
      </vt:variant>
      <vt:variant>
        <vt:i4>0</vt:i4>
      </vt:variant>
      <vt:variant>
        <vt:i4>5</vt:i4>
      </vt:variant>
      <vt:variant>
        <vt:lpwstr>http://www.nevo.co.il/law/70301</vt:lpwstr>
      </vt:variant>
      <vt:variant>
        <vt:lpwstr/>
      </vt:variant>
      <vt:variant>
        <vt:i4>3276913</vt:i4>
      </vt:variant>
      <vt:variant>
        <vt:i4>78</vt:i4>
      </vt:variant>
      <vt:variant>
        <vt:i4>0</vt:i4>
      </vt:variant>
      <vt:variant>
        <vt:i4>5</vt:i4>
      </vt:variant>
      <vt:variant>
        <vt:lpwstr>http://www.nevo.co.il/case/18653868</vt:lpwstr>
      </vt:variant>
      <vt:variant>
        <vt:lpwstr/>
      </vt:variant>
      <vt:variant>
        <vt:i4>3539060</vt:i4>
      </vt:variant>
      <vt:variant>
        <vt:i4>75</vt:i4>
      </vt:variant>
      <vt:variant>
        <vt:i4>0</vt:i4>
      </vt:variant>
      <vt:variant>
        <vt:i4>5</vt:i4>
      </vt:variant>
      <vt:variant>
        <vt:lpwstr>http://www.nevo.co.il/case/21476660</vt:lpwstr>
      </vt:variant>
      <vt:variant>
        <vt:lpwstr/>
      </vt:variant>
      <vt:variant>
        <vt:i4>3342457</vt:i4>
      </vt:variant>
      <vt:variant>
        <vt:i4>72</vt:i4>
      </vt:variant>
      <vt:variant>
        <vt:i4>0</vt:i4>
      </vt:variant>
      <vt:variant>
        <vt:i4>5</vt:i4>
      </vt:variant>
      <vt:variant>
        <vt:lpwstr>http://www.nevo.co.il/case/17992396</vt:lpwstr>
      </vt:variant>
      <vt:variant>
        <vt:lpwstr/>
      </vt:variant>
      <vt:variant>
        <vt:i4>7995492</vt:i4>
      </vt:variant>
      <vt:variant>
        <vt:i4>69</vt:i4>
      </vt:variant>
      <vt:variant>
        <vt:i4>0</vt:i4>
      </vt:variant>
      <vt:variant>
        <vt:i4>5</vt:i4>
      </vt:variant>
      <vt:variant>
        <vt:lpwstr>http://www.nevo.co.il/law/70301</vt:lpwstr>
      </vt:variant>
      <vt:variant>
        <vt:lpwstr/>
      </vt:variant>
      <vt:variant>
        <vt:i4>3997733</vt:i4>
      </vt:variant>
      <vt:variant>
        <vt:i4>66</vt:i4>
      </vt:variant>
      <vt:variant>
        <vt:i4>0</vt:i4>
      </vt:variant>
      <vt:variant>
        <vt:i4>5</vt:i4>
      </vt:variant>
      <vt:variant>
        <vt:lpwstr>http://www.nevo.co.il/law/70301/40ja.9</vt:lpwstr>
      </vt:variant>
      <vt:variant>
        <vt:lpwstr/>
      </vt:variant>
      <vt:variant>
        <vt:i4>7995492</vt:i4>
      </vt:variant>
      <vt:variant>
        <vt:i4>63</vt:i4>
      </vt:variant>
      <vt:variant>
        <vt:i4>0</vt:i4>
      </vt:variant>
      <vt:variant>
        <vt:i4>5</vt:i4>
      </vt:variant>
      <vt:variant>
        <vt:lpwstr>http://www.nevo.co.il/law/70301</vt:lpwstr>
      </vt:variant>
      <vt:variant>
        <vt:lpwstr/>
      </vt:variant>
      <vt:variant>
        <vt:i4>3211386</vt:i4>
      </vt:variant>
      <vt:variant>
        <vt:i4>60</vt:i4>
      </vt:variant>
      <vt:variant>
        <vt:i4>0</vt:i4>
      </vt:variant>
      <vt:variant>
        <vt:i4>5</vt:i4>
      </vt:variant>
      <vt:variant>
        <vt:lpwstr>http://www.nevo.co.il/case/21274851</vt:lpwstr>
      </vt:variant>
      <vt:variant>
        <vt:lpwstr/>
      </vt:variant>
      <vt:variant>
        <vt:i4>7995492</vt:i4>
      </vt:variant>
      <vt:variant>
        <vt:i4>57</vt:i4>
      </vt:variant>
      <vt:variant>
        <vt:i4>0</vt:i4>
      </vt:variant>
      <vt:variant>
        <vt:i4>5</vt:i4>
      </vt:variant>
      <vt:variant>
        <vt:lpwstr>http://www.nevo.co.il/law/70301</vt:lpwstr>
      </vt:variant>
      <vt:variant>
        <vt:lpwstr/>
      </vt:variant>
      <vt:variant>
        <vt:i4>3473526</vt:i4>
      </vt:variant>
      <vt:variant>
        <vt:i4>54</vt:i4>
      </vt:variant>
      <vt:variant>
        <vt:i4>0</vt:i4>
      </vt:variant>
      <vt:variant>
        <vt:i4>5</vt:i4>
      </vt:variant>
      <vt:variant>
        <vt:lpwstr>http://www.nevo.co.il/case/20571533</vt:lpwstr>
      </vt:variant>
      <vt:variant>
        <vt:lpwstr/>
      </vt:variant>
      <vt:variant>
        <vt:i4>4128881</vt:i4>
      </vt:variant>
      <vt:variant>
        <vt:i4>51</vt:i4>
      </vt:variant>
      <vt:variant>
        <vt:i4>0</vt:i4>
      </vt:variant>
      <vt:variant>
        <vt:i4>5</vt:i4>
      </vt:variant>
      <vt:variant>
        <vt:lpwstr>http://www.nevo.co.il/case/27208273</vt:lpwstr>
      </vt:variant>
      <vt:variant>
        <vt:lpwstr/>
      </vt:variant>
      <vt:variant>
        <vt:i4>3866744</vt:i4>
      </vt:variant>
      <vt:variant>
        <vt:i4>48</vt:i4>
      </vt:variant>
      <vt:variant>
        <vt:i4>0</vt:i4>
      </vt:variant>
      <vt:variant>
        <vt:i4>5</vt:i4>
      </vt:variant>
      <vt:variant>
        <vt:lpwstr>http://www.nevo.co.il/case/5599403</vt:lpwstr>
      </vt:variant>
      <vt:variant>
        <vt:lpwstr/>
      </vt:variant>
      <vt:variant>
        <vt:i4>4063355</vt:i4>
      </vt:variant>
      <vt:variant>
        <vt:i4>45</vt:i4>
      </vt:variant>
      <vt:variant>
        <vt:i4>0</vt:i4>
      </vt:variant>
      <vt:variant>
        <vt:i4>5</vt:i4>
      </vt:variant>
      <vt:variant>
        <vt:lpwstr>http://www.nevo.co.il/case/27481099</vt:lpwstr>
      </vt:variant>
      <vt:variant>
        <vt:lpwstr/>
      </vt:variant>
      <vt:variant>
        <vt:i4>3211386</vt:i4>
      </vt:variant>
      <vt:variant>
        <vt:i4>42</vt:i4>
      </vt:variant>
      <vt:variant>
        <vt:i4>0</vt:i4>
      </vt:variant>
      <vt:variant>
        <vt:i4>5</vt:i4>
      </vt:variant>
      <vt:variant>
        <vt:lpwstr>http://www.nevo.co.il/case/21274851</vt:lpwstr>
      </vt:variant>
      <vt:variant>
        <vt:lpwstr/>
      </vt:variant>
      <vt:variant>
        <vt:i4>3866738</vt:i4>
      </vt:variant>
      <vt:variant>
        <vt:i4>39</vt:i4>
      </vt:variant>
      <vt:variant>
        <vt:i4>0</vt:i4>
      </vt:variant>
      <vt:variant>
        <vt:i4>5</vt:i4>
      </vt:variant>
      <vt:variant>
        <vt:lpwstr>http://www.nevo.co.il/case/20151395</vt:lpwstr>
      </vt:variant>
      <vt:variant>
        <vt:lpwstr/>
      </vt:variant>
      <vt:variant>
        <vt:i4>3407991</vt:i4>
      </vt:variant>
      <vt:variant>
        <vt:i4>36</vt:i4>
      </vt:variant>
      <vt:variant>
        <vt:i4>0</vt:i4>
      </vt:variant>
      <vt:variant>
        <vt:i4>5</vt:i4>
      </vt:variant>
      <vt:variant>
        <vt:lpwstr>http://www.nevo.co.il/case/5590169</vt:lpwstr>
      </vt:variant>
      <vt:variant>
        <vt:lpwstr/>
      </vt:variant>
      <vt:variant>
        <vt:i4>3407987</vt:i4>
      </vt:variant>
      <vt:variant>
        <vt:i4>33</vt:i4>
      </vt:variant>
      <vt:variant>
        <vt:i4>0</vt:i4>
      </vt:variant>
      <vt:variant>
        <vt:i4>5</vt:i4>
      </vt:variant>
      <vt:variant>
        <vt:lpwstr>http://www.nevo.co.il/case/20956295</vt:lpwstr>
      </vt:variant>
      <vt:variant>
        <vt:lpwstr/>
      </vt:variant>
      <vt:variant>
        <vt:i4>7995492</vt:i4>
      </vt:variant>
      <vt:variant>
        <vt:i4>30</vt:i4>
      </vt:variant>
      <vt:variant>
        <vt:i4>0</vt:i4>
      </vt:variant>
      <vt:variant>
        <vt:i4>5</vt:i4>
      </vt:variant>
      <vt:variant>
        <vt:lpwstr>http://www.nevo.co.il/law/70301</vt:lpwstr>
      </vt:variant>
      <vt:variant>
        <vt:lpwstr/>
      </vt:variant>
      <vt:variant>
        <vt:i4>3145849</vt:i4>
      </vt:variant>
      <vt:variant>
        <vt:i4>27</vt:i4>
      </vt:variant>
      <vt:variant>
        <vt:i4>0</vt:i4>
      </vt:variant>
      <vt:variant>
        <vt:i4>5</vt:i4>
      </vt:variant>
      <vt:variant>
        <vt:lpwstr>http://www.nevo.co.il/case/13093721</vt:lpwstr>
      </vt:variant>
      <vt:variant>
        <vt:lpwstr/>
      </vt:variant>
      <vt:variant>
        <vt:i4>7995492</vt:i4>
      </vt:variant>
      <vt:variant>
        <vt:i4>24</vt:i4>
      </vt:variant>
      <vt:variant>
        <vt:i4>0</vt:i4>
      </vt:variant>
      <vt:variant>
        <vt:i4>5</vt:i4>
      </vt:variant>
      <vt:variant>
        <vt:lpwstr>http://www.nevo.co.il/law/70301</vt:lpwstr>
      </vt:variant>
      <vt:variant>
        <vt:lpwstr/>
      </vt:variant>
      <vt:variant>
        <vt:i4>2883709</vt:i4>
      </vt:variant>
      <vt:variant>
        <vt:i4>21</vt:i4>
      </vt:variant>
      <vt:variant>
        <vt:i4>0</vt:i4>
      </vt:variant>
      <vt:variant>
        <vt:i4>5</vt:i4>
      </vt:variant>
      <vt:variant>
        <vt:lpwstr>http://www.nevo.co.il/law/4216/37a</vt:lpwstr>
      </vt:variant>
      <vt:variant>
        <vt:lpwstr/>
      </vt:variant>
      <vt:variant>
        <vt:i4>5111890</vt:i4>
      </vt:variant>
      <vt:variant>
        <vt:i4>18</vt:i4>
      </vt:variant>
      <vt:variant>
        <vt:i4>0</vt:i4>
      </vt:variant>
      <vt:variant>
        <vt:i4>5</vt:i4>
      </vt:variant>
      <vt:variant>
        <vt:lpwstr>http://www.nevo.co.il/law/4216/36a.b</vt:lpwstr>
      </vt:variant>
      <vt:variant>
        <vt:lpwstr/>
      </vt:variant>
      <vt:variant>
        <vt:i4>8257637</vt:i4>
      </vt:variant>
      <vt:variant>
        <vt:i4>15</vt:i4>
      </vt:variant>
      <vt:variant>
        <vt:i4>0</vt:i4>
      </vt:variant>
      <vt:variant>
        <vt:i4>5</vt:i4>
      </vt:variant>
      <vt:variant>
        <vt:lpwstr>http://www.nevo.co.il/law/4216</vt:lpwstr>
      </vt:variant>
      <vt:variant>
        <vt:lpwstr/>
      </vt:variant>
      <vt:variant>
        <vt:i4>6553637</vt:i4>
      </vt:variant>
      <vt:variant>
        <vt:i4>12</vt:i4>
      </vt:variant>
      <vt:variant>
        <vt:i4>0</vt:i4>
      </vt:variant>
      <vt:variant>
        <vt:i4>5</vt:i4>
      </vt:variant>
      <vt:variant>
        <vt:lpwstr>http://www.nevo.co.il/law/70301/40jc.b</vt:lpwstr>
      </vt:variant>
      <vt:variant>
        <vt:lpwstr/>
      </vt:variant>
      <vt:variant>
        <vt:i4>3997733</vt:i4>
      </vt:variant>
      <vt:variant>
        <vt:i4>9</vt:i4>
      </vt:variant>
      <vt:variant>
        <vt:i4>0</vt:i4>
      </vt:variant>
      <vt:variant>
        <vt:i4>5</vt:i4>
      </vt:variant>
      <vt:variant>
        <vt:lpwstr>http://www.nevo.co.il/law/70301/40ja.9</vt:lpwstr>
      </vt:variant>
      <vt:variant>
        <vt:lpwstr/>
      </vt:variant>
      <vt:variant>
        <vt:i4>6619233</vt:i4>
      </vt:variant>
      <vt:variant>
        <vt:i4>6</vt:i4>
      </vt:variant>
      <vt:variant>
        <vt:i4>0</vt:i4>
      </vt:variant>
      <vt:variant>
        <vt:i4>5</vt:i4>
      </vt:variant>
      <vt:variant>
        <vt:lpwstr>http://www.nevo.co.il/law/70301/40h</vt:lpwstr>
      </vt:variant>
      <vt:variant>
        <vt:lpwstr/>
      </vt:variant>
      <vt:variant>
        <vt:i4>4915202</vt:i4>
      </vt:variant>
      <vt:variant>
        <vt:i4>3</vt:i4>
      </vt:variant>
      <vt:variant>
        <vt:i4>0</vt:i4>
      </vt:variant>
      <vt:variant>
        <vt:i4>5</vt:i4>
      </vt:variant>
      <vt:variant>
        <vt:lpwstr>http://www.nevo.co.il/law/70301/40c.a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2022-03-13T10:26:00Z</cp:lastPrinted>
  <dcterms:created xsi:type="dcterms:W3CDTF">2025-04-23T00:16:00Z</dcterms:created>
  <dcterms:modified xsi:type="dcterms:W3CDTF">2025-04-23T00:16:00Z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50359</vt:lpwstr>
  </property>
  <property fmtid="{D5CDD505-2E9C-101B-9397-08002B2CF9AE}" pid="6" name="NEWPARTB">
    <vt:lpwstr>08</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חסן אבו קינץ</vt:lpwstr>
  </property>
  <property fmtid="{D5CDD505-2E9C-101B-9397-08002B2CF9AE}" pid="10" name="LAWYER">
    <vt:lpwstr>גיל קרן רם;שלמה ניסים</vt:lpwstr>
  </property>
  <property fmtid="{D5CDD505-2E9C-101B-9397-08002B2CF9AE}" pid="11" name="JUDGE">
    <vt:lpwstr>עלאא מסארווה</vt:lpwstr>
  </property>
  <property fmtid="{D5CDD505-2E9C-101B-9397-08002B2CF9AE}" pid="12" name="CITY">
    <vt:lpwstr>ת"א</vt:lpwstr>
  </property>
  <property fmtid="{D5CDD505-2E9C-101B-9397-08002B2CF9AE}" pid="13" name="DATE">
    <vt:lpwstr>20220313</vt:lpwstr>
  </property>
  <property fmtid="{D5CDD505-2E9C-101B-9397-08002B2CF9AE}" pid="14" name="TYPE_N_DATE">
    <vt:lpwstr>38020220313</vt:lpwstr>
  </property>
  <property fmtid="{D5CDD505-2E9C-101B-9397-08002B2CF9AE}" pid="15" name="WORDNUMPAGES">
    <vt:lpwstr>15</vt:lpwstr>
  </property>
  <property fmtid="{D5CDD505-2E9C-101B-9397-08002B2CF9AE}" pid="16" name="TYPE_ABS_DATE">
    <vt:lpwstr>380020220313</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13093721;20956295;5590169;20151395;21274851:2;27481099;5599403;27208273;20571533;17992396;21476660;18653868;21732263;25983397</vt:lpwstr>
  </property>
  <property fmtid="{D5CDD505-2E9C-101B-9397-08002B2CF9AE}" pid="36" name="LAWLISTTMP1">
    <vt:lpwstr>70301/40ja.9;40jc.b;040c.a;040h</vt:lpwstr>
  </property>
  <property fmtid="{D5CDD505-2E9C-101B-9397-08002B2CF9AE}" pid="37" name="LAWLISTTMP2">
    <vt:lpwstr>4216/037a:2;036a.b:2</vt:lpwstr>
  </property>
</Properties>
</file>