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B1DB8" w:rsidRPr="00CB2AEF" w14:paraId="5B378FC3" w14:textId="77777777" w:rsidTr="001437CE">
        <w:trPr>
          <w:trHeight w:hRule="exact" w:val="418"/>
          <w:jc w:val="center"/>
        </w:trPr>
        <w:tc>
          <w:tcPr>
            <w:tcW w:w="8721" w:type="dxa"/>
            <w:gridSpan w:val="2"/>
          </w:tcPr>
          <w:p w14:paraId="35C4D54C" w14:textId="77777777" w:rsidR="00BB1DB8" w:rsidRPr="00CB2AEF" w:rsidRDefault="00BB1DB8" w:rsidP="00991434">
            <w:pPr>
              <w:pStyle w:val="a3"/>
              <w:jc w:val="center"/>
              <w:rPr>
                <w:rFonts w:ascii="Tahoma" w:hAnsi="Tahoma" w:cs="Tahoma"/>
                <w:color w:val="000080"/>
                <w:rtl/>
              </w:rPr>
            </w:pPr>
            <w:bookmarkStart w:id="0" w:name="LastJudge"/>
            <w:r w:rsidRPr="00CB2AEF">
              <w:rPr>
                <w:rFonts w:ascii="Tahoma" w:hAnsi="Tahoma" w:cs="Tahoma"/>
                <w:b/>
                <w:bCs/>
                <w:color w:val="000080"/>
                <w:rtl/>
              </w:rPr>
              <w:t>בית משפט השלום בירושלים</w:t>
            </w:r>
          </w:p>
        </w:tc>
      </w:tr>
      <w:tr w:rsidR="00BB1DB8" w:rsidRPr="00CB2AEF" w14:paraId="363AEB22" w14:textId="77777777" w:rsidTr="001437CE">
        <w:trPr>
          <w:trHeight w:val="337"/>
          <w:jc w:val="center"/>
        </w:trPr>
        <w:tc>
          <w:tcPr>
            <w:tcW w:w="5054" w:type="dxa"/>
          </w:tcPr>
          <w:p w14:paraId="7D930CCB" w14:textId="77777777" w:rsidR="00BB1DB8" w:rsidRPr="00CB2AEF" w:rsidRDefault="00BB1DB8" w:rsidP="00991434">
            <w:pPr>
              <w:rPr>
                <w:rFonts w:ascii="David" w:hAnsi="David"/>
                <w:b/>
                <w:bCs/>
                <w:sz w:val="26"/>
                <w:szCs w:val="26"/>
                <w:rtl/>
              </w:rPr>
            </w:pPr>
            <w:r w:rsidRPr="00CB2AEF">
              <w:rPr>
                <w:rFonts w:ascii="David" w:hAnsi="David"/>
                <w:b/>
                <w:bCs/>
                <w:sz w:val="26"/>
                <w:szCs w:val="26"/>
                <w:rtl/>
              </w:rPr>
              <w:t>ת"פ 6434-08-19 מדינת ישראל נ' גאווי</w:t>
            </w:r>
            <w:r w:rsidRPr="00CB2AEF">
              <w:rPr>
                <w:rFonts w:ascii="David" w:hAnsi="David"/>
                <w:b/>
                <w:bCs/>
                <w:sz w:val="26"/>
                <w:szCs w:val="26"/>
                <w:rtl/>
              </w:rPr>
              <w:br/>
              <w:t>ת"פ 60182-01-20</w:t>
            </w:r>
            <w:r w:rsidRPr="00CB2AEF">
              <w:rPr>
                <w:rFonts w:ascii="David" w:hAnsi="David"/>
                <w:b/>
                <w:bCs/>
                <w:sz w:val="26"/>
                <w:szCs w:val="26"/>
                <w:rtl/>
              </w:rPr>
              <w:br/>
              <w:t>ת"פ 32919-08-20</w:t>
            </w:r>
          </w:p>
          <w:p w14:paraId="0D5EC99A" w14:textId="77777777" w:rsidR="00BB1DB8" w:rsidRPr="00CB2AEF" w:rsidRDefault="00BB1DB8" w:rsidP="00991434">
            <w:pPr>
              <w:pStyle w:val="a3"/>
              <w:rPr>
                <w:rFonts w:cs="FrankRuehl"/>
                <w:sz w:val="28"/>
                <w:szCs w:val="28"/>
                <w:rtl/>
              </w:rPr>
            </w:pPr>
          </w:p>
        </w:tc>
        <w:tc>
          <w:tcPr>
            <w:tcW w:w="3667" w:type="dxa"/>
          </w:tcPr>
          <w:p w14:paraId="0868C42F" w14:textId="77777777" w:rsidR="00BB1DB8" w:rsidRPr="00CB2AEF" w:rsidRDefault="00BB1DB8" w:rsidP="00991434">
            <w:pPr>
              <w:pStyle w:val="a3"/>
              <w:jc w:val="right"/>
              <w:rPr>
                <w:rFonts w:cs="FrankRuehl"/>
                <w:sz w:val="28"/>
                <w:szCs w:val="28"/>
                <w:rtl/>
              </w:rPr>
            </w:pPr>
          </w:p>
        </w:tc>
      </w:tr>
    </w:tbl>
    <w:p w14:paraId="0D5B49B4" w14:textId="77777777" w:rsidR="00BB1DB8" w:rsidRPr="00CB2AEF" w:rsidRDefault="00BB1DB8" w:rsidP="00BB1DB8">
      <w:pPr>
        <w:pStyle w:val="a3"/>
        <w:rPr>
          <w:rtl/>
        </w:rPr>
      </w:pPr>
      <w:r w:rsidRPr="00CB2AEF">
        <w:rPr>
          <w:rFonts w:hint="cs"/>
          <w:rtl/>
        </w:rPr>
        <w:t xml:space="preserve"> </w:t>
      </w:r>
    </w:p>
    <w:p w14:paraId="02272369" w14:textId="77777777" w:rsidR="00BB1DB8" w:rsidRPr="00CB2AEF" w:rsidRDefault="00BB1DB8" w:rsidP="00BB1DB8">
      <w:pPr>
        <w:rPr>
          <w:rtl/>
        </w:rPr>
      </w:pPr>
    </w:p>
    <w:p w14:paraId="32861C48" w14:textId="77777777" w:rsidR="00BB1DB8" w:rsidRPr="00CB2AEF" w:rsidRDefault="00BB1DB8" w:rsidP="00BB1DB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B1DB8" w:rsidRPr="00CB2AEF" w14:paraId="3460975E" w14:textId="77777777" w:rsidTr="00BB1DB8">
        <w:trPr>
          <w:trHeight w:val="295"/>
          <w:jc w:val="center"/>
        </w:trPr>
        <w:tc>
          <w:tcPr>
            <w:tcW w:w="923" w:type="dxa"/>
            <w:tcBorders>
              <w:top w:val="nil"/>
              <w:left w:val="nil"/>
              <w:bottom w:val="nil"/>
              <w:right w:val="nil"/>
            </w:tcBorders>
            <w:shd w:val="clear" w:color="auto" w:fill="auto"/>
          </w:tcPr>
          <w:p w14:paraId="5DF7C548" w14:textId="77777777" w:rsidR="00BB1DB8" w:rsidRPr="00CB2AEF" w:rsidRDefault="00BB1DB8" w:rsidP="00BB1DB8">
            <w:pPr>
              <w:jc w:val="both"/>
              <w:rPr>
                <w:rFonts w:ascii="David" w:hAnsi="David"/>
                <w:b/>
                <w:bCs/>
                <w:sz w:val="26"/>
                <w:szCs w:val="26"/>
              </w:rPr>
            </w:pPr>
            <w:r w:rsidRPr="00CB2AEF">
              <w:rPr>
                <w:rFonts w:ascii="David" w:hAnsi="David" w:hint="cs"/>
                <w:b/>
                <w:bCs/>
                <w:sz w:val="26"/>
                <w:szCs w:val="26"/>
                <w:rtl/>
              </w:rPr>
              <w:t>ל</w:t>
            </w:r>
            <w:r w:rsidRPr="00CB2AEF">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055844CF" w14:textId="77777777" w:rsidR="00BB1DB8" w:rsidRPr="00CB2AEF" w:rsidRDefault="00BB1DB8" w:rsidP="00991434">
            <w:pPr>
              <w:rPr>
                <w:rFonts w:ascii="David" w:hAnsi="David"/>
                <w:b/>
                <w:bCs/>
                <w:sz w:val="26"/>
                <w:szCs w:val="26"/>
                <w:rtl/>
              </w:rPr>
            </w:pPr>
            <w:r w:rsidRPr="00CB2AEF">
              <w:rPr>
                <w:rFonts w:ascii="David" w:hAnsi="David"/>
                <w:b/>
                <w:bCs/>
                <w:sz w:val="26"/>
                <w:szCs w:val="26"/>
                <w:rtl/>
              </w:rPr>
              <w:t>כבוד השופט  דוד שאול גבאי ריכטר</w:t>
            </w:r>
          </w:p>
          <w:p w14:paraId="26547106" w14:textId="77777777" w:rsidR="00BB1DB8" w:rsidRPr="00CB2AEF" w:rsidRDefault="00BB1DB8" w:rsidP="00991434">
            <w:pPr>
              <w:rPr>
                <w:rFonts w:ascii="David" w:hAnsi="David"/>
                <w:b/>
                <w:bCs/>
                <w:sz w:val="26"/>
                <w:szCs w:val="26"/>
                <w:rtl/>
              </w:rPr>
            </w:pPr>
          </w:p>
          <w:p w14:paraId="1080B306" w14:textId="77777777" w:rsidR="00BB1DB8" w:rsidRPr="00CB2AEF" w:rsidRDefault="00BB1DB8" w:rsidP="00BB1DB8">
            <w:pPr>
              <w:jc w:val="both"/>
              <w:rPr>
                <w:rFonts w:ascii="David" w:hAnsi="David"/>
                <w:b/>
                <w:bCs/>
                <w:sz w:val="26"/>
                <w:szCs w:val="26"/>
              </w:rPr>
            </w:pPr>
          </w:p>
        </w:tc>
      </w:tr>
      <w:tr w:rsidR="00BB1DB8" w:rsidRPr="00CB2AEF" w14:paraId="142C820F" w14:textId="77777777" w:rsidTr="00BB1DB8">
        <w:trPr>
          <w:trHeight w:val="355"/>
          <w:jc w:val="center"/>
        </w:trPr>
        <w:tc>
          <w:tcPr>
            <w:tcW w:w="923" w:type="dxa"/>
            <w:tcBorders>
              <w:top w:val="nil"/>
              <w:left w:val="nil"/>
              <w:bottom w:val="nil"/>
              <w:right w:val="nil"/>
            </w:tcBorders>
            <w:shd w:val="clear" w:color="auto" w:fill="auto"/>
          </w:tcPr>
          <w:p w14:paraId="789BAEBD" w14:textId="77777777" w:rsidR="00BB1DB8" w:rsidRPr="00CB2AEF" w:rsidRDefault="00BB1DB8" w:rsidP="00BB1DB8">
            <w:pPr>
              <w:jc w:val="both"/>
              <w:rPr>
                <w:rFonts w:ascii="David" w:hAnsi="David"/>
                <w:b/>
                <w:bCs/>
                <w:sz w:val="26"/>
                <w:szCs w:val="26"/>
              </w:rPr>
            </w:pPr>
            <w:bookmarkStart w:id="1" w:name="FirstAppellant"/>
            <w:bookmarkStart w:id="2" w:name="FirstLawyer"/>
            <w:r w:rsidRPr="00CB2AEF">
              <w:rPr>
                <w:rFonts w:ascii="David" w:hAnsi="David"/>
                <w:b/>
                <w:bCs/>
                <w:sz w:val="26"/>
                <w:szCs w:val="26"/>
                <w:rtl/>
              </w:rPr>
              <w:t>בעניין:</w:t>
            </w:r>
          </w:p>
        </w:tc>
        <w:tc>
          <w:tcPr>
            <w:tcW w:w="3219" w:type="dxa"/>
            <w:tcBorders>
              <w:top w:val="nil"/>
              <w:left w:val="nil"/>
              <w:bottom w:val="nil"/>
              <w:right w:val="nil"/>
            </w:tcBorders>
            <w:shd w:val="clear" w:color="auto" w:fill="auto"/>
          </w:tcPr>
          <w:p w14:paraId="078B6E57" w14:textId="77777777" w:rsidR="00BB1DB8" w:rsidRPr="00CB2AEF" w:rsidRDefault="00BB1DB8" w:rsidP="00BB1DB8">
            <w:pPr>
              <w:suppressLineNumbers/>
              <w:rPr>
                <w:b/>
                <w:bCs/>
                <w:sz w:val="26"/>
                <w:szCs w:val="26"/>
              </w:rPr>
            </w:pPr>
            <w:r w:rsidRPr="00CB2AEF">
              <w:rPr>
                <w:rFonts w:ascii="Arial" w:hAnsi="Arial" w:hint="cs"/>
                <w:b/>
                <w:bCs/>
                <w:sz w:val="26"/>
                <w:szCs w:val="26"/>
                <w:rtl/>
              </w:rPr>
              <w:t>ה</w:t>
            </w:r>
            <w:r w:rsidRPr="00CB2AEF">
              <w:rPr>
                <w:rFonts w:ascii="Arial" w:hAnsi="Arial"/>
                <w:b/>
                <w:bCs/>
                <w:sz w:val="26"/>
                <w:szCs w:val="26"/>
                <w:rtl/>
              </w:rPr>
              <w:t>מאשימה</w:t>
            </w:r>
          </w:p>
          <w:p w14:paraId="0B14C5D1" w14:textId="77777777" w:rsidR="00BB1DB8" w:rsidRPr="00CB2AEF" w:rsidRDefault="00BB1DB8" w:rsidP="00991434">
            <w:pPr>
              <w:rPr>
                <w:rFonts w:ascii="David" w:hAnsi="David"/>
                <w:b/>
                <w:bCs/>
                <w:sz w:val="26"/>
                <w:szCs w:val="26"/>
              </w:rPr>
            </w:pPr>
          </w:p>
        </w:tc>
        <w:tc>
          <w:tcPr>
            <w:tcW w:w="4678" w:type="dxa"/>
            <w:tcBorders>
              <w:top w:val="nil"/>
              <w:left w:val="nil"/>
              <w:bottom w:val="nil"/>
              <w:right w:val="nil"/>
            </w:tcBorders>
            <w:shd w:val="clear" w:color="auto" w:fill="auto"/>
            <w:vAlign w:val="center"/>
          </w:tcPr>
          <w:p w14:paraId="36F59DF8" w14:textId="77777777" w:rsidR="00BB1DB8" w:rsidRPr="00CB2AEF" w:rsidRDefault="00BB1DB8" w:rsidP="00BB1DB8">
            <w:pPr>
              <w:suppressLineNumbers/>
              <w:rPr>
                <w:rFonts w:ascii="Arial" w:hAnsi="Arial"/>
                <w:b/>
                <w:bCs/>
                <w:sz w:val="26"/>
                <w:szCs w:val="26"/>
                <w:rtl/>
              </w:rPr>
            </w:pPr>
            <w:r w:rsidRPr="00CB2AEF">
              <w:rPr>
                <w:rFonts w:ascii="Arial" w:hAnsi="Arial"/>
                <w:b/>
                <w:bCs/>
                <w:sz w:val="26"/>
                <w:szCs w:val="26"/>
                <w:rtl/>
              </w:rPr>
              <w:t>מדינת ישראל</w:t>
            </w:r>
            <w:r w:rsidRPr="00CB2AEF">
              <w:rPr>
                <w:rFonts w:ascii="Arial" w:hAnsi="Arial" w:hint="cs"/>
                <w:b/>
                <w:bCs/>
                <w:sz w:val="26"/>
                <w:szCs w:val="26"/>
                <w:rtl/>
              </w:rPr>
              <w:t xml:space="preserve"> </w:t>
            </w:r>
          </w:p>
          <w:p w14:paraId="07BA1208" w14:textId="77777777" w:rsidR="00BB1DB8" w:rsidRPr="00CB2AEF" w:rsidRDefault="00BB1DB8" w:rsidP="00BB1DB8">
            <w:pPr>
              <w:suppressLineNumbers/>
              <w:rPr>
                <w:rFonts w:ascii="Arial" w:hAnsi="Arial"/>
                <w:b/>
                <w:bCs/>
                <w:sz w:val="26"/>
                <w:szCs w:val="26"/>
                <w:rtl/>
              </w:rPr>
            </w:pPr>
            <w:r w:rsidRPr="00CB2AEF">
              <w:rPr>
                <w:rFonts w:ascii="Arial" w:hAnsi="Arial"/>
                <w:b/>
                <w:bCs/>
                <w:sz w:val="26"/>
                <w:szCs w:val="26"/>
                <w:rtl/>
              </w:rPr>
              <w:t xml:space="preserve">ע"י ב"כ </w:t>
            </w:r>
            <w:r w:rsidRPr="00CB2AEF">
              <w:rPr>
                <w:rFonts w:ascii="Arial" w:hAnsi="Arial" w:hint="cs"/>
                <w:b/>
                <w:bCs/>
                <w:sz w:val="26"/>
                <w:szCs w:val="26"/>
                <w:rtl/>
              </w:rPr>
              <w:t>מר פנחס סרי לוי, מתמחה</w:t>
            </w:r>
          </w:p>
          <w:p w14:paraId="085275B5" w14:textId="77777777" w:rsidR="00BB1DB8" w:rsidRPr="00CB2AEF" w:rsidRDefault="00BB1DB8" w:rsidP="00BB1DB8">
            <w:pPr>
              <w:suppressLineNumbers/>
              <w:rPr>
                <w:b/>
                <w:bCs/>
                <w:sz w:val="26"/>
                <w:szCs w:val="26"/>
              </w:rPr>
            </w:pPr>
            <w:r w:rsidRPr="00CB2AEF">
              <w:rPr>
                <w:rFonts w:ascii="Arial" w:hAnsi="Arial" w:hint="cs"/>
                <w:b/>
                <w:bCs/>
                <w:sz w:val="26"/>
                <w:szCs w:val="26"/>
                <w:rtl/>
              </w:rPr>
              <w:t xml:space="preserve">מתביעות ירושלים </w:t>
            </w:r>
          </w:p>
          <w:p w14:paraId="5E7A4817" w14:textId="77777777" w:rsidR="00BB1DB8" w:rsidRPr="00CB2AEF" w:rsidRDefault="00BB1DB8" w:rsidP="00991434">
            <w:pPr>
              <w:rPr>
                <w:rFonts w:ascii="David" w:hAnsi="David"/>
                <w:b/>
                <w:bCs/>
                <w:sz w:val="26"/>
                <w:szCs w:val="26"/>
              </w:rPr>
            </w:pPr>
          </w:p>
        </w:tc>
      </w:tr>
      <w:bookmarkEnd w:id="1"/>
      <w:bookmarkEnd w:id="2"/>
      <w:tr w:rsidR="00BB1DB8" w:rsidRPr="00CB2AEF" w14:paraId="2DBA98FD" w14:textId="77777777" w:rsidTr="00BB1DB8">
        <w:trPr>
          <w:trHeight w:val="355"/>
          <w:jc w:val="center"/>
        </w:trPr>
        <w:tc>
          <w:tcPr>
            <w:tcW w:w="923" w:type="dxa"/>
            <w:tcBorders>
              <w:top w:val="nil"/>
              <w:left w:val="nil"/>
              <w:bottom w:val="nil"/>
              <w:right w:val="nil"/>
            </w:tcBorders>
            <w:shd w:val="clear" w:color="auto" w:fill="auto"/>
          </w:tcPr>
          <w:p w14:paraId="0A863BEA" w14:textId="77777777" w:rsidR="00BB1DB8" w:rsidRPr="00CB2AEF" w:rsidRDefault="00BB1DB8" w:rsidP="00BB1DB8">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5AB537E7" w14:textId="77777777" w:rsidR="00BB1DB8" w:rsidRPr="00CB2AEF" w:rsidRDefault="00BB1DB8" w:rsidP="00BB1DB8">
            <w:pPr>
              <w:jc w:val="center"/>
              <w:rPr>
                <w:rFonts w:ascii="David" w:hAnsi="David"/>
                <w:b/>
                <w:bCs/>
                <w:sz w:val="26"/>
                <w:szCs w:val="26"/>
                <w:rtl/>
              </w:rPr>
            </w:pPr>
          </w:p>
          <w:p w14:paraId="752E8616" w14:textId="77777777" w:rsidR="00BB1DB8" w:rsidRPr="00CB2AEF" w:rsidRDefault="00BB1DB8" w:rsidP="00BB1DB8">
            <w:pPr>
              <w:jc w:val="center"/>
              <w:rPr>
                <w:rFonts w:ascii="David" w:hAnsi="David"/>
                <w:b/>
                <w:bCs/>
                <w:sz w:val="26"/>
                <w:szCs w:val="26"/>
                <w:rtl/>
              </w:rPr>
            </w:pPr>
            <w:r w:rsidRPr="00CB2AEF">
              <w:rPr>
                <w:rFonts w:ascii="David" w:hAnsi="David"/>
                <w:b/>
                <w:bCs/>
                <w:sz w:val="26"/>
                <w:szCs w:val="26"/>
                <w:rtl/>
              </w:rPr>
              <w:t>נגד</w:t>
            </w:r>
          </w:p>
          <w:p w14:paraId="14DAECC9" w14:textId="77777777" w:rsidR="00BB1DB8" w:rsidRPr="00CB2AEF" w:rsidRDefault="00BB1DB8" w:rsidP="00BB1DB8">
            <w:pPr>
              <w:jc w:val="both"/>
              <w:rPr>
                <w:rFonts w:ascii="David" w:hAnsi="David"/>
                <w:b/>
                <w:bCs/>
                <w:sz w:val="26"/>
                <w:szCs w:val="26"/>
              </w:rPr>
            </w:pPr>
          </w:p>
        </w:tc>
      </w:tr>
      <w:tr w:rsidR="00BB1DB8" w:rsidRPr="00CB2AEF" w14:paraId="4F49A00F" w14:textId="77777777" w:rsidTr="00BB1DB8">
        <w:trPr>
          <w:trHeight w:val="355"/>
          <w:jc w:val="center"/>
        </w:trPr>
        <w:tc>
          <w:tcPr>
            <w:tcW w:w="923" w:type="dxa"/>
            <w:tcBorders>
              <w:top w:val="nil"/>
              <w:left w:val="nil"/>
              <w:bottom w:val="nil"/>
              <w:right w:val="nil"/>
            </w:tcBorders>
            <w:shd w:val="clear" w:color="auto" w:fill="auto"/>
          </w:tcPr>
          <w:p w14:paraId="6A8BDDB3" w14:textId="77777777" w:rsidR="00BB1DB8" w:rsidRPr="00CB2AEF" w:rsidRDefault="00BB1DB8" w:rsidP="00991434">
            <w:pPr>
              <w:rPr>
                <w:rFonts w:ascii="David" w:hAnsi="David"/>
                <w:b/>
                <w:bCs/>
                <w:sz w:val="26"/>
                <w:szCs w:val="26"/>
                <w:rtl/>
              </w:rPr>
            </w:pPr>
          </w:p>
        </w:tc>
        <w:tc>
          <w:tcPr>
            <w:tcW w:w="3219" w:type="dxa"/>
            <w:tcBorders>
              <w:top w:val="nil"/>
              <w:left w:val="nil"/>
              <w:bottom w:val="nil"/>
              <w:right w:val="nil"/>
            </w:tcBorders>
            <w:shd w:val="clear" w:color="auto" w:fill="auto"/>
          </w:tcPr>
          <w:p w14:paraId="12C51A49" w14:textId="77777777" w:rsidR="00BB1DB8" w:rsidRPr="00CB2AEF" w:rsidRDefault="00BB1DB8" w:rsidP="00991434">
            <w:pPr>
              <w:rPr>
                <w:rFonts w:ascii="Arial" w:hAnsi="Arial"/>
                <w:b/>
                <w:bCs/>
                <w:sz w:val="26"/>
                <w:szCs w:val="26"/>
                <w:rtl/>
              </w:rPr>
            </w:pPr>
            <w:r w:rsidRPr="00CB2AE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E8E1878" w14:textId="77777777" w:rsidR="00BB1DB8" w:rsidRPr="00CB2AEF" w:rsidRDefault="00BB1DB8" w:rsidP="00BB1DB8">
            <w:pPr>
              <w:suppressLineNumbers/>
              <w:rPr>
                <w:rFonts w:ascii="Arial" w:hAnsi="Arial"/>
                <w:b/>
                <w:bCs/>
                <w:sz w:val="26"/>
                <w:szCs w:val="26"/>
                <w:rtl/>
              </w:rPr>
            </w:pPr>
            <w:r w:rsidRPr="00CB2AEF">
              <w:rPr>
                <w:rFonts w:ascii="Arial" w:hAnsi="Arial"/>
                <w:b/>
                <w:bCs/>
                <w:sz w:val="26"/>
                <w:szCs w:val="26"/>
                <w:rtl/>
              </w:rPr>
              <w:t>ג</w:t>
            </w:r>
            <w:r w:rsidRPr="00CB2AEF">
              <w:rPr>
                <w:rFonts w:ascii="Arial" w:hAnsi="Arial" w:hint="cs"/>
                <w:b/>
                <w:bCs/>
                <w:sz w:val="26"/>
                <w:szCs w:val="26"/>
                <w:rtl/>
              </w:rPr>
              <w:t>'</w:t>
            </w:r>
            <w:r w:rsidRPr="00CB2AEF">
              <w:rPr>
                <w:rFonts w:ascii="Arial" w:hAnsi="Arial"/>
                <w:b/>
                <w:bCs/>
                <w:sz w:val="26"/>
                <w:szCs w:val="26"/>
                <w:rtl/>
              </w:rPr>
              <w:t>מאל גאווי</w:t>
            </w:r>
            <w:r w:rsidRPr="00CB2AEF">
              <w:rPr>
                <w:rFonts w:ascii="Arial" w:hAnsi="Arial" w:hint="cs"/>
                <w:b/>
                <w:bCs/>
                <w:sz w:val="26"/>
                <w:szCs w:val="26"/>
                <w:rtl/>
              </w:rPr>
              <w:t xml:space="preserve"> </w:t>
            </w:r>
          </w:p>
          <w:p w14:paraId="1C4D850B" w14:textId="77777777" w:rsidR="00BB1DB8" w:rsidRPr="00CB2AEF" w:rsidRDefault="00BB1DB8" w:rsidP="00BB1DB8">
            <w:pPr>
              <w:suppressLineNumbers/>
              <w:rPr>
                <w:rFonts w:ascii="Arial" w:hAnsi="Arial"/>
                <w:b/>
                <w:bCs/>
                <w:sz w:val="26"/>
                <w:szCs w:val="26"/>
                <w:rtl/>
              </w:rPr>
            </w:pPr>
            <w:r w:rsidRPr="00CB2AEF">
              <w:rPr>
                <w:rFonts w:ascii="Arial" w:hAnsi="Arial"/>
                <w:b/>
                <w:bCs/>
                <w:sz w:val="26"/>
                <w:szCs w:val="26"/>
                <w:rtl/>
              </w:rPr>
              <w:t>ע"י ב"כ עוה"ד</w:t>
            </w:r>
            <w:r w:rsidRPr="00CB2AEF">
              <w:rPr>
                <w:rFonts w:ascii="Arial" w:hAnsi="Arial" w:hint="cs"/>
                <w:b/>
                <w:bCs/>
                <w:sz w:val="26"/>
                <w:szCs w:val="26"/>
                <w:rtl/>
              </w:rPr>
              <w:t xml:space="preserve"> עאטף פרחאת </w:t>
            </w:r>
          </w:p>
          <w:p w14:paraId="64F5BB7B" w14:textId="77777777" w:rsidR="00BB1DB8" w:rsidRPr="00CB2AEF" w:rsidRDefault="00BB1DB8" w:rsidP="00BB1DB8">
            <w:pPr>
              <w:suppressLineNumbers/>
              <w:rPr>
                <w:b/>
                <w:bCs/>
                <w:sz w:val="26"/>
                <w:szCs w:val="26"/>
              </w:rPr>
            </w:pPr>
            <w:r w:rsidRPr="00CB2AEF">
              <w:rPr>
                <w:rFonts w:hint="cs"/>
                <w:b/>
                <w:bCs/>
                <w:sz w:val="26"/>
                <w:szCs w:val="26"/>
                <w:rtl/>
              </w:rPr>
              <w:t>מטעם הסניגוריה הציבורית</w:t>
            </w:r>
          </w:p>
          <w:p w14:paraId="42263846" w14:textId="77777777" w:rsidR="00BB1DB8" w:rsidRPr="00CB2AEF" w:rsidRDefault="00BB1DB8" w:rsidP="00991434">
            <w:pPr>
              <w:rPr>
                <w:rFonts w:ascii="David" w:hAnsi="David"/>
                <w:b/>
                <w:bCs/>
                <w:sz w:val="26"/>
                <w:szCs w:val="26"/>
              </w:rPr>
            </w:pPr>
          </w:p>
        </w:tc>
      </w:tr>
    </w:tbl>
    <w:p w14:paraId="568E35FE" w14:textId="77777777" w:rsidR="00CB2AEF" w:rsidRPr="00CB2AEF" w:rsidRDefault="00CB2AEF" w:rsidP="00CB2AEF">
      <w:pPr>
        <w:spacing w:before="120" w:after="120" w:line="240" w:lineRule="exact"/>
        <w:ind w:left="283" w:hanging="283"/>
        <w:jc w:val="both"/>
        <w:rPr>
          <w:rFonts w:ascii="FrankRuehl" w:hAnsi="FrankRuehl" w:cs="FrankRuehl"/>
          <w:rtl/>
        </w:rPr>
      </w:pPr>
    </w:p>
    <w:p w14:paraId="28BA233F" w14:textId="77777777" w:rsidR="00F13CB0" w:rsidRPr="00F13CB0" w:rsidRDefault="00F13CB0" w:rsidP="00F13CB0">
      <w:pPr>
        <w:spacing w:before="120" w:after="120" w:line="240" w:lineRule="exact"/>
        <w:ind w:left="283" w:hanging="283"/>
        <w:jc w:val="both"/>
        <w:rPr>
          <w:rFonts w:ascii="FrankRuehl" w:hAnsi="FrankRuehl" w:cs="FrankRuehl"/>
          <w:rtl/>
        </w:rPr>
      </w:pPr>
    </w:p>
    <w:p w14:paraId="07E6F6CA" w14:textId="77777777" w:rsidR="005F12F5" w:rsidRDefault="005F12F5" w:rsidP="005F12F5">
      <w:pPr>
        <w:rPr>
          <w:sz w:val="26"/>
          <w:szCs w:val="26"/>
          <w:rtl/>
        </w:rPr>
      </w:pPr>
      <w:bookmarkStart w:id="3" w:name="LawTable"/>
      <w:bookmarkEnd w:id="3"/>
    </w:p>
    <w:p w14:paraId="42966120" w14:textId="77777777" w:rsidR="005F12F5" w:rsidRPr="005F12F5" w:rsidRDefault="005F12F5" w:rsidP="005F12F5">
      <w:pPr>
        <w:spacing w:before="120" w:after="120" w:line="240" w:lineRule="exact"/>
        <w:ind w:left="283" w:hanging="283"/>
        <w:jc w:val="both"/>
        <w:rPr>
          <w:rFonts w:ascii="FrankRuehl" w:hAnsi="FrankRuehl" w:cs="FrankRuehl"/>
          <w:rtl/>
        </w:rPr>
      </w:pPr>
    </w:p>
    <w:p w14:paraId="1E18D5E1" w14:textId="77777777" w:rsidR="005F12F5" w:rsidRPr="005F12F5" w:rsidRDefault="005F12F5" w:rsidP="005F12F5">
      <w:pPr>
        <w:spacing w:before="120" w:after="120" w:line="240" w:lineRule="exact"/>
        <w:ind w:left="283" w:hanging="283"/>
        <w:jc w:val="both"/>
        <w:rPr>
          <w:rFonts w:ascii="FrankRuehl" w:hAnsi="FrankRuehl" w:cs="FrankRuehl"/>
          <w:rtl/>
        </w:rPr>
      </w:pPr>
    </w:p>
    <w:p w14:paraId="39D1D6A1" w14:textId="77777777" w:rsidR="005F12F5" w:rsidRPr="005F12F5" w:rsidRDefault="005F12F5" w:rsidP="005F12F5">
      <w:pPr>
        <w:spacing w:before="120" w:after="120" w:line="240" w:lineRule="exact"/>
        <w:ind w:left="283" w:hanging="283"/>
        <w:jc w:val="both"/>
        <w:rPr>
          <w:rFonts w:ascii="FrankRuehl" w:hAnsi="FrankRuehl" w:cs="FrankRuehl"/>
          <w:rtl/>
        </w:rPr>
      </w:pPr>
      <w:r w:rsidRPr="005F12F5">
        <w:rPr>
          <w:rFonts w:ascii="FrankRuehl" w:hAnsi="FrankRuehl" w:cs="FrankRuehl"/>
          <w:rtl/>
        </w:rPr>
        <w:t xml:space="preserve">חקיקה שאוזכרה: </w:t>
      </w:r>
    </w:p>
    <w:p w14:paraId="4223B9AD" w14:textId="77777777" w:rsidR="005F12F5" w:rsidRPr="005F12F5" w:rsidRDefault="005F12F5" w:rsidP="005F12F5">
      <w:pPr>
        <w:spacing w:before="120" w:after="120" w:line="240" w:lineRule="exact"/>
        <w:ind w:left="283" w:hanging="283"/>
        <w:jc w:val="both"/>
        <w:rPr>
          <w:rFonts w:ascii="FrankRuehl" w:hAnsi="FrankRuehl" w:cs="FrankRuehl"/>
          <w:rtl/>
        </w:rPr>
      </w:pPr>
      <w:hyperlink r:id="rId7" w:history="1">
        <w:r w:rsidRPr="005F12F5">
          <w:rPr>
            <w:rFonts w:ascii="FrankRuehl" w:hAnsi="FrankRuehl" w:cs="FrankRuehl"/>
            <w:color w:val="0000FF"/>
            <w:rtl/>
          </w:rPr>
          <w:t>פקודת הסמים המסוכנים [נוסח חדש], תשל"ג-1973</w:t>
        </w:r>
      </w:hyperlink>
      <w:r w:rsidRPr="005F12F5">
        <w:rPr>
          <w:rFonts w:ascii="FrankRuehl" w:hAnsi="FrankRuehl" w:cs="FrankRuehl"/>
          <w:rtl/>
        </w:rPr>
        <w:t xml:space="preserve">: סע'  </w:t>
      </w:r>
      <w:hyperlink r:id="rId8" w:history="1">
        <w:r w:rsidRPr="005F12F5">
          <w:rPr>
            <w:rFonts w:ascii="FrankRuehl" w:hAnsi="FrankRuehl" w:cs="FrankRuehl"/>
            <w:color w:val="0000FF"/>
            <w:rtl/>
          </w:rPr>
          <w:t>7(א)</w:t>
        </w:r>
      </w:hyperlink>
      <w:r w:rsidRPr="005F12F5">
        <w:rPr>
          <w:rFonts w:ascii="FrankRuehl" w:hAnsi="FrankRuehl" w:cs="FrankRuehl"/>
          <w:rtl/>
        </w:rPr>
        <w:t xml:space="preserve">, </w:t>
      </w:r>
      <w:hyperlink r:id="rId9" w:history="1">
        <w:r w:rsidRPr="005F12F5">
          <w:rPr>
            <w:rFonts w:ascii="FrankRuehl" w:hAnsi="FrankRuehl" w:cs="FrankRuehl"/>
            <w:color w:val="0000FF"/>
            <w:rtl/>
          </w:rPr>
          <w:t>7(ג)</w:t>
        </w:r>
      </w:hyperlink>
    </w:p>
    <w:p w14:paraId="6F96FDDB" w14:textId="77777777" w:rsidR="005F12F5" w:rsidRPr="005F12F5" w:rsidRDefault="005F12F5" w:rsidP="005F12F5">
      <w:pPr>
        <w:rPr>
          <w:sz w:val="26"/>
          <w:szCs w:val="26"/>
          <w:rtl/>
        </w:rPr>
      </w:pPr>
      <w:bookmarkStart w:id="4" w:name="LawTable_End"/>
      <w:bookmarkEnd w:id="4"/>
    </w:p>
    <w:p w14:paraId="0E95BCDD" w14:textId="77777777" w:rsidR="00BB1DB8" w:rsidRPr="00F13CB0" w:rsidRDefault="00BB1DB8" w:rsidP="00F13CB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1DB8" w14:paraId="765A68F9" w14:textId="77777777" w:rsidTr="00BB1DB8">
        <w:trPr>
          <w:trHeight w:val="355"/>
          <w:jc w:val="center"/>
        </w:trPr>
        <w:tc>
          <w:tcPr>
            <w:tcW w:w="8820" w:type="dxa"/>
            <w:tcBorders>
              <w:top w:val="nil"/>
              <w:left w:val="nil"/>
              <w:bottom w:val="nil"/>
              <w:right w:val="nil"/>
            </w:tcBorders>
            <w:shd w:val="clear" w:color="auto" w:fill="auto"/>
          </w:tcPr>
          <w:p w14:paraId="217B18F8" w14:textId="77777777" w:rsidR="00CB2AEF" w:rsidRPr="00CB2AEF" w:rsidRDefault="00CB2AEF" w:rsidP="00CB2AEF">
            <w:pPr>
              <w:jc w:val="center"/>
              <w:rPr>
                <w:rFonts w:ascii="David" w:hAnsi="David"/>
                <w:b/>
                <w:bCs/>
                <w:sz w:val="32"/>
                <w:szCs w:val="32"/>
                <w:u w:val="single"/>
                <w:rtl/>
              </w:rPr>
            </w:pPr>
            <w:bookmarkStart w:id="5" w:name="PsakDin" w:colFirst="0" w:colLast="0"/>
            <w:bookmarkEnd w:id="0"/>
            <w:r w:rsidRPr="00CB2AEF">
              <w:rPr>
                <w:rFonts w:ascii="David" w:hAnsi="David"/>
                <w:b/>
                <w:bCs/>
                <w:sz w:val="32"/>
                <w:szCs w:val="32"/>
                <w:u w:val="single"/>
                <w:rtl/>
              </w:rPr>
              <w:t>גזר דין</w:t>
            </w:r>
          </w:p>
          <w:p w14:paraId="0A799BCB" w14:textId="77777777" w:rsidR="00BB1DB8" w:rsidRPr="00CB2AEF" w:rsidRDefault="00BB1DB8" w:rsidP="00CB2AEF">
            <w:pPr>
              <w:jc w:val="center"/>
              <w:rPr>
                <w:rFonts w:ascii="David" w:hAnsi="David"/>
                <w:bCs/>
                <w:sz w:val="32"/>
                <w:szCs w:val="32"/>
                <w:u w:val="single"/>
                <w:rtl/>
              </w:rPr>
            </w:pPr>
          </w:p>
        </w:tc>
      </w:tr>
      <w:bookmarkEnd w:id="5"/>
    </w:tbl>
    <w:p w14:paraId="057A1B70" w14:textId="77777777" w:rsidR="00BB1DB8" w:rsidRPr="000F2247" w:rsidRDefault="00BB1DB8" w:rsidP="00BB1DB8">
      <w:pPr>
        <w:rPr>
          <w:rFonts w:ascii="Arial" w:hAnsi="Arial"/>
          <w:b/>
          <w:bCs/>
          <w:sz w:val="26"/>
          <w:szCs w:val="26"/>
          <w:rtl/>
        </w:rPr>
      </w:pPr>
    </w:p>
    <w:p w14:paraId="387B3848" w14:textId="77777777" w:rsidR="00BB1DB8" w:rsidRPr="000F2247" w:rsidRDefault="00BB1DB8" w:rsidP="00BB1DB8">
      <w:pPr>
        <w:rPr>
          <w:rFonts w:ascii="Arial" w:hAnsi="Arial"/>
          <w:b/>
          <w:bCs/>
          <w:sz w:val="26"/>
          <w:szCs w:val="26"/>
          <w:rtl/>
        </w:rPr>
      </w:pPr>
    </w:p>
    <w:p w14:paraId="6A2AFC84" w14:textId="77777777" w:rsidR="00BB1DB8" w:rsidRPr="000F2247" w:rsidRDefault="00BB1DB8" w:rsidP="00BB1DB8">
      <w:pPr>
        <w:rPr>
          <w:rFonts w:ascii="Arial" w:hAnsi="Arial"/>
          <w:b/>
          <w:bCs/>
          <w:sz w:val="26"/>
          <w:szCs w:val="26"/>
          <w:rtl/>
        </w:rPr>
      </w:pPr>
    </w:p>
    <w:p w14:paraId="0E265668" w14:textId="77777777" w:rsidR="00BB1DB8" w:rsidRDefault="00BB1DB8" w:rsidP="00BB1DB8">
      <w:pPr>
        <w:spacing w:line="360" w:lineRule="auto"/>
        <w:rPr>
          <w:b/>
          <w:bCs/>
          <w:u w:val="single"/>
        </w:rPr>
      </w:pPr>
      <w:r>
        <w:rPr>
          <w:b/>
          <w:bCs/>
          <w:u w:val="single"/>
          <w:rtl/>
        </w:rPr>
        <w:t>כתב</w:t>
      </w:r>
      <w:r>
        <w:rPr>
          <w:rFonts w:hint="cs"/>
          <w:b/>
          <w:bCs/>
          <w:u w:val="single"/>
          <w:rtl/>
        </w:rPr>
        <w:t>י</w:t>
      </w:r>
      <w:r>
        <w:rPr>
          <w:b/>
          <w:bCs/>
          <w:u w:val="single"/>
          <w:rtl/>
        </w:rPr>
        <w:t xml:space="preserve"> האישום </w:t>
      </w:r>
      <w:r>
        <w:rPr>
          <w:rFonts w:hint="cs"/>
          <w:b/>
          <w:bCs/>
          <w:u w:val="single"/>
          <w:rtl/>
        </w:rPr>
        <w:t xml:space="preserve">המתוקנים בהם </w:t>
      </w:r>
      <w:r>
        <w:rPr>
          <w:b/>
          <w:bCs/>
          <w:u w:val="single"/>
          <w:rtl/>
        </w:rPr>
        <w:t>הודה הנאשם</w:t>
      </w:r>
    </w:p>
    <w:p w14:paraId="6FCD9052" w14:textId="77777777" w:rsidR="00BB1DB8" w:rsidRDefault="00BB1DB8" w:rsidP="00BB1DB8">
      <w:pPr>
        <w:pStyle w:val="a9"/>
        <w:numPr>
          <w:ilvl w:val="0"/>
          <w:numId w:val="1"/>
        </w:numPr>
        <w:spacing w:line="360" w:lineRule="auto"/>
        <w:jc w:val="both"/>
        <w:rPr>
          <w:rtl/>
        </w:rPr>
      </w:pPr>
      <w:bookmarkStart w:id="6" w:name="ABSTRACT_START"/>
      <w:bookmarkEnd w:id="6"/>
      <w:r>
        <w:rPr>
          <w:rtl/>
        </w:rPr>
        <w:t xml:space="preserve">הנאשם הורשע על-פי הודאתו בביצוע 3 עבירות של </w:t>
      </w:r>
      <w:r>
        <w:rPr>
          <w:b/>
          <w:bCs/>
          <w:rtl/>
        </w:rPr>
        <w:t>החזקת סם לצריכה עצמית</w:t>
      </w:r>
      <w:r>
        <w:rPr>
          <w:rtl/>
        </w:rPr>
        <w:t xml:space="preserve"> לפי </w:t>
      </w:r>
      <w:hyperlink r:id="rId10" w:history="1">
        <w:r w:rsidR="001437CE" w:rsidRPr="001437CE">
          <w:rPr>
            <w:rStyle w:val="Hyperlink"/>
            <w:rtl/>
          </w:rPr>
          <w:t>סעיפים 7(א)</w:t>
        </w:r>
      </w:hyperlink>
      <w:r>
        <w:rPr>
          <w:rtl/>
        </w:rPr>
        <w:t xml:space="preserve"> ו-</w:t>
      </w:r>
      <w:hyperlink r:id="rId11" w:history="1">
        <w:r w:rsidR="001437CE" w:rsidRPr="001437CE">
          <w:rPr>
            <w:rStyle w:val="Hyperlink"/>
            <w:rtl/>
          </w:rPr>
          <w:t>7(ג)</w:t>
        </w:r>
      </w:hyperlink>
      <w:r>
        <w:rPr>
          <w:rtl/>
        </w:rPr>
        <w:t xml:space="preserve"> סיפא ל</w:t>
      </w:r>
      <w:hyperlink r:id="rId12" w:history="1">
        <w:r w:rsidR="00CB2AEF" w:rsidRPr="00CB2AEF">
          <w:rPr>
            <w:color w:val="0000FF"/>
            <w:u w:val="single"/>
            <w:rtl/>
          </w:rPr>
          <w:t>פקודת הסמים המסוכנים</w:t>
        </w:r>
      </w:hyperlink>
      <w:r>
        <w:rPr>
          <w:rFonts w:hint="cs"/>
          <w:rtl/>
        </w:rPr>
        <w:t xml:space="preserve">, </w:t>
      </w:r>
      <w:bookmarkStart w:id="7" w:name="ABSTRACT_END"/>
      <w:bookmarkEnd w:id="7"/>
      <w:r>
        <w:rPr>
          <w:rFonts w:hint="cs"/>
          <w:rtl/>
        </w:rPr>
        <w:t>וזאת במסגרת צירוף של שלושה כתבי אישום, כפי שיפורט להלן על-פי מועד ביצוע העבירה:</w:t>
      </w:r>
    </w:p>
    <w:p w14:paraId="3C269100" w14:textId="77777777" w:rsidR="00BB1DB8" w:rsidRDefault="00CB2AEF" w:rsidP="00BB1DB8">
      <w:pPr>
        <w:pStyle w:val="a9"/>
        <w:numPr>
          <w:ilvl w:val="1"/>
          <w:numId w:val="2"/>
        </w:numPr>
        <w:spacing w:line="360" w:lineRule="auto"/>
        <w:jc w:val="both"/>
      </w:pPr>
      <w:hyperlink r:id="rId13" w:history="1">
        <w:r w:rsidRPr="00CB2AEF">
          <w:rPr>
            <w:b/>
            <w:bCs/>
            <w:color w:val="0000FF"/>
            <w:u w:val="single"/>
            <w:rtl/>
          </w:rPr>
          <w:t>ת"פ 6434-08-19</w:t>
        </w:r>
      </w:hyperlink>
      <w:r w:rsidR="00BB1DB8" w:rsidRPr="00DA4CE7">
        <w:rPr>
          <w:rFonts w:hint="cs"/>
          <w:b/>
          <w:bCs/>
          <w:rtl/>
        </w:rPr>
        <w:t xml:space="preserve"> (התיק הראשון)</w:t>
      </w:r>
      <w:r w:rsidR="00BB1DB8">
        <w:rPr>
          <w:rFonts w:hint="cs"/>
          <w:rtl/>
        </w:rPr>
        <w:t xml:space="preserve"> - </w:t>
      </w:r>
      <w:r w:rsidR="00BB1DB8">
        <w:rPr>
          <w:rtl/>
        </w:rPr>
        <w:t xml:space="preserve">בתאריך 10.04.2019 בשעה 12:00 או בסמוך לכך החזיק הנאשם במבנה נטוש </w:t>
      </w:r>
      <w:r w:rsidR="00BB1DB8">
        <w:rPr>
          <w:rFonts w:hint="cs"/>
          <w:rtl/>
        </w:rPr>
        <w:t>ב</w:t>
      </w:r>
      <w:r w:rsidR="00BB1DB8">
        <w:rPr>
          <w:rtl/>
        </w:rPr>
        <w:t>ירושלים, סם מסוכן מסוג הרואין במשקל 9.0167 גרם נטו מחולק ל-11 אריזות שונות</w:t>
      </w:r>
      <w:r w:rsidR="00BB1DB8">
        <w:rPr>
          <w:rFonts w:hint="cs"/>
          <w:rtl/>
        </w:rPr>
        <w:t>.</w:t>
      </w:r>
      <w:r w:rsidR="00BB1DB8">
        <w:rPr>
          <w:rtl/>
        </w:rPr>
        <w:t xml:space="preserve"> </w:t>
      </w:r>
    </w:p>
    <w:p w14:paraId="2E95868A" w14:textId="77777777" w:rsidR="00BB1DB8" w:rsidRDefault="00CB2AEF" w:rsidP="00BB1DB8">
      <w:pPr>
        <w:pStyle w:val="a9"/>
        <w:numPr>
          <w:ilvl w:val="1"/>
          <w:numId w:val="2"/>
        </w:numPr>
        <w:spacing w:line="360" w:lineRule="auto"/>
        <w:jc w:val="both"/>
      </w:pPr>
      <w:hyperlink r:id="rId14" w:history="1">
        <w:r w:rsidRPr="00CB2AEF">
          <w:rPr>
            <w:b/>
            <w:bCs/>
            <w:color w:val="0000FF"/>
            <w:u w:val="single"/>
            <w:rtl/>
          </w:rPr>
          <w:t>ת"פ 60182-01-20</w:t>
        </w:r>
      </w:hyperlink>
      <w:r w:rsidR="00BB1DB8" w:rsidRPr="00DA4CE7">
        <w:rPr>
          <w:rFonts w:hint="cs"/>
          <w:b/>
          <w:bCs/>
          <w:rtl/>
        </w:rPr>
        <w:t xml:space="preserve"> (התיק השני)</w:t>
      </w:r>
      <w:r w:rsidR="00BB1DB8">
        <w:rPr>
          <w:rFonts w:hint="cs"/>
          <w:rtl/>
        </w:rPr>
        <w:t xml:space="preserve"> </w:t>
      </w:r>
      <w:r w:rsidR="00BB1DB8">
        <w:rPr>
          <w:rtl/>
        </w:rPr>
        <w:t>–</w:t>
      </w:r>
      <w:r w:rsidR="00BB1DB8">
        <w:rPr>
          <w:rFonts w:hint="cs"/>
          <w:rtl/>
        </w:rPr>
        <w:t xml:space="preserve"> </w:t>
      </w:r>
      <w:r w:rsidR="00BB1DB8">
        <w:rPr>
          <w:rtl/>
        </w:rPr>
        <w:t>בתאריך</w:t>
      </w:r>
      <w:r w:rsidR="00BB1DB8">
        <w:rPr>
          <w:rFonts w:hint="cs"/>
          <w:rtl/>
        </w:rPr>
        <w:t xml:space="preserve"> </w:t>
      </w:r>
      <w:r w:rsidR="00BB1DB8">
        <w:rPr>
          <w:rtl/>
        </w:rPr>
        <w:t>21.05.2019 בשעה 19:35 או בסמוך לכך בירושלים, החזיק הנאשם סם מסוכן מסוג הרואין במשקל של 13.5532 גרם נטו כשהוא מחולק ל-12 אריזות שונות</w:t>
      </w:r>
      <w:r w:rsidR="00BB1DB8">
        <w:rPr>
          <w:rFonts w:hint="cs"/>
          <w:rtl/>
        </w:rPr>
        <w:t>.</w:t>
      </w:r>
    </w:p>
    <w:p w14:paraId="3957384C" w14:textId="77777777" w:rsidR="00BB1DB8" w:rsidRDefault="00CB2AEF" w:rsidP="00BB1DB8">
      <w:pPr>
        <w:pStyle w:val="a9"/>
        <w:numPr>
          <w:ilvl w:val="1"/>
          <w:numId w:val="2"/>
        </w:numPr>
        <w:spacing w:line="360" w:lineRule="auto"/>
        <w:jc w:val="both"/>
        <w:rPr>
          <w:b/>
          <w:bCs/>
          <w:u w:val="single"/>
        </w:rPr>
      </w:pPr>
      <w:hyperlink r:id="rId15" w:history="1">
        <w:r w:rsidRPr="00CB2AEF">
          <w:rPr>
            <w:b/>
            <w:bCs/>
            <w:color w:val="0000FF"/>
            <w:u w:val="single"/>
            <w:rtl/>
          </w:rPr>
          <w:t>ת"פ 32919-08-20</w:t>
        </w:r>
      </w:hyperlink>
      <w:r w:rsidR="00BB1DB8" w:rsidRPr="0036406B">
        <w:rPr>
          <w:rFonts w:hint="cs"/>
          <w:b/>
          <w:bCs/>
          <w:rtl/>
        </w:rPr>
        <w:t xml:space="preserve"> (התיק השלישי)</w:t>
      </w:r>
      <w:r w:rsidR="00BB1DB8">
        <w:rPr>
          <w:rFonts w:hint="cs"/>
          <w:rtl/>
        </w:rPr>
        <w:t xml:space="preserve"> </w:t>
      </w:r>
      <w:r w:rsidR="00BB1DB8">
        <w:rPr>
          <w:rtl/>
        </w:rPr>
        <w:t>–</w:t>
      </w:r>
      <w:r w:rsidR="00BB1DB8">
        <w:rPr>
          <w:rFonts w:hint="cs"/>
          <w:rtl/>
        </w:rPr>
        <w:t xml:space="preserve"> ב</w:t>
      </w:r>
      <w:r w:rsidR="00BB1DB8">
        <w:rPr>
          <w:rtl/>
        </w:rPr>
        <w:t>תאריך</w:t>
      </w:r>
      <w:r w:rsidR="00BB1DB8">
        <w:rPr>
          <w:rFonts w:hint="cs"/>
          <w:rtl/>
        </w:rPr>
        <w:t xml:space="preserve"> </w:t>
      </w:r>
      <w:r w:rsidR="00BB1DB8">
        <w:rPr>
          <w:rtl/>
        </w:rPr>
        <w:t xml:space="preserve"> 02.08.2019 בשעה 02:30 או בסמוך לכך, בירושלים, החזיק הנאשם סם מסוכן מסוג הרואין במשקל 4.1666 גרם נטו, וזאת כשהסם מחולק ל</w:t>
      </w:r>
      <w:r w:rsidR="00BB1DB8">
        <w:rPr>
          <w:rFonts w:hint="cs"/>
          <w:rtl/>
        </w:rPr>
        <w:t>-</w:t>
      </w:r>
      <w:r w:rsidR="00BB1DB8">
        <w:rPr>
          <w:rtl/>
        </w:rPr>
        <w:t>5 אריזות שונות</w:t>
      </w:r>
      <w:r w:rsidR="00BB1DB8">
        <w:rPr>
          <w:rFonts w:hint="cs"/>
          <w:rtl/>
        </w:rPr>
        <w:t xml:space="preserve">. </w:t>
      </w:r>
      <w:r w:rsidR="00BB1DB8">
        <w:rPr>
          <w:rtl/>
        </w:rPr>
        <w:t>כמו כן נשא הנאשם על גופו סם מסוכן מסוג הרואין במשקל מחושב של 8.5120 גרם נטו וזאת כשהסם מחולק ל</w:t>
      </w:r>
      <w:r w:rsidR="00BB1DB8">
        <w:rPr>
          <w:rFonts w:hint="cs"/>
          <w:rtl/>
        </w:rPr>
        <w:t>-</w:t>
      </w:r>
      <w:r w:rsidR="00BB1DB8">
        <w:rPr>
          <w:rtl/>
        </w:rPr>
        <w:t xml:space="preserve">10 אריזות שונות. </w:t>
      </w:r>
    </w:p>
    <w:p w14:paraId="62177F1E" w14:textId="77777777" w:rsidR="00BB1DB8" w:rsidRDefault="00BB1DB8" w:rsidP="00BB1DB8">
      <w:pPr>
        <w:spacing w:line="360" w:lineRule="auto"/>
        <w:jc w:val="both"/>
        <w:rPr>
          <w:b/>
          <w:bCs/>
          <w:u w:val="single"/>
          <w:rtl/>
        </w:rPr>
      </w:pPr>
    </w:p>
    <w:p w14:paraId="3A7494FD" w14:textId="77777777" w:rsidR="00BB1DB8" w:rsidRDefault="00BB1DB8" w:rsidP="00BB1DB8">
      <w:pPr>
        <w:spacing w:line="360" w:lineRule="auto"/>
        <w:jc w:val="both"/>
        <w:rPr>
          <w:b/>
          <w:bCs/>
          <w:u w:val="single"/>
          <w:rtl/>
        </w:rPr>
      </w:pPr>
    </w:p>
    <w:p w14:paraId="258487C0" w14:textId="77777777" w:rsidR="00BB1DB8" w:rsidRDefault="00BB1DB8" w:rsidP="00BB1DB8">
      <w:pPr>
        <w:spacing w:line="360" w:lineRule="auto"/>
        <w:jc w:val="both"/>
        <w:rPr>
          <w:b/>
          <w:bCs/>
          <w:u w:val="single"/>
          <w:rtl/>
        </w:rPr>
      </w:pPr>
    </w:p>
    <w:p w14:paraId="6858A26B" w14:textId="77777777" w:rsidR="00BB1DB8" w:rsidRPr="0036406B" w:rsidRDefault="00BB1DB8" w:rsidP="00BB1DB8">
      <w:pPr>
        <w:spacing w:line="360" w:lineRule="auto"/>
        <w:jc w:val="both"/>
        <w:rPr>
          <w:b/>
          <w:bCs/>
          <w:u w:val="single"/>
          <w:rtl/>
        </w:rPr>
      </w:pPr>
      <w:r w:rsidRPr="0036406B">
        <w:rPr>
          <w:b/>
          <w:bCs/>
          <w:u w:val="single"/>
          <w:rtl/>
        </w:rPr>
        <w:t>מהלך הדיון</w:t>
      </w:r>
    </w:p>
    <w:p w14:paraId="2B5BE2A0" w14:textId="77777777" w:rsidR="00BB1DB8" w:rsidRDefault="00BB1DB8" w:rsidP="00BB1DB8">
      <w:pPr>
        <w:pStyle w:val="a9"/>
        <w:numPr>
          <w:ilvl w:val="0"/>
          <w:numId w:val="1"/>
        </w:numPr>
        <w:spacing w:line="360" w:lineRule="auto"/>
        <w:jc w:val="both"/>
        <w:rPr>
          <w:rtl/>
        </w:rPr>
      </w:pPr>
      <w:r>
        <w:rPr>
          <w:rtl/>
        </w:rPr>
        <w:t>הנאשם נעצר בעת ביצוע כל אחת מהעבירות וכפי שניתן להבין, שוחרר מיד מבלי להביאו לבית המשפט.</w:t>
      </w:r>
      <w:r>
        <w:rPr>
          <w:rFonts w:hint="cs"/>
          <w:rtl/>
        </w:rPr>
        <w:t xml:space="preserve"> יצוין, כי שלושת כתבי האישום הוגשו במהלך השנים 2019 </w:t>
      </w:r>
      <w:r>
        <w:rPr>
          <w:rtl/>
        </w:rPr>
        <w:t>–</w:t>
      </w:r>
      <w:r>
        <w:rPr>
          <w:rFonts w:hint="cs"/>
          <w:rtl/>
        </w:rPr>
        <w:t xml:space="preserve"> 2020, והדיונים התארכו מפאת אי התייצבות הנאשם למשפטו. בעת הודאת הנאשם במיוחס לו, לא הוצגה הסכמה עונשית אלא הסכמה לשלוח את הנאשם לשירות המבחן. במקביל, שלחתי את הנאשם לממונה על עבודות השירות, כאשר המאשימה ציינה כי עמדתה באותו שלב, היא למאסר בפועל. </w:t>
      </w:r>
    </w:p>
    <w:p w14:paraId="7F11E259" w14:textId="77777777" w:rsidR="00BB1DB8" w:rsidRDefault="00BB1DB8" w:rsidP="00BB1DB8">
      <w:pPr>
        <w:spacing w:line="360" w:lineRule="auto"/>
        <w:jc w:val="both"/>
      </w:pPr>
    </w:p>
    <w:p w14:paraId="6C256272" w14:textId="77777777" w:rsidR="00BB1DB8" w:rsidRDefault="00BB1DB8" w:rsidP="00BB1DB8">
      <w:pPr>
        <w:spacing w:line="360" w:lineRule="auto"/>
        <w:rPr>
          <w:b/>
          <w:bCs/>
          <w:u w:val="single"/>
        </w:rPr>
      </w:pPr>
      <w:r>
        <w:rPr>
          <w:b/>
          <w:bCs/>
          <w:u w:val="single"/>
          <w:rtl/>
        </w:rPr>
        <w:t>תסקיר שירות המבחן</w:t>
      </w:r>
    </w:p>
    <w:p w14:paraId="713EA1D4" w14:textId="77777777" w:rsidR="00BB1DB8" w:rsidRDefault="00BB1DB8" w:rsidP="00BB1DB8">
      <w:pPr>
        <w:pStyle w:val="a9"/>
        <w:numPr>
          <w:ilvl w:val="0"/>
          <w:numId w:val="1"/>
        </w:numPr>
        <w:spacing w:line="360" w:lineRule="auto"/>
        <w:jc w:val="both"/>
      </w:pPr>
      <w:r>
        <w:rPr>
          <w:rFonts w:hint="cs"/>
          <w:rtl/>
        </w:rPr>
        <w:t xml:space="preserve">מתסקיר שירות המבחן עולה, כי </w:t>
      </w:r>
      <w:r>
        <w:rPr>
          <w:rtl/>
        </w:rPr>
        <w:t xml:space="preserve">הנאשם </w:t>
      </w:r>
      <w:r>
        <w:rPr>
          <w:rFonts w:hint="cs"/>
          <w:rtl/>
        </w:rPr>
        <w:t>כ</w:t>
      </w:r>
      <w:r>
        <w:rPr>
          <w:rtl/>
        </w:rPr>
        <w:t xml:space="preserve">בן 67, תושב ירושלים, רווק עובד במאפיה. </w:t>
      </w:r>
      <w:r>
        <w:rPr>
          <w:rFonts w:hint="cs"/>
          <w:rtl/>
        </w:rPr>
        <w:t xml:space="preserve">הנאשם </w:t>
      </w:r>
      <w:r>
        <w:rPr>
          <w:rtl/>
        </w:rPr>
        <w:t>בן למשפחה בת 11 ילדים. הורי הנאשם נפטרו זה מכבר. הנאשם תיאר קשר קרוב עם א</w:t>
      </w:r>
      <w:r>
        <w:rPr>
          <w:rFonts w:hint="cs"/>
          <w:rtl/>
        </w:rPr>
        <w:t>ֵ</w:t>
      </w:r>
      <w:r>
        <w:rPr>
          <w:rtl/>
        </w:rPr>
        <w:t xml:space="preserve">חיו. גם הקשר עם הוריו היה משמעותי והשפיע עליו לטובה. הנאשם סיים שבע שנות לימוד. הוא נשר מלימודיו על מנת לסייע לאביו בעסק המשפחתי. בהמשך הוא גם עבד כקבלן שיפוצים ולאחרונה עבר לעבוד במאפיה. </w:t>
      </w:r>
    </w:p>
    <w:p w14:paraId="0AD329F2" w14:textId="77777777" w:rsidR="00BB1DB8" w:rsidRDefault="00BB1DB8" w:rsidP="00BB1DB8">
      <w:pPr>
        <w:pStyle w:val="a9"/>
        <w:spacing w:line="360" w:lineRule="auto"/>
        <w:ind w:left="360"/>
        <w:jc w:val="both"/>
      </w:pPr>
    </w:p>
    <w:p w14:paraId="61FCD9FE" w14:textId="77777777" w:rsidR="00BB1DB8" w:rsidRDefault="00BB1DB8" w:rsidP="00BB1DB8">
      <w:pPr>
        <w:pStyle w:val="a9"/>
        <w:numPr>
          <w:ilvl w:val="0"/>
          <w:numId w:val="1"/>
        </w:numPr>
        <w:spacing w:line="360" w:lineRule="auto"/>
        <w:jc w:val="both"/>
      </w:pPr>
      <w:r>
        <w:rPr>
          <w:rtl/>
        </w:rPr>
        <w:t>החל משנות העשרים לחייו התחיל להשתמש בסמים מסוגים שונים לרבות חשיש, הרואין</w:t>
      </w:r>
      <w:r>
        <w:rPr>
          <w:rFonts w:hint="cs"/>
          <w:rtl/>
        </w:rPr>
        <w:t xml:space="preserve"> ו</w:t>
      </w:r>
      <w:r>
        <w:rPr>
          <w:rtl/>
        </w:rPr>
        <w:t>קוקאין. בנוסף הוא הסתבך בפלילים. מאז הוא הורשע פעמים רבות וריצה תקופות מאסר רבות</w:t>
      </w:r>
      <w:r>
        <w:rPr>
          <w:rFonts w:hint="cs"/>
          <w:rtl/>
        </w:rPr>
        <w:t xml:space="preserve"> (על כך בהמשך)</w:t>
      </w:r>
      <w:r>
        <w:rPr>
          <w:rtl/>
        </w:rPr>
        <w:t xml:space="preserve">. </w:t>
      </w:r>
      <w:r>
        <w:rPr>
          <w:rFonts w:hint="cs"/>
          <w:rtl/>
        </w:rPr>
        <w:t xml:space="preserve"> </w:t>
      </w:r>
      <w:r>
        <w:rPr>
          <w:rtl/>
        </w:rPr>
        <w:t>לאורך השנים הנאשם עבר ניסיונות גמילה</w:t>
      </w:r>
      <w:r>
        <w:rPr>
          <w:rFonts w:hint="cs"/>
          <w:rtl/>
        </w:rPr>
        <w:t>,</w:t>
      </w:r>
      <w:r>
        <w:rPr>
          <w:rtl/>
        </w:rPr>
        <w:t xml:space="preserve"> אך הטיפולים לא הצליחו לגמול אותו מהנגע והוא חזר להתמכרות. במסגרת הליך המעצר בשנת 2020</w:t>
      </w:r>
      <w:r>
        <w:rPr>
          <w:rFonts w:hint="cs"/>
          <w:rtl/>
        </w:rPr>
        <w:t>,</w:t>
      </w:r>
      <w:r>
        <w:rPr>
          <w:rtl/>
        </w:rPr>
        <w:t xml:space="preserve"> </w:t>
      </w:r>
      <w:r>
        <w:rPr>
          <w:rFonts w:hint="cs"/>
          <w:rtl/>
        </w:rPr>
        <w:t xml:space="preserve">הופנה </w:t>
      </w:r>
      <w:r>
        <w:rPr>
          <w:rtl/>
        </w:rPr>
        <w:t>הנאשם על ידי ש</w:t>
      </w:r>
      <w:r>
        <w:rPr>
          <w:rFonts w:hint="cs"/>
          <w:rtl/>
        </w:rPr>
        <w:t>י</w:t>
      </w:r>
      <w:r>
        <w:rPr>
          <w:rtl/>
        </w:rPr>
        <w:t xml:space="preserve">רות המבחן לקהילה טיפולית </w:t>
      </w:r>
      <w:r>
        <w:rPr>
          <w:rFonts w:hint="cs"/>
          <w:rtl/>
        </w:rPr>
        <w:t>"</w:t>
      </w:r>
      <w:r>
        <w:rPr>
          <w:rtl/>
        </w:rPr>
        <w:t>מלכישוע</w:t>
      </w:r>
      <w:r>
        <w:rPr>
          <w:rFonts w:hint="cs"/>
          <w:rtl/>
        </w:rPr>
        <w:t>"</w:t>
      </w:r>
      <w:r>
        <w:rPr>
          <w:rtl/>
        </w:rPr>
        <w:t xml:space="preserve">. </w:t>
      </w:r>
      <w:r>
        <w:rPr>
          <w:rFonts w:hint="cs"/>
          <w:rtl/>
        </w:rPr>
        <w:t xml:space="preserve">הנאשם השלים את הטיפול במלואו וסיים אותו </w:t>
      </w:r>
      <w:r>
        <w:rPr>
          <w:rtl/>
        </w:rPr>
        <w:t>ביום 01.06.2021.</w:t>
      </w:r>
    </w:p>
    <w:p w14:paraId="3C43BE24" w14:textId="77777777" w:rsidR="00BB1DB8" w:rsidRDefault="00BB1DB8" w:rsidP="00BB1DB8">
      <w:pPr>
        <w:pStyle w:val="a9"/>
        <w:spacing w:line="360" w:lineRule="auto"/>
        <w:ind w:left="360"/>
        <w:jc w:val="both"/>
      </w:pPr>
    </w:p>
    <w:p w14:paraId="0DE22EE4" w14:textId="77777777" w:rsidR="00BB1DB8" w:rsidRDefault="00BB1DB8" w:rsidP="00BB1DB8">
      <w:pPr>
        <w:pStyle w:val="a9"/>
        <w:numPr>
          <w:ilvl w:val="0"/>
          <w:numId w:val="1"/>
        </w:numPr>
        <w:spacing w:line="360" w:lineRule="auto"/>
        <w:jc w:val="both"/>
      </w:pPr>
      <w:r>
        <w:rPr>
          <w:rFonts w:hint="cs"/>
          <w:rtl/>
        </w:rPr>
        <w:lastRenderedPageBreak/>
        <w:t xml:space="preserve">שירות המבחן התרשם, כי </w:t>
      </w:r>
      <w:r>
        <w:rPr>
          <w:rtl/>
        </w:rPr>
        <w:t>על פניו</w:t>
      </w:r>
      <w:r>
        <w:rPr>
          <w:rFonts w:hint="cs"/>
          <w:rtl/>
        </w:rPr>
        <w:t>,</w:t>
      </w:r>
      <w:r>
        <w:rPr>
          <w:rtl/>
        </w:rPr>
        <w:t xml:space="preserve"> </w:t>
      </w:r>
      <w:r>
        <w:rPr>
          <w:rFonts w:hint="cs"/>
          <w:rtl/>
        </w:rPr>
        <w:t xml:space="preserve">נראה כי הטיפול </w:t>
      </w:r>
      <w:r>
        <w:rPr>
          <w:rtl/>
        </w:rPr>
        <w:t>ב</w:t>
      </w:r>
      <w:r>
        <w:rPr>
          <w:rFonts w:hint="cs"/>
          <w:rtl/>
        </w:rPr>
        <w:t>"</w:t>
      </w:r>
      <w:r>
        <w:rPr>
          <w:rtl/>
        </w:rPr>
        <w:t>מלכישוע</w:t>
      </w:r>
      <w:r>
        <w:rPr>
          <w:rFonts w:hint="cs"/>
          <w:rtl/>
        </w:rPr>
        <w:t>" היה מוצלח, ושיקף, בין היתר את תובנותיו של הנאשם, שמאס בחיי השוליים וביקש להעלות את חייו על פסים של התנהלות נורמטיבית.כתוצאה מכך, מאז סיום הטיפול, שומר הנאשם על ניקיון מסמים, כפי שעלה מבדיקות השתן הנקיות שמסר לשירות המבחן. למרות הצלחת התהליך הטיפולי, ובשל תיק תלוי ועומד, נדון הנאשם למאסר קצר בן 4 חודשים בתיק האחרון שלו, ולאחר שחרורו המשיך לשמור על ניקיון מסמים ולעבוד. יצוין כי בתיק האחרון (</w:t>
      </w:r>
      <w:hyperlink r:id="rId16" w:history="1">
        <w:r w:rsidR="00CB2AEF" w:rsidRPr="00CB2AEF">
          <w:rPr>
            <w:color w:val="0000FF"/>
            <w:u w:val="single"/>
            <w:rtl/>
          </w:rPr>
          <w:t>ת"פ (ת"א) 15248-06-20</w:t>
        </w:r>
      </w:hyperlink>
      <w:r>
        <w:rPr>
          <w:rFonts w:hint="cs"/>
          <w:rtl/>
        </w:rPr>
        <w:t>) העבירה בוצעה בחודש מאי 2020. אין מחלוקת, שמאז לא נפתחו תיקים חדשים.</w:t>
      </w:r>
    </w:p>
    <w:p w14:paraId="392DA311" w14:textId="77777777" w:rsidR="00BB1DB8" w:rsidRDefault="00BB1DB8" w:rsidP="00BB1DB8">
      <w:pPr>
        <w:pStyle w:val="a9"/>
        <w:spacing w:line="360" w:lineRule="auto"/>
        <w:ind w:left="360"/>
        <w:jc w:val="both"/>
      </w:pPr>
    </w:p>
    <w:p w14:paraId="26D58C88" w14:textId="77777777" w:rsidR="00BB1DB8" w:rsidRDefault="00BB1DB8" w:rsidP="00BB1DB8">
      <w:pPr>
        <w:pStyle w:val="a9"/>
        <w:numPr>
          <w:ilvl w:val="0"/>
          <w:numId w:val="1"/>
        </w:numPr>
        <w:spacing w:line="360" w:lineRule="auto"/>
        <w:jc w:val="both"/>
      </w:pPr>
      <w:r>
        <w:rPr>
          <w:rFonts w:hint="cs"/>
          <w:rtl/>
        </w:rPr>
        <w:t xml:space="preserve">בשורה התחתונה, נוכח המהלך הטיפולי שעבר הנאשם, שמירה על ניקיון מסמים ואי פתיחה של תיקים חדשים (המעשים שבהם הודה הנאשם לפניי קדמו למתואר לעיל), וכן נוכח נכונות הנאשם להמשיך ולהיות במעקב ובטיפול ביחידת ההתמכרויות העירונית, המליץ שירות המבחן להימנע מהטלת מאסר ולוּ בעבודות שירות, נוכח עבודתו של הנאשם ונוכח המהפך החיובי שעבר בחייו. שירות המבחן התרשם משינוי מהותי וחיובי בדרך חשיבתו והתנהלות של הנאשם בשנים האחרונות. כמו כן הומלץ על הטלת של"ץ בהיקף 100 שעות וכן הטלת צו מבחן ומאסר מותנה. </w:t>
      </w:r>
    </w:p>
    <w:p w14:paraId="697D1093" w14:textId="77777777" w:rsidR="00BB1DB8" w:rsidRPr="005B32AB" w:rsidRDefault="00BB1DB8" w:rsidP="00BB1DB8">
      <w:pPr>
        <w:spacing w:line="360" w:lineRule="auto"/>
        <w:jc w:val="both"/>
      </w:pPr>
    </w:p>
    <w:p w14:paraId="7DF1C911" w14:textId="77777777" w:rsidR="00BB1DB8" w:rsidRDefault="00BB1DB8" w:rsidP="00BB1DB8">
      <w:pPr>
        <w:spacing w:line="360" w:lineRule="auto"/>
        <w:jc w:val="both"/>
        <w:rPr>
          <w:rFonts w:ascii="David" w:hAnsi="David"/>
          <w:b/>
          <w:bCs/>
          <w:u w:val="single"/>
          <w:rtl/>
        </w:rPr>
      </w:pPr>
      <w:r>
        <w:rPr>
          <w:rFonts w:ascii="David" w:hAnsi="David"/>
          <w:b/>
          <w:bCs/>
          <w:u w:val="single"/>
          <w:rtl/>
        </w:rPr>
        <w:t>חוות דעת של הממונה על עבודות השירות</w:t>
      </w:r>
    </w:p>
    <w:p w14:paraId="3FBB8012" w14:textId="77777777" w:rsidR="00BB1DB8" w:rsidRDefault="00BB1DB8" w:rsidP="00BB1DB8">
      <w:pPr>
        <w:pStyle w:val="a9"/>
        <w:numPr>
          <w:ilvl w:val="0"/>
          <w:numId w:val="1"/>
        </w:numPr>
        <w:spacing w:line="360" w:lineRule="auto"/>
        <w:jc w:val="both"/>
      </w:pPr>
      <w:r>
        <w:rPr>
          <w:rFonts w:ascii="David" w:hAnsi="David" w:hint="cs"/>
          <w:rtl/>
        </w:rPr>
        <w:t xml:space="preserve">מחוות דעת </w:t>
      </w:r>
      <w:r>
        <w:rPr>
          <w:rFonts w:ascii="David" w:hAnsi="David"/>
          <w:rtl/>
        </w:rPr>
        <w:t xml:space="preserve">הממונה </w:t>
      </w:r>
      <w:r>
        <w:rPr>
          <w:rFonts w:ascii="David" w:hAnsi="David" w:hint="cs"/>
          <w:rtl/>
        </w:rPr>
        <w:t xml:space="preserve">מיום 8.8.2023 נמצא כי הנאשם כשיר לביצוע עבודות שירות במגבלות מסוימות, זאת </w:t>
      </w:r>
      <w:r>
        <w:rPr>
          <w:rFonts w:ascii="David" w:hAnsi="David"/>
          <w:rtl/>
        </w:rPr>
        <w:t>בבית אבות "בית באייר" בכתובת ים-סוף 33, סנהדריה</w:t>
      </w:r>
      <w:r>
        <w:rPr>
          <w:rFonts w:ascii="David" w:hAnsi="David" w:hint="cs"/>
          <w:rtl/>
        </w:rPr>
        <w:t>, החל מיום 7.11.2023</w:t>
      </w:r>
      <w:r>
        <w:rPr>
          <w:rFonts w:ascii="David" w:hAnsi="David"/>
          <w:rtl/>
        </w:rPr>
        <w:t>.</w:t>
      </w:r>
    </w:p>
    <w:p w14:paraId="172D05CA" w14:textId="77777777" w:rsidR="00BB1DB8" w:rsidRPr="005B32AB" w:rsidRDefault="00BB1DB8" w:rsidP="00BB1DB8">
      <w:pPr>
        <w:pStyle w:val="a9"/>
        <w:spacing w:line="360" w:lineRule="auto"/>
        <w:ind w:left="360"/>
        <w:jc w:val="both"/>
        <w:rPr>
          <w:rtl/>
        </w:rPr>
      </w:pPr>
    </w:p>
    <w:p w14:paraId="3543C24B" w14:textId="77777777" w:rsidR="00BB1DB8" w:rsidRPr="00381448" w:rsidRDefault="00BB1DB8" w:rsidP="00BB1DB8">
      <w:pPr>
        <w:spacing w:line="360" w:lineRule="auto"/>
        <w:jc w:val="both"/>
        <w:rPr>
          <w:b/>
          <w:bCs/>
          <w:u w:val="single"/>
          <w:rtl/>
        </w:rPr>
      </w:pPr>
      <w:r w:rsidRPr="00381448">
        <w:rPr>
          <w:rFonts w:hint="cs"/>
          <w:b/>
          <w:bCs/>
          <w:u w:val="single"/>
          <w:rtl/>
        </w:rPr>
        <w:t>רישום פלילי</w:t>
      </w:r>
    </w:p>
    <w:p w14:paraId="03817BA9" w14:textId="77777777" w:rsidR="00BB1DB8" w:rsidRDefault="00BB1DB8" w:rsidP="00BB1DB8">
      <w:pPr>
        <w:pStyle w:val="a9"/>
        <w:numPr>
          <w:ilvl w:val="0"/>
          <w:numId w:val="1"/>
        </w:numPr>
        <w:spacing w:line="360" w:lineRule="auto"/>
        <w:jc w:val="both"/>
      </w:pPr>
      <w:r>
        <w:rPr>
          <w:rFonts w:hint="cs"/>
          <w:rtl/>
        </w:rPr>
        <w:t xml:space="preserve">לנאשם 22 הרשעות קודמות בעיקר בעבירות רכוש וסמים. הראשונה משנת 1978, האחרונה משנת 2022 (עבירה אחרונה משנת 2020). הוא ריצה במצטבר למעלה מ-16 שנות מאסר בגין הרשעותיו. כאמור, הנאשם לא עבר עבירות נוספות בשלוש השנים האחרונות.  </w:t>
      </w:r>
    </w:p>
    <w:p w14:paraId="1971AFA7" w14:textId="77777777" w:rsidR="00BB1DB8" w:rsidRDefault="00BB1DB8" w:rsidP="00BB1DB8">
      <w:pPr>
        <w:pStyle w:val="a9"/>
        <w:spacing w:line="360" w:lineRule="auto"/>
        <w:ind w:left="360"/>
        <w:jc w:val="both"/>
      </w:pPr>
    </w:p>
    <w:p w14:paraId="396C686B" w14:textId="77777777" w:rsidR="00BB1DB8" w:rsidRDefault="00BB1DB8" w:rsidP="00BB1DB8">
      <w:pPr>
        <w:spacing w:line="360" w:lineRule="auto"/>
        <w:jc w:val="both"/>
        <w:rPr>
          <w:rFonts w:ascii="David" w:hAnsi="David"/>
          <w:b/>
          <w:bCs/>
          <w:u w:val="single"/>
          <w:rtl/>
        </w:rPr>
      </w:pPr>
      <w:r>
        <w:rPr>
          <w:rFonts w:ascii="David" w:hAnsi="David"/>
          <w:b/>
          <w:bCs/>
          <w:u w:val="single"/>
          <w:rtl/>
        </w:rPr>
        <w:t>טיעונים לעונש</w:t>
      </w:r>
    </w:p>
    <w:p w14:paraId="0EEEA70B" w14:textId="77777777" w:rsidR="00BB1DB8" w:rsidRDefault="00BB1DB8" w:rsidP="00BB1DB8">
      <w:pPr>
        <w:pStyle w:val="a9"/>
        <w:numPr>
          <w:ilvl w:val="0"/>
          <w:numId w:val="1"/>
        </w:numPr>
        <w:spacing w:line="360" w:lineRule="auto"/>
        <w:jc w:val="both"/>
        <w:rPr>
          <w:rtl/>
        </w:rPr>
      </w:pPr>
      <w:r>
        <w:rPr>
          <w:rFonts w:ascii="David" w:hAnsi="David" w:hint="cs"/>
          <w:rtl/>
        </w:rPr>
        <w:t>הצדדים לא הגיעו להסכמה. ב"כ המאשימה עתר להטיל על הנאשם עונש מאסר בפועל וענישה נלווית בהינתן מכלול הנסיבות. הסניגור מנגד ביקש להיעתר להמלצה העונשית והטיפולית של שירות המבחן נוכח התהליך השיקומי שעבר הנאשם בשנים האחרונות.</w:t>
      </w:r>
    </w:p>
    <w:p w14:paraId="748B0020" w14:textId="77777777" w:rsidR="00BB1DB8" w:rsidRDefault="00BB1DB8" w:rsidP="00BB1DB8">
      <w:pPr>
        <w:spacing w:line="360" w:lineRule="auto"/>
        <w:jc w:val="both"/>
      </w:pPr>
    </w:p>
    <w:p w14:paraId="1390AF22" w14:textId="77777777" w:rsidR="00BB1DB8" w:rsidRDefault="00BB1DB8" w:rsidP="00BB1DB8">
      <w:pPr>
        <w:spacing w:line="360" w:lineRule="auto"/>
        <w:rPr>
          <w:b/>
          <w:bCs/>
          <w:u w:val="single"/>
          <w:rtl/>
        </w:rPr>
      </w:pPr>
      <w:r>
        <w:rPr>
          <w:rFonts w:hint="cs"/>
          <w:b/>
          <w:bCs/>
          <w:u w:val="single"/>
          <w:rtl/>
        </w:rPr>
        <w:t>קביעת מתחם העונש ההולם</w:t>
      </w:r>
    </w:p>
    <w:p w14:paraId="309B6738" w14:textId="77777777" w:rsidR="00BB1DB8" w:rsidRDefault="00BB1DB8" w:rsidP="00BB1DB8">
      <w:pPr>
        <w:pStyle w:val="a9"/>
        <w:numPr>
          <w:ilvl w:val="0"/>
          <w:numId w:val="1"/>
        </w:numPr>
        <w:spacing w:line="360" w:lineRule="auto"/>
        <w:jc w:val="both"/>
        <w:rPr>
          <w:rtl/>
        </w:rPr>
      </w:pPr>
      <w:r>
        <w:rPr>
          <w:rFonts w:hint="cs"/>
          <w:rtl/>
        </w:rPr>
        <w:t xml:space="preserve">בבוא בית המשפט לגזור את הדין, עליו לקבוע תחילה את מתחם העונש וזאת בהתבסס </w:t>
      </w:r>
      <w:r>
        <w:rPr>
          <w:rtl/>
        </w:rPr>
        <w:t>על עקרון ההלימה, אשר נוגע ליחס לערך החברתי המוגן, מידת הפגיעה בו, מדיניות הענישה הנוהגת ונסיבות ביצוע העבירה לרבות מידת אשמו של הנאשם.</w:t>
      </w:r>
    </w:p>
    <w:p w14:paraId="54D3AE34" w14:textId="77777777" w:rsidR="00BB1DB8" w:rsidRDefault="00BB1DB8" w:rsidP="00BB1DB8">
      <w:pPr>
        <w:spacing w:line="360" w:lineRule="auto"/>
        <w:rPr>
          <w:rtl/>
        </w:rPr>
      </w:pPr>
    </w:p>
    <w:p w14:paraId="57CED915" w14:textId="77777777" w:rsidR="00BB1DB8" w:rsidRDefault="00BB1DB8" w:rsidP="00BB1DB8">
      <w:pPr>
        <w:pStyle w:val="a9"/>
        <w:numPr>
          <w:ilvl w:val="0"/>
          <w:numId w:val="1"/>
        </w:numPr>
        <w:spacing w:line="360" w:lineRule="auto"/>
        <w:jc w:val="both"/>
      </w:pPr>
      <w:r w:rsidRPr="00E82D89">
        <w:rPr>
          <w:b/>
          <w:bCs/>
          <w:rtl/>
        </w:rPr>
        <w:t xml:space="preserve">הערך המוגן – </w:t>
      </w:r>
      <w:r>
        <w:rPr>
          <w:rFonts w:hint="cs"/>
          <w:rtl/>
        </w:rPr>
        <w:t xml:space="preserve">העבירות </w:t>
      </w:r>
      <w:r>
        <w:rPr>
          <w:rtl/>
        </w:rPr>
        <w:t>אות</w:t>
      </w:r>
      <w:r>
        <w:rPr>
          <w:rFonts w:hint="cs"/>
          <w:rtl/>
        </w:rPr>
        <w:t>ן</w:t>
      </w:r>
      <w:r>
        <w:rPr>
          <w:rtl/>
        </w:rPr>
        <w:t xml:space="preserve"> עבר הנאשם פוגע</w:t>
      </w:r>
      <w:r>
        <w:rPr>
          <w:rFonts w:hint="cs"/>
          <w:rtl/>
        </w:rPr>
        <w:t>ו</w:t>
      </w:r>
      <w:r>
        <w:rPr>
          <w:rtl/>
        </w:rPr>
        <w:t xml:space="preserve">ת בערך </w:t>
      </w:r>
      <w:r>
        <w:rPr>
          <w:rFonts w:hint="cs"/>
          <w:rtl/>
        </w:rPr>
        <w:t>ה</w:t>
      </w:r>
      <w:r>
        <w:rPr>
          <w:rtl/>
        </w:rPr>
        <w:t>מוגן של בריאות הציבור, שלומו וב</w:t>
      </w:r>
      <w:r>
        <w:rPr>
          <w:rFonts w:hint="cs"/>
          <w:rtl/>
        </w:rPr>
        <w:t>י</w:t>
      </w:r>
      <w:r>
        <w:rPr>
          <w:rtl/>
        </w:rPr>
        <w:t>טחונו.</w:t>
      </w:r>
      <w:r>
        <w:rPr>
          <w:rFonts w:hint="cs"/>
          <w:rtl/>
        </w:rPr>
        <w:t xml:space="preserve"> הפגיעה בערכים מוגנים אלו גדולה כאשר מדובר בסמים כה קשים כבמקרנו. </w:t>
      </w:r>
    </w:p>
    <w:p w14:paraId="356ACC74" w14:textId="77777777" w:rsidR="00BB1DB8" w:rsidRDefault="00BB1DB8" w:rsidP="00BB1DB8">
      <w:pPr>
        <w:pStyle w:val="a9"/>
        <w:rPr>
          <w:rtl/>
        </w:rPr>
      </w:pPr>
    </w:p>
    <w:p w14:paraId="5D323F1A" w14:textId="77777777" w:rsidR="00BB1DB8" w:rsidRDefault="00BB1DB8" w:rsidP="00BB1DB8">
      <w:pPr>
        <w:pStyle w:val="a9"/>
        <w:numPr>
          <w:ilvl w:val="0"/>
          <w:numId w:val="1"/>
        </w:numPr>
        <w:spacing w:line="360" w:lineRule="auto"/>
        <w:jc w:val="both"/>
      </w:pPr>
      <w:r>
        <w:rPr>
          <w:b/>
          <w:bCs/>
          <w:rtl/>
        </w:rPr>
        <w:t xml:space="preserve">נסיבות הקשורות בביצוע </w:t>
      </w:r>
      <w:r>
        <w:rPr>
          <w:rFonts w:hint="cs"/>
          <w:b/>
          <w:bCs/>
          <w:rtl/>
        </w:rPr>
        <w:t xml:space="preserve">העבירות </w:t>
      </w:r>
      <w:r>
        <w:rPr>
          <w:b/>
          <w:bCs/>
          <w:rtl/>
        </w:rPr>
        <w:t>–</w:t>
      </w:r>
      <w:r>
        <w:rPr>
          <w:rtl/>
        </w:rPr>
        <w:t xml:space="preserve"> מדובר בעבירות מתוכננות מראש </w:t>
      </w:r>
      <w:r>
        <w:rPr>
          <w:rFonts w:hint="cs"/>
          <w:rtl/>
        </w:rPr>
        <w:t xml:space="preserve">שחזרו </w:t>
      </w:r>
      <w:r>
        <w:rPr>
          <w:rtl/>
        </w:rPr>
        <w:t>על עצמן. הנאשם החזיק בסם מסוכן מסוג הרואין, כאשר למרות שהוא נתפס</w:t>
      </w:r>
      <w:r>
        <w:rPr>
          <w:rFonts w:hint="cs"/>
          <w:rtl/>
        </w:rPr>
        <w:t>,</w:t>
      </w:r>
      <w:r>
        <w:rPr>
          <w:rtl/>
        </w:rPr>
        <w:t xml:space="preserve"> הוא חזר על העבירה 3 פעמים בהפרשי זמן קצרים, </w:t>
      </w:r>
      <w:r>
        <w:rPr>
          <w:rFonts w:hint="cs"/>
          <w:rtl/>
        </w:rPr>
        <w:t>ולא הורתע מעצם תפיסתו בעבר. מדובר כאמור ב"</w:t>
      </w:r>
      <w:r>
        <w:rPr>
          <w:rtl/>
        </w:rPr>
        <w:t xml:space="preserve">סם קשה" בכמויות גדולות. </w:t>
      </w:r>
      <w:r>
        <w:rPr>
          <w:rFonts w:hint="cs"/>
          <w:rtl/>
        </w:rPr>
        <w:t xml:space="preserve">בשל תפיסת הנאשם בכף, נגרם נזק מצומצם, אך פוטנציאל הנזק מכמות כזו של סמים המופצת לאחרים עלול להיות חמור. </w:t>
      </w:r>
      <w:r>
        <w:rPr>
          <w:rtl/>
        </w:rPr>
        <w:t xml:space="preserve">הנאשם כאדם בוגר ידע את הפסול שבמעשיו ולכן הוא אחראי להם באופן בלעדי. </w:t>
      </w:r>
      <w:r>
        <w:rPr>
          <w:rFonts w:hint="cs"/>
          <w:rtl/>
        </w:rPr>
        <w:t xml:space="preserve">לצד זאת, ברור שעומק התמכרותו לסמים לאורך עשרות שנים היא המחולל של העבירה, ולכן היה לנאשם קושי אמתי להימנע מביצוע העבירות. </w:t>
      </w:r>
    </w:p>
    <w:p w14:paraId="6BABB4CA" w14:textId="77777777" w:rsidR="00BB1DB8" w:rsidRPr="006116EA" w:rsidRDefault="00BB1DB8" w:rsidP="00BB1DB8">
      <w:pPr>
        <w:pStyle w:val="a9"/>
        <w:rPr>
          <w:rtl/>
        </w:rPr>
      </w:pPr>
    </w:p>
    <w:p w14:paraId="35439C40" w14:textId="77777777" w:rsidR="00BB1DB8" w:rsidRDefault="00BB1DB8" w:rsidP="00BB1DB8">
      <w:pPr>
        <w:spacing w:line="360" w:lineRule="auto"/>
        <w:rPr>
          <w:rtl/>
        </w:rPr>
      </w:pPr>
    </w:p>
    <w:p w14:paraId="7DCE0841" w14:textId="77777777" w:rsidR="00BB1DB8" w:rsidRDefault="00BB1DB8" w:rsidP="00BB1DB8">
      <w:pPr>
        <w:pStyle w:val="a9"/>
        <w:numPr>
          <w:ilvl w:val="0"/>
          <w:numId w:val="1"/>
        </w:numPr>
        <w:spacing w:line="360" w:lineRule="auto"/>
        <w:jc w:val="both"/>
      </w:pPr>
      <w:r w:rsidRPr="005418A6">
        <w:rPr>
          <w:b/>
          <w:bCs/>
          <w:rtl/>
        </w:rPr>
        <w:t xml:space="preserve">מדיניות הענישה הנוהגת - </w:t>
      </w:r>
      <w:r>
        <w:rPr>
          <w:rtl/>
        </w:rPr>
        <w:t xml:space="preserve">הכלל בעבירות </w:t>
      </w:r>
      <w:r>
        <w:rPr>
          <w:rFonts w:hint="cs"/>
          <w:rtl/>
        </w:rPr>
        <w:t>ה</w:t>
      </w:r>
      <w:r>
        <w:rPr>
          <w:rtl/>
        </w:rPr>
        <w:t>חזקת "סמים קשים" מסוג הרואין הוא מאסר</w:t>
      </w:r>
      <w:r>
        <w:rPr>
          <w:rFonts w:hint="cs"/>
          <w:rtl/>
        </w:rPr>
        <w:t xml:space="preserve"> בפועל</w:t>
      </w:r>
      <w:r>
        <w:rPr>
          <w:rtl/>
        </w:rPr>
        <w:t xml:space="preserve">. </w:t>
      </w:r>
    </w:p>
    <w:p w14:paraId="641FB0FA" w14:textId="77777777" w:rsidR="00BB1DB8" w:rsidRDefault="00CB2AEF" w:rsidP="00BB1DB8">
      <w:pPr>
        <w:pStyle w:val="a9"/>
        <w:numPr>
          <w:ilvl w:val="0"/>
          <w:numId w:val="5"/>
        </w:numPr>
        <w:spacing w:line="360" w:lineRule="auto"/>
        <w:jc w:val="both"/>
        <w:rPr>
          <w:rtl/>
        </w:rPr>
      </w:pPr>
      <w:hyperlink r:id="rId17" w:history="1">
        <w:r w:rsidRPr="00CB2AEF">
          <w:rPr>
            <w:color w:val="0000FF"/>
            <w:u w:val="single"/>
            <w:rtl/>
          </w:rPr>
          <w:t>רע"פ 2986/21</w:t>
        </w:r>
      </w:hyperlink>
      <w:r w:rsidR="00BB1DB8">
        <w:rPr>
          <w:rtl/>
        </w:rPr>
        <w:t xml:space="preserve"> </w:t>
      </w:r>
      <w:r w:rsidR="00BB1DB8" w:rsidRPr="005418A6">
        <w:rPr>
          <w:b/>
          <w:bCs/>
          <w:rtl/>
        </w:rPr>
        <w:t>עיסאוי נ' מ"י</w:t>
      </w:r>
      <w:r w:rsidR="00BB1DB8">
        <w:rPr>
          <w:rtl/>
        </w:rPr>
        <w:t xml:space="preserve"> (מיום 10.05.2021). בתיק זה נגזרו על הנאשם 9 חודשי מאסר בפועל </w:t>
      </w:r>
      <w:r w:rsidR="00BB1DB8">
        <w:rPr>
          <w:rFonts w:hint="cs"/>
          <w:rtl/>
        </w:rPr>
        <w:t xml:space="preserve">במקום חודש עבודות שירות, למרות שבית המשפט המחוזי סביר שראוי היה </w:t>
      </w:r>
      <w:r w:rsidR="00BB1DB8">
        <w:rPr>
          <w:rtl/>
        </w:rPr>
        <w:t xml:space="preserve">להטיל </w:t>
      </w:r>
      <w:r w:rsidR="00BB1DB8">
        <w:rPr>
          <w:rFonts w:hint="cs"/>
          <w:rtl/>
        </w:rPr>
        <w:t xml:space="preserve">עליו </w:t>
      </w:r>
      <w:r w:rsidR="00BB1DB8">
        <w:rPr>
          <w:rtl/>
        </w:rPr>
        <w:t xml:space="preserve">10 חודשי מאסר בפועל על בסיס מתחם של מספר חודשים עד 18 חודשי מאסר בפועל. </w:t>
      </w:r>
      <w:r w:rsidR="00BB1DB8">
        <w:rPr>
          <w:rFonts w:hint="cs"/>
          <w:rtl/>
        </w:rPr>
        <w:t xml:space="preserve">באותן נסיבות החזיק הנאשם 11 גרם הירואין [כמות </w:t>
      </w:r>
      <w:r w:rsidR="00BB1DB8">
        <w:rPr>
          <w:rtl/>
        </w:rPr>
        <w:t>קטנה מכמות הסם הכוללת שבתיק הנוכחי (כ-35 גרם)</w:t>
      </w:r>
      <w:r w:rsidR="00BB1DB8">
        <w:rPr>
          <w:rFonts w:hint="cs"/>
          <w:rtl/>
        </w:rPr>
        <w:t>]</w:t>
      </w:r>
      <w:r w:rsidR="00BB1DB8">
        <w:rPr>
          <w:rtl/>
        </w:rPr>
        <w:t xml:space="preserve">. </w:t>
      </w:r>
    </w:p>
    <w:p w14:paraId="2ED56154" w14:textId="77777777" w:rsidR="00BB1DB8" w:rsidRDefault="00CB2AEF" w:rsidP="00BB1DB8">
      <w:pPr>
        <w:pStyle w:val="a9"/>
        <w:numPr>
          <w:ilvl w:val="0"/>
          <w:numId w:val="5"/>
        </w:numPr>
        <w:spacing w:line="360" w:lineRule="auto"/>
        <w:jc w:val="both"/>
        <w:rPr>
          <w:rtl/>
        </w:rPr>
      </w:pPr>
      <w:hyperlink r:id="rId18" w:history="1">
        <w:r w:rsidRPr="00CB2AEF">
          <w:rPr>
            <w:color w:val="0000FF"/>
            <w:u w:val="single"/>
            <w:rtl/>
          </w:rPr>
          <w:t>רע"פ 7681/13</w:t>
        </w:r>
      </w:hyperlink>
      <w:r w:rsidR="00BB1DB8">
        <w:rPr>
          <w:rtl/>
        </w:rPr>
        <w:t xml:space="preserve"> </w:t>
      </w:r>
      <w:r w:rsidR="00BB1DB8" w:rsidRPr="00B7065E">
        <w:rPr>
          <w:b/>
          <w:bCs/>
          <w:rtl/>
        </w:rPr>
        <w:t>דקה נ' מ"י</w:t>
      </w:r>
      <w:r w:rsidR="00BB1DB8">
        <w:rPr>
          <w:rtl/>
        </w:rPr>
        <w:t xml:space="preserve"> (מיום 21.01.2014). בתיק זה</w:t>
      </w:r>
      <w:r w:rsidR="00BB1DB8">
        <w:rPr>
          <w:rFonts w:hint="cs"/>
          <w:rtl/>
        </w:rPr>
        <w:t>, החמור ממקרנו,</w:t>
      </w:r>
      <w:r w:rsidR="00BB1DB8">
        <w:rPr>
          <w:rtl/>
        </w:rPr>
        <w:t xml:space="preserve"> נגזרו על הנאשם 10 חודשי מאסר בפועל על בסיס מתחם שבין 6 ל-12 חודשי מאסר בפועל, בגין 2 מקרי </w:t>
      </w:r>
      <w:r w:rsidR="00BB1DB8">
        <w:rPr>
          <w:rFonts w:hint="cs"/>
          <w:rtl/>
        </w:rPr>
        <w:t xml:space="preserve">מכירת </w:t>
      </w:r>
      <w:r w:rsidR="00BB1DB8">
        <w:rPr>
          <w:rtl/>
        </w:rPr>
        <w:t xml:space="preserve">הרואין במשקל 1.5 גרם כל אחד. </w:t>
      </w:r>
    </w:p>
    <w:p w14:paraId="4B03ACAE" w14:textId="77777777" w:rsidR="00BB1DB8" w:rsidRDefault="00CB2AEF" w:rsidP="00BB1DB8">
      <w:pPr>
        <w:pStyle w:val="a9"/>
        <w:numPr>
          <w:ilvl w:val="0"/>
          <w:numId w:val="5"/>
        </w:numPr>
        <w:spacing w:line="360" w:lineRule="auto"/>
        <w:jc w:val="both"/>
      </w:pPr>
      <w:hyperlink r:id="rId19" w:history="1">
        <w:r w:rsidRPr="00CB2AEF">
          <w:rPr>
            <w:color w:val="0000FF"/>
            <w:u w:val="single"/>
            <w:rtl/>
          </w:rPr>
          <w:t>עפ"ג (חיפה) 61867-11-19</w:t>
        </w:r>
      </w:hyperlink>
      <w:r w:rsidR="00BB1DB8">
        <w:rPr>
          <w:rtl/>
        </w:rPr>
        <w:t xml:space="preserve"> </w:t>
      </w:r>
      <w:r w:rsidR="00BB1DB8" w:rsidRPr="00B7065E">
        <w:rPr>
          <w:b/>
          <w:bCs/>
          <w:rtl/>
        </w:rPr>
        <w:t>מ"י נ' עבו עיסא</w:t>
      </w:r>
      <w:r w:rsidR="00BB1DB8">
        <w:rPr>
          <w:rtl/>
        </w:rPr>
        <w:t xml:space="preserve"> (מיום 04.12.2019). בתיק זה נגזר עונש של 9 חדשי מאסר בפועל על בסיס מתחם שבין 9 ל-18 חודשי מאסר בפועל על נאשם שהחזיק כ-20 גרם הרואין ו-3 גרם קוקאין. אמנם מדובר בהחזקה שלא לצריכה עצמית אולם כמות הסם בתיק הנוכחי </w:t>
      </w:r>
      <w:r w:rsidR="00BB1DB8">
        <w:rPr>
          <w:rFonts w:hint="cs"/>
          <w:rtl/>
        </w:rPr>
        <w:t xml:space="preserve">קרובה אם כי קטנה יתר מהכמות בתיק הנוכחי. </w:t>
      </w:r>
    </w:p>
    <w:p w14:paraId="67046EE4" w14:textId="77777777" w:rsidR="00BB1DB8" w:rsidRDefault="00CB2AEF" w:rsidP="00BB1DB8">
      <w:pPr>
        <w:pStyle w:val="a9"/>
        <w:numPr>
          <w:ilvl w:val="0"/>
          <w:numId w:val="5"/>
        </w:numPr>
        <w:spacing w:line="360" w:lineRule="auto"/>
        <w:jc w:val="both"/>
      </w:pPr>
      <w:hyperlink r:id="rId20" w:history="1">
        <w:r w:rsidRPr="00CB2AEF">
          <w:rPr>
            <w:color w:val="0000FF"/>
            <w:u w:val="single"/>
            <w:rtl/>
          </w:rPr>
          <w:t>עפ"ג (חיפה) 37357-11-19</w:t>
        </w:r>
      </w:hyperlink>
      <w:r w:rsidR="00BB1DB8">
        <w:rPr>
          <w:rtl/>
        </w:rPr>
        <w:t xml:space="preserve"> </w:t>
      </w:r>
      <w:r w:rsidR="00BB1DB8" w:rsidRPr="00B7065E">
        <w:rPr>
          <w:b/>
          <w:bCs/>
          <w:rtl/>
        </w:rPr>
        <w:t>מ"י נ' עראבי</w:t>
      </w:r>
      <w:r w:rsidR="00BB1DB8">
        <w:rPr>
          <w:rtl/>
        </w:rPr>
        <w:t xml:space="preserve"> (מיום 2.01.2020). במקרה זה נגזרו על הנאשם 16 חודשי </w:t>
      </w:r>
      <w:r w:rsidR="00BB1DB8">
        <w:rPr>
          <w:rFonts w:hint="cs"/>
          <w:rtl/>
        </w:rPr>
        <w:t>מ</w:t>
      </w:r>
      <w:r w:rsidR="00BB1DB8">
        <w:rPr>
          <w:rtl/>
        </w:rPr>
        <w:t>אסר בפועל על בסיס מתחם שבין 9 ל-18 חודשי מאסר בפועל</w:t>
      </w:r>
      <w:r w:rsidR="00BB1DB8">
        <w:rPr>
          <w:rFonts w:hint="cs"/>
          <w:rtl/>
        </w:rPr>
        <w:t>,</w:t>
      </w:r>
      <w:r w:rsidR="00BB1DB8">
        <w:rPr>
          <w:rtl/>
        </w:rPr>
        <w:t xml:space="preserve"> בגין 5 מקרי </w:t>
      </w:r>
      <w:r w:rsidR="00BB1DB8">
        <w:rPr>
          <w:rFonts w:hint="cs"/>
          <w:rtl/>
        </w:rPr>
        <w:t>סחר ב</w:t>
      </w:r>
      <w:r w:rsidR="00BB1DB8">
        <w:rPr>
          <w:rtl/>
        </w:rPr>
        <w:t xml:space="preserve">הרואין במשקל של כ-1 גרם (במצטבר מדובר בכ-5 גרם). </w:t>
      </w:r>
    </w:p>
    <w:p w14:paraId="301F1F4F" w14:textId="77777777" w:rsidR="00BB1DB8" w:rsidRDefault="00BB1DB8" w:rsidP="00BB1DB8">
      <w:pPr>
        <w:spacing w:line="360" w:lineRule="auto"/>
      </w:pPr>
    </w:p>
    <w:p w14:paraId="3500E48E" w14:textId="77777777" w:rsidR="00BB1DB8" w:rsidRDefault="00BB1DB8" w:rsidP="00BB1DB8">
      <w:pPr>
        <w:pStyle w:val="a9"/>
        <w:numPr>
          <w:ilvl w:val="0"/>
          <w:numId w:val="1"/>
        </w:numPr>
        <w:spacing w:line="360" w:lineRule="auto"/>
        <w:jc w:val="both"/>
        <w:rPr>
          <w:rtl/>
        </w:rPr>
      </w:pPr>
      <w:r>
        <w:rPr>
          <w:b/>
          <w:bCs/>
          <w:rtl/>
        </w:rPr>
        <w:t xml:space="preserve">מתחם הענישה – </w:t>
      </w:r>
      <w:r w:rsidRPr="00AF0204">
        <w:rPr>
          <w:rFonts w:hint="cs"/>
          <w:rtl/>
        </w:rPr>
        <w:t>נוכח מכלול הנסיבות הנוגעות לקביעת מתחם העונש היה מקום לקבוע מתחם המתחיל ממאסר בפועל. אלא שהמאשימה הגבילה עצמה למתחם שבין מאסר על-תנאי ועד לשישה חודשים בכל אחד מהתיקים ואני מאמץ מתחם זה.</w:t>
      </w:r>
      <w:r>
        <w:rPr>
          <w:rFonts w:hint="cs"/>
          <w:b/>
          <w:bCs/>
          <w:rtl/>
        </w:rPr>
        <w:t xml:space="preserve"> </w:t>
      </w:r>
    </w:p>
    <w:p w14:paraId="7E4CE0AB" w14:textId="77777777" w:rsidR="00BB1DB8" w:rsidRDefault="00BB1DB8" w:rsidP="00BB1DB8">
      <w:pPr>
        <w:spacing w:line="360" w:lineRule="auto"/>
      </w:pPr>
    </w:p>
    <w:p w14:paraId="6653EC17" w14:textId="77777777" w:rsidR="00BB1DB8" w:rsidRDefault="00BB1DB8" w:rsidP="00BB1DB8">
      <w:pPr>
        <w:spacing w:line="360" w:lineRule="auto"/>
        <w:rPr>
          <w:b/>
          <w:bCs/>
          <w:u w:val="single"/>
          <w:rtl/>
        </w:rPr>
      </w:pPr>
      <w:r>
        <w:rPr>
          <w:b/>
          <w:bCs/>
          <w:u w:val="single"/>
          <w:rtl/>
        </w:rPr>
        <w:t xml:space="preserve">נסיבות שאינן קשורות בביצוע העבירה </w:t>
      </w:r>
    </w:p>
    <w:p w14:paraId="3C9524D1" w14:textId="77777777" w:rsidR="00BB1DB8" w:rsidRDefault="00BB1DB8" w:rsidP="00BB1DB8">
      <w:pPr>
        <w:pStyle w:val="a9"/>
        <w:numPr>
          <w:ilvl w:val="0"/>
          <w:numId w:val="1"/>
        </w:numPr>
        <w:spacing w:line="360" w:lineRule="auto"/>
        <w:jc w:val="both"/>
      </w:pPr>
      <w:r>
        <w:rPr>
          <w:rFonts w:hint="cs"/>
          <w:rtl/>
        </w:rPr>
        <w:t>מצד אחד ולחומרה, מדובר ב</w:t>
      </w:r>
      <w:r>
        <w:rPr>
          <w:rtl/>
        </w:rPr>
        <w:t xml:space="preserve">נאשם </w:t>
      </w:r>
      <w:r>
        <w:rPr>
          <w:rFonts w:hint="cs"/>
          <w:rtl/>
        </w:rPr>
        <w:t xml:space="preserve">אשר לו </w:t>
      </w:r>
      <w:r>
        <w:rPr>
          <w:rtl/>
        </w:rPr>
        <w:t>22 הרשעות קודמות בין השנים 1979 ל-2020 (עבירה אחרונה משנת 2020)</w:t>
      </w:r>
      <w:r>
        <w:rPr>
          <w:rFonts w:hint="cs"/>
          <w:rtl/>
        </w:rPr>
        <w:t>, והוא ריצה מאסרים ממושכים חלק ניכר מחייו הבוגרים</w:t>
      </w:r>
      <w:r>
        <w:rPr>
          <w:rtl/>
        </w:rPr>
        <w:t>.</w:t>
      </w:r>
      <w:r>
        <w:rPr>
          <w:rFonts w:hint="cs"/>
          <w:rtl/>
        </w:rPr>
        <w:t xml:space="preserve"> כל אלו לא מנעו ממנו לשוב ולבצע עבירות, לרבות אלו שלפניי. מצד שני ולקולה, מדובר במי שבשנים האחרונות עבר תהליך שיקומי משמעותי, שלאחריו לא פתח תיקים חדשים והוכיח שמירה על ניקיון מסמים. בנוסף, הנאשם שומר על יציבות תעסוקתית וקשר עם הגורמים הטיפוליים. אין ספק כי בשנים האחרונות מקור התעסוקה הוא עוגן משמועתי ביציבות חייו במתכונתם הנוכחית. לזכותו גילו המבוגר יחסית (כבן 67) וכן הודאתו לפניי בשלושה כתבי אישום. </w:t>
      </w:r>
    </w:p>
    <w:p w14:paraId="40B2466F" w14:textId="77777777" w:rsidR="00BB1DB8" w:rsidRDefault="00BB1DB8" w:rsidP="00BB1DB8">
      <w:pPr>
        <w:spacing w:line="360" w:lineRule="auto"/>
        <w:rPr>
          <w:b/>
          <w:bCs/>
          <w:u w:val="single"/>
          <w:rtl/>
        </w:rPr>
      </w:pPr>
    </w:p>
    <w:p w14:paraId="1244E85E" w14:textId="77777777" w:rsidR="00BB1DB8" w:rsidRPr="00D332B8" w:rsidRDefault="00BB1DB8" w:rsidP="00BB1DB8">
      <w:pPr>
        <w:spacing w:line="360" w:lineRule="auto"/>
        <w:rPr>
          <w:b/>
          <w:bCs/>
          <w:u w:val="single"/>
          <w:rtl/>
        </w:rPr>
      </w:pPr>
      <w:r w:rsidRPr="00D332B8">
        <w:rPr>
          <w:b/>
          <w:bCs/>
          <w:u w:val="single"/>
          <w:rtl/>
        </w:rPr>
        <w:t xml:space="preserve">המיקום במתחם </w:t>
      </w:r>
      <w:r w:rsidRPr="00D332B8">
        <w:rPr>
          <w:rFonts w:hint="cs"/>
          <w:b/>
          <w:bCs/>
          <w:u w:val="single"/>
          <w:rtl/>
        </w:rPr>
        <w:t>והחריגה ממנו מטעמי שיקום</w:t>
      </w:r>
    </w:p>
    <w:p w14:paraId="78932208" w14:textId="77777777" w:rsidR="00BB1DB8" w:rsidRDefault="00BB1DB8" w:rsidP="00BB1DB8">
      <w:pPr>
        <w:pStyle w:val="a9"/>
        <w:numPr>
          <w:ilvl w:val="0"/>
          <w:numId w:val="1"/>
        </w:numPr>
        <w:spacing w:line="360" w:lineRule="auto"/>
        <w:jc w:val="both"/>
      </w:pPr>
      <w:r>
        <w:rPr>
          <w:rFonts w:hint="cs"/>
          <w:rtl/>
        </w:rPr>
        <w:t xml:space="preserve">אלמלא השיקולים לזכות הנאשם, עליהם אעמוד להלן, היה מקום, </w:t>
      </w:r>
      <w:r>
        <w:rPr>
          <w:rtl/>
        </w:rPr>
        <w:t xml:space="preserve">נוכח חומרת </w:t>
      </w:r>
      <w:r>
        <w:rPr>
          <w:rFonts w:hint="cs"/>
          <w:rtl/>
        </w:rPr>
        <w:t xml:space="preserve">העבירות והישנותן </w:t>
      </w:r>
      <w:r>
        <w:rPr>
          <w:rtl/>
        </w:rPr>
        <w:t xml:space="preserve">בתכיפות </w:t>
      </w:r>
      <w:r>
        <w:rPr>
          <w:rFonts w:hint="cs"/>
          <w:rtl/>
        </w:rPr>
        <w:t>גבוהה</w:t>
      </w:r>
      <w:r>
        <w:rPr>
          <w:rtl/>
        </w:rPr>
        <w:t xml:space="preserve">, </w:t>
      </w:r>
      <w:r>
        <w:rPr>
          <w:rFonts w:hint="cs"/>
          <w:rtl/>
        </w:rPr>
        <w:t xml:space="preserve">להעמיד את הנאשם בחלק העליון של המתחם לו עתרה המאשימה ולהטיל עליו מאסר בפועל. </w:t>
      </w:r>
    </w:p>
    <w:p w14:paraId="3F8D7C7A" w14:textId="77777777" w:rsidR="00BB1DB8" w:rsidRDefault="00BB1DB8" w:rsidP="00BB1DB8">
      <w:pPr>
        <w:pStyle w:val="a9"/>
        <w:spacing w:line="360" w:lineRule="auto"/>
        <w:ind w:left="360"/>
        <w:jc w:val="both"/>
      </w:pPr>
    </w:p>
    <w:p w14:paraId="31ED19A1" w14:textId="77777777" w:rsidR="00BB1DB8" w:rsidRDefault="00BB1DB8" w:rsidP="00BB1DB8">
      <w:pPr>
        <w:pStyle w:val="a9"/>
        <w:numPr>
          <w:ilvl w:val="0"/>
          <w:numId w:val="1"/>
        </w:numPr>
        <w:spacing w:line="360" w:lineRule="auto"/>
        <w:jc w:val="both"/>
      </w:pPr>
      <w:r>
        <w:rPr>
          <w:rFonts w:hint="cs"/>
          <w:rtl/>
        </w:rPr>
        <w:t xml:space="preserve">סברתי, שהמלצת שירות המבחן בדין יסודה, ואכן הנאשם הוכיח במידה הנדרשת, כי הוא עלה על פסי שיקום, ויש יסוד סביר לכך, שיהיו לו הכוחות להמשיך במסלול חיובי זה. הדבר נלמד מהעובדה שהוא נקי מסמים מאז שנת 2020, ולא ביצע עבירות מאז אותה שנה, ושמר על יציבות תעסוקתית ועל קשר עם גורמי הטיפול. זאת ועוד, על אף שנדון למאסר קצר בפועל לאחר סיום התהליך הטיפולי, הדבר לא גרם לנאשם לחזור לפשוע, אך מעצם מאסרו החוזר, והדבר מלמד כאלף עדים, על החוסן אותו הצליח להשיג. מעבר לכך, להישגים אלו משנה משמעות בהינתן עברו הפלילי המכביד ביותר של הנאשם. ניגוד זה בולט במיוחד נוכח הנסיבות האמורות, וכמובן שיש לזקוף זאת לזכותו של הנאשם. </w:t>
      </w:r>
    </w:p>
    <w:p w14:paraId="6FFD1000" w14:textId="77777777" w:rsidR="00BB1DB8" w:rsidRDefault="00BB1DB8" w:rsidP="00BB1DB8">
      <w:pPr>
        <w:pStyle w:val="a9"/>
        <w:rPr>
          <w:rtl/>
        </w:rPr>
      </w:pPr>
    </w:p>
    <w:p w14:paraId="5A5BBA06" w14:textId="77777777" w:rsidR="00BB1DB8" w:rsidRDefault="00BB1DB8" w:rsidP="00BB1DB8">
      <w:pPr>
        <w:pStyle w:val="a9"/>
        <w:numPr>
          <w:ilvl w:val="0"/>
          <w:numId w:val="1"/>
        </w:numPr>
        <w:spacing w:line="360" w:lineRule="auto"/>
        <w:jc w:val="both"/>
      </w:pPr>
      <w:r>
        <w:rPr>
          <w:rFonts w:hint="cs"/>
          <w:rtl/>
        </w:rPr>
        <w:t>שירות המבחן ציין, כי אין מקום להטיל מאסר ולוּ בעבודות שירות, בשל החשש מפגיעה בתעסוקתו היציבה של הנאשם. המלצה זו מעוררת התלבטות בין הטלת מאסר בעבודות שירות, לבין הטלת של"ץ, וזאת בשל חשיבות התעסוקה הקבועה, כעוגן ממשי להמשך התהליך השיקומי.</w:t>
      </w:r>
    </w:p>
    <w:p w14:paraId="0BFC52EC" w14:textId="77777777" w:rsidR="00BB1DB8" w:rsidRDefault="00BB1DB8" w:rsidP="00BB1DB8">
      <w:pPr>
        <w:pStyle w:val="a9"/>
        <w:rPr>
          <w:rtl/>
        </w:rPr>
      </w:pPr>
    </w:p>
    <w:p w14:paraId="6A05D9EF" w14:textId="77777777" w:rsidR="00BB1DB8" w:rsidRPr="00D332B8" w:rsidRDefault="00BB1DB8" w:rsidP="00BB1DB8">
      <w:pPr>
        <w:pStyle w:val="a9"/>
        <w:numPr>
          <w:ilvl w:val="0"/>
          <w:numId w:val="1"/>
        </w:numPr>
        <w:spacing w:line="360" w:lineRule="auto"/>
        <w:jc w:val="both"/>
      </w:pPr>
      <w:r>
        <w:rPr>
          <w:rFonts w:hint="cs"/>
          <w:rtl/>
        </w:rPr>
        <w:t xml:space="preserve">נוכח זאת, ובהינתן מכלול השיקולים, סברתי כי יש ללכת כברת דרך נוספת עם הנאשם, ולאפשר לו להמשיך ולעבוד, ובכך לעודדו להמשיך לשמור על הישגי השיקום היפים אליהם הגיע ולהנציחם לשארית חייו. לכן, סברתי שהעונש הראוי בנסיבות המקרה, יהיה של"ץ, אם כי בהיקף נרחב מזה עליו הומלץ. בנוסף לכך אטיל על הנאשם קנס, מאסר מותנה וצו מבחן. אציין, כי לצו המבחן חשיבות הרתעתית וטיפולית, שכן כל עוד לא יעמוד הנאשם בצו המבחן, ניתן יהיה לגזור עליו מחדש כל עונש, לרבות מאסר. </w:t>
      </w:r>
    </w:p>
    <w:p w14:paraId="7D869A7C" w14:textId="77777777" w:rsidR="00BB1DB8" w:rsidRDefault="00BB1DB8" w:rsidP="00BB1DB8">
      <w:pPr>
        <w:spacing w:line="360" w:lineRule="auto"/>
        <w:rPr>
          <w:b/>
          <w:bCs/>
          <w:u w:val="single"/>
          <w:rtl/>
        </w:rPr>
      </w:pPr>
    </w:p>
    <w:p w14:paraId="2FE18022" w14:textId="77777777" w:rsidR="00BB1DB8" w:rsidRDefault="00BB1DB8" w:rsidP="00BB1DB8">
      <w:pPr>
        <w:spacing w:line="360" w:lineRule="auto"/>
        <w:rPr>
          <w:b/>
          <w:bCs/>
          <w:u w:val="single"/>
          <w:rtl/>
        </w:rPr>
      </w:pPr>
      <w:r>
        <w:rPr>
          <w:b/>
          <w:bCs/>
          <w:u w:val="single"/>
          <w:rtl/>
        </w:rPr>
        <w:t>גזירת הדין</w:t>
      </w:r>
    </w:p>
    <w:p w14:paraId="78FD6034" w14:textId="77777777" w:rsidR="00BB1DB8" w:rsidRDefault="00BB1DB8" w:rsidP="00BB1DB8">
      <w:pPr>
        <w:pStyle w:val="a9"/>
        <w:numPr>
          <w:ilvl w:val="0"/>
          <w:numId w:val="1"/>
        </w:numPr>
        <w:spacing w:line="360" w:lineRule="auto"/>
        <w:jc w:val="both"/>
        <w:rPr>
          <w:rFonts w:ascii="Arial" w:hAnsi="Arial"/>
        </w:rPr>
      </w:pPr>
      <w:r>
        <w:rPr>
          <w:rFonts w:ascii="Arial" w:hAnsi="Arial"/>
          <w:rtl/>
        </w:rPr>
        <w:t>נוכח כל האמור לעיל, גוזר על הנאשם את העונשים הבאים:</w:t>
      </w:r>
    </w:p>
    <w:p w14:paraId="2B60B283" w14:textId="77777777" w:rsidR="00BB1DB8" w:rsidRPr="00427930" w:rsidRDefault="00BB1DB8" w:rsidP="00BB1DB8">
      <w:pPr>
        <w:pStyle w:val="a9"/>
        <w:numPr>
          <w:ilvl w:val="0"/>
          <w:numId w:val="3"/>
        </w:numPr>
        <w:spacing w:line="360" w:lineRule="auto"/>
        <w:jc w:val="both"/>
        <w:rPr>
          <w:rFonts w:ascii="Arial" w:hAnsi="Arial"/>
        </w:rPr>
      </w:pPr>
      <w:r w:rsidRPr="00427930">
        <w:rPr>
          <w:rFonts w:ascii="Arial" w:hAnsi="Arial"/>
          <w:rtl/>
        </w:rPr>
        <w:t xml:space="preserve">מאסר על תנאי של </w:t>
      </w:r>
      <w:r>
        <w:rPr>
          <w:rFonts w:ascii="Arial" w:hAnsi="Arial" w:hint="cs"/>
          <w:rtl/>
        </w:rPr>
        <w:t xml:space="preserve">6 </w:t>
      </w:r>
      <w:r w:rsidRPr="00427930">
        <w:rPr>
          <w:rFonts w:ascii="Arial" w:hAnsi="Arial"/>
          <w:rtl/>
        </w:rPr>
        <w:t xml:space="preserve">חודשים, שלא יעבור הנאשם </w:t>
      </w:r>
      <w:r>
        <w:rPr>
          <w:rFonts w:ascii="Arial" w:hAnsi="Arial" w:hint="cs"/>
          <w:rtl/>
        </w:rPr>
        <w:t xml:space="preserve">כל עבירת פשע לפי פקודת הסמים </w:t>
      </w:r>
      <w:r w:rsidRPr="00427930">
        <w:rPr>
          <w:rFonts w:ascii="Arial" w:hAnsi="Arial"/>
          <w:rtl/>
        </w:rPr>
        <w:t xml:space="preserve">בתוך </w:t>
      </w:r>
      <w:r>
        <w:rPr>
          <w:rFonts w:ascii="Arial" w:hAnsi="Arial" w:hint="cs"/>
          <w:rtl/>
        </w:rPr>
        <w:t xml:space="preserve">3 </w:t>
      </w:r>
      <w:r w:rsidRPr="00427930">
        <w:rPr>
          <w:rFonts w:ascii="Arial" w:hAnsi="Arial"/>
          <w:rtl/>
        </w:rPr>
        <w:t xml:space="preserve">שנים </w:t>
      </w:r>
      <w:r>
        <w:rPr>
          <w:rFonts w:ascii="Arial" w:hAnsi="Arial" w:hint="cs"/>
          <w:rtl/>
        </w:rPr>
        <w:t>מהיום</w:t>
      </w:r>
      <w:r w:rsidRPr="00427930">
        <w:rPr>
          <w:rFonts w:ascii="Arial" w:hAnsi="Arial"/>
          <w:rtl/>
        </w:rPr>
        <w:t>;</w:t>
      </w:r>
    </w:p>
    <w:p w14:paraId="37AD1CBD" w14:textId="77777777" w:rsidR="00BB1DB8" w:rsidRPr="00427930" w:rsidRDefault="00BB1DB8" w:rsidP="00BB1DB8">
      <w:pPr>
        <w:pStyle w:val="a9"/>
        <w:numPr>
          <w:ilvl w:val="0"/>
          <w:numId w:val="3"/>
        </w:numPr>
        <w:spacing w:line="360" w:lineRule="auto"/>
        <w:jc w:val="both"/>
        <w:rPr>
          <w:rFonts w:ascii="Arial" w:hAnsi="Arial"/>
        </w:rPr>
      </w:pPr>
      <w:r w:rsidRPr="00427930">
        <w:rPr>
          <w:rFonts w:ascii="Arial" w:hAnsi="Arial"/>
          <w:rtl/>
        </w:rPr>
        <w:t xml:space="preserve">מאסר על תנאי של </w:t>
      </w:r>
      <w:r>
        <w:rPr>
          <w:rFonts w:ascii="Arial" w:hAnsi="Arial" w:hint="cs"/>
          <w:rtl/>
        </w:rPr>
        <w:t>חודשיים</w:t>
      </w:r>
      <w:r w:rsidRPr="00427930">
        <w:rPr>
          <w:rFonts w:ascii="Arial" w:hAnsi="Arial"/>
          <w:rtl/>
        </w:rPr>
        <w:t xml:space="preserve">, שלא יעבור הנאשם </w:t>
      </w:r>
      <w:r>
        <w:rPr>
          <w:rFonts w:ascii="Arial" w:hAnsi="Arial" w:hint="cs"/>
          <w:rtl/>
        </w:rPr>
        <w:t xml:space="preserve">כל עבירת עוון לפי פקודת הסמים בתוך </w:t>
      </w:r>
      <w:r w:rsidRPr="00427930">
        <w:rPr>
          <w:rFonts w:ascii="Arial" w:hAnsi="Arial"/>
          <w:rtl/>
        </w:rPr>
        <w:t>שנים מהיום;</w:t>
      </w:r>
    </w:p>
    <w:p w14:paraId="07344DA3" w14:textId="77777777" w:rsidR="00BB1DB8" w:rsidRPr="00427930" w:rsidRDefault="00BB1DB8" w:rsidP="00BB1DB8">
      <w:pPr>
        <w:pStyle w:val="a9"/>
        <w:numPr>
          <w:ilvl w:val="0"/>
          <w:numId w:val="3"/>
        </w:numPr>
        <w:spacing w:line="360" w:lineRule="auto"/>
        <w:jc w:val="both"/>
        <w:rPr>
          <w:rFonts w:ascii="Arial" w:hAnsi="Arial"/>
        </w:rPr>
      </w:pPr>
      <w:r w:rsidRPr="00427930">
        <w:rPr>
          <w:rFonts w:ascii="Arial" w:hAnsi="Arial"/>
          <w:rtl/>
        </w:rPr>
        <w:t>של"ץ בהיקף</w:t>
      </w:r>
      <w:r>
        <w:rPr>
          <w:rFonts w:ascii="Arial" w:hAnsi="Arial" w:hint="cs"/>
          <w:rtl/>
        </w:rPr>
        <w:t xml:space="preserve"> 250 </w:t>
      </w:r>
      <w:r w:rsidRPr="00427930">
        <w:rPr>
          <w:rFonts w:ascii="Arial" w:hAnsi="Arial"/>
          <w:rtl/>
        </w:rPr>
        <w:t xml:space="preserve">שעות שיבוצע בפיקוח שירות המבחן על-פי תוכנית שתוכן על-ידו ותוגש לבית המשפט </w:t>
      </w:r>
      <w:r>
        <w:rPr>
          <w:rFonts w:ascii="Arial" w:hAnsi="Arial" w:hint="cs"/>
          <w:rtl/>
        </w:rPr>
        <w:t>עד ליום 1.3.2024</w:t>
      </w:r>
      <w:r w:rsidRPr="00427930">
        <w:rPr>
          <w:rFonts w:ascii="Arial" w:hAnsi="Arial"/>
          <w:rtl/>
        </w:rPr>
        <w:t>;</w:t>
      </w:r>
    </w:p>
    <w:p w14:paraId="7C932AEC" w14:textId="77777777" w:rsidR="00BB1DB8" w:rsidRPr="00427930" w:rsidRDefault="00BB1DB8" w:rsidP="00BB1DB8">
      <w:pPr>
        <w:pStyle w:val="a9"/>
        <w:numPr>
          <w:ilvl w:val="0"/>
          <w:numId w:val="3"/>
        </w:numPr>
        <w:spacing w:line="360" w:lineRule="auto"/>
        <w:jc w:val="both"/>
        <w:rPr>
          <w:rFonts w:ascii="Arial" w:hAnsi="Arial"/>
        </w:rPr>
      </w:pPr>
      <w:r w:rsidRPr="00427930">
        <w:rPr>
          <w:rFonts w:ascii="Arial" w:hAnsi="Arial"/>
          <w:rtl/>
        </w:rPr>
        <w:t xml:space="preserve">קנס בסך </w:t>
      </w:r>
      <w:r>
        <w:rPr>
          <w:rFonts w:ascii="Arial" w:hAnsi="Arial" w:hint="cs"/>
          <w:rtl/>
        </w:rPr>
        <w:t xml:space="preserve">2,500 </w:t>
      </w:r>
      <w:r w:rsidRPr="00427930">
        <w:rPr>
          <w:rFonts w:ascii="Arial" w:hAnsi="Arial"/>
          <w:rtl/>
        </w:rPr>
        <w:t xml:space="preserve">₪ או </w:t>
      </w:r>
      <w:r>
        <w:rPr>
          <w:rFonts w:ascii="Arial" w:hAnsi="Arial" w:hint="cs"/>
          <w:rtl/>
        </w:rPr>
        <w:t xml:space="preserve">10 </w:t>
      </w:r>
      <w:r w:rsidRPr="00427930">
        <w:rPr>
          <w:rFonts w:ascii="Arial" w:hAnsi="Arial"/>
          <w:rtl/>
        </w:rPr>
        <w:t>ימי מאסר תמורתו אם לא ישולם. הקנס ישולם ב-</w:t>
      </w:r>
      <w:r>
        <w:rPr>
          <w:rFonts w:ascii="Arial" w:hAnsi="Arial" w:hint="cs"/>
          <w:rtl/>
        </w:rPr>
        <w:t xml:space="preserve">10 </w:t>
      </w:r>
      <w:r w:rsidRPr="00427930">
        <w:rPr>
          <w:rFonts w:ascii="Arial" w:hAnsi="Arial"/>
          <w:rtl/>
        </w:rPr>
        <w:t xml:space="preserve">תשלומים שווים ורצופים החל מיום </w:t>
      </w:r>
      <w:r>
        <w:rPr>
          <w:rFonts w:ascii="Arial" w:hAnsi="Arial" w:hint="cs"/>
          <w:rtl/>
        </w:rPr>
        <w:t xml:space="preserve">1.3.2024 </w:t>
      </w:r>
      <w:r w:rsidRPr="00427930">
        <w:rPr>
          <w:rFonts w:ascii="Arial" w:hAnsi="Arial"/>
          <w:rtl/>
        </w:rPr>
        <w:t>ובכל ראשון לחודש רציף ועוקב. לא ישולם מי מהתשלומים במועד, יועמד הקנס לפירעון מיידי;</w:t>
      </w:r>
    </w:p>
    <w:p w14:paraId="34E28F3B" w14:textId="77777777" w:rsidR="00BB1DB8" w:rsidRPr="00427930" w:rsidRDefault="00BB1DB8" w:rsidP="00BB1DB8">
      <w:pPr>
        <w:pStyle w:val="a9"/>
        <w:numPr>
          <w:ilvl w:val="0"/>
          <w:numId w:val="3"/>
        </w:numPr>
        <w:spacing w:line="360" w:lineRule="auto"/>
        <w:jc w:val="both"/>
        <w:rPr>
          <w:rFonts w:ascii="Arial" w:hAnsi="Arial"/>
          <w:rtl/>
        </w:rPr>
      </w:pPr>
      <w:r w:rsidRPr="00427930">
        <w:rPr>
          <w:rFonts w:ascii="Arial" w:hAnsi="Arial"/>
          <w:rtl/>
        </w:rPr>
        <w:t xml:space="preserve">התחייבות בסך </w:t>
      </w:r>
      <w:r>
        <w:rPr>
          <w:rFonts w:ascii="Arial" w:hAnsi="Arial" w:hint="cs"/>
          <w:rtl/>
        </w:rPr>
        <w:t xml:space="preserve">10,000 </w:t>
      </w:r>
      <w:r w:rsidRPr="00427930">
        <w:rPr>
          <w:rFonts w:ascii="Arial" w:hAnsi="Arial"/>
          <w:rtl/>
        </w:rPr>
        <w:t xml:space="preserve">₪ שלא לעבור </w:t>
      </w:r>
      <w:r>
        <w:rPr>
          <w:rFonts w:ascii="Arial" w:hAnsi="Arial" w:hint="cs"/>
          <w:rtl/>
        </w:rPr>
        <w:t xml:space="preserve">כל עבירת פשע לפי פקודת הסמים </w:t>
      </w:r>
      <w:r w:rsidRPr="00427930">
        <w:rPr>
          <w:rFonts w:ascii="Arial" w:hAnsi="Arial"/>
          <w:rtl/>
        </w:rPr>
        <w:t>בתוך שנתיים מהיום;</w:t>
      </w:r>
    </w:p>
    <w:p w14:paraId="729D88B2" w14:textId="77777777" w:rsidR="00BB1DB8" w:rsidRPr="00427930" w:rsidRDefault="00BB1DB8" w:rsidP="00BB1DB8">
      <w:pPr>
        <w:pStyle w:val="a9"/>
        <w:numPr>
          <w:ilvl w:val="0"/>
          <w:numId w:val="3"/>
        </w:numPr>
        <w:spacing w:line="360" w:lineRule="auto"/>
        <w:jc w:val="both"/>
        <w:rPr>
          <w:rFonts w:ascii="Arial" w:hAnsi="Arial"/>
        </w:rPr>
      </w:pPr>
      <w:r w:rsidRPr="00427930">
        <w:rPr>
          <w:rFonts w:ascii="Arial" w:hAnsi="Arial"/>
          <w:rtl/>
        </w:rPr>
        <w:t xml:space="preserve">צו מבחן לתקופה של </w:t>
      </w:r>
      <w:r>
        <w:rPr>
          <w:rFonts w:ascii="Arial" w:hAnsi="Arial" w:hint="cs"/>
          <w:rtl/>
        </w:rPr>
        <w:t xml:space="preserve">18 </w:t>
      </w:r>
      <w:r w:rsidRPr="00427930">
        <w:rPr>
          <w:rFonts w:ascii="Arial" w:hAnsi="Arial"/>
          <w:rtl/>
        </w:rPr>
        <w:t>חודשים</w:t>
      </w:r>
      <w:r>
        <w:rPr>
          <w:rFonts w:ascii="Arial" w:hAnsi="Arial" w:hint="cs"/>
          <w:rtl/>
        </w:rPr>
        <w:t xml:space="preserve"> מהיום</w:t>
      </w:r>
      <w:r w:rsidRPr="00427930">
        <w:rPr>
          <w:rFonts w:ascii="Arial" w:hAnsi="Arial"/>
          <w:rtl/>
        </w:rPr>
        <w:t>, בפיקוח שירות המבחן.</w:t>
      </w:r>
    </w:p>
    <w:p w14:paraId="209212B2" w14:textId="77777777" w:rsidR="00BB1DB8" w:rsidRDefault="00BB1DB8" w:rsidP="00BB1DB8">
      <w:pPr>
        <w:spacing w:line="360" w:lineRule="auto"/>
        <w:jc w:val="both"/>
        <w:rPr>
          <w:rFonts w:ascii="Arial" w:hAnsi="Arial"/>
          <w:rtl/>
        </w:rPr>
      </w:pPr>
    </w:p>
    <w:p w14:paraId="1EE3FE39" w14:textId="77777777" w:rsidR="00BB1DB8" w:rsidRPr="00427930" w:rsidRDefault="00BB1DB8" w:rsidP="00BB1DB8">
      <w:pPr>
        <w:spacing w:line="360" w:lineRule="auto"/>
        <w:jc w:val="both"/>
        <w:rPr>
          <w:rFonts w:ascii="Arial" w:hAnsi="Arial"/>
          <w:b/>
          <w:bCs/>
          <w:rtl/>
        </w:rPr>
      </w:pPr>
      <w:r w:rsidRPr="00427930">
        <w:rPr>
          <w:rFonts w:ascii="Arial" w:hAnsi="Arial" w:hint="cs"/>
          <w:b/>
          <w:bCs/>
          <w:rtl/>
        </w:rPr>
        <w:t>מורה על השמדת הסמים.</w:t>
      </w:r>
    </w:p>
    <w:p w14:paraId="2B9C9618" w14:textId="77777777" w:rsidR="00BB1DB8" w:rsidRPr="00427930" w:rsidRDefault="00BB1DB8" w:rsidP="00BB1DB8">
      <w:pPr>
        <w:spacing w:line="360" w:lineRule="auto"/>
        <w:jc w:val="both"/>
        <w:rPr>
          <w:rFonts w:ascii="Arial" w:hAnsi="Arial"/>
        </w:rPr>
      </w:pPr>
    </w:p>
    <w:p w14:paraId="3136D1D7" w14:textId="77777777" w:rsidR="00BB1DB8" w:rsidRPr="00427930" w:rsidRDefault="00BB1DB8" w:rsidP="00BB1DB8">
      <w:pPr>
        <w:spacing w:line="360" w:lineRule="auto"/>
        <w:jc w:val="both"/>
        <w:rPr>
          <w:rFonts w:ascii="Arial" w:hAnsi="Arial"/>
          <w:b/>
          <w:bCs/>
        </w:rPr>
      </w:pPr>
      <w:r w:rsidRPr="00427930">
        <w:rPr>
          <w:rFonts w:ascii="Arial" w:hAnsi="Arial"/>
          <w:b/>
          <w:bCs/>
          <w:rtl/>
        </w:rPr>
        <w:t xml:space="preserve">תשומת לב לכך שאי ביצוע צו המבחן או צו השל"ץ עלול להוביל להפקעתם ולגזירת העונש מחדש, לרבות הטלת מאסר בפועל. </w:t>
      </w:r>
    </w:p>
    <w:p w14:paraId="1F1CE4A6" w14:textId="77777777" w:rsidR="00BB1DB8" w:rsidRPr="00427930" w:rsidRDefault="00BB1DB8" w:rsidP="00BB1DB8">
      <w:pPr>
        <w:spacing w:line="360" w:lineRule="auto"/>
        <w:jc w:val="both"/>
        <w:rPr>
          <w:rFonts w:ascii="David" w:hAnsi="David"/>
          <w:b/>
          <w:bCs/>
        </w:rPr>
      </w:pPr>
    </w:p>
    <w:p w14:paraId="327C68FB" w14:textId="77777777" w:rsidR="00BB1DB8" w:rsidRPr="00427930" w:rsidRDefault="00BB1DB8" w:rsidP="00BB1DB8">
      <w:pPr>
        <w:spacing w:line="360" w:lineRule="auto"/>
        <w:jc w:val="both"/>
        <w:rPr>
          <w:rFonts w:ascii="David" w:hAnsi="David"/>
          <w:b/>
          <w:bCs/>
          <w:rtl/>
        </w:rPr>
      </w:pPr>
      <w:r w:rsidRPr="00427930">
        <w:rPr>
          <w:rFonts w:ascii="David" w:hAnsi="David"/>
          <w:b/>
          <w:bCs/>
          <w:rtl/>
        </w:rPr>
        <w:t>קנסות ופיצויים ניתן לשלם כעבור 3 ימים מיום מתן גזר הדין בחשבון המרכז לגביית קנסות בדרכים הבאות:</w:t>
      </w:r>
    </w:p>
    <w:p w14:paraId="69D43342" w14:textId="77777777" w:rsidR="00BB1DB8" w:rsidRPr="00427930" w:rsidRDefault="00BB1DB8" w:rsidP="00BB1DB8">
      <w:pPr>
        <w:pStyle w:val="a9"/>
        <w:numPr>
          <w:ilvl w:val="0"/>
          <w:numId w:val="4"/>
        </w:numPr>
        <w:spacing w:line="360" w:lineRule="auto"/>
        <w:jc w:val="both"/>
        <w:rPr>
          <w:rFonts w:ascii="David" w:hAnsi="David"/>
          <w:b/>
          <w:bCs/>
          <w:lang w:bidi="ar-JO"/>
        </w:rPr>
      </w:pPr>
      <w:r w:rsidRPr="00427930">
        <w:rPr>
          <w:rFonts w:ascii="David" w:hAnsi="David"/>
          <w:b/>
          <w:bCs/>
          <w:rtl/>
        </w:rPr>
        <w:t xml:space="preserve">בכרטיס אשראי באתר </w:t>
      </w:r>
      <w:hyperlink r:id="rId21" w:history="1">
        <w:r w:rsidRPr="00427930">
          <w:rPr>
            <w:rStyle w:val="Hyperlink"/>
            <w:rFonts w:ascii="David" w:hAnsi="David"/>
            <w:b/>
            <w:bCs/>
            <w:lang w:bidi="ar-JO"/>
          </w:rPr>
          <w:t>www.eca.gov.il</w:t>
        </w:r>
      </w:hyperlink>
      <w:r w:rsidRPr="00427930">
        <w:rPr>
          <w:rFonts w:ascii="David" w:hAnsi="David"/>
          <w:b/>
          <w:bCs/>
          <w:lang w:bidi="ar-JO"/>
        </w:rPr>
        <w:t xml:space="preserve"> </w:t>
      </w:r>
    </w:p>
    <w:p w14:paraId="0CBF4F29" w14:textId="77777777" w:rsidR="00BB1DB8" w:rsidRPr="00427930" w:rsidRDefault="00BB1DB8" w:rsidP="00BB1DB8">
      <w:pPr>
        <w:pStyle w:val="a9"/>
        <w:numPr>
          <w:ilvl w:val="0"/>
          <w:numId w:val="4"/>
        </w:numPr>
        <w:spacing w:line="360" w:lineRule="auto"/>
        <w:jc w:val="both"/>
        <w:rPr>
          <w:rFonts w:ascii="David" w:hAnsi="David"/>
          <w:b/>
          <w:bCs/>
          <w:rtl/>
        </w:rPr>
      </w:pPr>
      <w:r w:rsidRPr="00427930">
        <w:rPr>
          <w:rFonts w:ascii="David" w:hAnsi="David"/>
          <w:b/>
          <w:bCs/>
          <w:rtl/>
        </w:rPr>
        <w:t>בטלפון: 35592* או 073-2055000</w:t>
      </w:r>
    </w:p>
    <w:p w14:paraId="224C85C1" w14:textId="77777777" w:rsidR="00BB1DB8" w:rsidRPr="00427930" w:rsidRDefault="00BB1DB8" w:rsidP="00BB1DB8">
      <w:pPr>
        <w:pStyle w:val="a9"/>
        <w:numPr>
          <w:ilvl w:val="0"/>
          <w:numId w:val="4"/>
        </w:numPr>
        <w:spacing w:line="360" w:lineRule="auto"/>
        <w:jc w:val="both"/>
        <w:rPr>
          <w:rFonts w:ascii="David" w:hAnsi="David"/>
          <w:b/>
          <w:bCs/>
          <w:rtl/>
        </w:rPr>
      </w:pPr>
      <w:r w:rsidRPr="00427930">
        <w:rPr>
          <w:rFonts w:ascii="David" w:hAnsi="David"/>
          <w:b/>
          <w:bCs/>
          <w:rtl/>
        </w:rPr>
        <w:t>במזומן בכל סניף של בנק הדואר בהצגת תעודת זהות בלבד</w:t>
      </w:r>
    </w:p>
    <w:p w14:paraId="6CB3F6E1" w14:textId="77777777" w:rsidR="00BB1DB8" w:rsidRPr="00427930" w:rsidRDefault="00BB1DB8" w:rsidP="00BB1DB8">
      <w:pPr>
        <w:spacing w:line="360" w:lineRule="auto"/>
        <w:jc w:val="both"/>
        <w:rPr>
          <w:rFonts w:ascii="David" w:hAnsi="David"/>
          <w:b/>
          <w:bCs/>
          <w:rtl/>
        </w:rPr>
      </w:pPr>
      <w:r w:rsidRPr="00427930">
        <w:rPr>
          <w:rFonts w:ascii="David" w:hAnsi="David"/>
          <w:b/>
          <w:bCs/>
          <w:rtl/>
        </w:rPr>
        <w:t>לא יונפקו שוברי תשלום.</w:t>
      </w:r>
    </w:p>
    <w:p w14:paraId="4F1317AA" w14:textId="77777777" w:rsidR="00BB1DB8" w:rsidRPr="00427930" w:rsidRDefault="00BB1DB8" w:rsidP="00BB1DB8">
      <w:pPr>
        <w:spacing w:line="360" w:lineRule="auto"/>
        <w:rPr>
          <w:b/>
          <w:bCs/>
        </w:rPr>
      </w:pPr>
      <w:r w:rsidRPr="00427930">
        <w:rPr>
          <w:b/>
          <w:bCs/>
          <w:rtl/>
        </w:rPr>
        <w:t>תשלומים ניתן לקזז מכל הפקדה שבתיק או בתיק קשור על אף הודעת עיקול, וככל שקיימת יתרת זכות ולא קיים עיקול, ניתן להשיב ההפקדה למפקידים.</w:t>
      </w:r>
    </w:p>
    <w:p w14:paraId="2A7FAD66" w14:textId="77777777" w:rsidR="00BB1DB8" w:rsidRPr="00427930" w:rsidRDefault="00BB1DB8" w:rsidP="00BB1DB8">
      <w:pPr>
        <w:rPr>
          <w:rtl/>
        </w:rPr>
      </w:pPr>
    </w:p>
    <w:p w14:paraId="7F2BF752" w14:textId="77777777" w:rsidR="00BB1DB8" w:rsidRPr="00427930" w:rsidRDefault="00BB1DB8" w:rsidP="00BB1DB8">
      <w:pPr>
        <w:rPr>
          <w:b/>
          <w:bCs/>
        </w:rPr>
      </w:pPr>
      <w:r w:rsidRPr="00427930">
        <w:rPr>
          <w:b/>
          <w:bCs/>
          <w:rtl/>
        </w:rPr>
        <w:t>יש לשלוח לשירות המבחן</w:t>
      </w:r>
      <w:r>
        <w:rPr>
          <w:rFonts w:hint="cs"/>
          <w:b/>
          <w:bCs/>
          <w:rtl/>
        </w:rPr>
        <w:t xml:space="preserve"> ולממונה על עבודות השירות</w:t>
      </w:r>
      <w:r w:rsidRPr="00427930">
        <w:rPr>
          <w:b/>
          <w:bCs/>
          <w:rtl/>
        </w:rPr>
        <w:t>.</w:t>
      </w:r>
    </w:p>
    <w:p w14:paraId="54BBF9C0" w14:textId="77777777" w:rsidR="00BB1DB8" w:rsidRPr="00427930" w:rsidRDefault="00BB1DB8" w:rsidP="00BB1DB8">
      <w:pPr>
        <w:rPr>
          <w:b/>
          <w:bCs/>
          <w:rtl/>
        </w:rPr>
      </w:pPr>
    </w:p>
    <w:p w14:paraId="4A69296B" w14:textId="77777777" w:rsidR="00BB1DB8" w:rsidRPr="00427930" w:rsidRDefault="00CB2AEF" w:rsidP="00BB1DB8">
      <w:pPr>
        <w:rPr>
          <w:b/>
          <w:bCs/>
          <w:rtl/>
        </w:rPr>
      </w:pPr>
      <w:r w:rsidRPr="00CB2AEF">
        <w:rPr>
          <w:b/>
          <w:bCs/>
          <w:color w:val="FFFFFF"/>
          <w:sz w:val="2"/>
          <w:szCs w:val="2"/>
          <w:rtl/>
        </w:rPr>
        <w:t>5129371</w:t>
      </w:r>
      <w:r w:rsidR="00BB1DB8" w:rsidRPr="00427930">
        <w:rPr>
          <w:b/>
          <w:bCs/>
          <w:rtl/>
        </w:rPr>
        <w:t>זכות ערעור כחוק.</w:t>
      </w:r>
    </w:p>
    <w:p w14:paraId="3F66D293" w14:textId="77777777" w:rsidR="00BB1DB8" w:rsidRPr="00CB2AEF" w:rsidRDefault="00CB2AEF" w:rsidP="00BB1DB8">
      <w:pPr>
        <w:spacing w:line="360" w:lineRule="auto"/>
        <w:rPr>
          <w:color w:val="FFFFFF"/>
          <w:sz w:val="2"/>
          <w:szCs w:val="2"/>
          <w:rtl/>
        </w:rPr>
      </w:pPr>
      <w:r w:rsidRPr="00CB2AEF">
        <w:rPr>
          <w:color w:val="FFFFFF"/>
          <w:sz w:val="2"/>
          <w:szCs w:val="2"/>
          <w:rtl/>
        </w:rPr>
        <w:t>54678313</w:t>
      </w:r>
      <w:r w:rsidR="00BB1DB8" w:rsidRPr="00CB2AEF">
        <w:rPr>
          <w:color w:val="FFFFFF"/>
          <w:sz w:val="2"/>
          <w:szCs w:val="2"/>
          <w:rtl/>
        </w:rPr>
        <w:t xml:space="preserve">                                                                                                                                                                                                                                                                        </w:t>
      </w:r>
    </w:p>
    <w:p w14:paraId="66A93009" w14:textId="77777777" w:rsidR="00BB1DB8" w:rsidRPr="00427930" w:rsidRDefault="00CB2AEF" w:rsidP="00CB2AEF">
      <w:pPr>
        <w:jc w:val="center"/>
      </w:pPr>
      <w:bookmarkStart w:id="8" w:name="Nitan"/>
      <w:r>
        <w:rPr>
          <w:rFonts w:ascii="Arial" w:hAnsi="Arial"/>
          <w:b/>
          <w:bCs/>
          <w:rtl/>
        </w:rPr>
        <w:t xml:space="preserve">ניתן היום,  כ"ב טבת תשפ"ד, 03 ינואר 2024, במעמד הצדדים.             </w:t>
      </w:r>
      <w:bookmarkEnd w:id="8"/>
      <w:r w:rsidR="00BB1DB8" w:rsidRPr="00427930">
        <w:rPr>
          <w:rFonts w:ascii="Arial" w:hAnsi="Arial"/>
          <w:b/>
          <w:bCs/>
          <w:rtl/>
        </w:rPr>
        <w:t xml:space="preserve">   </w:t>
      </w:r>
      <w:r w:rsidR="00BB1DB8" w:rsidRPr="00427930">
        <w:rPr>
          <w:rFonts w:ascii="Arial" w:hAnsi="Arial"/>
          <w:b/>
          <w:bCs/>
          <w:rtl/>
        </w:rPr>
        <w:tab/>
      </w:r>
      <w:r w:rsidR="00BB1DB8" w:rsidRPr="00427930">
        <w:rPr>
          <w:rFonts w:ascii="Arial" w:hAnsi="Arial"/>
          <w:b/>
          <w:bCs/>
          <w:rtl/>
        </w:rPr>
        <w:tab/>
      </w:r>
      <w:r w:rsidR="00BB1DB8" w:rsidRPr="00427930">
        <w:rPr>
          <w:rFonts w:ascii="Arial" w:hAnsi="Arial"/>
          <w:b/>
          <w:bCs/>
          <w:rtl/>
        </w:rPr>
        <w:tab/>
      </w:r>
      <w:r w:rsidR="00BB1DB8" w:rsidRPr="00427930">
        <w:rPr>
          <w:rFonts w:ascii="Arial" w:hAnsi="Arial"/>
          <w:b/>
          <w:bCs/>
          <w:rtl/>
        </w:rPr>
        <w:tab/>
      </w:r>
      <w:r w:rsidR="00BB1DB8" w:rsidRPr="00427930">
        <w:rPr>
          <w:rFonts w:ascii="Arial" w:hAnsi="Arial"/>
          <w:b/>
          <w:bCs/>
          <w:rtl/>
        </w:rPr>
        <w:tab/>
      </w:r>
    </w:p>
    <w:p w14:paraId="03A4B2EC" w14:textId="77777777" w:rsidR="00BB1DB8" w:rsidRPr="00427930" w:rsidRDefault="00BB1DB8" w:rsidP="00BB1DB8">
      <w:pPr>
        <w:jc w:val="center"/>
        <w:rPr>
          <w:rFonts w:ascii="Arial" w:hAnsi="Arial"/>
          <w:b/>
          <w:bCs/>
          <w:rtl/>
        </w:rPr>
      </w:pPr>
    </w:p>
    <w:p w14:paraId="6070BF8E" w14:textId="77777777" w:rsidR="00BB1DB8" w:rsidRPr="00427930" w:rsidRDefault="00BB1DB8" w:rsidP="00BB1DB8">
      <w:pPr>
        <w:rPr>
          <w:rFonts w:ascii="Arial" w:hAnsi="Arial"/>
          <w:b/>
          <w:bCs/>
          <w:rtl/>
        </w:rPr>
      </w:pPr>
    </w:p>
    <w:p w14:paraId="607190C9" w14:textId="77777777" w:rsidR="00BB1DB8" w:rsidRPr="000F2247" w:rsidRDefault="00BB1DB8" w:rsidP="00BB1DB8">
      <w:pPr>
        <w:jc w:val="center"/>
        <w:rPr>
          <w:rFonts w:ascii="Arial" w:hAnsi="Arial"/>
          <w:b/>
          <w:bCs/>
          <w:sz w:val="26"/>
          <w:szCs w:val="26"/>
          <w:rtl/>
        </w:rP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t>חתימה</w:t>
      </w:r>
    </w:p>
    <w:p w14:paraId="7FCC65ED" w14:textId="77777777" w:rsidR="00306EC4" w:rsidRPr="00CB2AEF" w:rsidRDefault="00306EC4" w:rsidP="00CB2AEF">
      <w:pPr>
        <w:keepNext/>
        <w:rPr>
          <w:rFonts w:ascii="David" w:hAnsi="David"/>
          <w:color w:val="000000"/>
          <w:sz w:val="22"/>
          <w:szCs w:val="22"/>
          <w:rtl/>
        </w:rPr>
      </w:pPr>
    </w:p>
    <w:p w14:paraId="5F6F3F6A" w14:textId="77777777" w:rsidR="00CB2AEF" w:rsidRPr="00CB2AEF" w:rsidRDefault="00CB2AEF" w:rsidP="00CB2AEF">
      <w:pPr>
        <w:keepNext/>
        <w:rPr>
          <w:rFonts w:ascii="David" w:hAnsi="David"/>
          <w:color w:val="000000"/>
          <w:sz w:val="22"/>
          <w:szCs w:val="22"/>
          <w:rtl/>
        </w:rPr>
      </w:pPr>
      <w:r w:rsidRPr="00CB2AEF">
        <w:rPr>
          <w:rFonts w:ascii="David" w:hAnsi="David"/>
          <w:color w:val="000000"/>
          <w:sz w:val="22"/>
          <w:szCs w:val="22"/>
          <w:rtl/>
        </w:rPr>
        <w:t>דוד שאול גבאי ריכטר 54678313</w:t>
      </w:r>
    </w:p>
    <w:p w14:paraId="49E0AB56" w14:textId="77777777" w:rsidR="00CB2AEF" w:rsidRDefault="00CB2AEF" w:rsidP="00CB2AEF">
      <w:r w:rsidRPr="00CB2AEF">
        <w:rPr>
          <w:color w:val="000000"/>
          <w:rtl/>
        </w:rPr>
        <w:t>נוסח מסמך זה כפוף לשינויי ניסוח ועריכה</w:t>
      </w:r>
    </w:p>
    <w:p w14:paraId="4B19D650" w14:textId="77777777" w:rsidR="00CB2AEF" w:rsidRDefault="00CB2AEF" w:rsidP="00CB2AEF">
      <w:pPr>
        <w:rPr>
          <w:rtl/>
        </w:rPr>
      </w:pPr>
    </w:p>
    <w:p w14:paraId="393F8D42" w14:textId="77777777" w:rsidR="00CB2AEF" w:rsidRDefault="00CB2AEF" w:rsidP="00CB2AEF">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561B00C8" w14:textId="77777777" w:rsidR="00CB2AEF" w:rsidRPr="00CB2AEF" w:rsidRDefault="00CB2AEF" w:rsidP="00CB2AEF">
      <w:pPr>
        <w:jc w:val="center"/>
        <w:rPr>
          <w:color w:val="0000FF"/>
          <w:u w:val="single"/>
        </w:rPr>
      </w:pPr>
    </w:p>
    <w:sectPr w:rsidR="00CB2AEF" w:rsidRPr="00CB2AEF" w:rsidSect="00CB2AEF">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BC733" w14:textId="77777777" w:rsidR="00B70AA8" w:rsidRDefault="00B70AA8" w:rsidP="00644CC6">
      <w:r>
        <w:separator/>
      </w:r>
    </w:p>
  </w:endnote>
  <w:endnote w:type="continuationSeparator" w:id="0">
    <w:p w14:paraId="1B2CB8FB" w14:textId="77777777" w:rsidR="00B70AA8" w:rsidRDefault="00B70AA8" w:rsidP="0064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C3558" w14:textId="77777777" w:rsidR="00CB2AEF" w:rsidRDefault="00CB2AEF" w:rsidP="00CB2A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17578B" w14:textId="77777777" w:rsidR="00991434" w:rsidRPr="00CB2AEF" w:rsidRDefault="00CB2AEF" w:rsidP="00CB2AE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C6DD0" w14:textId="77777777" w:rsidR="00CB2AEF" w:rsidRDefault="00CB2AEF" w:rsidP="00CB2A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6275">
      <w:rPr>
        <w:rFonts w:ascii="FrankRuehl" w:hAnsi="FrankRuehl" w:cs="FrankRuehl"/>
        <w:noProof/>
        <w:rtl/>
      </w:rPr>
      <w:t>1</w:t>
    </w:r>
    <w:r>
      <w:rPr>
        <w:rFonts w:ascii="FrankRuehl" w:hAnsi="FrankRuehl" w:cs="FrankRuehl"/>
        <w:rtl/>
      </w:rPr>
      <w:fldChar w:fldCharType="end"/>
    </w:r>
  </w:p>
  <w:p w14:paraId="6E5DAC1C" w14:textId="77777777" w:rsidR="00991434" w:rsidRPr="00CB2AEF" w:rsidRDefault="00CB2AEF" w:rsidP="00CB2AE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37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CA76E" w14:textId="77777777" w:rsidR="00B70AA8" w:rsidRDefault="00B70AA8" w:rsidP="00644CC6">
      <w:r>
        <w:separator/>
      </w:r>
    </w:p>
  </w:footnote>
  <w:footnote w:type="continuationSeparator" w:id="0">
    <w:p w14:paraId="11D5CA68" w14:textId="77777777" w:rsidR="00B70AA8" w:rsidRDefault="00B70AA8" w:rsidP="00644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02761" w14:textId="77777777" w:rsidR="00CB2AEF" w:rsidRPr="00CB2AEF" w:rsidRDefault="00CB2AEF" w:rsidP="00CB2AE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6434-08-19</w:t>
    </w:r>
    <w:r>
      <w:rPr>
        <w:rFonts w:ascii="David" w:hAnsi="David"/>
        <w:color w:val="000000"/>
        <w:sz w:val="22"/>
        <w:szCs w:val="22"/>
        <w:rtl/>
      </w:rPr>
      <w:tab/>
      <w:t xml:space="preserve"> מדינת ישראל נ' ג'מאל גאווי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FD7D2" w14:textId="77777777" w:rsidR="00CB2AEF" w:rsidRPr="00CB2AEF" w:rsidRDefault="00CB2AEF" w:rsidP="00CB2AE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6434-08-19</w:t>
    </w:r>
    <w:r>
      <w:rPr>
        <w:rFonts w:ascii="David" w:hAnsi="David"/>
        <w:color w:val="000000"/>
        <w:sz w:val="22"/>
        <w:szCs w:val="22"/>
        <w:rtl/>
      </w:rPr>
      <w:tab/>
      <w:t xml:space="preserve"> מדינת ישראל נ' ג'מאל גאווי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3E65E94"/>
    <w:multiLevelType w:val="hybridMultilevel"/>
    <w:tmpl w:val="FD8A43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CE435B8"/>
    <w:multiLevelType w:val="multilevel"/>
    <w:tmpl w:val="EBF829C6"/>
    <w:lvl w:ilvl="0">
      <w:start w:val="1"/>
      <w:numFmt w:val="decimal"/>
      <w:lvlText w:val="%1."/>
      <w:lvlJc w:val="left"/>
      <w:pPr>
        <w:ind w:left="360" w:hanging="360"/>
      </w:pPr>
    </w:lvl>
    <w:lvl w:ilvl="1">
      <w:start w:val="1"/>
      <w:numFmt w:val="hebrew1"/>
      <w:lvlText w:val="%2."/>
      <w:lvlJc w:val="left"/>
      <w:pPr>
        <w:ind w:left="720" w:hanging="360"/>
      </w:pPr>
      <w:rPr>
        <w:rFonts w:ascii="Times New Roman" w:eastAsia="Times New Roman" w:hAnsi="Times New Roman" w:cs="David"/>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766127D4"/>
    <w:multiLevelType w:val="hybridMultilevel"/>
    <w:tmpl w:val="E8BE7068"/>
    <w:lvl w:ilvl="0" w:tplc="16CAC29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24432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98043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78425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2378114">
    <w:abstractNumId w:val="0"/>
  </w:num>
  <w:num w:numId="5" w16cid:durableId="2064136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1DB8"/>
    <w:rsid w:val="000F6275"/>
    <w:rsid w:val="001437CE"/>
    <w:rsid w:val="001B5A3B"/>
    <w:rsid w:val="00306EC4"/>
    <w:rsid w:val="003A3C20"/>
    <w:rsid w:val="00534EC8"/>
    <w:rsid w:val="005F12F5"/>
    <w:rsid w:val="00644CC6"/>
    <w:rsid w:val="00776104"/>
    <w:rsid w:val="00991434"/>
    <w:rsid w:val="00B70AA8"/>
    <w:rsid w:val="00BB1DB8"/>
    <w:rsid w:val="00BC6966"/>
    <w:rsid w:val="00CB2AEF"/>
    <w:rsid w:val="00D2425B"/>
    <w:rsid w:val="00D87C7B"/>
    <w:rsid w:val="00F13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C36271"/>
  <w15:chartTrackingRefBased/>
  <w15:docId w15:val="{BF36B8DF-5437-4845-8721-211DC666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1D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1DB8"/>
    <w:pPr>
      <w:tabs>
        <w:tab w:val="center" w:pos="4153"/>
        <w:tab w:val="right" w:pos="8306"/>
      </w:tabs>
    </w:pPr>
  </w:style>
  <w:style w:type="character" w:customStyle="1" w:styleId="a4">
    <w:name w:val="כותרת עליונה תו"/>
    <w:link w:val="a3"/>
    <w:rsid w:val="00BB1DB8"/>
    <w:rPr>
      <w:rFonts w:ascii="Times New Roman" w:eastAsia="Times New Roman" w:hAnsi="Times New Roman" w:cs="David"/>
      <w:sz w:val="24"/>
      <w:szCs w:val="24"/>
    </w:rPr>
  </w:style>
  <w:style w:type="paragraph" w:styleId="a5">
    <w:name w:val="footer"/>
    <w:basedOn w:val="a"/>
    <w:link w:val="a6"/>
    <w:rsid w:val="00BB1DB8"/>
    <w:pPr>
      <w:tabs>
        <w:tab w:val="center" w:pos="4153"/>
        <w:tab w:val="right" w:pos="8306"/>
      </w:tabs>
    </w:pPr>
  </w:style>
  <w:style w:type="character" w:customStyle="1" w:styleId="a6">
    <w:name w:val="כותרת תחתונה תו"/>
    <w:link w:val="a5"/>
    <w:rsid w:val="00BB1DB8"/>
    <w:rPr>
      <w:rFonts w:ascii="Times New Roman" w:eastAsia="Times New Roman" w:hAnsi="Times New Roman" w:cs="David"/>
      <w:sz w:val="24"/>
      <w:szCs w:val="24"/>
    </w:rPr>
  </w:style>
  <w:style w:type="table" w:styleId="a7">
    <w:name w:val="Table Grid"/>
    <w:basedOn w:val="a1"/>
    <w:rsid w:val="00BB1D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B1DB8"/>
  </w:style>
  <w:style w:type="character" w:styleId="Hyperlink">
    <w:name w:val="Hyperlink"/>
    <w:rsid w:val="00BB1DB8"/>
    <w:rPr>
      <w:color w:val="0000FF"/>
      <w:u w:val="single"/>
    </w:rPr>
  </w:style>
  <w:style w:type="paragraph" w:styleId="a9">
    <w:name w:val="List Paragraph"/>
    <w:basedOn w:val="a"/>
    <w:qFormat/>
    <w:rsid w:val="00BB1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5925268" TargetMode="External"/><Relationship Id="rId18" Type="http://schemas.openxmlformats.org/officeDocument/2006/relationships/hyperlink" Target="http://www.nevo.co.il/case/10459115"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eca.gov.il"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7589322"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6734394" TargetMode="External"/><Relationship Id="rId20" Type="http://schemas.openxmlformats.org/officeDocument/2006/relationships/hyperlink" Target="http://www.nevo.co.il/case/261915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6926677"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yperlink" Target="http://www.nevo.co.il/case/2622045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6395409"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1840</Words>
  <Characters>9203</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11021</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7864368</vt:i4>
      </vt:variant>
      <vt:variant>
        <vt:i4>42</vt:i4>
      </vt:variant>
      <vt:variant>
        <vt:i4>0</vt:i4>
      </vt:variant>
      <vt:variant>
        <vt:i4>5</vt:i4>
      </vt:variant>
      <vt:variant>
        <vt:lpwstr>http://www.eca.gov.il/</vt:lpwstr>
      </vt:variant>
      <vt:variant>
        <vt:lpwstr/>
      </vt:variant>
      <vt:variant>
        <vt:i4>3211390</vt:i4>
      </vt:variant>
      <vt:variant>
        <vt:i4>39</vt:i4>
      </vt:variant>
      <vt:variant>
        <vt:i4>0</vt:i4>
      </vt:variant>
      <vt:variant>
        <vt:i4>5</vt:i4>
      </vt:variant>
      <vt:variant>
        <vt:lpwstr>http://www.nevo.co.il/case/26191532</vt:lpwstr>
      </vt:variant>
      <vt:variant>
        <vt:lpwstr/>
      </vt:variant>
      <vt:variant>
        <vt:i4>3473524</vt:i4>
      </vt:variant>
      <vt:variant>
        <vt:i4>36</vt:i4>
      </vt:variant>
      <vt:variant>
        <vt:i4>0</vt:i4>
      </vt:variant>
      <vt:variant>
        <vt:i4>5</vt:i4>
      </vt:variant>
      <vt:variant>
        <vt:lpwstr>http://www.nevo.co.il/case/26220458</vt:lpwstr>
      </vt:variant>
      <vt:variant>
        <vt:lpwstr/>
      </vt:variant>
      <vt:variant>
        <vt:i4>3997808</vt:i4>
      </vt:variant>
      <vt:variant>
        <vt:i4>33</vt:i4>
      </vt:variant>
      <vt:variant>
        <vt:i4>0</vt:i4>
      </vt:variant>
      <vt:variant>
        <vt:i4>5</vt:i4>
      </vt:variant>
      <vt:variant>
        <vt:lpwstr>http://www.nevo.co.il/case/10459115</vt:lpwstr>
      </vt:variant>
      <vt:variant>
        <vt:lpwstr/>
      </vt:variant>
      <vt:variant>
        <vt:i4>3932280</vt:i4>
      </vt:variant>
      <vt:variant>
        <vt:i4>30</vt:i4>
      </vt:variant>
      <vt:variant>
        <vt:i4>0</vt:i4>
      </vt:variant>
      <vt:variant>
        <vt:i4>5</vt:i4>
      </vt:variant>
      <vt:variant>
        <vt:lpwstr>http://www.nevo.co.il/case/27589322</vt:lpwstr>
      </vt:variant>
      <vt:variant>
        <vt:lpwstr/>
      </vt:variant>
      <vt:variant>
        <vt:i4>3670130</vt:i4>
      </vt:variant>
      <vt:variant>
        <vt:i4>27</vt:i4>
      </vt:variant>
      <vt:variant>
        <vt:i4>0</vt:i4>
      </vt:variant>
      <vt:variant>
        <vt:i4>5</vt:i4>
      </vt:variant>
      <vt:variant>
        <vt:lpwstr>http://www.nevo.co.il/case/26734394</vt:lpwstr>
      </vt:variant>
      <vt:variant>
        <vt:lpwstr/>
      </vt:variant>
      <vt:variant>
        <vt:i4>3801206</vt:i4>
      </vt:variant>
      <vt:variant>
        <vt:i4>24</vt:i4>
      </vt:variant>
      <vt:variant>
        <vt:i4>0</vt:i4>
      </vt:variant>
      <vt:variant>
        <vt:i4>5</vt:i4>
      </vt:variant>
      <vt:variant>
        <vt:lpwstr>http://www.nevo.co.il/case/26926677</vt:lpwstr>
      </vt:variant>
      <vt:variant>
        <vt:lpwstr/>
      </vt:variant>
      <vt:variant>
        <vt:i4>3407999</vt:i4>
      </vt:variant>
      <vt:variant>
        <vt:i4>21</vt:i4>
      </vt:variant>
      <vt:variant>
        <vt:i4>0</vt:i4>
      </vt:variant>
      <vt:variant>
        <vt:i4>5</vt:i4>
      </vt:variant>
      <vt:variant>
        <vt:lpwstr>http://www.nevo.co.il/case/26395409</vt:lpwstr>
      </vt:variant>
      <vt:variant>
        <vt:lpwstr/>
      </vt:variant>
      <vt:variant>
        <vt:i4>3670129</vt:i4>
      </vt:variant>
      <vt:variant>
        <vt:i4>18</vt:i4>
      </vt:variant>
      <vt:variant>
        <vt:i4>0</vt:i4>
      </vt:variant>
      <vt:variant>
        <vt:i4>5</vt:i4>
      </vt:variant>
      <vt:variant>
        <vt:lpwstr>http://www.nevo.co.il/case/25925268</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2025-04-23T00:16:00Z</dcterms:created>
  <dcterms:modified xsi:type="dcterms:W3CDTF">2025-04-23T00:16:00Z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6434;60182;32919</vt:lpwstr>
  </property>
  <property fmtid="{D5CDD505-2E9C-101B-9397-08002B2CF9AE}" pid="6" name="NEWPARTB">
    <vt:lpwstr>08;01;08</vt:lpwstr>
  </property>
  <property fmtid="{D5CDD505-2E9C-101B-9397-08002B2CF9AE}" pid="7" name="NEWPARTC">
    <vt:lpwstr>19;20;20</vt:lpwstr>
  </property>
  <property fmtid="{D5CDD505-2E9C-101B-9397-08002B2CF9AE}" pid="8" name="APPELLANT">
    <vt:lpwstr>מדינת ישראל</vt:lpwstr>
  </property>
  <property fmtid="{D5CDD505-2E9C-101B-9397-08002B2CF9AE}" pid="9" name="APPELLEE">
    <vt:lpwstr>ג'מאל גאווי</vt:lpwstr>
  </property>
  <property fmtid="{D5CDD505-2E9C-101B-9397-08002B2CF9AE}" pid="10" name="LAWYER">
    <vt:lpwstr>פנחס סרי לוי;עאטף פרחאת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20240103</vt:lpwstr>
  </property>
  <property fmtid="{D5CDD505-2E9C-101B-9397-08002B2CF9AE}" pid="14" name="TYPE_N_DATE">
    <vt:lpwstr>38020240103</vt:lpwstr>
  </property>
  <property fmtid="{D5CDD505-2E9C-101B-9397-08002B2CF9AE}" pid="15" name="WORDNUMPAGES">
    <vt:lpwstr>7</vt:lpwstr>
  </property>
  <property fmtid="{D5CDD505-2E9C-101B-9397-08002B2CF9AE}" pid="16" name="TYPE_ABS_DATE">
    <vt:lpwstr>380020240103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25925268;26395409;26926677;26734394;27589322;10459115;26220458;26191532</vt:lpwstr>
  </property>
  <property fmtid="{D5CDD505-2E9C-101B-9397-08002B2CF9AE}" pid="36" name="LAWLISTTMP1">
    <vt:lpwstr>4216/007.a;007.c</vt:lpwstr>
  </property>
</Properties>
</file>