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37946" w14:textId="77777777" w:rsidR="00AD16D2" w:rsidRPr="00AD16D2" w:rsidRDefault="00AD16D2" w:rsidP="00AD16D2">
      <w:pPr>
        <w:pStyle w:val="a3"/>
        <w:rPr>
          <w:rtl/>
        </w:rPr>
      </w:pPr>
      <w:bookmarkStart w:id="0" w:name="LastJudge"/>
    </w:p>
    <w:tbl>
      <w:tblPr>
        <w:bidiVisual/>
        <w:tblW w:w="0" w:type="auto"/>
        <w:jc w:val="center"/>
        <w:tblLook w:val="0000" w:firstRow="0" w:lastRow="0" w:firstColumn="0" w:lastColumn="0" w:noHBand="0" w:noVBand="0"/>
      </w:tblPr>
      <w:tblGrid>
        <w:gridCol w:w="5057"/>
        <w:gridCol w:w="3664"/>
      </w:tblGrid>
      <w:tr w:rsidR="00860E71" w:rsidRPr="00AD16D2" w14:paraId="53E090C8" w14:textId="77777777" w:rsidTr="000E4F8F">
        <w:trPr>
          <w:trHeight w:hRule="exact" w:val="418"/>
          <w:jc w:val="center"/>
        </w:trPr>
        <w:tc>
          <w:tcPr>
            <w:tcW w:w="8721" w:type="dxa"/>
            <w:gridSpan w:val="2"/>
          </w:tcPr>
          <w:p w14:paraId="44002036" w14:textId="77777777" w:rsidR="00860E71" w:rsidRPr="00AD16D2" w:rsidRDefault="00860E71" w:rsidP="00FA58E9">
            <w:pPr>
              <w:pStyle w:val="a3"/>
              <w:jc w:val="center"/>
              <w:rPr>
                <w:rFonts w:ascii="Tahoma" w:hAnsi="Tahoma" w:cs="Tahoma"/>
                <w:color w:val="000080"/>
                <w:rtl/>
              </w:rPr>
            </w:pPr>
            <w:r w:rsidRPr="00AD16D2">
              <w:rPr>
                <w:rFonts w:ascii="Tahoma" w:hAnsi="Tahoma" w:cs="Tahoma"/>
                <w:b/>
                <w:bCs/>
                <w:color w:val="000080"/>
                <w:rtl/>
              </w:rPr>
              <w:t>בית משפט השלום בנצרת</w:t>
            </w:r>
          </w:p>
        </w:tc>
      </w:tr>
      <w:tr w:rsidR="00860E71" w:rsidRPr="00AD16D2" w14:paraId="2CF3A910" w14:textId="77777777" w:rsidTr="000E4F8F">
        <w:trPr>
          <w:trHeight w:val="337"/>
          <w:jc w:val="center"/>
        </w:trPr>
        <w:tc>
          <w:tcPr>
            <w:tcW w:w="5057" w:type="dxa"/>
          </w:tcPr>
          <w:p w14:paraId="691F2856" w14:textId="77777777" w:rsidR="00860E71" w:rsidRPr="00AD16D2" w:rsidRDefault="00860E71" w:rsidP="00FA58E9">
            <w:pPr>
              <w:rPr>
                <w:rFonts w:ascii="David" w:hAnsi="David"/>
                <w:b/>
                <w:bCs/>
                <w:sz w:val="26"/>
                <w:szCs w:val="26"/>
                <w:rtl/>
              </w:rPr>
            </w:pPr>
            <w:r w:rsidRPr="00AD16D2">
              <w:rPr>
                <w:rFonts w:ascii="David" w:hAnsi="David"/>
                <w:b/>
                <w:bCs/>
                <w:sz w:val="26"/>
                <w:szCs w:val="26"/>
                <w:rtl/>
              </w:rPr>
              <w:t>ת"פ 30094-09-19 מדינת ישראל נ' זנטי(עציר)</w:t>
            </w:r>
          </w:p>
        </w:tc>
        <w:tc>
          <w:tcPr>
            <w:tcW w:w="3664" w:type="dxa"/>
          </w:tcPr>
          <w:p w14:paraId="6B5B69B8" w14:textId="77777777" w:rsidR="00860E71" w:rsidRPr="00AD16D2" w:rsidRDefault="00860E71" w:rsidP="00FA58E9">
            <w:pPr>
              <w:pStyle w:val="a3"/>
              <w:jc w:val="right"/>
              <w:rPr>
                <w:rFonts w:cs="FrankRuehl"/>
                <w:sz w:val="28"/>
                <w:szCs w:val="28"/>
                <w:rtl/>
              </w:rPr>
            </w:pPr>
          </w:p>
        </w:tc>
      </w:tr>
    </w:tbl>
    <w:p w14:paraId="1AA98FF9" w14:textId="77777777" w:rsidR="00860E71" w:rsidRPr="00AD16D2" w:rsidRDefault="00860E71" w:rsidP="00860E71">
      <w:pPr>
        <w:pStyle w:val="a3"/>
        <w:rPr>
          <w:rtl/>
        </w:rPr>
      </w:pPr>
      <w:r w:rsidRPr="00AD16D2">
        <w:rPr>
          <w:rFonts w:hint="cs"/>
          <w:rtl/>
        </w:rPr>
        <w:t xml:space="preserve"> </w:t>
      </w:r>
    </w:p>
    <w:p w14:paraId="76051008" w14:textId="77777777" w:rsidR="00860E71" w:rsidRPr="00AD16D2" w:rsidRDefault="00860E71" w:rsidP="00860E71">
      <w:pPr>
        <w:rPr>
          <w:rtl/>
        </w:rPr>
      </w:pPr>
    </w:p>
    <w:p w14:paraId="3B44F52C" w14:textId="77777777" w:rsidR="00860E71" w:rsidRPr="00AD16D2" w:rsidRDefault="00860E71" w:rsidP="00860E7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60E71" w:rsidRPr="00AD16D2" w14:paraId="0BDBF221" w14:textId="77777777" w:rsidTr="00860E71">
        <w:trPr>
          <w:trHeight w:val="295"/>
          <w:jc w:val="center"/>
        </w:trPr>
        <w:tc>
          <w:tcPr>
            <w:tcW w:w="923" w:type="dxa"/>
            <w:tcBorders>
              <w:top w:val="nil"/>
              <w:left w:val="nil"/>
              <w:bottom w:val="nil"/>
              <w:right w:val="nil"/>
            </w:tcBorders>
            <w:shd w:val="clear" w:color="auto" w:fill="auto"/>
          </w:tcPr>
          <w:p w14:paraId="5F7E72F9" w14:textId="77777777" w:rsidR="00860E71" w:rsidRPr="00AD16D2" w:rsidRDefault="00860E71" w:rsidP="00860E71">
            <w:pPr>
              <w:jc w:val="both"/>
              <w:rPr>
                <w:rFonts w:ascii="David" w:hAnsi="David"/>
                <w:b/>
                <w:bCs/>
                <w:sz w:val="26"/>
                <w:szCs w:val="26"/>
              </w:rPr>
            </w:pPr>
            <w:r w:rsidRPr="00AD16D2">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110D9A12" w14:textId="77777777" w:rsidR="00860E71" w:rsidRPr="00AD16D2" w:rsidRDefault="00860E71" w:rsidP="00FA58E9">
            <w:pPr>
              <w:rPr>
                <w:rFonts w:ascii="David" w:hAnsi="David"/>
                <w:b/>
                <w:bCs/>
                <w:sz w:val="26"/>
                <w:szCs w:val="26"/>
                <w:rtl/>
              </w:rPr>
            </w:pPr>
            <w:r w:rsidRPr="00AD16D2">
              <w:rPr>
                <w:rFonts w:ascii="David" w:hAnsi="David"/>
                <w:b/>
                <w:bCs/>
                <w:sz w:val="26"/>
                <w:szCs w:val="26"/>
                <w:rtl/>
              </w:rPr>
              <w:t>כבוד השופטת  רות שפילברג כהן</w:t>
            </w:r>
          </w:p>
          <w:p w14:paraId="51DC4F53" w14:textId="77777777" w:rsidR="00860E71" w:rsidRPr="00AD16D2" w:rsidRDefault="00860E71" w:rsidP="00860E71">
            <w:pPr>
              <w:jc w:val="both"/>
              <w:rPr>
                <w:rFonts w:ascii="David" w:hAnsi="David"/>
                <w:b/>
                <w:bCs/>
                <w:sz w:val="26"/>
                <w:szCs w:val="26"/>
              </w:rPr>
            </w:pPr>
          </w:p>
        </w:tc>
      </w:tr>
      <w:tr w:rsidR="00860E71" w:rsidRPr="00AD16D2" w14:paraId="7F5E0F8F" w14:textId="77777777" w:rsidTr="00860E71">
        <w:trPr>
          <w:trHeight w:val="355"/>
          <w:jc w:val="center"/>
        </w:trPr>
        <w:tc>
          <w:tcPr>
            <w:tcW w:w="923" w:type="dxa"/>
            <w:tcBorders>
              <w:top w:val="nil"/>
              <w:left w:val="nil"/>
              <w:bottom w:val="nil"/>
              <w:right w:val="nil"/>
            </w:tcBorders>
            <w:shd w:val="clear" w:color="auto" w:fill="auto"/>
          </w:tcPr>
          <w:p w14:paraId="0FE4A0B3" w14:textId="77777777" w:rsidR="00860E71" w:rsidRPr="00AD16D2" w:rsidRDefault="00860E71" w:rsidP="00860E71">
            <w:pPr>
              <w:jc w:val="both"/>
              <w:rPr>
                <w:rFonts w:ascii="David" w:hAnsi="David"/>
                <w:b/>
                <w:bCs/>
                <w:sz w:val="26"/>
                <w:szCs w:val="26"/>
              </w:rPr>
            </w:pPr>
            <w:bookmarkStart w:id="1" w:name="FirstAppellant"/>
            <w:r w:rsidRPr="00AD16D2">
              <w:rPr>
                <w:rFonts w:ascii="David" w:hAnsi="David"/>
                <w:b/>
                <w:bCs/>
                <w:sz w:val="26"/>
                <w:szCs w:val="26"/>
                <w:rtl/>
              </w:rPr>
              <w:t>בעניין:</w:t>
            </w:r>
          </w:p>
        </w:tc>
        <w:tc>
          <w:tcPr>
            <w:tcW w:w="4126" w:type="dxa"/>
            <w:tcBorders>
              <w:top w:val="nil"/>
              <w:left w:val="nil"/>
              <w:bottom w:val="nil"/>
              <w:right w:val="nil"/>
            </w:tcBorders>
            <w:shd w:val="clear" w:color="auto" w:fill="auto"/>
          </w:tcPr>
          <w:p w14:paraId="50F5BC28" w14:textId="77777777" w:rsidR="00860E71" w:rsidRPr="00AD16D2" w:rsidRDefault="00860E71" w:rsidP="00FA58E9">
            <w:pPr>
              <w:rPr>
                <w:rFonts w:ascii="David" w:hAnsi="David"/>
                <w:b/>
                <w:bCs/>
                <w:sz w:val="26"/>
                <w:szCs w:val="26"/>
              </w:rPr>
            </w:pPr>
            <w:r w:rsidRPr="00AD16D2">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7E402F28" w14:textId="77777777" w:rsidR="00860E71" w:rsidRPr="00AD16D2" w:rsidRDefault="00860E71" w:rsidP="00860E71">
            <w:pPr>
              <w:jc w:val="both"/>
              <w:rPr>
                <w:rFonts w:ascii="David" w:hAnsi="David"/>
                <w:b/>
                <w:bCs/>
                <w:sz w:val="26"/>
                <w:szCs w:val="26"/>
              </w:rPr>
            </w:pPr>
          </w:p>
        </w:tc>
      </w:tr>
      <w:bookmarkEnd w:id="1"/>
      <w:tr w:rsidR="00860E71" w:rsidRPr="00AD16D2" w14:paraId="5F6A11C7" w14:textId="77777777" w:rsidTr="00860E71">
        <w:trPr>
          <w:trHeight w:val="355"/>
          <w:jc w:val="center"/>
        </w:trPr>
        <w:tc>
          <w:tcPr>
            <w:tcW w:w="923" w:type="dxa"/>
            <w:tcBorders>
              <w:top w:val="nil"/>
              <w:left w:val="nil"/>
              <w:bottom w:val="nil"/>
              <w:right w:val="nil"/>
            </w:tcBorders>
            <w:shd w:val="clear" w:color="auto" w:fill="auto"/>
          </w:tcPr>
          <w:p w14:paraId="5687CEDE" w14:textId="77777777" w:rsidR="00860E71" w:rsidRPr="00AD16D2" w:rsidRDefault="00860E71" w:rsidP="00860E71">
            <w:pPr>
              <w:jc w:val="both"/>
              <w:rPr>
                <w:rFonts w:ascii="David" w:hAnsi="David"/>
                <w:b/>
                <w:bCs/>
                <w:sz w:val="26"/>
                <w:szCs w:val="26"/>
                <w:rtl/>
              </w:rPr>
            </w:pPr>
          </w:p>
        </w:tc>
        <w:tc>
          <w:tcPr>
            <w:tcW w:w="4126" w:type="dxa"/>
            <w:tcBorders>
              <w:top w:val="nil"/>
              <w:left w:val="nil"/>
              <w:bottom w:val="nil"/>
              <w:right w:val="nil"/>
            </w:tcBorders>
            <w:shd w:val="clear" w:color="auto" w:fill="auto"/>
          </w:tcPr>
          <w:p w14:paraId="33180679" w14:textId="77777777" w:rsidR="00860E71" w:rsidRPr="00AD16D2" w:rsidRDefault="00860E71" w:rsidP="00860E71">
            <w:pPr>
              <w:jc w:val="both"/>
              <w:rPr>
                <w:rFonts w:ascii="David" w:hAnsi="David"/>
                <w:b/>
                <w:bCs/>
                <w:sz w:val="26"/>
                <w:szCs w:val="26"/>
                <w:rtl/>
              </w:rPr>
            </w:pPr>
          </w:p>
        </w:tc>
        <w:tc>
          <w:tcPr>
            <w:tcW w:w="3771" w:type="dxa"/>
            <w:tcBorders>
              <w:top w:val="nil"/>
              <w:left w:val="nil"/>
              <w:bottom w:val="nil"/>
              <w:right w:val="nil"/>
            </w:tcBorders>
            <w:shd w:val="clear" w:color="auto" w:fill="auto"/>
          </w:tcPr>
          <w:p w14:paraId="3BBD120B" w14:textId="77777777" w:rsidR="00860E71" w:rsidRPr="00AD16D2" w:rsidRDefault="00860E71" w:rsidP="00860E71">
            <w:pPr>
              <w:jc w:val="right"/>
              <w:rPr>
                <w:rFonts w:ascii="David" w:hAnsi="David"/>
                <w:b/>
                <w:bCs/>
                <w:sz w:val="26"/>
                <w:szCs w:val="26"/>
                <w:rtl/>
              </w:rPr>
            </w:pPr>
            <w:r w:rsidRPr="00AD16D2">
              <w:rPr>
                <w:rFonts w:ascii="David" w:hAnsi="David"/>
                <w:b/>
                <w:bCs/>
                <w:sz w:val="26"/>
                <w:szCs w:val="26"/>
                <w:rtl/>
              </w:rPr>
              <w:t>המאשימה</w:t>
            </w:r>
          </w:p>
        </w:tc>
      </w:tr>
      <w:tr w:rsidR="00860E71" w:rsidRPr="00AD16D2" w14:paraId="14FE6481" w14:textId="77777777" w:rsidTr="00860E71">
        <w:trPr>
          <w:trHeight w:val="355"/>
          <w:jc w:val="center"/>
        </w:trPr>
        <w:tc>
          <w:tcPr>
            <w:tcW w:w="923" w:type="dxa"/>
            <w:tcBorders>
              <w:top w:val="nil"/>
              <w:left w:val="nil"/>
              <w:bottom w:val="nil"/>
              <w:right w:val="nil"/>
            </w:tcBorders>
            <w:shd w:val="clear" w:color="auto" w:fill="auto"/>
          </w:tcPr>
          <w:p w14:paraId="0338DAB6" w14:textId="77777777" w:rsidR="00860E71" w:rsidRPr="00AD16D2" w:rsidRDefault="00860E71" w:rsidP="00860E71">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372B1C4F" w14:textId="77777777" w:rsidR="00860E71" w:rsidRPr="00AD16D2" w:rsidRDefault="00860E71" w:rsidP="00860E71">
            <w:pPr>
              <w:jc w:val="center"/>
              <w:rPr>
                <w:rFonts w:ascii="David" w:hAnsi="David"/>
                <w:b/>
                <w:bCs/>
                <w:sz w:val="26"/>
                <w:szCs w:val="26"/>
                <w:rtl/>
              </w:rPr>
            </w:pPr>
          </w:p>
          <w:p w14:paraId="0BE9D247" w14:textId="77777777" w:rsidR="00860E71" w:rsidRPr="00AD16D2" w:rsidRDefault="00860E71" w:rsidP="00860E71">
            <w:pPr>
              <w:jc w:val="center"/>
              <w:rPr>
                <w:rFonts w:ascii="David" w:hAnsi="David"/>
                <w:b/>
                <w:bCs/>
                <w:sz w:val="26"/>
                <w:szCs w:val="26"/>
                <w:rtl/>
              </w:rPr>
            </w:pPr>
            <w:r w:rsidRPr="00AD16D2">
              <w:rPr>
                <w:rFonts w:ascii="David" w:hAnsi="David"/>
                <w:b/>
                <w:bCs/>
                <w:sz w:val="26"/>
                <w:szCs w:val="26"/>
                <w:rtl/>
              </w:rPr>
              <w:t>נגד</w:t>
            </w:r>
          </w:p>
          <w:p w14:paraId="2434B487" w14:textId="77777777" w:rsidR="00860E71" w:rsidRPr="00AD16D2" w:rsidRDefault="00860E71" w:rsidP="00860E71">
            <w:pPr>
              <w:jc w:val="both"/>
              <w:rPr>
                <w:rFonts w:ascii="David" w:hAnsi="David"/>
                <w:b/>
                <w:bCs/>
                <w:sz w:val="26"/>
                <w:szCs w:val="26"/>
              </w:rPr>
            </w:pPr>
          </w:p>
        </w:tc>
      </w:tr>
      <w:tr w:rsidR="00860E71" w:rsidRPr="00AD16D2" w14:paraId="5915F8B5" w14:textId="77777777" w:rsidTr="00860E71">
        <w:trPr>
          <w:trHeight w:val="355"/>
          <w:jc w:val="center"/>
        </w:trPr>
        <w:tc>
          <w:tcPr>
            <w:tcW w:w="923" w:type="dxa"/>
            <w:tcBorders>
              <w:top w:val="nil"/>
              <w:left w:val="nil"/>
              <w:bottom w:val="nil"/>
              <w:right w:val="nil"/>
            </w:tcBorders>
            <w:shd w:val="clear" w:color="auto" w:fill="auto"/>
          </w:tcPr>
          <w:p w14:paraId="7E626AF2" w14:textId="77777777" w:rsidR="00860E71" w:rsidRPr="00AD16D2" w:rsidRDefault="00860E71" w:rsidP="00FA58E9">
            <w:pPr>
              <w:rPr>
                <w:rFonts w:ascii="David" w:hAnsi="David"/>
                <w:b/>
                <w:bCs/>
                <w:sz w:val="26"/>
                <w:szCs w:val="26"/>
                <w:rtl/>
              </w:rPr>
            </w:pPr>
          </w:p>
        </w:tc>
        <w:tc>
          <w:tcPr>
            <w:tcW w:w="4126" w:type="dxa"/>
            <w:tcBorders>
              <w:top w:val="nil"/>
              <w:left w:val="nil"/>
              <w:bottom w:val="nil"/>
              <w:right w:val="nil"/>
            </w:tcBorders>
            <w:shd w:val="clear" w:color="auto" w:fill="auto"/>
          </w:tcPr>
          <w:p w14:paraId="20ADCE10" w14:textId="77777777" w:rsidR="00860E71" w:rsidRPr="00AD16D2" w:rsidRDefault="00860E71" w:rsidP="00FA58E9">
            <w:pPr>
              <w:rPr>
                <w:rFonts w:ascii="David" w:hAnsi="David"/>
                <w:b/>
                <w:bCs/>
                <w:sz w:val="26"/>
                <w:szCs w:val="26"/>
                <w:rtl/>
              </w:rPr>
            </w:pPr>
            <w:r w:rsidRPr="00AD16D2">
              <w:rPr>
                <w:rFonts w:ascii="David" w:hAnsi="David"/>
                <w:b/>
                <w:bCs/>
                <w:sz w:val="26"/>
                <w:szCs w:val="26"/>
                <w:rtl/>
              </w:rPr>
              <w:t xml:space="preserve">שרון זנטי </w:t>
            </w:r>
          </w:p>
        </w:tc>
        <w:tc>
          <w:tcPr>
            <w:tcW w:w="3771" w:type="dxa"/>
            <w:tcBorders>
              <w:top w:val="nil"/>
              <w:left w:val="nil"/>
              <w:bottom w:val="nil"/>
              <w:right w:val="nil"/>
            </w:tcBorders>
            <w:shd w:val="clear" w:color="auto" w:fill="auto"/>
          </w:tcPr>
          <w:p w14:paraId="46C6F0F0" w14:textId="77777777" w:rsidR="00860E71" w:rsidRPr="00AD16D2" w:rsidRDefault="00860E71" w:rsidP="00860E71">
            <w:pPr>
              <w:jc w:val="right"/>
              <w:rPr>
                <w:rFonts w:ascii="David" w:hAnsi="David"/>
                <w:b/>
                <w:bCs/>
                <w:sz w:val="26"/>
                <w:szCs w:val="26"/>
              </w:rPr>
            </w:pPr>
          </w:p>
        </w:tc>
      </w:tr>
      <w:tr w:rsidR="00860E71" w:rsidRPr="00AD16D2" w14:paraId="22579475" w14:textId="77777777" w:rsidTr="00860E71">
        <w:trPr>
          <w:trHeight w:val="355"/>
          <w:jc w:val="center"/>
        </w:trPr>
        <w:tc>
          <w:tcPr>
            <w:tcW w:w="923" w:type="dxa"/>
            <w:tcBorders>
              <w:top w:val="nil"/>
              <w:left w:val="nil"/>
              <w:bottom w:val="nil"/>
              <w:right w:val="nil"/>
            </w:tcBorders>
            <w:shd w:val="clear" w:color="auto" w:fill="auto"/>
          </w:tcPr>
          <w:p w14:paraId="3AF32992" w14:textId="77777777" w:rsidR="00860E71" w:rsidRPr="00AD16D2" w:rsidRDefault="00860E71" w:rsidP="00860E71">
            <w:pPr>
              <w:jc w:val="both"/>
              <w:rPr>
                <w:rFonts w:ascii="David" w:hAnsi="David"/>
                <w:b/>
                <w:bCs/>
                <w:sz w:val="26"/>
                <w:szCs w:val="26"/>
                <w:rtl/>
              </w:rPr>
            </w:pPr>
          </w:p>
        </w:tc>
        <w:tc>
          <w:tcPr>
            <w:tcW w:w="4126" w:type="dxa"/>
            <w:tcBorders>
              <w:top w:val="nil"/>
              <w:left w:val="nil"/>
              <w:bottom w:val="nil"/>
              <w:right w:val="nil"/>
            </w:tcBorders>
            <w:shd w:val="clear" w:color="auto" w:fill="auto"/>
          </w:tcPr>
          <w:p w14:paraId="1D8E9C82" w14:textId="77777777" w:rsidR="00860E71" w:rsidRPr="00AD16D2" w:rsidRDefault="00860E71" w:rsidP="00860E71">
            <w:pPr>
              <w:jc w:val="both"/>
              <w:rPr>
                <w:rFonts w:ascii="David" w:hAnsi="David"/>
                <w:b/>
                <w:bCs/>
                <w:sz w:val="26"/>
                <w:szCs w:val="26"/>
                <w:rtl/>
              </w:rPr>
            </w:pPr>
          </w:p>
        </w:tc>
        <w:tc>
          <w:tcPr>
            <w:tcW w:w="3771" w:type="dxa"/>
            <w:tcBorders>
              <w:top w:val="nil"/>
              <w:left w:val="nil"/>
              <w:bottom w:val="nil"/>
              <w:right w:val="nil"/>
            </w:tcBorders>
            <w:shd w:val="clear" w:color="auto" w:fill="auto"/>
          </w:tcPr>
          <w:p w14:paraId="0316F23C" w14:textId="77777777" w:rsidR="00860E71" w:rsidRPr="00AD16D2" w:rsidRDefault="00860E71" w:rsidP="00860E71">
            <w:pPr>
              <w:jc w:val="right"/>
              <w:rPr>
                <w:rFonts w:ascii="David" w:hAnsi="David"/>
                <w:b/>
                <w:bCs/>
                <w:sz w:val="26"/>
                <w:szCs w:val="26"/>
              </w:rPr>
            </w:pPr>
            <w:r w:rsidRPr="00AD16D2">
              <w:rPr>
                <w:rFonts w:ascii="David" w:hAnsi="David"/>
                <w:b/>
                <w:bCs/>
                <w:sz w:val="26"/>
                <w:szCs w:val="26"/>
                <w:rtl/>
              </w:rPr>
              <w:t>הנאשמים</w:t>
            </w:r>
          </w:p>
        </w:tc>
      </w:tr>
    </w:tbl>
    <w:p w14:paraId="14E709E0" w14:textId="77777777" w:rsidR="00AD16D2" w:rsidRPr="00AD16D2" w:rsidRDefault="00AD16D2" w:rsidP="00AD16D2">
      <w:pPr>
        <w:spacing w:after="120" w:line="240" w:lineRule="exact"/>
        <w:ind w:left="283" w:hanging="283"/>
        <w:jc w:val="both"/>
        <w:rPr>
          <w:rFonts w:ascii="FrankRuehl" w:hAnsi="FrankRuehl" w:cs="FrankRuehl"/>
          <w:rtl/>
        </w:rPr>
      </w:pPr>
    </w:p>
    <w:p w14:paraId="7E7297C9" w14:textId="77777777" w:rsidR="000E4F8F" w:rsidRPr="000E4F8F" w:rsidRDefault="000E4F8F" w:rsidP="000E4F8F">
      <w:pPr>
        <w:spacing w:before="120" w:after="120" w:line="240" w:lineRule="exact"/>
        <w:ind w:left="283" w:hanging="283"/>
        <w:jc w:val="both"/>
        <w:rPr>
          <w:rFonts w:ascii="FrankRuehl" w:hAnsi="FrankRuehl" w:cs="FrankRuehl"/>
        </w:rPr>
      </w:pPr>
      <w:bookmarkStart w:id="2" w:name="LawTable"/>
      <w:bookmarkEnd w:id="2"/>
      <w:r w:rsidRPr="000E4F8F">
        <w:rPr>
          <w:rFonts w:ascii="FrankRuehl" w:hAnsi="FrankRuehl" w:cs="FrankRuehl"/>
          <w:rtl/>
        </w:rPr>
        <w:t xml:space="preserve">חקיקה שאוזכרה: </w:t>
      </w:r>
    </w:p>
    <w:p w14:paraId="0D35E9D1" w14:textId="77777777" w:rsidR="000E4F8F" w:rsidRPr="000E4F8F" w:rsidRDefault="000E4F8F" w:rsidP="000E4F8F">
      <w:pPr>
        <w:spacing w:before="120" w:after="120" w:line="240" w:lineRule="exact"/>
        <w:ind w:left="283" w:hanging="283"/>
        <w:jc w:val="both"/>
        <w:rPr>
          <w:rFonts w:ascii="FrankRuehl" w:hAnsi="FrankRuehl" w:cs="FrankRuehl"/>
        </w:rPr>
      </w:pPr>
      <w:hyperlink r:id="rId6" w:history="1">
        <w:r w:rsidRPr="000E4F8F">
          <w:rPr>
            <w:rFonts w:ascii="FrankRuehl" w:hAnsi="FrankRuehl" w:cs="FrankRuehl"/>
            <w:color w:val="0000FF"/>
            <w:u w:val="single"/>
            <w:rtl/>
          </w:rPr>
          <w:t>פקודת הסמים המסוכנים [נוסח חדש], תשל"ג-1973</w:t>
        </w:r>
      </w:hyperlink>
      <w:r w:rsidRPr="000E4F8F">
        <w:rPr>
          <w:rFonts w:ascii="FrankRuehl" w:hAnsi="FrankRuehl" w:cs="FrankRuehl"/>
        </w:rPr>
        <w:t xml:space="preserve">: </w:t>
      </w:r>
      <w:r w:rsidRPr="000E4F8F">
        <w:rPr>
          <w:rFonts w:ascii="FrankRuehl" w:hAnsi="FrankRuehl" w:cs="FrankRuehl"/>
          <w:rtl/>
        </w:rPr>
        <w:t>סע</w:t>
      </w:r>
      <w:r w:rsidRPr="000E4F8F">
        <w:rPr>
          <w:rFonts w:ascii="FrankRuehl" w:hAnsi="FrankRuehl" w:cs="FrankRuehl"/>
        </w:rPr>
        <w:t xml:space="preserve">'  </w:t>
      </w:r>
      <w:hyperlink r:id="rId7" w:history="1">
        <w:r w:rsidRPr="000E4F8F">
          <w:rPr>
            <w:rFonts w:ascii="FrankRuehl" w:hAnsi="FrankRuehl" w:cs="FrankRuehl"/>
            <w:color w:val="0000FF"/>
            <w:u w:val="single"/>
          </w:rPr>
          <w:t>6</w:t>
        </w:r>
      </w:hyperlink>
      <w:r w:rsidRPr="000E4F8F">
        <w:rPr>
          <w:rFonts w:ascii="FrankRuehl" w:hAnsi="FrankRuehl" w:cs="FrankRuehl"/>
        </w:rPr>
        <w:t xml:space="preserve">, </w:t>
      </w:r>
      <w:hyperlink r:id="rId8" w:history="1">
        <w:r w:rsidRPr="000E4F8F">
          <w:rPr>
            <w:rFonts w:ascii="FrankRuehl" w:hAnsi="FrankRuehl" w:cs="FrankRuehl"/>
            <w:color w:val="0000FF"/>
            <w:u w:val="single"/>
          </w:rPr>
          <w:t>7(</w:t>
        </w:r>
        <w:r w:rsidRPr="000E4F8F">
          <w:rPr>
            <w:rFonts w:ascii="FrankRuehl" w:hAnsi="FrankRuehl" w:cs="FrankRuehl"/>
            <w:color w:val="0000FF"/>
            <w:u w:val="single"/>
            <w:rtl/>
          </w:rPr>
          <w:t>א</w:t>
        </w:r>
        <w:r w:rsidRPr="000E4F8F">
          <w:rPr>
            <w:rFonts w:ascii="FrankRuehl" w:hAnsi="FrankRuehl" w:cs="FrankRuehl"/>
            <w:color w:val="0000FF"/>
            <w:u w:val="single"/>
          </w:rPr>
          <w:t>)</w:t>
        </w:r>
      </w:hyperlink>
      <w:r w:rsidRPr="000E4F8F">
        <w:rPr>
          <w:rFonts w:ascii="FrankRuehl" w:hAnsi="FrankRuehl" w:cs="FrankRuehl"/>
        </w:rPr>
        <w:t xml:space="preserve">, </w:t>
      </w:r>
      <w:hyperlink r:id="rId9" w:history="1">
        <w:r w:rsidRPr="000E4F8F">
          <w:rPr>
            <w:rFonts w:ascii="FrankRuehl" w:hAnsi="FrankRuehl" w:cs="FrankRuehl"/>
            <w:color w:val="0000FF"/>
            <w:u w:val="single"/>
          </w:rPr>
          <w:t>7(</w:t>
        </w:r>
        <w:r w:rsidRPr="000E4F8F">
          <w:rPr>
            <w:rFonts w:ascii="FrankRuehl" w:hAnsi="FrankRuehl" w:cs="FrankRuehl"/>
            <w:color w:val="0000FF"/>
            <w:u w:val="single"/>
            <w:rtl/>
          </w:rPr>
          <w:t>ג</w:t>
        </w:r>
        <w:r w:rsidRPr="000E4F8F">
          <w:rPr>
            <w:rFonts w:ascii="FrankRuehl" w:hAnsi="FrankRuehl" w:cs="FrankRuehl"/>
            <w:color w:val="0000FF"/>
            <w:u w:val="single"/>
          </w:rPr>
          <w:t>)</w:t>
        </w:r>
      </w:hyperlink>
    </w:p>
    <w:p w14:paraId="6857AAB3" w14:textId="77777777" w:rsidR="00860E71" w:rsidRPr="000E4F8F" w:rsidRDefault="00860E71" w:rsidP="000E4F8F">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60E71" w14:paraId="311A486D" w14:textId="77777777" w:rsidTr="00860E71">
        <w:trPr>
          <w:trHeight w:val="355"/>
          <w:jc w:val="center"/>
        </w:trPr>
        <w:tc>
          <w:tcPr>
            <w:tcW w:w="8820" w:type="dxa"/>
            <w:tcBorders>
              <w:top w:val="nil"/>
              <w:left w:val="nil"/>
              <w:bottom w:val="nil"/>
              <w:right w:val="nil"/>
            </w:tcBorders>
            <w:shd w:val="clear" w:color="auto" w:fill="auto"/>
          </w:tcPr>
          <w:p w14:paraId="063C8294" w14:textId="77777777" w:rsidR="00AD16D2" w:rsidRPr="00AD16D2" w:rsidRDefault="00AD16D2" w:rsidP="00AD16D2">
            <w:pPr>
              <w:jc w:val="center"/>
              <w:rPr>
                <w:rFonts w:ascii="Arial" w:hAnsi="Arial" w:cs="FrankRuehl"/>
                <w:b/>
                <w:bCs/>
                <w:sz w:val="32"/>
                <w:szCs w:val="32"/>
                <w:u w:val="single"/>
                <w:rtl/>
              </w:rPr>
            </w:pPr>
            <w:bookmarkStart w:id="4" w:name="PsakDin" w:colFirst="0" w:colLast="0"/>
            <w:bookmarkEnd w:id="0"/>
            <w:r w:rsidRPr="00AD16D2">
              <w:rPr>
                <w:rFonts w:ascii="Arial" w:hAnsi="Arial" w:cs="FrankRuehl"/>
                <w:b/>
                <w:bCs/>
                <w:sz w:val="32"/>
                <w:szCs w:val="32"/>
                <w:u w:val="single"/>
                <w:rtl/>
              </w:rPr>
              <w:t>גזר-דין</w:t>
            </w:r>
          </w:p>
          <w:p w14:paraId="5A6A0A4E" w14:textId="77777777" w:rsidR="00860E71" w:rsidRPr="00AD16D2" w:rsidRDefault="00860E71" w:rsidP="00AD16D2">
            <w:pPr>
              <w:jc w:val="center"/>
              <w:rPr>
                <w:rFonts w:ascii="Arial" w:hAnsi="Arial" w:cs="FrankRuehl"/>
                <w:bCs/>
                <w:sz w:val="32"/>
                <w:szCs w:val="32"/>
                <w:u w:val="single"/>
                <w:rtl/>
              </w:rPr>
            </w:pPr>
          </w:p>
        </w:tc>
      </w:tr>
      <w:bookmarkEnd w:id="4"/>
    </w:tbl>
    <w:p w14:paraId="58593B43" w14:textId="77777777" w:rsidR="00860E71" w:rsidRPr="00B05847" w:rsidRDefault="00860E71" w:rsidP="00860E71">
      <w:pPr>
        <w:spacing w:line="360" w:lineRule="auto"/>
        <w:rPr>
          <w:rFonts w:ascii="Arial" w:hAnsi="Arial"/>
          <w:rtl/>
        </w:rPr>
      </w:pPr>
    </w:p>
    <w:p w14:paraId="724365FC" w14:textId="77777777" w:rsidR="00860E71" w:rsidRDefault="00860E71" w:rsidP="00860E71">
      <w:pPr>
        <w:spacing w:line="360" w:lineRule="auto"/>
        <w:jc w:val="both"/>
        <w:rPr>
          <w:b/>
          <w:bCs/>
          <w:u w:val="single"/>
        </w:rPr>
      </w:pPr>
      <w:r>
        <w:rPr>
          <w:rFonts w:hint="cs"/>
          <w:b/>
          <w:bCs/>
          <w:u w:val="single"/>
          <w:rtl/>
        </w:rPr>
        <w:t xml:space="preserve">כתב אישום ורקע </w:t>
      </w:r>
    </w:p>
    <w:p w14:paraId="1EAC5CED" w14:textId="77777777" w:rsidR="00860E71" w:rsidRDefault="00860E71" w:rsidP="00860E71">
      <w:pPr>
        <w:spacing w:line="360" w:lineRule="auto"/>
        <w:jc w:val="both"/>
        <w:rPr>
          <w:b/>
          <w:bCs/>
          <w:u w:val="single"/>
        </w:rPr>
      </w:pPr>
    </w:p>
    <w:p w14:paraId="5575A49F" w14:textId="77777777" w:rsidR="00860E71" w:rsidRDefault="00860E71" w:rsidP="00860E71">
      <w:pPr>
        <w:spacing w:line="360" w:lineRule="auto"/>
        <w:ind w:left="720" w:hanging="720"/>
        <w:contextualSpacing/>
        <w:jc w:val="both"/>
      </w:pPr>
      <w:r>
        <w:rPr>
          <w:rFonts w:hint="cs"/>
          <w:rtl/>
        </w:rPr>
        <w:t>1.</w:t>
      </w:r>
      <w:r>
        <w:rPr>
          <w:rFonts w:hint="cs"/>
          <w:rtl/>
        </w:rPr>
        <w:tab/>
      </w:r>
      <w:bookmarkStart w:id="5" w:name="ABSTRACT_START"/>
      <w:bookmarkEnd w:id="5"/>
      <w:r>
        <w:rPr>
          <w:rFonts w:hint="cs"/>
          <w:rtl/>
        </w:rPr>
        <w:t xml:space="preserve">הנאשם הורשע על פי הודאתו בעבירות של </w:t>
      </w:r>
      <w:r>
        <w:rPr>
          <w:rFonts w:hint="cs"/>
          <w:b/>
          <w:bCs/>
          <w:rtl/>
        </w:rPr>
        <w:t xml:space="preserve">גידול סם מסוכן </w:t>
      </w:r>
      <w:r>
        <w:rPr>
          <w:rFonts w:hint="cs"/>
          <w:rtl/>
        </w:rPr>
        <w:t xml:space="preserve">לפי </w:t>
      </w:r>
      <w:hyperlink r:id="rId10" w:history="1">
        <w:r w:rsidR="000E4F8F" w:rsidRPr="000E4F8F">
          <w:rPr>
            <w:color w:val="0000FF"/>
            <w:u w:val="single"/>
            <w:rtl/>
          </w:rPr>
          <w:t>סעיף 6</w:t>
        </w:r>
      </w:hyperlink>
      <w:r>
        <w:rPr>
          <w:rFonts w:hint="cs"/>
          <w:rtl/>
        </w:rPr>
        <w:t xml:space="preserve"> ל</w:t>
      </w:r>
      <w:hyperlink r:id="rId11" w:history="1">
        <w:r w:rsidR="00AD16D2" w:rsidRPr="00AD16D2">
          <w:rPr>
            <w:color w:val="0000FF"/>
            <w:u w:val="single"/>
            <w:rtl/>
          </w:rPr>
          <w:t>פקודת הסמים המסוכנים</w:t>
        </w:r>
      </w:hyperlink>
      <w:r>
        <w:rPr>
          <w:rFonts w:hint="cs"/>
          <w:rtl/>
        </w:rPr>
        <w:t xml:space="preserve"> (נוסח חדש), תשל"ג-1973, </w:t>
      </w:r>
      <w:r>
        <w:rPr>
          <w:rFonts w:hint="cs"/>
          <w:b/>
          <w:bCs/>
          <w:rtl/>
        </w:rPr>
        <w:t>החזקה ושימוש בסמים מסוכנים שלא לצריכה עצמית</w:t>
      </w:r>
      <w:r>
        <w:rPr>
          <w:rFonts w:hint="cs"/>
          <w:rtl/>
        </w:rPr>
        <w:t>,</w:t>
      </w:r>
      <w:r>
        <w:rPr>
          <w:rFonts w:hint="cs"/>
          <w:b/>
          <w:bCs/>
          <w:rtl/>
        </w:rPr>
        <w:t xml:space="preserve"> </w:t>
      </w:r>
      <w:r>
        <w:rPr>
          <w:rFonts w:hint="cs"/>
          <w:rtl/>
        </w:rPr>
        <w:t xml:space="preserve">לפי </w:t>
      </w:r>
      <w:hyperlink r:id="rId12" w:history="1">
        <w:r w:rsidR="000E4F8F" w:rsidRPr="000E4F8F">
          <w:rPr>
            <w:color w:val="0000FF"/>
            <w:u w:val="single"/>
            <w:rtl/>
          </w:rPr>
          <w:t>סעיפים 7(א)</w:t>
        </w:r>
      </w:hyperlink>
      <w:r>
        <w:rPr>
          <w:rFonts w:hint="cs"/>
          <w:rtl/>
        </w:rPr>
        <w:t xml:space="preserve"> ו-</w:t>
      </w:r>
      <w:hyperlink r:id="rId13" w:history="1">
        <w:r w:rsidR="000E4F8F" w:rsidRPr="000E4F8F">
          <w:rPr>
            <w:color w:val="0000FF"/>
            <w:u w:val="single"/>
            <w:rtl/>
          </w:rPr>
          <w:t>7(ג)</w:t>
        </w:r>
      </w:hyperlink>
      <w:r>
        <w:rPr>
          <w:rFonts w:hint="cs"/>
          <w:rtl/>
        </w:rPr>
        <w:t xml:space="preserve"> רישא לפקודה, </w:t>
      </w:r>
      <w:r>
        <w:rPr>
          <w:rFonts w:hint="cs"/>
          <w:b/>
          <w:bCs/>
          <w:rtl/>
        </w:rPr>
        <w:t>והחזקה ושימוש בסמים מסוכנים לצריכה עצמית</w:t>
      </w:r>
      <w:r>
        <w:rPr>
          <w:rFonts w:hint="cs"/>
          <w:rtl/>
        </w:rPr>
        <w:t xml:space="preserve">, לפי סעיפים </w:t>
      </w:r>
      <w:hyperlink r:id="rId14" w:history="1">
        <w:r w:rsidR="000E4F8F" w:rsidRPr="000E4F8F">
          <w:rPr>
            <w:color w:val="0000FF"/>
            <w:u w:val="single"/>
            <w:rtl/>
          </w:rPr>
          <w:t>7(א)</w:t>
        </w:r>
      </w:hyperlink>
      <w:r>
        <w:rPr>
          <w:rFonts w:hint="cs"/>
          <w:rtl/>
        </w:rPr>
        <w:t xml:space="preserve"> ו-</w:t>
      </w:r>
      <w:hyperlink r:id="rId15" w:history="1">
        <w:r w:rsidR="000E4F8F" w:rsidRPr="000E4F8F">
          <w:rPr>
            <w:color w:val="0000FF"/>
            <w:u w:val="single"/>
            <w:rtl/>
          </w:rPr>
          <w:t>7(ג)</w:t>
        </w:r>
      </w:hyperlink>
      <w:r>
        <w:rPr>
          <w:rFonts w:hint="cs"/>
          <w:rtl/>
        </w:rPr>
        <w:t xml:space="preserve"> סיפא לפקודה. </w:t>
      </w:r>
    </w:p>
    <w:p w14:paraId="1D394E44" w14:textId="77777777" w:rsidR="00860E71" w:rsidRDefault="00860E71" w:rsidP="00860E71">
      <w:pPr>
        <w:spacing w:line="360" w:lineRule="auto"/>
        <w:ind w:left="720" w:hanging="720"/>
        <w:contextualSpacing/>
        <w:jc w:val="both"/>
      </w:pPr>
      <w:bookmarkStart w:id="6" w:name="ABSTRACT_END"/>
      <w:bookmarkEnd w:id="6"/>
    </w:p>
    <w:p w14:paraId="3A7C4CC3" w14:textId="77777777" w:rsidR="00860E71" w:rsidRDefault="00860E71" w:rsidP="00860E71">
      <w:pPr>
        <w:spacing w:line="360" w:lineRule="auto"/>
        <w:ind w:left="720" w:hanging="720"/>
        <w:contextualSpacing/>
        <w:jc w:val="both"/>
        <w:rPr>
          <w:rtl/>
        </w:rPr>
      </w:pPr>
      <w:r>
        <w:rPr>
          <w:rFonts w:hint="cs"/>
          <w:rtl/>
        </w:rPr>
        <w:t>2.</w:t>
      </w:r>
      <w:r>
        <w:rPr>
          <w:rFonts w:hint="cs"/>
          <w:rtl/>
        </w:rPr>
        <w:tab/>
        <w:t xml:space="preserve">בהתאם לכתב האישום, הנאשם שכר דירה בנוף הגליל, כדי להקים זה מעבדת סמים. הנאשם החליף את מנעול הדלת (צילינדר) על מנת שברשותו יהיה מפתח בלעדי לדירה, וביום 2.9.19, בשעה 17:40, נמצא כי במקום הוקמה מעבדת סמים משוכללת, שכללה: 236 צמחי קנאביס, המפוזרים בין שלושת חדרי הדירה ובמשקל כולל נטו של 1,614 גרם, שלא לצריכתו העצמית. כן נמצאו במקום מספר ספקי חשמל, גופי תאורה, מנורות, מפוחים, ג'ריקנים, בקבוקי הדברה, מדי טמפרטורה, פרוג'קטור, מכונה לגריסת הסם ושני מזגנים ניידים גדולים. </w:t>
      </w:r>
    </w:p>
    <w:p w14:paraId="4D99A84F" w14:textId="77777777" w:rsidR="00860E71" w:rsidRDefault="00860E71" w:rsidP="00860E71">
      <w:pPr>
        <w:spacing w:line="360" w:lineRule="auto"/>
        <w:ind w:left="720" w:hanging="720"/>
        <w:contextualSpacing/>
        <w:jc w:val="both"/>
        <w:rPr>
          <w:rtl/>
        </w:rPr>
      </w:pPr>
      <w:r>
        <w:rPr>
          <w:rFonts w:hint="cs"/>
          <w:rtl/>
        </w:rPr>
        <w:tab/>
        <w:t xml:space="preserve">כן בהתאם לכתב האישום, נמצא כי בדירה נוספת המצויה בשימושו של הנאשם בנוף הגליל, החזיק הנאשם בקנאביס במשקל נטו של 3.34 גרם. </w:t>
      </w:r>
    </w:p>
    <w:p w14:paraId="1ADAC5E1" w14:textId="77777777" w:rsidR="00860E71" w:rsidRDefault="00860E71" w:rsidP="00860E71">
      <w:pPr>
        <w:spacing w:line="360" w:lineRule="auto"/>
        <w:ind w:left="720"/>
        <w:contextualSpacing/>
        <w:jc w:val="both"/>
        <w:rPr>
          <w:rtl/>
        </w:rPr>
      </w:pPr>
    </w:p>
    <w:p w14:paraId="55E600C9" w14:textId="77777777" w:rsidR="00860E71" w:rsidRDefault="00860E71" w:rsidP="00860E71">
      <w:pPr>
        <w:spacing w:line="360" w:lineRule="auto"/>
        <w:jc w:val="both"/>
        <w:rPr>
          <w:b/>
          <w:bCs/>
          <w:u w:val="single"/>
        </w:rPr>
      </w:pPr>
      <w:r>
        <w:rPr>
          <w:rFonts w:hint="cs"/>
          <w:b/>
          <w:bCs/>
          <w:u w:val="single"/>
          <w:rtl/>
        </w:rPr>
        <w:t>טיעוני הצדדים לעונש</w:t>
      </w:r>
    </w:p>
    <w:p w14:paraId="73B8F3C3" w14:textId="77777777" w:rsidR="00860E71" w:rsidRDefault="00860E71" w:rsidP="00860E71">
      <w:pPr>
        <w:spacing w:line="360" w:lineRule="auto"/>
        <w:jc w:val="both"/>
        <w:rPr>
          <w:rtl/>
        </w:rPr>
      </w:pPr>
    </w:p>
    <w:p w14:paraId="196C6A64" w14:textId="77777777" w:rsidR="00860E71" w:rsidRDefault="00860E71" w:rsidP="00860E71">
      <w:pPr>
        <w:spacing w:line="360" w:lineRule="auto"/>
        <w:ind w:firstLine="720"/>
        <w:jc w:val="both"/>
        <w:rPr>
          <w:rtl/>
        </w:rPr>
      </w:pPr>
      <w:r>
        <w:rPr>
          <w:rFonts w:hint="cs"/>
          <w:rtl/>
        </w:rPr>
        <w:t xml:space="preserve">ביום 27.11.19 טענו ב"כ הצדדים לעונש, בהגשת טיעון כתוב ותוך השלמת הטיעון בעל-פה. </w:t>
      </w:r>
    </w:p>
    <w:p w14:paraId="6F3A3D31" w14:textId="77777777" w:rsidR="00860E71" w:rsidRDefault="00860E71" w:rsidP="00860E71">
      <w:pPr>
        <w:spacing w:line="360" w:lineRule="auto"/>
        <w:ind w:left="1110"/>
        <w:contextualSpacing/>
        <w:jc w:val="both"/>
        <w:rPr>
          <w:rtl/>
        </w:rPr>
      </w:pPr>
    </w:p>
    <w:p w14:paraId="284A69DA" w14:textId="77777777" w:rsidR="00860E71" w:rsidRDefault="00860E71" w:rsidP="00860E71">
      <w:pPr>
        <w:spacing w:line="360" w:lineRule="auto"/>
        <w:ind w:left="1110"/>
        <w:contextualSpacing/>
        <w:jc w:val="both"/>
        <w:rPr>
          <w:rtl/>
        </w:rPr>
      </w:pPr>
    </w:p>
    <w:p w14:paraId="49CB9D25" w14:textId="77777777" w:rsidR="00860E71" w:rsidRDefault="00860E71" w:rsidP="00860E71">
      <w:pPr>
        <w:spacing w:line="360" w:lineRule="auto"/>
        <w:ind w:left="1110"/>
        <w:contextualSpacing/>
        <w:jc w:val="both"/>
        <w:rPr>
          <w:rtl/>
        </w:rPr>
      </w:pPr>
    </w:p>
    <w:p w14:paraId="23588330" w14:textId="77777777" w:rsidR="00860E71" w:rsidRDefault="00860E71" w:rsidP="00860E71">
      <w:pPr>
        <w:spacing w:line="360" w:lineRule="auto"/>
        <w:ind w:left="1110"/>
        <w:contextualSpacing/>
        <w:jc w:val="both"/>
        <w:rPr>
          <w:rtl/>
        </w:rPr>
      </w:pPr>
    </w:p>
    <w:p w14:paraId="15AD8DC0" w14:textId="77777777" w:rsidR="00860E71" w:rsidRDefault="00860E71" w:rsidP="00860E71">
      <w:pPr>
        <w:spacing w:line="360" w:lineRule="auto"/>
        <w:jc w:val="both"/>
        <w:rPr>
          <w:u w:val="single"/>
          <w:rtl/>
        </w:rPr>
      </w:pPr>
      <w:r>
        <w:rPr>
          <w:rFonts w:hint="cs"/>
          <w:rtl/>
        </w:rPr>
        <w:t>4.</w:t>
      </w:r>
      <w:r>
        <w:rPr>
          <w:rFonts w:hint="cs"/>
          <w:rtl/>
        </w:rPr>
        <w:tab/>
      </w:r>
      <w:r>
        <w:rPr>
          <w:rFonts w:hint="cs"/>
          <w:u w:val="single"/>
          <w:rtl/>
        </w:rPr>
        <w:t>טיעוני ב"כ המאשימה</w:t>
      </w:r>
    </w:p>
    <w:p w14:paraId="3E23B2E7" w14:textId="77777777" w:rsidR="00860E71" w:rsidRDefault="00860E71" w:rsidP="00860E71">
      <w:pPr>
        <w:spacing w:line="360" w:lineRule="auto"/>
        <w:ind w:left="720"/>
        <w:contextualSpacing/>
        <w:jc w:val="both"/>
        <w:rPr>
          <w:rtl/>
        </w:rPr>
      </w:pPr>
      <w:r>
        <w:rPr>
          <w:rFonts w:hint="cs"/>
          <w:rtl/>
        </w:rPr>
        <w:t xml:space="preserve">ב"כ המאשימה טענה למתחם עונש הולם הנע בין 8 ל-24 חודשי מאסר, וביקשה להטיל על הנאשם עונש מאסר באמצעו של המתחם, בצירוף מאסר על-תנאי, קנס, פסילת רישיון בפועל ועל-תנאי. </w:t>
      </w:r>
    </w:p>
    <w:p w14:paraId="7A930B93" w14:textId="77777777" w:rsidR="00860E71" w:rsidRDefault="00860E71" w:rsidP="00860E71">
      <w:pPr>
        <w:spacing w:line="360" w:lineRule="auto"/>
        <w:ind w:left="720"/>
        <w:contextualSpacing/>
        <w:jc w:val="both"/>
        <w:rPr>
          <w:rtl/>
        </w:rPr>
      </w:pPr>
      <w:r>
        <w:rPr>
          <w:rFonts w:hint="cs"/>
          <w:rtl/>
        </w:rPr>
        <w:t>התובעת עמדה על חומרת עבירות הסמים ועל ההרס שהן זורעות בחברה, והפנתה לפסיקה ממנה עולה כי בעבירות דומות הוטלו עונשי מאסר משמעותיים.</w:t>
      </w:r>
    </w:p>
    <w:p w14:paraId="7630076D" w14:textId="77777777" w:rsidR="00860E71" w:rsidRDefault="00860E71" w:rsidP="00860E71">
      <w:pPr>
        <w:spacing w:line="360" w:lineRule="auto"/>
        <w:ind w:left="720"/>
        <w:contextualSpacing/>
        <w:jc w:val="both"/>
        <w:rPr>
          <w:rtl/>
        </w:rPr>
      </w:pPr>
      <w:r>
        <w:rPr>
          <w:rFonts w:hint="cs"/>
          <w:rtl/>
        </w:rPr>
        <w:t xml:space="preserve">נטען, כי כמות הסם המסוכן שנתפסה ברשות הנאשם הנה כמות גדולה ביותר, וברור כי גודלה לצרכי מסחר בסם. כן טענה ב"כ המאשימה כי מדובר בעבירות המבוצעות ממניע כלכלי של הפקת רווח ממכירת הסמים. </w:t>
      </w:r>
    </w:p>
    <w:p w14:paraId="2B99D8B6" w14:textId="77777777" w:rsidR="00860E71" w:rsidRDefault="00860E71" w:rsidP="00860E71">
      <w:pPr>
        <w:spacing w:line="360" w:lineRule="auto"/>
        <w:ind w:left="720"/>
        <w:contextualSpacing/>
        <w:jc w:val="both"/>
        <w:rPr>
          <w:rtl/>
        </w:rPr>
      </w:pPr>
      <w:r>
        <w:rPr>
          <w:rFonts w:hint="cs"/>
          <w:rtl/>
        </w:rPr>
        <w:t>הוגש תיעוד של עציצי הקנאביס הרבים שנתפסו בדירת הנאשם.</w:t>
      </w:r>
    </w:p>
    <w:p w14:paraId="481B7830" w14:textId="77777777" w:rsidR="00860E71" w:rsidRDefault="00860E71" w:rsidP="00860E71">
      <w:pPr>
        <w:spacing w:line="360" w:lineRule="auto"/>
        <w:ind w:left="720"/>
        <w:contextualSpacing/>
        <w:jc w:val="both"/>
        <w:rPr>
          <w:rtl/>
        </w:rPr>
      </w:pPr>
      <w:r>
        <w:rPr>
          <w:rFonts w:hint="cs"/>
          <w:rtl/>
        </w:rPr>
        <w:t xml:space="preserve">באשר לנסיבות שאינן קשורות בביצוע העבירות נטען כי לחובת הנאשם שתי הרשעות קודמות בעבירות סמים, וכי  הנאשם כשל וביצע את העבירות הנוכחיות  שוב חרף הארכת תנאי לה זכה בעבר. עברו של הנאשם מלמד כי הוא נטוע עמוק בעולם הסמים. </w:t>
      </w:r>
    </w:p>
    <w:p w14:paraId="60DE9A82" w14:textId="77777777" w:rsidR="00860E71" w:rsidRDefault="00860E71" w:rsidP="00860E71">
      <w:pPr>
        <w:spacing w:line="360" w:lineRule="auto"/>
        <w:ind w:left="1110"/>
        <w:jc w:val="both"/>
        <w:rPr>
          <w:rtl/>
        </w:rPr>
      </w:pPr>
    </w:p>
    <w:p w14:paraId="56DA5B98" w14:textId="77777777" w:rsidR="00860E71" w:rsidRDefault="00860E71" w:rsidP="00860E71">
      <w:pPr>
        <w:spacing w:line="360" w:lineRule="auto"/>
        <w:jc w:val="both"/>
      </w:pPr>
      <w:r>
        <w:rPr>
          <w:rFonts w:hint="cs"/>
          <w:rtl/>
        </w:rPr>
        <w:t>5.</w:t>
      </w:r>
      <w:r>
        <w:rPr>
          <w:rFonts w:hint="cs"/>
          <w:rtl/>
        </w:rPr>
        <w:tab/>
      </w:r>
      <w:r>
        <w:rPr>
          <w:rFonts w:hint="cs"/>
          <w:u w:val="single"/>
          <w:rtl/>
        </w:rPr>
        <w:t>טיעוני ב"כ הנאשם</w:t>
      </w:r>
    </w:p>
    <w:p w14:paraId="11F8C56A" w14:textId="77777777" w:rsidR="00860E71" w:rsidRDefault="00860E71" w:rsidP="00860E71">
      <w:pPr>
        <w:spacing w:line="360" w:lineRule="auto"/>
        <w:ind w:left="720"/>
        <w:jc w:val="both"/>
        <w:rPr>
          <w:rtl/>
        </w:rPr>
      </w:pPr>
      <w:r>
        <w:rPr>
          <w:rFonts w:hint="cs"/>
          <w:rtl/>
        </w:rPr>
        <w:t xml:space="preserve">ב"כ הנאשם טען כי מתחם העונש ההולם בנסיבות נע בין צו של"צ ובין 8 חודשי מאסר בפועל, וביקש מבית-המשפט להסתפק בהטלת עונש מאסר קצר. נטען, כי בעבירות דומות ואף חמורות יותר הטילו בתי המשפט עונשי מאסר לריצוי בעבודות שירות, ואף ענישה שיקומית. אמנם, מדובר במעשים הדורשים תכנון מוקדם, אך מדובר בעיסוק חובבני וביתי ולא בעיסוק מקצועי, שכן מדובר בכמות סם נמוכה, יחסית. הנאשם לא הפיק רווח כלכלי ממעשיו, והוא פעל לכיסוי חובות אליהם נקלע. </w:t>
      </w:r>
    </w:p>
    <w:p w14:paraId="0FBA3C44" w14:textId="77777777" w:rsidR="00860E71" w:rsidRDefault="00860E71" w:rsidP="00860E71">
      <w:pPr>
        <w:spacing w:line="360" w:lineRule="auto"/>
        <w:ind w:left="720"/>
        <w:jc w:val="both"/>
        <w:rPr>
          <w:rtl/>
        </w:rPr>
      </w:pPr>
      <w:r>
        <w:rPr>
          <w:rFonts w:hint="cs"/>
          <w:rtl/>
        </w:rPr>
        <w:t xml:space="preserve">באשר לנסיבות שאינן קשורות לביצוע העבירות, נטען, כי הנאשם שוהה במעצר תקופה בלתי מבוטלת, מאז יום 2.9.19. מדובר בנאשם צעיר, אב לפעוט בן שנה ורעייתו מצויה בהיריון. נטען כי השתת מאסר בפועל תפגע בנאשם ובמשפחתו, שכן מצבה הכלכלי של המשפחה אינו טוב. הנאשם הודה בביצוע המעשים בהזדמנות הראשונה, הביע צער וחרטה, חסך זמן שיפוטי אף מבלי שהודאתו באה במסגרת הסדר טיעון. נסיבות חייו מורכבות, </w:t>
      </w:r>
      <w:r>
        <w:rPr>
          <w:rFonts w:hint="cs"/>
          <w:rtl/>
        </w:rPr>
        <w:lastRenderedPageBreak/>
        <w:t xml:space="preserve">והוא מגיל צעיר עושה שימוש בחומרים ממכרים. בעבר ריצה הנאשם עונש מאסר בעבודות שירות בגין עבירות סמים. </w:t>
      </w:r>
    </w:p>
    <w:p w14:paraId="76A6BE7D" w14:textId="77777777" w:rsidR="00860E71" w:rsidRDefault="00860E71" w:rsidP="00860E71">
      <w:pPr>
        <w:spacing w:line="360" w:lineRule="auto"/>
        <w:jc w:val="both"/>
        <w:rPr>
          <w:rtl/>
        </w:rPr>
      </w:pPr>
    </w:p>
    <w:p w14:paraId="75E6ADAE" w14:textId="77777777" w:rsidR="00860E71" w:rsidRDefault="00860E71" w:rsidP="00860E71">
      <w:pPr>
        <w:spacing w:line="360" w:lineRule="auto"/>
        <w:jc w:val="both"/>
        <w:rPr>
          <w:u w:val="single"/>
          <w:rtl/>
        </w:rPr>
      </w:pPr>
      <w:r>
        <w:rPr>
          <w:rFonts w:hint="cs"/>
          <w:rtl/>
        </w:rPr>
        <w:t>6.</w:t>
      </w:r>
      <w:r>
        <w:rPr>
          <w:rFonts w:hint="cs"/>
          <w:rtl/>
        </w:rPr>
        <w:tab/>
      </w:r>
      <w:r>
        <w:rPr>
          <w:rFonts w:hint="cs"/>
          <w:u w:val="single"/>
          <w:rtl/>
        </w:rPr>
        <w:t>דברי הנאשם</w:t>
      </w:r>
    </w:p>
    <w:p w14:paraId="2DA1D82F" w14:textId="77777777" w:rsidR="00860E71" w:rsidRDefault="00860E71" w:rsidP="00860E71">
      <w:pPr>
        <w:spacing w:line="360" w:lineRule="auto"/>
        <w:ind w:left="720"/>
        <w:contextualSpacing/>
        <w:jc w:val="both"/>
        <w:rPr>
          <w:u w:val="single"/>
          <w:rtl/>
        </w:rPr>
      </w:pPr>
      <w:r>
        <w:rPr>
          <w:rFonts w:hint="cs"/>
          <w:rtl/>
        </w:rPr>
        <w:t xml:space="preserve">הנאשם מסר כי הוא מצטער, מתחרט ונוטל אחריות. </w:t>
      </w:r>
    </w:p>
    <w:p w14:paraId="34EF532C" w14:textId="77777777" w:rsidR="00860E71" w:rsidRDefault="00860E71" w:rsidP="00860E71">
      <w:pPr>
        <w:spacing w:after="160" w:line="360" w:lineRule="auto"/>
        <w:ind w:left="720"/>
        <w:contextualSpacing/>
        <w:rPr>
          <w:u w:val="single"/>
          <w:rtl/>
        </w:rPr>
      </w:pPr>
    </w:p>
    <w:p w14:paraId="5C569F7E" w14:textId="77777777" w:rsidR="00860E71" w:rsidRDefault="00860E71" w:rsidP="00860E71">
      <w:pPr>
        <w:spacing w:line="360" w:lineRule="auto"/>
        <w:jc w:val="both"/>
        <w:rPr>
          <w:b/>
          <w:bCs/>
          <w:u w:val="single"/>
          <w:rtl/>
        </w:rPr>
      </w:pPr>
      <w:r>
        <w:rPr>
          <w:rFonts w:hint="cs"/>
          <w:b/>
          <w:bCs/>
          <w:u w:val="single"/>
          <w:rtl/>
        </w:rPr>
        <w:t>דיון והכרעה</w:t>
      </w:r>
    </w:p>
    <w:p w14:paraId="02317CD1" w14:textId="77777777" w:rsidR="00860E71" w:rsidRPr="00860E71" w:rsidRDefault="00860E71" w:rsidP="00860E71">
      <w:pPr>
        <w:spacing w:line="360" w:lineRule="auto"/>
        <w:jc w:val="both"/>
        <w:rPr>
          <w:rFonts w:ascii="Calibri" w:hAnsi="Calibri" w:cs="Arial"/>
          <w:sz w:val="22"/>
          <w:szCs w:val="22"/>
          <w:rtl/>
        </w:rPr>
      </w:pPr>
    </w:p>
    <w:p w14:paraId="3F8E21D0" w14:textId="77777777" w:rsidR="00860E71" w:rsidRPr="00860E71" w:rsidRDefault="00860E71" w:rsidP="00860E71">
      <w:pPr>
        <w:spacing w:line="360" w:lineRule="auto"/>
        <w:jc w:val="both"/>
        <w:rPr>
          <w:rFonts w:ascii="Calibri" w:hAnsi="Calibri" w:cs="Arial"/>
          <w:sz w:val="22"/>
          <w:szCs w:val="22"/>
          <w:rtl/>
        </w:rPr>
      </w:pPr>
    </w:p>
    <w:p w14:paraId="4AB3F1C5" w14:textId="77777777" w:rsidR="00860E71" w:rsidRDefault="00860E71" w:rsidP="00860E71">
      <w:pPr>
        <w:spacing w:line="360" w:lineRule="auto"/>
        <w:ind w:left="720" w:hanging="720"/>
        <w:contextualSpacing/>
        <w:jc w:val="both"/>
        <w:rPr>
          <w:rFonts w:ascii="David" w:hAnsi="David"/>
          <w:u w:val="single"/>
          <w:rtl/>
        </w:rPr>
      </w:pPr>
      <w:r>
        <w:rPr>
          <w:rFonts w:hint="cs"/>
          <w:u w:val="single"/>
          <w:rtl/>
        </w:rPr>
        <w:t>מתחם העונש ההולם</w:t>
      </w:r>
    </w:p>
    <w:p w14:paraId="744EEECD" w14:textId="77777777" w:rsidR="00860E71" w:rsidRDefault="00860E71" w:rsidP="00860E71">
      <w:pPr>
        <w:spacing w:after="160" w:line="360" w:lineRule="auto"/>
        <w:jc w:val="both"/>
        <w:rPr>
          <w:u w:val="single"/>
          <w:rtl/>
        </w:rPr>
      </w:pPr>
    </w:p>
    <w:p w14:paraId="132C1F51" w14:textId="77777777" w:rsidR="00860E71" w:rsidRDefault="00860E71" w:rsidP="00860E71">
      <w:pPr>
        <w:spacing w:line="360" w:lineRule="auto"/>
        <w:ind w:left="720" w:hanging="720"/>
        <w:contextualSpacing/>
        <w:jc w:val="both"/>
        <w:rPr>
          <w:rtl/>
        </w:rPr>
      </w:pPr>
      <w:r>
        <w:rPr>
          <w:rFonts w:hint="cs"/>
          <w:rtl/>
        </w:rPr>
        <w:t>7.</w:t>
      </w:r>
      <w:r>
        <w:rPr>
          <w:rFonts w:hint="cs"/>
          <w:rtl/>
        </w:rPr>
        <w:tab/>
        <w:t xml:space="preserve">הערכים המוגנים בעבירות סמים הם הגנה על בריאות הציבור ועל שלומו הפיזי והנפשי מפני הנזקים הישירים והעקיפים הנגרמים עקב השימוש בסמים. </w:t>
      </w:r>
    </w:p>
    <w:p w14:paraId="1EBA2F2F" w14:textId="77777777" w:rsidR="00860E71" w:rsidRDefault="00860E71" w:rsidP="00860E71">
      <w:pPr>
        <w:spacing w:after="160" w:line="360" w:lineRule="auto"/>
        <w:ind w:left="720"/>
        <w:jc w:val="both"/>
        <w:rPr>
          <w:rtl/>
        </w:rPr>
      </w:pPr>
      <w:r>
        <w:rPr>
          <w:rFonts w:hint="cs"/>
          <w:rtl/>
        </w:rPr>
        <w:t>חקיקת חוקי הסמים נועדה</w:t>
      </w:r>
      <w:r w:rsidR="00AD16D2">
        <w:rPr>
          <w:rFonts w:hint="cs"/>
          <w:rtl/>
        </w:rPr>
        <w:t xml:space="preserve"> </w:t>
      </w:r>
      <w:r>
        <w:rPr>
          <w:rFonts w:hint="cs"/>
          <w:rtl/>
        </w:rPr>
        <w:t xml:space="preserve"> לעקור את נגע הסמים מהשורש. ייצור, הפצה, סחר וכן שימוש בסמים טומנים בחובם פוטנציאל לנזק רחב,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67B0DFDC" w14:textId="77777777" w:rsidR="00860E71" w:rsidRDefault="00860E71" w:rsidP="00860E71">
      <w:pPr>
        <w:spacing w:after="160" w:line="360" w:lineRule="auto"/>
        <w:ind w:left="720"/>
        <w:jc w:val="both"/>
      </w:pPr>
      <w:r>
        <w:rPr>
          <w:rFonts w:hint="cs"/>
          <w:rtl/>
        </w:rPr>
        <w:t>עבירות הסמים פוגעות גם בערכים מוגנים נוספים, שהנם שמירה על הביטחון הכללי של הציבור ועל רכושו, שכן הקשר בין שימוש בסמים לבין קשת רחבה של עבירות רכוש ואלימות הנו קשר ידוע וברור.</w:t>
      </w:r>
    </w:p>
    <w:p w14:paraId="0788E732" w14:textId="77777777" w:rsidR="00860E71" w:rsidRDefault="00860E71" w:rsidP="00860E71">
      <w:pPr>
        <w:spacing w:line="360" w:lineRule="auto"/>
        <w:ind w:firstLine="720"/>
        <w:jc w:val="both"/>
        <w:rPr>
          <w:rtl/>
        </w:rPr>
      </w:pPr>
      <w:r>
        <w:rPr>
          <w:rFonts w:hint="cs"/>
          <w:rtl/>
        </w:rPr>
        <w:t>ראו לעניין זה את הדברים שנאמרו ב</w:t>
      </w:r>
      <w:hyperlink r:id="rId16" w:history="1">
        <w:r w:rsidR="00AD16D2" w:rsidRPr="00AD16D2">
          <w:rPr>
            <w:color w:val="0000FF"/>
            <w:u w:val="single"/>
            <w:rtl/>
          </w:rPr>
          <w:t>ע"פ 972/11</w:t>
        </w:r>
      </w:hyperlink>
      <w:r>
        <w:rPr>
          <w:rFonts w:hint="cs"/>
          <w:rtl/>
        </w:rPr>
        <w:t xml:space="preserve"> </w:t>
      </w:r>
      <w:r>
        <w:rPr>
          <w:rFonts w:hint="cs"/>
          <w:b/>
          <w:bCs/>
          <w:rtl/>
        </w:rPr>
        <w:t xml:space="preserve">מדינת ישראל נגד יניב יונה </w:t>
      </w:r>
      <w:r>
        <w:rPr>
          <w:rFonts w:hint="cs"/>
          <w:rtl/>
        </w:rPr>
        <w:t>(04.07.12):</w:t>
      </w:r>
    </w:p>
    <w:p w14:paraId="2A1A2EB3" w14:textId="77777777" w:rsidR="00860E71" w:rsidRDefault="00860E71" w:rsidP="00860E71">
      <w:pPr>
        <w:spacing w:after="160" w:line="360" w:lineRule="auto"/>
        <w:ind w:left="1440" w:right="794"/>
        <w:jc w:val="both"/>
        <w:rPr>
          <w:b/>
          <w:bCs/>
          <w:rtl/>
        </w:rPr>
      </w:pPr>
      <w:r>
        <w:rPr>
          <w:rFonts w:hint="cs"/>
          <w:rtl/>
        </w:rPr>
        <w:t>"</w:t>
      </w:r>
      <w:r>
        <w:rPr>
          <w:rFonts w:hint="cs"/>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497E5215" w14:textId="77777777" w:rsidR="00860E71" w:rsidRDefault="00860E71" w:rsidP="00860E71">
      <w:pPr>
        <w:spacing w:line="360" w:lineRule="auto"/>
        <w:jc w:val="both"/>
        <w:rPr>
          <w:rtl/>
        </w:rPr>
      </w:pPr>
    </w:p>
    <w:p w14:paraId="0E1FCD4B" w14:textId="77777777" w:rsidR="00860E71" w:rsidRDefault="00860E71" w:rsidP="00860E71">
      <w:pPr>
        <w:spacing w:line="360" w:lineRule="auto"/>
        <w:ind w:left="720" w:hanging="720"/>
        <w:contextualSpacing/>
        <w:jc w:val="both"/>
        <w:rPr>
          <w:rtl/>
        </w:rPr>
      </w:pPr>
      <w:r>
        <w:rPr>
          <w:rFonts w:hint="cs"/>
          <w:rtl/>
        </w:rPr>
        <w:t>8.</w:t>
      </w:r>
      <w:r>
        <w:rPr>
          <w:rFonts w:hint="cs"/>
          <w:rtl/>
        </w:rPr>
        <w:tab/>
        <w:t xml:space="preserve">מדובר בעבירות סמים שנעשו למטרה מסחרית. הנאשם גידל בדירה, אותה שכר במיוחד למטרה זו, כמות גדולה של קנאביס, 236 שתילים המפוזרים בין שלושת חדרי הדירה. בנוסף לכך החזיק הנאשם בציוד רב, לשם גידול הסם ולאספקת תנאים מיטביים לצמיחה, בין היתר מזגנים ניידים, גופי תאורה ועוד. משקל הסמים שנתפסו הנו משקל גבוה, ואולם עוד יותר מכך נלמדת חומרתה של העבירה ממספרם הרב של שתילי הסם, אשר אילולא נתפסו על ידי המשטרה, בעודם שתילים צעירים, כפי שניתן לראות בצילומים, היו צפויים להניב כמות סם גדולה בהרבה. העבירות בוצעו איפוא לשם הפצת הסם וכדי להפיק רווח כלכלי, תוך התעלמות מנזקי הסמים לחברה וליחידיה. </w:t>
      </w:r>
    </w:p>
    <w:p w14:paraId="75136BAB" w14:textId="77777777" w:rsidR="00860E71" w:rsidRDefault="00860E71" w:rsidP="00860E71">
      <w:pPr>
        <w:spacing w:line="360" w:lineRule="auto"/>
        <w:ind w:left="720" w:hanging="720"/>
        <w:contextualSpacing/>
        <w:jc w:val="both"/>
        <w:rPr>
          <w:rtl/>
        </w:rPr>
      </w:pPr>
      <w:r>
        <w:rPr>
          <w:rFonts w:hint="cs"/>
          <w:rtl/>
        </w:rPr>
        <w:tab/>
        <w:t>אין מדובר בגידול אקראי או חובבני, כפי שטען הסנגור, אלא המדובר בהקמה של מעבדת סמים תוך תכנון מדוקדק, ותוך ביצוע התכנית, כולל שכירת דירה לייעוד זה.</w:t>
      </w:r>
    </w:p>
    <w:p w14:paraId="05166C85" w14:textId="77777777" w:rsidR="00860E71" w:rsidRDefault="00860E71" w:rsidP="00860E71">
      <w:pPr>
        <w:spacing w:line="360" w:lineRule="auto"/>
        <w:ind w:left="720" w:hanging="720"/>
        <w:contextualSpacing/>
        <w:jc w:val="both"/>
        <w:rPr>
          <w:rtl/>
        </w:rPr>
      </w:pPr>
    </w:p>
    <w:p w14:paraId="484DE549" w14:textId="77777777" w:rsidR="00860E71" w:rsidRDefault="00860E71" w:rsidP="00860E71">
      <w:pPr>
        <w:spacing w:line="360" w:lineRule="auto"/>
        <w:jc w:val="both"/>
        <w:rPr>
          <w:b/>
          <w:bCs/>
          <w:rtl/>
        </w:rPr>
      </w:pPr>
      <w:r>
        <w:rPr>
          <w:rFonts w:hint="cs"/>
          <w:b/>
          <w:bCs/>
          <w:rtl/>
        </w:rPr>
        <w:t>מדיניות הענישה הנוהגת</w:t>
      </w:r>
    </w:p>
    <w:p w14:paraId="6F61F97C" w14:textId="77777777" w:rsidR="00860E71" w:rsidRDefault="00860E71" w:rsidP="00860E71">
      <w:pPr>
        <w:spacing w:line="360" w:lineRule="auto"/>
        <w:jc w:val="both"/>
        <w:rPr>
          <w:b/>
          <w:bCs/>
          <w:rtl/>
        </w:rPr>
      </w:pPr>
    </w:p>
    <w:p w14:paraId="1CACED54" w14:textId="77777777" w:rsidR="00860E71" w:rsidRDefault="00860E71" w:rsidP="00860E71">
      <w:pPr>
        <w:spacing w:line="360" w:lineRule="auto"/>
        <w:ind w:left="720" w:hanging="720"/>
        <w:contextualSpacing/>
        <w:jc w:val="both"/>
        <w:rPr>
          <w:rtl/>
        </w:rPr>
      </w:pPr>
      <w:r>
        <w:rPr>
          <w:rFonts w:hint="cs"/>
          <w:rtl/>
        </w:rPr>
        <w:t>9.</w:t>
      </w:r>
      <w:r>
        <w:rPr>
          <w:rFonts w:hint="cs"/>
          <w:rtl/>
        </w:rPr>
        <w:tab/>
        <w:t>בחינת מדיניות הענישה מעלה קשת רחבה של עונשים החל ממאסרים קצרים, וכלה במאסרים מאחורי סורג ובריח לתקופות ארוכות, תלוי בנסיבות כל מקרה ומקרה, בכמויות הסם, סוג הסם וכד', ובהמשך בנסיבות אישיות של מבצעי העבירות.</w:t>
      </w:r>
    </w:p>
    <w:p w14:paraId="31197CEB" w14:textId="77777777" w:rsidR="00860E71" w:rsidRDefault="00860E71" w:rsidP="00860E71">
      <w:pPr>
        <w:spacing w:line="360" w:lineRule="auto"/>
        <w:ind w:left="720" w:hanging="720"/>
        <w:contextualSpacing/>
        <w:jc w:val="both"/>
        <w:rPr>
          <w:rtl/>
        </w:rPr>
      </w:pPr>
      <w:r>
        <w:rPr>
          <w:rFonts w:hint="cs"/>
          <w:rtl/>
        </w:rPr>
        <w:tab/>
        <w:t>עמדת המאשימה, לפיה עבירות גידול סמים בנסיבות כמו כאן, מחייבות מאסר בפועל – הנה עמדה שאומצה בהחלטות רבות.</w:t>
      </w:r>
    </w:p>
    <w:p w14:paraId="39DA0F33" w14:textId="77777777" w:rsidR="00860E71" w:rsidRDefault="00860E71" w:rsidP="00860E71">
      <w:pPr>
        <w:spacing w:line="360" w:lineRule="auto"/>
        <w:ind w:firstLine="720"/>
        <w:jc w:val="both"/>
        <w:rPr>
          <w:b/>
          <w:bCs/>
          <w:rtl/>
        </w:rPr>
      </w:pPr>
      <w:r>
        <w:rPr>
          <w:rFonts w:hint="cs"/>
          <w:b/>
          <w:bCs/>
          <w:rtl/>
        </w:rPr>
        <w:t>ראו את פסקי-הדין אליהם הפנו הצדדים בטיעון לעונש:</w:t>
      </w:r>
    </w:p>
    <w:p w14:paraId="7D85EA78" w14:textId="77777777" w:rsidR="00860E71" w:rsidRDefault="00860E71" w:rsidP="00860E71">
      <w:pPr>
        <w:spacing w:line="360" w:lineRule="auto"/>
        <w:ind w:firstLine="720"/>
        <w:jc w:val="both"/>
        <w:rPr>
          <w:b/>
          <w:bCs/>
          <w:rtl/>
        </w:rPr>
      </w:pPr>
    </w:p>
    <w:p w14:paraId="158100B9" w14:textId="77777777" w:rsidR="00860E71" w:rsidRDefault="00860E71" w:rsidP="00860E71">
      <w:pPr>
        <w:spacing w:line="360" w:lineRule="auto"/>
        <w:ind w:left="1440" w:hanging="330"/>
        <w:jc w:val="both"/>
        <w:rPr>
          <w:rtl/>
        </w:rPr>
      </w:pPr>
      <w:r>
        <w:rPr>
          <w:rFonts w:hint="cs"/>
          <w:rtl/>
        </w:rPr>
        <w:t>א.</w:t>
      </w:r>
      <w:r>
        <w:rPr>
          <w:rFonts w:hint="cs"/>
          <w:rtl/>
        </w:rPr>
        <w:tab/>
      </w:r>
      <w:hyperlink r:id="rId17" w:history="1">
        <w:r w:rsidR="00AD16D2" w:rsidRPr="00AD16D2">
          <w:rPr>
            <w:color w:val="0000FF"/>
            <w:u w:val="single"/>
            <w:rtl/>
          </w:rPr>
          <w:t>רע"פ 7005/14</w:t>
        </w:r>
      </w:hyperlink>
      <w:r>
        <w:rPr>
          <w:rFonts w:hint="cs"/>
          <w:rtl/>
        </w:rPr>
        <w:t xml:space="preserve"> </w:t>
      </w:r>
      <w:r>
        <w:rPr>
          <w:rFonts w:hint="cs"/>
          <w:b/>
          <w:bCs/>
          <w:rtl/>
        </w:rPr>
        <w:t>דגן נ' מדינת ישראל</w:t>
      </w:r>
      <w:r>
        <w:rPr>
          <w:rFonts w:hint="cs"/>
          <w:rtl/>
        </w:rPr>
        <w:t xml:space="preserve"> (30.11.14), אליו הפנתה ב"כ המאשימה – המבקש גידל בתנאי מעבדה בביתו כמות של כ-2.7 ק"ג קנאביס. למבקש עבר פלילי והוגש בעניינו תסקיר שלילי. </w:t>
      </w:r>
      <w:r>
        <w:rPr>
          <w:rFonts w:hint="cs"/>
          <w:b/>
          <w:bCs/>
          <w:rtl/>
        </w:rPr>
        <w:t>הוטלו 10 חודשי מאסר בפועל, מאסרים על-תנאי, וקנס בסך 3,000 ₪</w:t>
      </w:r>
      <w:r>
        <w:rPr>
          <w:rFonts w:hint="cs"/>
          <w:rtl/>
        </w:rPr>
        <w:t xml:space="preserve">. ערעור למחוזי ובקשת רשות ערעור לעליון נדחו. </w:t>
      </w:r>
    </w:p>
    <w:p w14:paraId="110567E4" w14:textId="77777777" w:rsidR="00860E71" w:rsidRDefault="00860E71" w:rsidP="00860E71">
      <w:pPr>
        <w:spacing w:line="360" w:lineRule="auto"/>
        <w:ind w:left="1440" w:hanging="330"/>
        <w:jc w:val="both"/>
      </w:pPr>
    </w:p>
    <w:p w14:paraId="176F4F87" w14:textId="77777777" w:rsidR="00860E71" w:rsidRDefault="00860E71" w:rsidP="00860E71">
      <w:pPr>
        <w:spacing w:line="360" w:lineRule="auto"/>
        <w:ind w:left="1440" w:hanging="330"/>
        <w:jc w:val="both"/>
        <w:rPr>
          <w:rtl/>
        </w:rPr>
      </w:pPr>
      <w:r>
        <w:rPr>
          <w:rFonts w:hint="cs"/>
          <w:rtl/>
        </w:rPr>
        <w:t>ב.</w:t>
      </w:r>
      <w:r>
        <w:rPr>
          <w:rFonts w:hint="cs"/>
          <w:rtl/>
        </w:rPr>
        <w:tab/>
      </w:r>
      <w:hyperlink r:id="rId18" w:history="1">
        <w:r w:rsidR="00AD16D2" w:rsidRPr="00AD16D2">
          <w:rPr>
            <w:color w:val="0000FF"/>
            <w:u w:val="single"/>
            <w:rtl/>
          </w:rPr>
          <w:t>רע"פ 1787/15</w:t>
        </w:r>
      </w:hyperlink>
      <w:r>
        <w:rPr>
          <w:rFonts w:hint="cs"/>
          <w:rtl/>
        </w:rPr>
        <w:t xml:space="preserve"> </w:t>
      </w:r>
      <w:r>
        <w:rPr>
          <w:rFonts w:hint="cs"/>
          <w:b/>
          <w:bCs/>
          <w:rtl/>
        </w:rPr>
        <w:t>עמר נ' מדינת ישראל</w:t>
      </w:r>
      <w:r>
        <w:rPr>
          <w:rFonts w:hint="cs"/>
          <w:rtl/>
        </w:rPr>
        <w:t xml:space="preserve"> (24.3.15) – גם אליו הפנתה ב"כ המאשימה – המבקש גידל בביתו 9 שתילי קנאביס במשקל כולל של למעלה מ-4 ק"ג. נקבע מתחם ענישה הולם הנע בין 8 ל-20 חודשי מאסר בפועל, והושתו על המבקש</w:t>
      </w:r>
      <w:r>
        <w:rPr>
          <w:rFonts w:hint="cs"/>
          <w:b/>
          <w:bCs/>
          <w:rtl/>
        </w:rPr>
        <w:t xml:space="preserve"> 8 חודשי מאסר בפועל, מאסרים על-תנאי, קנס בסך 3,000 ₪, ופסילת רישיון על-תנאי</w:t>
      </w:r>
      <w:r>
        <w:rPr>
          <w:rFonts w:hint="cs"/>
          <w:rtl/>
        </w:rPr>
        <w:t>. ערעור ובקשת רשות ערעור נדחו.</w:t>
      </w:r>
    </w:p>
    <w:p w14:paraId="244A9C47" w14:textId="77777777" w:rsidR="00860E71" w:rsidRDefault="00860E71" w:rsidP="00860E71">
      <w:pPr>
        <w:spacing w:line="360" w:lineRule="auto"/>
        <w:ind w:left="1440" w:hanging="330"/>
        <w:jc w:val="both"/>
        <w:rPr>
          <w:rtl/>
        </w:rPr>
      </w:pPr>
    </w:p>
    <w:p w14:paraId="5D5A060A" w14:textId="77777777" w:rsidR="00860E71" w:rsidRDefault="00860E71" w:rsidP="00860E71">
      <w:pPr>
        <w:spacing w:line="360" w:lineRule="auto"/>
        <w:ind w:left="1440" w:hanging="330"/>
        <w:jc w:val="both"/>
        <w:rPr>
          <w:rtl/>
        </w:rPr>
      </w:pPr>
      <w:r>
        <w:rPr>
          <w:rFonts w:hint="cs"/>
          <w:rtl/>
        </w:rPr>
        <w:t>ג.</w:t>
      </w:r>
      <w:r>
        <w:rPr>
          <w:rFonts w:hint="cs"/>
          <w:rtl/>
        </w:rPr>
        <w:tab/>
      </w:r>
      <w:hyperlink r:id="rId19" w:history="1">
        <w:r w:rsidR="00AD16D2" w:rsidRPr="00AD16D2">
          <w:rPr>
            <w:color w:val="0000FF"/>
            <w:u w:val="single"/>
            <w:rtl/>
          </w:rPr>
          <w:t>רע"פ 4816/13</w:t>
        </w:r>
      </w:hyperlink>
      <w:r>
        <w:rPr>
          <w:rFonts w:hint="cs"/>
          <w:rtl/>
        </w:rPr>
        <w:t xml:space="preserve"> </w:t>
      </w:r>
      <w:r>
        <w:rPr>
          <w:rFonts w:hint="cs"/>
          <w:b/>
          <w:bCs/>
          <w:rtl/>
        </w:rPr>
        <w:t>שלום מרדכי נ' מדינת ישראל</w:t>
      </w:r>
      <w:r>
        <w:rPr>
          <w:rFonts w:hint="cs"/>
          <w:rtl/>
        </w:rPr>
        <w:t xml:space="preserve"> (9.7.13) – אליו הפנתה המאשימה, שם דובר בנאשם שגידל 210 שתילי קנאביס במשקל של 902 גרם. נגזרו עליו 4 חודשי מאסר בפועל. ערעור ובקשת רשות ערעור נדחו. </w:t>
      </w:r>
    </w:p>
    <w:p w14:paraId="61A69AF4" w14:textId="77777777" w:rsidR="00860E71" w:rsidRDefault="00860E71" w:rsidP="00860E71">
      <w:pPr>
        <w:spacing w:line="360" w:lineRule="auto"/>
        <w:ind w:left="1440" w:hanging="330"/>
        <w:jc w:val="both"/>
        <w:rPr>
          <w:rtl/>
        </w:rPr>
      </w:pPr>
    </w:p>
    <w:p w14:paraId="4F935D01" w14:textId="77777777" w:rsidR="00860E71" w:rsidRDefault="00860E71" w:rsidP="00860E71">
      <w:pPr>
        <w:spacing w:line="360" w:lineRule="auto"/>
        <w:ind w:left="1440" w:hanging="330"/>
        <w:jc w:val="both"/>
        <w:rPr>
          <w:rtl/>
        </w:rPr>
      </w:pPr>
      <w:r>
        <w:rPr>
          <w:rFonts w:hint="cs"/>
          <w:rtl/>
        </w:rPr>
        <w:t>ד.</w:t>
      </w:r>
      <w:r>
        <w:rPr>
          <w:rFonts w:hint="cs"/>
          <w:rtl/>
        </w:rPr>
        <w:tab/>
      </w:r>
      <w:hyperlink r:id="rId20" w:history="1">
        <w:r w:rsidR="00AD16D2" w:rsidRPr="00AD16D2">
          <w:rPr>
            <w:color w:val="0000FF"/>
            <w:u w:val="single"/>
            <w:rtl/>
          </w:rPr>
          <w:t>עפ"ג (י-ם) 56662-05-16</w:t>
        </w:r>
      </w:hyperlink>
      <w:r>
        <w:rPr>
          <w:rFonts w:hint="cs"/>
          <w:rtl/>
        </w:rPr>
        <w:t xml:space="preserve"> </w:t>
      </w:r>
      <w:r>
        <w:rPr>
          <w:rFonts w:hint="cs"/>
          <w:b/>
          <w:bCs/>
          <w:rtl/>
        </w:rPr>
        <w:t>ישראל בוקעי נ' מדינת ישראל</w:t>
      </w:r>
      <w:r>
        <w:rPr>
          <w:rFonts w:hint="cs"/>
          <w:rtl/>
        </w:rPr>
        <w:t xml:space="preserve"> (9.5.17), אליו הפנתה ב"כ המאשימה, שם דובר בנאשם צעיר, ללא עבר פלילי, אשר גידל 3 שתילי קנאביס במשקל של 1.43 ק"ג. הוטלו עליו 6 חודשי מאסר בפועל. בית-המשפט המחוזי הקל בעונשו והעמידו על 3 חודשי מאסר בפועל. </w:t>
      </w:r>
    </w:p>
    <w:p w14:paraId="6363CB73" w14:textId="77777777" w:rsidR="00860E71" w:rsidRDefault="00860E71" w:rsidP="00860E71">
      <w:pPr>
        <w:spacing w:line="360" w:lineRule="auto"/>
        <w:ind w:left="1440" w:hanging="330"/>
        <w:jc w:val="both"/>
        <w:rPr>
          <w:rtl/>
        </w:rPr>
      </w:pPr>
    </w:p>
    <w:p w14:paraId="0680DDB0" w14:textId="77777777" w:rsidR="00860E71" w:rsidRDefault="00860E71" w:rsidP="00860E71">
      <w:pPr>
        <w:spacing w:line="360" w:lineRule="auto"/>
        <w:ind w:left="1440" w:hanging="330"/>
        <w:jc w:val="both"/>
        <w:rPr>
          <w:rtl/>
        </w:rPr>
      </w:pPr>
      <w:r>
        <w:rPr>
          <w:rFonts w:hint="cs"/>
          <w:rtl/>
        </w:rPr>
        <w:t>ה.</w:t>
      </w:r>
      <w:r>
        <w:rPr>
          <w:rFonts w:hint="cs"/>
          <w:rtl/>
        </w:rPr>
        <w:tab/>
      </w:r>
      <w:hyperlink r:id="rId21" w:history="1">
        <w:r w:rsidR="00AD16D2" w:rsidRPr="00AD16D2">
          <w:rPr>
            <w:color w:val="0000FF"/>
            <w:u w:val="single"/>
            <w:rtl/>
          </w:rPr>
          <w:t>ת"פ (קריות) 864-02-17</w:t>
        </w:r>
      </w:hyperlink>
      <w:r>
        <w:rPr>
          <w:rFonts w:hint="cs"/>
          <w:rtl/>
        </w:rPr>
        <w:t xml:space="preserve"> </w:t>
      </w:r>
      <w:r>
        <w:rPr>
          <w:rFonts w:hint="cs"/>
          <w:b/>
          <w:bCs/>
          <w:rtl/>
        </w:rPr>
        <w:t>מדינת ישראל נ' דוד סעד</w:t>
      </w:r>
      <w:r>
        <w:rPr>
          <w:rFonts w:hint="cs"/>
          <w:rtl/>
        </w:rPr>
        <w:t xml:space="preserve"> (4.6.17), שם דובר בנאשם שגידל 44 שתילי קנאביס במשקל של 1.85 ק"ג. בית-משפט השלום קבע מתחם עונש הולם הנע בין 8 ל-20 חודשי מאסר בפועל והטיל על הנאשם עונש של 10 חודשי מאסר. </w:t>
      </w:r>
    </w:p>
    <w:p w14:paraId="18C5536D" w14:textId="77777777" w:rsidR="00860E71" w:rsidRDefault="00860E71" w:rsidP="00860E71">
      <w:pPr>
        <w:spacing w:line="360" w:lineRule="auto"/>
        <w:ind w:left="1440" w:hanging="330"/>
        <w:jc w:val="both"/>
        <w:rPr>
          <w:rtl/>
        </w:rPr>
      </w:pPr>
    </w:p>
    <w:p w14:paraId="651E2FB2" w14:textId="77777777" w:rsidR="00860E71" w:rsidRDefault="00860E71" w:rsidP="00860E71">
      <w:pPr>
        <w:spacing w:line="360" w:lineRule="auto"/>
        <w:ind w:left="1440" w:hanging="330"/>
        <w:jc w:val="both"/>
        <w:rPr>
          <w:rtl/>
        </w:rPr>
      </w:pPr>
      <w:r>
        <w:rPr>
          <w:rFonts w:hint="cs"/>
          <w:rtl/>
        </w:rPr>
        <w:t>ו.</w:t>
      </w:r>
      <w:r>
        <w:rPr>
          <w:rFonts w:hint="cs"/>
          <w:rtl/>
        </w:rPr>
        <w:tab/>
      </w:r>
      <w:hyperlink r:id="rId22" w:history="1">
        <w:r w:rsidR="00AD16D2" w:rsidRPr="00AD16D2">
          <w:rPr>
            <w:color w:val="0000FF"/>
            <w:u w:val="single"/>
            <w:rtl/>
          </w:rPr>
          <w:t>עפ"ג (חי') 26985-08-19</w:t>
        </w:r>
      </w:hyperlink>
      <w:r>
        <w:rPr>
          <w:rFonts w:hint="cs"/>
          <w:rtl/>
        </w:rPr>
        <w:t xml:space="preserve"> </w:t>
      </w:r>
      <w:r>
        <w:rPr>
          <w:rFonts w:hint="cs"/>
          <w:b/>
          <w:bCs/>
          <w:rtl/>
        </w:rPr>
        <w:t>ארטיום שטנפר נ' מדינת ישראל</w:t>
      </w:r>
      <w:r>
        <w:rPr>
          <w:rFonts w:hint="cs"/>
          <w:rtl/>
        </w:rPr>
        <w:t xml:space="preserve"> (21.11.19) – אליו הפנה ב"כ הנאשם, שם דובר במערער אשר גידל במעבדת סמים 113 ק"ג קנאביס. הוטלו עליו 4 חודשי מאסר לריצוי בעבודות שירות, וצו מבחן. בית-המשפט המחוזי קיבל את ערעורו, והורה על ביטול רכיב המאסר כשתחתיו יבוא צו של"צ. כן הוארכה תקופת צו המבחן שנקבעה בגזר-דינו של בית-משפט השלום. יצויין כי שם דובר בצעיר בשנות העשרים לחייו, אשר נרתם להליך שיקומי ממושך, ואשר תסקירים לא מעטים התקבלו בעניינו הן בבית משפט השלום והן בהליך הערעור בבית המשפט המחוזי. נקבע כי גזר הדין המקורי ניתן במסגרת </w:t>
      </w:r>
      <w:r>
        <w:rPr>
          <w:rFonts w:hint="cs"/>
          <w:b/>
          <w:bCs/>
          <w:rtl/>
        </w:rPr>
        <w:t>סטייה לקולא ממתחם העונש בשל שיקולי שיקום</w:t>
      </w:r>
      <w:r>
        <w:rPr>
          <w:rFonts w:hint="cs"/>
          <w:rtl/>
        </w:rPr>
        <w:t>, ובכ"ז החליט ביהמ"ש המחוזי ללכת צעד נוסף לקראת אותו מערער, כדי להטיב את סיכויי שיקומו, וביטל כליל את רכיב המאסר בעבודות שרות.</w:t>
      </w:r>
    </w:p>
    <w:p w14:paraId="5218BB38" w14:textId="77777777" w:rsidR="00860E71" w:rsidRDefault="00860E71" w:rsidP="00860E71">
      <w:pPr>
        <w:spacing w:line="360" w:lineRule="auto"/>
        <w:ind w:left="1440" w:hanging="330"/>
        <w:jc w:val="both"/>
        <w:rPr>
          <w:rtl/>
        </w:rPr>
      </w:pPr>
    </w:p>
    <w:p w14:paraId="19D34157" w14:textId="77777777" w:rsidR="00860E71" w:rsidRDefault="00860E71" w:rsidP="00860E71">
      <w:pPr>
        <w:spacing w:line="360" w:lineRule="auto"/>
        <w:ind w:left="1440" w:hanging="330"/>
        <w:jc w:val="both"/>
        <w:rPr>
          <w:rtl/>
        </w:rPr>
      </w:pPr>
      <w:r>
        <w:rPr>
          <w:rFonts w:hint="cs"/>
          <w:rtl/>
        </w:rPr>
        <w:t>ז.</w:t>
      </w:r>
      <w:r>
        <w:rPr>
          <w:rFonts w:hint="cs"/>
          <w:rtl/>
        </w:rPr>
        <w:tab/>
      </w:r>
      <w:hyperlink r:id="rId23" w:history="1">
        <w:r w:rsidR="00AD16D2" w:rsidRPr="00AD16D2">
          <w:rPr>
            <w:color w:val="0000FF"/>
            <w:u w:val="single"/>
            <w:rtl/>
          </w:rPr>
          <w:t>עפ"ג (חי') 49266-02-17</w:t>
        </w:r>
      </w:hyperlink>
      <w:r>
        <w:rPr>
          <w:rFonts w:hint="cs"/>
          <w:rtl/>
        </w:rPr>
        <w:t xml:space="preserve"> </w:t>
      </w:r>
      <w:r>
        <w:rPr>
          <w:rFonts w:hint="cs"/>
          <w:b/>
          <w:bCs/>
          <w:rtl/>
        </w:rPr>
        <w:t>מדינת ישראל נ' דן אוחיון</w:t>
      </w:r>
      <w:r>
        <w:rPr>
          <w:rFonts w:hint="cs"/>
          <w:rtl/>
        </w:rPr>
        <w:t xml:space="preserve"> (16.3.17) – המשיב גידל בדירה קנאביס במשקל של 12.85 ק"ג. הוטלו צו של"צ, מאסר על-תנאי וקנס, </w:t>
      </w:r>
      <w:r>
        <w:rPr>
          <w:rFonts w:hint="cs"/>
          <w:b/>
          <w:bCs/>
          <w:rtl/>
        </w:rPr>
        <w:t>מטעמי שיקום</w:t>
      </w:r>
      <w:r>
        <w:rPr>
          <w:rFonts w:hint="cs"/>
          <w:rtl/>
        </w:rPr>
        <w:t xml:space="preserve">. ערעור המדינה על קולת העונש נדחה. </w:t>
      </w:r>
    </w:p>
    <w:p w14:paraId="587E72F5" w14:textId="77777777" w:rsidR="00860E71" w:rsidRDefault="00860E71" w:rsidP="00860E71">
      <w:pPr>
        <w:spacing w:line="360" w:lineRule="auto"/>
        <w:ind w:left="1440" w:hanging="330"/>
        <w:jc w:val="both"/>
        <w:rPr>
          <w:rtl/>
        </w:rPr>
      </w:pPr>
    </w:p>
    <w:p w14:paraId="060CFE5E" w14:textId="77777777" w:rsidR="00860E71" w:rsidRDefault="00860E71" w:rsidP="00860E71">
      <w:pPr>
        <w:spacing w:line="360" w:lineRule="auto"/>
        <w:ind w:left="1440" w:hanging="330"/>
        <w:jc w:val="both"/>
        <w:rPr>
          <w:rtl/>
        </w:rPr>
      </w:pPr>
      <w:r>
        <w:rPr>
          <w:rFonts w:hint="cs"/>
          <w:rtl/>
        </w:rPr>
        <w:t>ח.</w:t>
      </w:r>
      <w:r>
        <w:rPr>
          <w:rFonts w:hint="cs"/>
          <w:rtl/>
        </w:rPr>
        <w:tab/>
      </w:r>
      <w:hyperlink r:id="rId24" w:history="1">
        <w:r w:rsidR="00AD16D2" w:rsidRPr="00AD16D2">
          <w:rPr>
            <w:color w:val="0000FF"/>
            <w:u w:val="single"/>
            <w:rtl/>
          </w:rPr>
          <w:t>ת"פ (ב"ש) 12995-07-17</w:t>
        </w:r>
      </w:hyperlink>
      <w:r>
        <w:rPr>
          <w:rFonts w:hint="cs"/>
          <w:rtl/>
        </w:rPr>
        <w:t xml:space="preserve"> </w:t>
      </w:r>
      <w:r>
        <w:rPr>
          <w:rFonts w:hint="cs"/>
          <w:b/>
          <w:bCs/>
          <w:rtl/>
        </w:rPr>
        <w:t>מדינת ישראל נ' יוסף אלעסם</w:t>
      </w:r>
      <w:r>
        <w:rPr>
          <w:rFonts w:hint="cs"/>
          <w:rtl/>
        </w:rPr>
        <w:t xml:space="preserve"> (8.7.18), גם אליו הפנה ב"כ הנאשם, שם דובר בנאשם שגידל במעבדת סמים קנאביס במשקל כולל של 57 ק"ג. נקבע מתחם עונש הולם הנע בין 10 ל-24 חודשי מאסר בפועל, והוטלו 11 חודשי מאסר בפועל. </w:t>
      </w:r>
    </w:p>
    <w:p w14:paraId="3B871C10" w14:textId="77777777" w:rsidR="00860E71" w:rsidRDefault="00860E71" w:rsidP="00860E71">
      <w:pPr>
        <w:spacing w:line="360" w:lineRule="auto"/>
        <w:ind w:left="1440" w:hanging="330"/>
        <w:jc w:val="both"/>
        <w:rPr>
          <w:rtl/>
        </w:rPr>
      </w:pPr>
    </w:p>
    <w:p w14:paraId="494C6954" w14:textId="77777777" w:rsidR="00860E71" w:rsidRDefault="00860E71" w:rsidP="00860E71">
      <w:pPr>
        <w:spacing w:line="360" w:lineRule="auto"/>
        <w:ind w:left="1440" w:hanging="330"/>
        <w:jc w:val="both"/>
        <w:rPr>
          <w:rtl/>
        </w:rPr>
      </w:pPr>
      <w:r>
        <w:rPr>
          <w:rFonts w:hint="cs"/>
          <w:rtl/>
        </w:rPr>
        <w:t>ט.</w:t>
      </w:r>
      <w:r>
        <w:rPr>
          <w:rFonts w:hint="cs"/>
          <w:rtl/>
        </w:rPr>
        <w:tab/>
      </w:r>
      <w:hyperlink r:id="rId25" w:history="1">
        <w:r w:rsidR="00AD16D2" w:rsidRPr="00AD16D2">
          <w:rPr>
            <w:color w:val="0000FF"/>
            <w:u w:val="single"/>
            <w:rtl/>
          </w:rPr>
          <w:t>ת"פ (קריות) 16673-04-17</w:t>
        </w:r>
      </w:hyperlink>
      <w:r>
        <w:rPr>
          <w:rFonts w:hint="cs"/>
          <w:rtl/>
        </w:rPr>
        <w:t xml:space="preserve"> </w:t>
      </w:r>
      <w:r>
        <w:rPr>
          <w:rFonts w:hint="cs"/>
          <w:b/>
          <w:bCs/>
          <w:rtl/>
        </w:rPr>
        <w:t>מדינת ישראל נ' אברהם טרגנו</w:t>
      </w:r>
      <w:r>
        <w:rPr>
          <w:rFonts w:hint="cs"/>
          <w:rtl/>
        </w:rPr>
        <w:t xml:space="preserve"> (17.1.19), שם דובר בנאשם שגידל בביתו קנאביס במשקל 38 ק"ג, החזיק בסם לצריכה עצמית וכן התחבר בחיבור פיראטי לרשת החשמל וצרך חשמל בשווי 30,000 ₪. נקבע מתחם עונש הולם הנע בין 10 ל-30 חודשי מאסר בפועל, והוטלו 6 חודשי מאסר לריצוי בעבודות שירות </w:t>
      </w:r>
      <w:r>
        <w:rPr>
          <w:rFonts w:hint="cs"/>
          <w:b/>
          <w:bCs/>
          <w:rtl/>
        </w:rPr>
        <w:t>בחריגה ממתחם העונש ההולם משיקולי שיקום.</w:t>
      </w:r>
      <w:r>
        <w:rPr>
          <w:rFonts w:hint="cs"/>
          <w:rtl/>
        </w:rPr>
        <w:t xml:space="preserve"> </w:t>
      </w:r>
    </w:p>
    <w:p w14:paraId="13719B5A" w14:textId="77777777" w:rsidR="00860E71" w:rsidRDefault="00860E71" w:rsidP="00860E71">
      <w:pPr>
        <w:spacing w:line="360" w:lineRule="auto"/>
        <w:jc w:val="both"/>
        <w:rPr>
          <w:rtl/>
        </w:rPr>
      </w:pPr>
      <w:r>
        <w:rPr>
          <w:rFonts w:hint="cs"/>
          <w:rtl/>
        </w:rPr>
        <w:tab/>
      </w:r>
    </w:p>
    <w:p w14:paraId="08618B63" w14:textId="77777777" w:rsidR="00860E71" w:rsidRDefault="00860E71" w:rsidP="00860E71">
      <w:pPr>
        <w:spacing w:line="360" w:lineRule="auto"/>
        <w:jc w:val="both"/>
        <w:rPr>
          <w:rtl/>
        </w:rPr>
      </w:pPr>
      <w:r>
        <w:rPr>
          <w:rFonts w:hint="cs"/>
          <w:rtl/>
        </w:rPr>
        <w:t>ניתן לעיין בנוסף גם בפסקי-הדין הבאים:</w:t>
      </w:r>
    </w:p>
    <w:p w14:paraId="212D1794" w14:textId="77777777" w:rsidR="00860E71" w:rsidRDefault="00860E71" w:rsidP="00860E71">
      <w:pPr>
        <w:spacing w:line="360" w:lineRule="auto"/>
        <w:jc w:val="both"/>
        <w:rPr>
          <w:rtl/>
        </w:rPr>
      </w:pPr>
    </w:p>
    <w:p w14:paraId="59EE4E99" w14:textId="77777777" w:rsidR="00860E71" w:rsidRDefault="00860E71" w:rsidP="00860E71">
      <w:pPr>
        <w:spacing w:line="360" w:lineRule="auto"/>
        <w:ind w:left="1440" w:hanging="330"/>
        <w:jc w:val="both"/>
        <w:rPr>
          <w:rtl/>
        </w:rPr>
      </w:pPr>
      <w:r>
        <w:rPr>
          <w:rFonts w:hint="cs"/>
          <w:rtl/>
        </w:rPr>
        <w:t>א.</w:t>
      </w:r>
      <w:r>
        <w:rPr>
          <w:rFonts w:hint="cs"/>
          <w:rtl/>
        </w:rPr>
        <w:tab/>
      </w:r>
      <w:hyperlink r:id="rId26" w:history="1">
        <w:r w:rsidR="00AD16D2" w:rsidRPr="00AD16D2">
          <w:rPr>
            <w:color w:val="0000FF"/>
            <w:u w:val="single"/>
            <w:rtl/>
          </w:rPr>
          <w:t>עפ"ג (מרכז) 8650-04-15</w:t>
        </w:r>
      </w:hyperlink>
      <w:r>
        <w:rPr>
          <w:rFonts w:hint="cs"/>
          <w:rtl/>
        </w:rPr>
        <w:t xml:space="preserve"> </w:t>
      </w:r>
      <w:r>
        <w:rPr>
          <w:rFonts w:hint="cs"/>
          <w:b/>
          <w:bCs/>
          <w:rtl/>
        </w:rPr>
        <w:t>שורץ נ' מדינת ישראל</w:t>
      </w:r>
      <w:r>
        <w:rPr>
          <w:rFonts w:hint="cs"/>
          <w:rtl/>
        </w:rPr>
        <w:t xml:space="preserve"> (22.12.15), המערער הקים בביתו בית גידול ל-146 שתילי קנאביס, במשקל 2.69 ק"ג. בית-משפט השלום קבע מתחם עונש הולם הנע בין 6 ל-24 חודשי מאסר בפועל, </w:t>
      </w:r>
      <w:r>
        <w:rPr>
          <w:rFonts w:hint="cs"/>
          <w:b/>
          <w:bCs/>
          <w:rtl/>
        </w:rPr>
        <w:t>והטיל עליו 9 חודשי מאסר בפועל, מאסרים על-תנאי, קנס בסך 3,000 ₪, פסילת רישיון בפועל ועל-תנאי</w:t>
      </w:r>
      <w:r>
        <w:rPr>
          <w:rFonts w:hint="cs"/>
          <w:rtl/>
        </w:rPr>
        <w:t xml:space="preserve">. כן חולט רכוש שנתפס. ערעורו נדחה. </w:t>
      </w:r>
    </w:p>
    <w:p w14:paraId="264A2883" w14:textId="77777777" w:rsidR="00860E71" w:rsidRDefault="00860E71" w:rsidP="00860E71">
      <w:pPr>
        <w:spacing w:line="360" w:lineRule="auto"/>
        <w:jc w:val="both"/>
        <w:rPr>
          <w:rtl/>
        </w:rPr>
      </w:pPr>
    </w:p>
    <w:p w14:paraId="0600F6C5" w14:textId="77777777" w:rsidR="00860E71" w:rsidRDefault="00860E71" w:rsidP="00860E71">
      <w:pPr>
        <w:spacing w:line="360" w:lineRule="auto"/>
        <w:ind w:left="1440" w:hanging="330"/>
        <w:jc w:val="both"/>
        <w:rPr>
          <w:rtl/>
        </w:rPr>
      </w:pPr>
      <w:r>
        <w:rPr>
          <w:rFonts w:hint="cs"/>
          <w:rtl/>
        </w:rPr>
        <w:t>ב.</w:t>
      </w:r>
      <w:r>
        <w:rPr>
          <w:rFonts w:hint="cs"/>
          <w:rtl/>
        </w:rPr>
        <w:tab/>
      </w:r>
      <w:hyperlink r:id="rId27" w:history="1">
        <w:r w:rsidR="00AD16D2" w:rsidRPr="00AD16D2">
          <w:rPr>
            <w:color w:val="0000FF"/>
            <w:u w:val="single"/>
            <w:rtl/>
          </w:rPr>
          <w:t>עפ"ג (מרכז) 52810-07-10</w:t>
        </w:r>
      </w:hyperlink>
      <w:r>
        <w:rPr>
          <w:rFonts w:hint="cs"/>
          <w:rtl/>
        </w:rPr>
        <w:t xml:space="preserve"> </w:t>
      </w:r>
      <w:r>
        <w:rPr>
          <w:rFonts w:hint="cs"/>
          <w:b/>
          <w:bCs/>
          <w:rtl/>
        </w:rPr>
        <w:t>עזריה נ' מדינת ישראל</w:t>
      </w:r>
      <w:r>
        <w:rPr>
          <w:rFonts w:hint="cs"/>
          <w:rtl/>
        </w:rPr>
        <w:t xml:space="preserve"> (1.2.11), דובר במערער שהודה בהזדמנות הראשונה בגידולם של 38 שתילי קנאביס, במשקל של 1.18 ק"ג, ובהחזקת סמים נוספים. אף שהמלצתו של שירות המבחן הייתה המלצה שיקומית, לאחר </w:t>
      </w:r>
      <w:r>
        <w:rPr>
          <w:rFonts w:hint="cs"/>
          <w:b/>
          <w:bCs/>
          <w:rtl/>
        </w:rPr>
        <w:t>ששולב בהליך טיפולי</w:t>
      </w:r>
      <w:r>
        <w:rPr>
          <w:rFonts w:hint="cs"/>
          <w:rtl/>
        </w:rPr>
        <w:t xml:space="preserve"> במסגרת הדיון בעניינו ונגמל מהסם אליו היה מכור משך שנים רבות, הטיל עליו בית-משפט השלום עונש של 9 חודשי מאסר בפועל, שנת מאסר על-תנאי, וקנס בסך 7,500 ₪. בית-המשפט המחוזי התחשב בכברת הדרך הארוכה שעבר </w:t>
      </w:r>
      <w:r>
        <w:rPr>
          <w:rFonts w:hint="cs"/>
          <w:b/>
          <w:bCs/>
          <w:rtl/>
        </w:rPr>
        <w:t>והעמיד את עונשו על 6 חודשי מאסר לריצוי בעבודות שירות</w:t>
      </w:r>
      <w:r>
        <w:rPr>
          <w:rFonts w:hint="cs"/>
          <w:rtl/>
        </w:rPr>
        <w:t xml:space="preserve">. </w:t>
      </w:r>
    </w:p>
    <w:p w14:paraId="6E079A7D" w14:textId="77777777" w:rsidR="00860E71" w:rsidRDefault="00860E71" w:rsidP="00860E71">
      <w:pPr>
        <w:spacing w:line="360" w:lineRule="auto"/>
        <w:jc w:val="both"/>
        <w:rPr>
          <w:rtl/>
        </w:rPr>
      </w:pPr>
    </w:p>
    <w:p w14:paraId="34BE8CB8" w14:textId="77777777" w:rsidR="00860E71" w:rsidRDefault="00860E71" w:rsidP="00860E71">
      <w:pPr>
        <w:spacing w:line="360" w:lineRule="auto"/>
        <w:ind w:left="1440" w:hanging="330"/>
        <w:jc w:val="both"/>
        <w:rPr>
          <w:rtl/>
        </w:rPr>
      </w:pPr>
      <w:r>
        <w:rPr>
          <w:rFonts w:hint="cs"/>
          <w:rtl/>
        </w:rPr>
        <w:t>ג.</w:t>
      </w:r>
      <w:r>
        <w:rPr>
          <w:rFonts w:hint="cs"/>
          <w:rtl/>
        </w:rPr>
        <w:tab/>
      </w:r>
      <w:hyperlink r:id="rId28" w:history="1">
        <w:r w:rsidR="00AD16D2" w:rsidRPr="00AD16D2">
          <w:rPr>
            <w:color w:val="0000FF"/>
            <w:u w:val="single"/>
            <w:rtl/>
          </w:rPr>
          <w:t>ת"פ (קריות) 63585-01-17</w:t>
        </w:r>
      </w:hyperlink>
      <w:r>
        <w:rPr>
          <w:rFonts w:hint="cs"/>
          <w:rtl/>
        </w:rPr>
        <w:t xml:space="preserve"> </w:t>
      </w:r>
      <w:r>
        <w:rPr>
          <w:rFonts w:hint="cs"/>
          <w:b/>
          <w:bCs/>
          <w:rtl/>
        </w:rPr>
        <w:t>מדינת ישראל נ' גרימו</w:t>
      </w:r>
      <w:r>
        <w:rPr>
          <w:rFonts w:hint="cs"/>
          <w:rtl/>
        </w:rPr>
        <w:t xml:space="preserve"> (3.4.17) – בגין גידול 45 שתילי קנאביס בכמות של 3.3. ק"ג נטו, והחזקת כלים לשם כך, הושתו </w:t>
      </w:r>
      <w:r>
        <w:rPr>
          <w:rFonts w:hint="cs"/>
          <w:b/>
          <w:bCs/>
          <w:rtl/>
        </w:rPr>
        <w:t>10 חודשי מאסר בפועל, מאסר על-תנאי, קנס בסך 15,000 ₪, התחייבות ופסילה בפועל ועל-תנאי</w:t>
      </w:r>
      <w:r>
        <w:rPr>
          <w:rFonts w:hint="cs"/>
          <w:rtl/>
        </w:rPr>
        <w:t>.</w:t>
      </w:r>
    </w:p>
    <w:p w14:paraId="0D294A7C" w14:textId="77777777" w:rsidR="00860E71" w:rsidRDefault="00860E71" w:rsidP="00860E71">
      <w:pPr>
        <w:spacing w:line="360" w:lineRule="auto"/>
        <w:ind w:left="1440" w:hanging="330"/>
        <w:jc w:val="both"/>
        <w:rPr>
          <w:rtl/>
        </w:rPr>
      </w:pPr>
    </w:p>
    <w:p w14:paraId="041B3025" w14:textId="77777777" w:rsidR="00860E71" w:rsidRDefault="00860E71" w:rsidP="00860E71">
      <w:pPr>
        <w:spacing w:line="360" w:lineRule="auto"/>
        <w:ind w:left="1440" w:hanging="330"/>
        <w:jc w:val="both"/>
        <w:rPr>
          <w:rtl/>
        </w:rPr>
      </w:pPr>
      <w:r>
        <w:rPr>
          <w:rFonts w:hint="cs"/>
          <w:rtl/>
        </w:rPr>
        <w:t>ד.</w:t>
      </w:r>
      <w:r>
        <w:rPr>
          <w:rFonts w:hint="cs"/>
          <w:rtl/>
        </w:rPr>
        <w:tab/>
      </w:r>
      <w:hyperlink r:id="rId29" w:history="1">
        <w:r w:rsidR="00AD16D2" w:rsidRPr="00AD16D2">
          <w:rPr>
            <w:color w:val="0000FF"/>
            <w:u w:val="single"/>
            <w:rtl/>
          </w:rPr>
          <w:t>עפ"ג (נצ') 66128-05-18</w:t>
        </w:r>
      </w:hyperlink>
      <w:r>
        <w:rPr>
          <w:rFonts w:hint="cs"/>
          <w:rtl/>
        </w:rPr>
        <w:t xml:space="preserve"> </w:t>
      </w:r>
      <w:r>
        <w:rPr>
          <w:rFonts w:hint="cs"/>
          <w:b/>
          <w:bCs/>
          <w:rtl/>
        </w:rPr>
        <w:t>טובול נ' מדינת ישראל</w:t>
      </w:r>
      <w:r>
        <w:rPr>
          <w:rFonts w:hint="cs"/>
          <w:rtl/>
        </w:rPr>
        <w:t xml:space="preserve"> (25.6.19) – דובר במערער אשר גידל יחד עם אחר, בביתו, 34 שתילים של קנאביס במשקל של 9.85 ק"ג נטו. </w:t>
      </w:r>
      <w:r>
        <w:rPr>
          <w:rFonts w:hint="cs"/>
          <w:b/>
          <w:bCs/>
          <w:rtl/>
        </w:rPr>
        <w:t>בית-משפט השלום הטיל עליו 8 חודשי מאסר בפועל, ועונשים נוספים</w:t>
      </w:r>
      <w:r>
        <w:rPr>
          <w:rFonts w:hint="cs"/>
          <w:rtl/>
        </w:rPr>
        <w:t xml:space="preserve">. לאחר שהופנה לשירות המבחן פעם נוספת במסגרת הדיון בערעור, הגיעו הצדדים להסדר דיוני לפיו </w:t>
      </w:r>
      <w:r>
        <w:rPr>
          <w:rFonts w:hint="cs"/>
          <w:b/>
          <w:bCs/>
          <w:rtl/>
        </w:rPr>
        <w:t>תקופת המאסר בפועל שהוטלה על המערער, תרוצה בדרך של עבודות שירות, לצד הטלת צו מבחן, וזאת בנוסף ליתר רכיבי הענישה. בית-המשפט המחוזי אימץ את ההסדר.</w:t>
      </w:r>
      <w:r>
        <w:rPr>
          <w:rFonts w:hint="cs"/>
          <w:rtl/>
        </w:rPr>
        <w:t xml:space="preserve"> </w:t>
      </w:r>
    </w:p>
    <w:p w14:paraId="2212BEA7" w14:textId="77777777" w:rsidR="00860E71" w:rsidRDefault="00860E71" w:rsidP="00860E71">
      <w:pPr>
        <w:spacing w:line="360" w:lineRule="auto"/>
        <w:jc w:val="both"/>
        <w:rPr>
          <w:rtl/>
        </w:rPr>
      </w:pPr>
      <w:r>
        <w:tab/>
      </w:r>
      <w:r>
        <w:tab/>
      </w:r>
    </w:p>
    <w:p w14:paraId="4428E3E2" w14:textId="77777777" w:rsidR="00860E71" w:rsidRDefault="00860E71" w:rsidP="00860E71">
      <w:pPr>
        <w:spacing w:after="160" w:line="360" w:lineRule="auto"/>
        <w:ind w:left="1440" w:hanging="330"/>
        <w:contextualSpacing/>
        <w:jc w:val="both"/>
        <w:rPr>
          <w:rtl/>
        </w:rPr>
      </w:pPr>
      <w:r>
        <w:rPr>
          <w:rFonts w:hint="cs"/>
          <w:rtl/>
        </w:rPr>
        <w:t>ה.</w:t>
      </w:r>
      <w:r>
        <w:rPr>
          <w:rFonts w:hint="cs"/>
          <w:rtl/>
        </w:rPr>
        <w:tab/>
      </w:r>
      <w:hyperlink r:id="rId30" w:history="1">
        <w:r w:rsidR="00AD16D2" w:rsidRPr="00AD16D2">
          <w:rPr>
            <w:color w:val="0000FF"/>
            <w:u w:val="single"/>
            <w:rtl/>
          </w:rPr>
          <w:t>ת"פ (ק"ש) 54421-06-15</w:t>
        </w:r>
      </w:hyperlink>
      <w:r>
        <w:rPr>
          <w:rFonts w:hint="cs"/>
          <w:rtl/>
        </w:rPr>
        <w:t xml:space="preserve"> </w:t>
      </w:r>
      <w:r>
        <w:rPr>
          <w:rFonts w:hint="cs"/>
          <w:b/>
          <w:bCs/>
          <w:rtl/>
        </w:rPr>
        <w:t>תביעות צפת נ' קלר</w:t>
      </w:r>
      <w:r>
        <w:rPr>
          <w:rFonts w:hint="cs"/>
          <w:rtl/>
        </w:rPr>
        <w:t xml:space="preserve"> (22.11.16), ( ניתן על-ידי הח"מ) הנאשם החזיק ביער, באוהל ובו גידל 26 שתילי קנאביס במשקל של 0.750 ק"ג. כן נתפסו בביתו בתנאי גידול שלושה שתילי קנאביס וסם לצריכה עצמית. </w:t>
      </w:r>
      <w:r>
        <w:rPr>
          <w:rFonts w:hint="cs"/>
          <w:b/>
          <w:bCs/>
          <w:rtl/>
        </w:rPr>
        <w:t>נקבע, מתחם ענישה הולם הנע בין מספר חודשי מאסר לריצוי בעבודות שירות ועד ל-12 חודשי מאסר בפועל, והוטלו 4 חודשי מאסר לריצוי בעבודות שירות, צו מבחן ועונשים נוספים</w:t>
      </w:r>
      <w:r>
        <w:rPr>
          <w:rFonts w:hint="cs"/>
          <w:rtl/>
        </w:rPr>
        <w:t xml:space="preserve">. </w:t>
      </w:r>
    </w:p>
    <w:p w14:paraId="6FBB3F6C" w14:textId="77777777" w:rsidR="00860E71" w:rsidRDefault="00860E71" w:rsidP="00860E71">
      <w:pPr>
        <w:spacing w:after="160" w:line="360" w:lineRule="auto"/>
        <w:ind w:left="1440" w:hanging="330"/>
        <w:contextualSpacing/>
        <w:jc w:val="both"/>
        <w:rPr>
          <w:rtl/>
        </w:rPr>
      </w:pPr>
    </w:p>
    <w:p w14:paraId="7D7D08C4" w14:textId="77777777" w:rsidR="00860E71" w:rsidRDefault="00860E71" w:rsidP="00860E71">
      <w:pPr>
        <w:spacing w:line="360" w:lineRule="auto"/>
        <w:ind w:left="720" w:hanging="720"/>
        <w:contextualSpacing/>
        <w:jc w:val="both"/>
        <w:rPr>
          <w:rtl/>
        </w:rPr>
      </w:pPr>
      <w:r>
        <w:rPr>
          <w:rFonts w:hint="cs"/>
          <w:rtl/>
        </w:rPr>
        <w:t>10.</w:t>
      </w:r>
      <w:r>
        <w:rPr>
          <w:rFonts w:hint="cs"/>
          <w:rtl/>
        </w:rPr>
        <w:tab/>
      </w:r>
      <w:r>
        <w:rPr>
          <w:rFonts w:hint="cs"/>
          <w:b/>
          <w:bCs/>
          <w:u w:val="single"/>
          <w:rtl/>
        </w:rPr>
        <w:t>בנסיבות העניין דנן, אני קובעת כי מתחם העונש ההולם נע בין שבעה חודשי מאסר ועד ל-18 חודשי מאסר בפועל</w:t>
      </w:r>
      <w:r>
        <w:rPr>
          <w:rFonts w:hint="cs"/>
          <w:rtl/>
        </w:rPr>
        <w:t xml:space="preserve">. </w:t>
      </w:r>
    </w:p>
    <w:p w14:paraId="40C65531" w14:textId="77777777" w:rsidR="00860E71" w:rsidRDefault="00860E71" w:rsidP="00860E71">
      <w:pPr>
        <w:spacing w:line="360" w:lineRule="auto"/>
        <w:ind w:left="720" w:hanging="720"/>
        <w:contextualSpacing/>
        <w:jc w:val="both"/>
      </w:pPr>
    </w:p>
    <w:p w14:paraId="13BF1ABC" w14:textId="77777777" w:rsidR="00860E71" w:rsidRDefault="00860E71" w:rsidP="00860E71">
      <w:pPr>
        <w:spacing w:after="160" w:line="360" w:lineRule="auto"/>
        <w:jc w:val="both"/>
        <w:rPr>
          <w:b/>
          <w:bCs/>
          <w:u w:val="single"/>
          <w:rtl/>
        </w:rPr>
      </w:pPr>
      <w:r>
        <w:rPr>
          <w:rFonts w:hint="cs"/>
          <w:b/>
          <w:bCs/>
          <w:u w:val="single"/>
          <w:rtl/>
        </w:rPr>
        <w:t>גזירת עונשו של הנאשם</w:t>
      </w:r>
    </w:p>
    <w:p w14:paraId="25716149" w14:textId="77777777" w:rsidR="00860E71" w:rsidRDefault="00860E71" w:rsidP="00860E71">
      <w:pPr>
        <w:spacing w:line="360" w:lineRule="auto"/>
        <w:ind w:left="720" w:hanging="720"/>
        <w:contextualSpacing/>
        <w:jc w:val="both"/>
        <w:rPr>
          <w:rtl/>
        </w:rPr>
      </w:pPr>
      <w:r>
        <w:rPr>
          <w:rFonts w:hint="cs"/>
          <w:rtl/>
        </w:rPr>
        <w:t>11.</w:t>
      </w:r>
      <w:r>
        <w:rPr>
          <w:rFonts w:hint="cs"/>
          <w:rtl/>
        </w:rPr>
        <w:tab/>
        <w:t xml:space="preserve">הנאשם בן 34, הודה במיוחס לו בהזדמנות הראשונה, אף לא במסגרת הסדר טיעון, באופן שתרם לחיסכון ניכר בזמן ציבורי, והמשקף נטילת אחריות. </w:t>
      </w:r>
    </w:p>
    <w:p w14:paraId="09ADEFD6" w14:textId="77777777" w:rsidR="00860E71" w:rsidRDefault="00860E71" w:rsidP="00860E71">
      <w:pPr>
        <w:spacing w:line="360" w:lineRule="auto"/>
        <w:ind w:left="720" w:hanging="720"/>
        <w:contextualSpacing/>
        <w:jc w:val="both"/>
        <w:rPr>
          <w:rtl/>
        </w:rPr>
      </w:pPr>
      <w:r>
        <w:rPr>
          <w:rFonts w:hint="cs"/>
          <w:rtl/>
        </w:rPr>
        <w:tab/>
        <w:t xml:space="preserve">הנאשם אב לפעוט, ורעייתו מצויה בהיריון. </w:t>
      </w:r>
    </w:p>
    <w:p w14:paraId="70D68EB3" w14:textId="77777777" w:rsidR="00860E71" w:rsidRDefault="00860E71" w:rsidP="00860E71">
      <w:pPr>
        <w:spacing w:line="360" w:lineRule="auto"/>
        <w:ind w:left="720"/>
        <w:contextualSpacing/>
        <w:jc w:val="both"/>
        <w:rPr>
          <w:rtl/>
        </w:rPr>
      </w:pPr>
      <w:r>
        <w:rPr>
          <w:rFonts w:hint="cs"/>
          <w:rtl/>
        </w:rPr>
        <w:t xml:space="preserve">לחובת הנאשם שתי הרשעות קודמות בעבירות של החזקת סמים </w:t>
      </w:r>
      <w:r>
        <w:rPr>
          <w:rFonts w:hint="cs"/>
          <w:b/>
          <w:bCs/>
          <w:rtl/>
        </w:rPr>
        <w:t>שלא</w:t>
      </w:r>
      <w:r>
        <w:rPr>
          <w:rFonts w:hint="cs"/>
          <w:rtl/>
        </w:rPr>
        <w:t xml:space="preserve"> לצריכה עצמית, והחזקת סמים לצריכה עצמית. בתיק הראשון ריצה עונש מאסר של 6 חודשים, בדרך של עבודות שירות, בתיקו האחרון, הוארך עונש מאסר על-תנאי שהושת בתיק הראשון, והוטלו עליו קנס, התחייבות, ופסילת רישיון נהיגה על-תנאי. </w:t>
      </w:r>
    </w:p>
    <w:p w14:paraId="722D5E70" w14:textId="77777777" w:rsidR="00860E71" w:rsidRDefault="00860E71" w:rsidP="00860E71">
      <w:pPr>
        <w:spacing w:line="360" w:lineRule="auto"/>
        <w:ind w:left="720"/>
        <w:contextualSpacing/>
        <w:jc w:val="both"/>
        <w:rPr>
          <w:b/>
          <w:bCs/>
        </w:rPr>
      </w:pPr>
      <w:r>
        <w:rPr>
          <w:rFonts w:hint="cs"/>
          <w:rtl/>
        </w:rPr>
        <w:t xml:space="preserve">הנאשם מצוי במעצר מאחורי סורג ובריח מיום 2.9.19 ועד עתה. </w:t>
      </w:r>
    </w:p>
    <w:p w14:paraId="518CE0CD" w14:textId="77777777" w:rsidR="00860E71" w:rsidRDefault="00860E71" w:rsidP="00860E71">
      <w:pPr>
        <w:spacing w:line="360" w:lineRule="auto"/>
        <w:ind w:left="720" w:hanging="720"/>
        <w:contextualSpacing/>
        <w:jc w:val="both"/>
        <w:rPr>
          <w:rtl/>
        </w:rPr>
      </w:pPr>
      <w:r>
        <w:rPr>
          <w:rFonts w:hint="cs"/>
          <w:rtl/>
        </w:rPr>
        <w:tab/>
        <w:t xml:space="preserve">סנגורו של הנאשם פירט נסיבות חיים מורכבות וטען למצב כלכלי רעוע של הנאשם ומשפחתו. נטען, כי המצב הכלכלי הקשה הוא שהוביל את הנאשם לביצוע העבירות. מתדפיסי חשבון הבנק שהוגשו לא התרשמתי כי מדובר בחובות כבדים עד מאוד. </w:t>
      </w:r>
    </w:p>
    <w:p w14:paraId="24990AE4" w14:textId="77777777" w:rsidR="00860E71" w:rsidRDefault="00860E71" w:rsidP="00860E71">
      <w:pPr>
        <w:spacing w:line="360" w:lineRule="auto"/>
        <w:ind w:left="720" w:hanging="720"/>
        <w:contextualSpacing/>
        <w:jc w:val="both"/>
        <w:rPr>
          <w:rtl/>
        </w:rPr>
      </w:pPr>
      <w:r>
        <w:rPr>
          <w:rFonts w:hint="cs"/>
          <w:rtl/>
        </w:rPr>
        <w:tab/>
        <w:t>לא ניתן ליתן לנסיבות אישיות וכלכליות אלה משקל רב, נוכח הרשעה קודמת בעבירות סמים שלא לצריכה עצמית, ובשל הפגיעה המשמעותית בערכים המוגנים.</w:t>
      </w:r>
    </w:p>
    <w:p w14:paraId="1E438E51" w14:textId="77777777" w:rsidR="00860E71" w:rsidRDefault="00860E71" w:rsidP="00860E71">
      <w:pPr>
        <w:spacing w:line="360" w:lineRule="auto"/>
        <w:ind w:left="720"/>
        <w:contextualSpacing/>
        <w:jc w:val="both"/>
        <w:rPr>
          <w:rtl/>
        </w:rPr>
      </w:pPr>
      <w:r>
        <w:rPr>
          <w:rFonts w:hint="cs"/>
          <w:rtl/>
        </w:rPr>
        <w:t>לעומת זאת – יינתן משקל לחרטה ולקבלת האחריות.</w:t>
      </w:r>
    </w:p>
    <w:p w14:paraId="20B789D3" w14:textId="77777777" w:rsidR="00860E71" w:rsidRDefault="00860E71" w:rsidP="00860E71">
      <w:pPr>
        <w:spacing w:line="360" w:lineRule="auto"/>
        <w:ind w:left="720"/>
        <w:contextualSpacing/>
        <w:jc w:val="both"/>
        <w:rPr>
          <w:rtl/>
        </w:rPr>
      </w:pPr>
      <w:r>
        <w:rPr>
          <w:rFonts w:hint="cs"/>
          <w:rtl/>
        </w:rPr>
        <w:t>נסיבותיו האישיות של הנאשם, שריצה בעבר מאסר בעבודות שרות, ואולם זה לו מאסר ראשון מאחורי סורג ובריח, מכתיבות מיקום בחלקו התחתון של מתחם העונש, ואולם לא בקצה הנמוך ממש. מודגש כי רוב רובה של  הפסיקה שהובאה לעיוני, אם לא כולה, ושאליה התייחסתי לעיל, דנה בנאשמים אשר, כמו הנאשם כאן, הודו וחסכו זמן שיפוטי, וכי עניין זה יילקח בחשבון לטובת הנאשם, כפי שנלקח בחשבון לטובתם של הנאשמים האחרים.</w:t>
      </w:r>
    </w:p>
    <w:p w14:paraId="3C2F39AC" w14:textId="77777777" w:rsidR="00860E71" w:rsidRDefault="00860E71" w:rsidP="00860E71">
      <w:pPr>
        <w:spacing w:line="360" w:lineRule="auto"/>
        <w:ind w:left="720"/>
        <w:contextualSpacing/>
        <w:jc w:val="both"/>
        <w:rPr>
          <w:rtl/>
        </w:rPr>
      </w:pPr>
    </w:p>
    <w:p w14:paraId="7AC4430A" w14:textId="77777777" w:rsidR="00860E71" w:rsidRDefault="00860E71" w:rsidP="00860E71">
      <w:pPr>
        <w:spacing w:after="160" w:line="360" w:lineRule="auto"/>
        <w:jc w:val="both"/>
        <w:rPr>
          <w:b/>
          <w:bCs/>
          <w:u w:val="single"/>
          <w:rtl/>
        </w:rPr>
      </w:pPr>
      <w:r>
        <w:rPr>
          <w:rFonts w:hint="cs"/>
          <w:b/>
          <w:bCs/>
          <w:u w:val="single"/>
          <w:rtl/>
        </w:rPr>
        <w:t>סוף דבר</w:t>
      </w:r>
    </w:p>
    <w:p w14:paraId="564CC261" w14:textId="77777777" w:rsidR="00860E71" w:rsidRDefault="00860E71" w:rsidP="00860E71">
      <w:pPr>
        <w:spacing w:line="360" w:lineRule="auto"/>
        <w:jc w:val="both"/>
        <w:rPr>
          <w:rtl/>
        </w:rPr>
      </w:pPr>
      <w:r>
        <w:rPr>
          <w:rFonts w:hint="cs"/>
          <w:rtl/>
        </w:rPr>
        <w:t>12.</w:t>
      </w:r>
      <w:r>
        <w:rPr>
          <w:rFonts w:hint="cs"/>
          <w:rtl/>
        </w:rPr>
        <w:tab/>
      </w:r>
      <w:r>
        <w:rPr>
          <w:rFonts w:hint="cs"/>
          <w:b/>
          <w:bCs/>
          <w:rtl/>
        </w:rPr>
        <w:t>נוכח כל האמור לעיל, אני גוזרת את עונשו של הנאשם כדלקמן:</w:t>
      </w:r>
    </w:p>
    <w:p w14:paraId="59C9E4DE" w14:textId="77777777" w:rsidR="00860E71" w:rsidRDefault="00860E71" w:rsidP="00860E71">
      <w:pPr>
        <w:spacing w:line="360" w:lineRule="auto"/>
        <w:jc w:val="both"/>
        <w:rPr>
          <w:rtl/>
        </w:rPr>
      </w:pPr>
    </w:p>
    <w:p w14:paraId="315E0C7D" w14:textId="77777777" w:rsidR="00860E71" w:rsidRDefault="00860E71" w:rsidP="00860E71">
      <w:pPr>
        <w:spacing w:after="160" w:line="360" w:lineRule="auto"/>
        <w:ind w:firstLine="720"/>
        <w:jc w:val="both"/>
        <w:rPr>
          <w:rtl/>
        </w:rPr>
      </w:pPr>
      <w:r>
        <w:rPr>
          <w:rFonts w:hint="cs"/>
          <w:rtl/>
        </w:rPr>
        <w:t>א.</w:t>
      </w:r>
      <w:r w:rsidR="00AD16D2">
        <w:rPr>
          <w:rFonts w:hint="cs"/>
          <w:rtl/>
        </w:rPr>
        <w:t xml:space="preserve">        </w:t>
      </w:r>
      <w:r>
        <w:rPr>
          <w:rFonts w:hint="cs"/>
          <w:rtl/>
        </w:rPr>
        <w:t xml:space="preserve">9 חודשי מאסר בפועל, בניכוי ימי מעצרו של הנאשם, מיום 2.9.19 ועד היום. </w:t>
      </w:r>
    </w:p>
    <w:p w14:paraId="0011EA36" w14:textId="77777777" w:rsidR="00860E71" w:rsidRDefault="00860E71" w:rsidP="00860E71">
      <w:pPr>
        <w:spacing w:after="160" w:line="360" w:lineRule="auto"/>
        <w:ind w:left="1440" w:hanging="720"/>
        <w:jc w:val="both"/>
        <w:rPr>
          <w:rtl/>
        </w:rPr>
      </w:pPr>
      <w:r>
        <w:rPr>
          <w:rFonts w:hint="cs"/>
          <w:rtl/>
        </w:rPr>
        <w:t>ב.</w:t>
      </w:r>
      <w:r w:rsidR="00AD16D2">
        <w:rPr>
          <w:rFonts w:hint="cs"/>
          <w:rtl/>
        </w:rPr>
        <w:t xml:space="preserve">         </w:t>
      </w:r>
      <w:r>
        <w:rPr>
          <w:rFonts w:hint="cs"/>
          <w:rtl/>
        </w:rPr>
        <w:t xml:space="preserve"> חמישה חודשי מאסר על תנאי, ואולם הנאשם לא יישא עונש זה אלא אם יעבור במהלך תקופה של שלוש שנים מיום שחרורו מן המאסר כל עבירה לפי </w:t>
      </w:r>
      <w:hyperlink r:id="rId31" w:history="1">
        <w:r w:rsidR="00AD16D2" w:rsidRPr="00AD16D2">
          <w:rPr>
            <w:color w:val="0000FF"/>
            <w:u w:val="single"/>
            <w:rtl/>
          </w:rPr>
          <w:t>פקודת הסמים המסוכנים</w:t>
        </w:r>
      </w:hyperlink>
      <w:r>
        <w:rPr>
          <w:rFonts w:hint="cs"/>
          <w:rtl/>
        </w:rPr>
        <w:t xml:space="preserve"> מסוג פשע.</w:t>
      </w:r>
    </w:p>
    <w:p w14:paraId="4A52C214" w14:textId="77777777" w:rsidR="00860E71" w:rsidRDefault="00860E71" w:rsidP="00860E71">
      <w:pPr>
        <w:spacing w:after="160" w:line="360" w:lineRule="auto"/>
        <w:ind w:left="1440" w:hanging="720"/>
        <w:jc w:val="both"/>
      </w:pPr>
      <w:r>
        <w:rPr>
          <w:rFonts w:hint="cs"/>
          <w:rtl/>
        </w:rPr>
        <w:t>ג.</w:t>
      </w:r>
      <w:r>
        <w:rPr>
          <w:rFonts w:hint="cs"/>
          <w:rtl/>
        </w:rPr>
        <w:tab/>
        <w:t xml:space="preserve">קנס על סך 3,000 ₪ או 10 ימי מאסר תמורתו. הקנס ישולם ב- 5 תשלומים שווים ורצופים החל מיום 1/4/2020 ובכל 1 בחודש העוקב לאחריו. </w:t>
      </w:r>
    </w:p>
    <w:p w14:paraId="63EC5667" w14:textId="77777777" w:rsidR="00860E71" w:rsidRDefault="00860E71" w:rsidP="00860E71">
      <w:pPr>
        <w:spacing w:after="160" w:line="360" w:lineRule="auto"/>
        <w:ind w:left="720" w:firstLine="720"/>
        <w:jc w:val="both"/>
        <w:rPr>
          <w:rtl/>
        </w:rPr>
      </w:pPr>
      <w:r>
        <w:rPr>
          <w:rFonts w:hint="cs"/>
          <w:rtl/>
        </w:rPr>
        <w:t>אי עמידה באחד התשלומים תעמיד את היתרה לפירעון מידי.</w:t>
      </w:r>
    </w:p>
    <w:p w14:paraId="7CBB8C6C" w14:textId="77777777" w:rsidR="00860E71" w:rsidRDefault="00860E71" w:rsidP="00860E71">
      <w:pPr>
        <w:spacing w:line="360" w:lineRule="auto"/>
        <w:ind w:left="1440" w:hanging="720"/>
        <w:jc w:val="both"/>
        <w:rPr>
          <w:rFonts w:ascii="Arial" w:hAnsi="Arial"/>
          <w:rtl/>
        </w:rPr>
      </w:pPr>
      <w:r>
        <w:rPr>
          <w:rFonts w:hint="cs"/>
          <w:rtl/>
        </w:rPr>
        <w:t>ד.</w:t>
      </w:r>
      <w:r>
        <w:rPr>
          <w:rFonts w:hint="cs"/>
          <w:rtl/>
        </w:rPr>
        <w:tab/>
        <w:t xml:space="preserve">פסילת רישיון נהיגה למשך שלושה חודשים. הפסילה מיום 1/4/2020, ואולם מובהר לנאשם כי מרוץ הפסילה יחל רק לאחר שיופקד רישיון נהיגה או תצהיר כדין. </w:t>
      </w:r>
    </w:p>
    <w:p w14:paraId="420717BA" w14:textId="77777777" w:rsidR="00860E71" w:rsidRDefault="00860E71" w:rsidP="00860E71">
      <w:pPr>
        <w:spacing w:line="360" w:lineRule="auto"/>
        <w:jc w:val="both"/>
        <w:rPr>
          <w:rFonts w:ascii="Arial" w:hAnsi="Arial"/>
          <w:rtl/>
        </w:rPr>
      </w:pPr>
    </w:p>
    <w:p w14:paraId="2526043A" w14:textId="77777777" w:rsidR="00860E71" w:rsidRDefault="00860E71" w:rsidP="00860E71">
      <w:pPr>
        <w:spacing w:line="360" w:lineRule="auto"/>
        <w:jc w:val="both"/>
        <w:rPr>
          <w:rFonts w:ascii="Arial" w:hAnsi="Arial"/>
          <w:rtl/>
        </w:rPr>
      </w:pPr>
      <w:r>
        <w:rPr>
          <w:rFonts w:ascii="Arial" w:hAnsi="Arial" w:hint="cs"/>
          <w:b/>
          <w:bCs/>
          <w:u w:val="single"/>
          <w:rtl/>
        </w:rPr>
        <w:t>זכות ערעור תוך 45 יום</w:t>
      </w:r>
      <w:r>
        <w:rPr>
          <w:rFonts w:ascii="Arial" w:hAnsi="Arial" w:hint="cs"/>
          <w:b/>
          <w:bCs/>
          <w:rtl/>
        </w:rPr>
        <w:t xml:space="preserve">. </w:t>
      </w:r>
    </w:p>
    <w:p w14:paraId="3E7CEDC0" w14:textId="77777777" w:rsidR="00860E71" w:rsidRPr="00AD16D2" w:rsidRDefault="00AD16D2" w:rsidP="00860E71">
      <w:pPr>
        <w:rPr>
          <w:color w:val="FFFFFF"/>
          <w:sz w:val="2"/>
          <w:szCs w:val="2"/>
          <w:rtl/>
        </w:rPr>
      </w:pPr>
      <w:r w:rsidRPr="00AD16D2">
        <w:rPr>
          <w:color w:val="FFFFFF"/>
          <w:sz w:val="2"/>
          <w:szCs w:val="2"/>
          <w:rtl/>
        </w:rPr>
        <w:t>5129371</w:t>
      </w:r>
    </w:p>
    <w:p w14:paraId="59B9BFEE" w14:textId="77777777" w:rsidR="00860E71" w:rsidRDefault="00AD16D2" w:rsidP="00860E71">
      <w:pPr>
        <w:rPr>
          <w:rFonts w:cs="FrankRuehl"/>
          <w:sz w:val="28"/>
          <w:szCs w:val="28"/>
          <w:rtl/>
        </w:rPr>
      </w:pPr>
      <w:bookmarkStart w:id="7" w:name="Nitan"/>
      <w:r w:rsidRPr="00AD16D2">
        <w:rPr>
          <w:rFonts w:ascii="Arial" w:hAnsi="Arial"/>
          <w:color w:val="FFFFFF"/>
          <w:sz w:val="2"/>
          <w:szCs w:val="2"/>
          <w:rtl/>
        </w:rPr>
        <w:t>54678313</w:t>
      </w:r>
      <w:r>
        <w:rPr>
          <w:rFonts w:ascii="Arial" w:hAnsi="Arial"/>
          <w:rtl/>
        </w:rPr>
        <w:t xml:space="preserve">ניתן היום,  י"ג כסלו תש"פ, 11 דצמבר 2019, במעמד הצדדים. </w:t>
      </w:r>
      <w:bookmarkEnd w:id="7"/>
    </w:p>
    <w:p w14:paraId="4604FDDA" w14:textId="77777777" w:rsidR="00860E71" w:rsidRDefault="00860E71" w:rsidP="00AD16D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88B7FB8" w14:textId="77777777" w:rsidR="00860E71" w:rsidRDefault="00860E71" w:rsidP="00860E71">
      <w:pPr>
        <w:jc w:val="center"/>
        <w:rPr>
          <w:rFonts w:ascii="Arial" w:hAnsi="Arial" w:cs="FrankRuehl"/>
          <w:sz w:val="28"/>
          <w:szCs w:val="28"/>
          <w:rtl/>
        </w:rPr>
      </w:pPr>
    </w:p>
    <w:p w14:paraId="2AAF826C" w14:textId="77777777" w:rsidR="00860E71" w:rsidRDefault="00860E71" w:rsidP="00860E71">
      <w:pPr>
        <w:rPr>
          <w:rFonts w:cs="FrankRuehl"/>
          <w:sz w:val="28"/>
          <w:szCs w:val="28"/>
          <w:rtl/>
        </w:rPr>
      </w:pPr>
    </w:p>
    <w:p w14:paraId="2A2B3523" w14:textId="77777777" w:rsidR="00860E71" w:rsidRDefault="00860E71" w:rsidP="00860E71">
      <w:pPr>
        <w:pStyle w:val="a3"/>
        <w:jc w:val="center"/>
        <w:rPr>
          <w:rtl/>
        </w:rPr>
      </w:pPr>
    </w:p>
    <w:p w14:paraId="56A259A1" w14:textId="77777777" w:rsidR="002A6352" w:rsidRPr="00AD16D2" w:rsidRDefault="002A6352" w:rsidP="00AD16D2">
      <w:pPr>
        <w:keepNext/>
        <w:rPr>
          <w:rFonts w:ascii="David" w:hAnsi="David"/>
          <w:color w:val="000000"/>
          <w:sz w:val="22"/>
          <w:szCs w:val="22"/>
          <w:rtl/>
        </w:rPr>
      </w:pPr>
    </w:p>
    <w:p w14:paraId="2D554E21" w14:textId="77777777" w:rsidR="00AD16D2" w:rsidRPr="00AD16D2" w:rsidRDefault="00AD16D2" w:rsidP="00AD16D2">
      <w:pPr>
        <w:keepNext/>
        <w:rPr>
          <w:rFonts w:ascii="David" w:hAnsi="David"/>
          <w:color w:val="000000"/>
          <w:sz w:val="22"/>
          <w:szCs w:val="22"/>
          <w:rtl/>
        </w:rPr>
      </w:pPr>
      <w:r w:rsidRPr="00AD16D2">
        <w:rPr>
          <w:rFonts w:ascii="David" w:hAnsi="David"/>
          <w:color w:val="000000"/>
          <w:sz w:val="22"/>
          <w:szCs w:val="22"/>
          <w:rtl/>
        </w:rPr>
        <w:t>רות שפילברג כהן 54678313</w:t>
      </w:r>
    </w:p>
    <w:p w14:paraId="3CA31D42" w14:textId="77777777" w:rsidR="00AD16D2" w:rsidRDefault="00AD16D2" w:rsidP="00AD16D2">
      <w:r w:rsidRPr="00AD16D2">
        <w:rPr>
          <w:color w:val="000000"/>
          <w:rtl/>
        </w:rPr>
        <w:t>נוסח מסמך זה כפוף לשינויי ניסוח ועריכה</w:t>
      </w:r>
    </w:p>
    <w:p w14:paraId="58A63B93" w14:textId="77777777" w:rsidR="00AD16D2" w:rsidRDefault="00AD16D2" w:rsidP="00AD16D2">
      <w:pPr>
        <w:rPr>
          <w:rtl/>
        </w:rPr>
      </w:pPr>
    </w:p>
    <w:p w14:paraId="7C4864FE" w14:textId="77777777" w:rsidR="00AD16D2" w:rsidRDefault="00AD16D2" w:rsidP="00AD16D2">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00576860" w14:textId="77777777" w:rsidR="00AD16D2" w:rsidRPr="00AD16D2" w:rsidRDefault="00AD16D2" w:rsidP="00AD16D2">
      <w:pPr>
        <w:jc w:val="center"/>
        <w:rPr>
          <w:color w:val="0000FF"/>
          <w:u w:val="single"/>
        </w:rPr>
      </w:pPr>
    </w:p>
    <w:sectPr w:rsidR="00AD16D2" w:rsidRPr="00AD16D2" w:rsidSect="00AD16D2">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A6A07" w14:textId="77777777" w:rsidR="00507504" w:rsidRDefault="00507504" w:rsidP="00006C71">
      <w:r>
        <w:separator/>
      </w:r>
    </w:p>
  </w:endnote>
  <w:endnote w:type="continuationSeparator" w:id="0">
    <w:p w14:paraId="20D26D9A" w14:textId="77777777" w:rsidR="00507504" w:rsidRDefault="00507504" w:rsidP="00006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388FE" w14:textId="77777777" w:rsidR="00AD16D2" w:rsidRDefault="00AD16D2" w:rsidP="00AD16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05B32F2" w14:textId="77777777" w:rsidR="00FA58E9" w:rsidRPr="00AD16D2" w:rsidRDefault="00AD16D2" w:rsidP="00AD16D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E5C20" w14:textId="77777777" w:rsidR="00AD16D2" w:rsidRDefault="00AD16D2" w:rsidP="00AD16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A01D1">
      <w:rPr>
        <w:rFonts w:ascii="FrankRuehl" w:hAnsi="FrankRuehl" w:cs="FrankRuehl"/>
        <w:noProof/>
        <w:rtl/>
      </w:rPr>
      <w:t>1</w:t>
    </w:r>
    <w:r>
      <w:rPr>
        <w:rFonts w:ascii="FrankRuehl" w:hAnsi="FrankRuehl" w:cs="FrankRuehl"/>
        <w:rtl/>
      </w:rPr>
      <w:fldChar w:fldCharType="end"/>
    </w:r>
  </w:p>
  <w:p w14:paraId="4E0129D1" w14:textId="77777777" w:rsidR="00FA58E9" w:rsidRPr="00AD16D2" w:rsidRDefault="00AD16D2" w:rsidP="00AD16D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ACE5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6E4D9" w14:textId="77777777" w:rsidR="00507504" w:rsidRDefault="00507504" w:rsidP="00006C71">
      <w:r>
        <w:separator/>
      </w:r>
    </w:p>
  </w:footnote>
  <w:footnote w:type="continuationSeparator" w:id="0">
    <w:p w14:paraId="2B7A62DC" w14:textId="77777777" w:rsidR="00507504" w:rsidRDefault="00507504" w:rsidP="00006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6E0E8" w14:textId="77777777" w:rsidR="00AD16D2" w:rsidRPr="00AD16D2" w:rsidRDefault="00AD16D2" w:rsidP="00AD16D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30094-09-19</w:t>
    </w:r>
    <w:r>
      <w:rPr>
        <w:rFonts w:ascii="David" w:hAnsi="David"/>
        <w:color w:val="000000"/>
        <w:sz w:val="22"/>
        <w:szCs w:val="22"/>
        <w:rtl/>
      </w:rPr>
      <w:tab/>
      <w:t xml:space="preserve"> מדינת ישראל נ' שרון זנטי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67DB5" w14:textId="77777777" w:rsidR="00AD16D2" w:rsidRPr="00AD16D2" w:rsidRDefault="00AD16D2" w:rsidP="00AD16D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30094-09-19</w:t>
    </w:r>
    <w:r>
      <w:rPr>
        <w:rFonts w:ascii="David" w:hAnsi="David"/>
        <w:color w:val="000000"/>
        <w:sz w:val="22"/>
        <w:szCs w:val="22"/>
        <w:rtl/>
      </w:rPr>
      <w:tab/>
      <w:t xml:space="preserve"> מדינת ישראל נ' שרון זנטי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0E71"/>
    <w:rsid w:val="00006C71"/>
    <w:rsid w:val="000E4F8F"/>
    <w:rsid w:val="001B5A3B"/>
    <w:rsid w:val="002A6352"/>
    <w:rsid w:val="004A01D1"/>
    <w:rsid w:val="00507504"/>
    <w:rsid w:val="00860E71"/>
    <w:rsid w:val="00A5103F"/>
    <w:rsid w:val="00AD16D2"/>
    <w:rsid w:val="00AD66B8"/>
    <w:rsid w:val="00FA58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E174C4"/>
  <w15:chartTrackingRefBased/>
  <w15:docId w15:val="{B02D6CBD-66C4-4335-9781-BC799191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0E7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60E71"/>
    <w:pPr>
      <w:tabs>
        <w:tab w:val="center" w:pos="4153"/>
        <w:tab w:val="right" w:pos="8306"/>
      </w:tabs>
    </w:pPr>
  </w:style>
  <w:style w:type="character" w:customStyle="1" w:styleId="a4">
    <w:name w:val="כותרת עליונה תו"/>
    <w:link w:val="a3"/>
    <w:rsid w:val="00860E71"/>
    <w:rPr>
      <w:rFonts w:ascii="Times New Roman" w:eastAsia="Times New Roman" w:hAnsi="Times New Roman" w:cs="David"/>
      <w:sz w:val="24"/>
      <w:szCs w:val="24"/>
    </w:rPr>
  </w:style>
  <w:style w:type="paragraph" w:styleId="a5">
    <w:name w:val="footer"/>
    <w:basedOn w:val="a"/>
    <w:link w:val="a6"/>
    <w:rsid w:val="00860E71"/>
    <w:pPr>
      <w:tabs>
        <w:tab w:val="center" w:pos="4153"/>
        <w:tab w:val="right" w:pos="8306"/>
      </w:tabs>
    </w:pPr>
  </w:style>
  <w:style w:type="character" w:customStyle="1" w:styleId="a6">
    <w:name w:val="כותרת תחתונה תו"/>
    <w:link w:val="a5"/>
    <w:rsid w:val="00860E71"/>
    <w:rPr>
      <w:rFonts w:ascii="Times New Roman" w:eastAsia="Times New Roman" w:hAnsi="Times New Roman" w:cs="David"/>
      <w:sz w:val="24"/>
      <w:szCs w:val="24"/>
    </w:rPr>
  </w:style>
  <w:style w:type="table" w:styleId="a7">
    <w:name w:val="Table Grid"/>
    <w:basedOn w:val="a1"/>
    <w:rsid w:val="00860E7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60E71"/>
  </w:style>
  <w:style w:type="character" w:styleId="Hyperlink">
    <w:name w:val="Hyperlink"/>
    <w:rsid w:val="00AD16D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20111708" TargetMode="External"/><Relationship Id="rId26" Type="http://schemas.openxmlformats.org/officeDocument/2006/relationships/hyperlink" Target="http://www.nevo.co.il/case/20159091" TargetMode="External"/><Relationship Id="rId21" Type="http://schemas.openxmlformats.org/officeDocument/2006/relationships/hyperlink" Target="http://www.nevo.co.il/case/22311678" TargetMode="External"/><Relationship Id="rId34" Type="http://schemas.openxmlformats.org/officeDocument/2006/relationships/header" Target="header2.xml"/><Relationship Id="rId7" Type="http://schemas.openxmlformats.org/officeDocument/2006/relationships/hyperlink" Target="http://www.nevo.co.il/law/4216/6" TargetMode="External"/><Relationship Id="rId12" Type="http://schemas.openxmlformats.org/officeDocument/2006/relationships/hyperlink" Target="http://www.nevo.co.il/law/4216/7.a" TargetMode="External"/><Relationship Id="rId17" Type="http://schemas.openxmlformats.org/officeDocument/2006/relationships/hyperlink" Target="http://www.nevo.co.il/case/18107527" TargetMode="External"/><Relationship Id="rId25" Type="http://schemas.openxmlformats.org/officeDocument/2006/relationships/hyperlink" Target="http://www.nevo.co.il/case/22526505"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5738608" TargetMode="External"/><Relationship Id="rId20" Type="http://schemas.openxmlformats.org/officeDocument/2006/relationships/hyperlink" Target="http://www.nevo.co.il/case/21887974" TargetMode="External"/><Relationship Id="rId29" Type="http://schemas.openxmlformats.org/officeDocument/2006/relationships/hyperlink" Target="http://www.nevo.co.il/case/24218798"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yperlink" Target="http://www.nevo.co.il/case/22881005"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case/22267098" TargetMode="External"/><Relationship Id="rId28" Type="http://schemas.openxmlformats.org/officeDocument/2006/relationships/hyperlink" Target="http://www.nevo.co.il/case/22203345" TargetMode="External"/><Relationship Id="rId36" Type="http://schemas.openxmlformats.org/officeDocument/2006/relationships/footer" Target="footer2.xml"/><Relationship Id="rId10" Type="http://schemas.openxmlformats.org/officeDocument/2006/relationships/hyperlink" Target="http://www.nevo.co.il/law/4216/6" TargetMode="External"/><Relationship Id="rId19" Type="http://schemas.openxmlformats.org/officeDocument/2006/relationships/hyperlink" Target="http://www.nevo.co.il/case/7765855" TargetMode="External"/><Relationship Id="rId31"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5946245" TargetMode="External"/><Relationship Id="rId27" Type="http://schemas.openxmlformats.org/officeDocument/2006/relationships/hyperlink" Target="http://www.nevo.co.il/case/5079155" TargetMode="External"/><Relationship Id="rId30" Type="http://schemas.openxmlformats.org/officeDocument/2006/relationships/hyperlink" Target="http://www.nevo.co.il/case/20392419"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2214</Words>
  <Characters>11073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13261</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3276921</vt:i4>
      </vt:variant>
      <vt:variant>
        <vt:i4>72</vt:i4>
      </vt:variant>
      <vt:variant>
        <vt:i4>0</vt:i4>
      </vt:variant>
      <vt:variant>
        <vt:i4>5</vt:i4>
      </vt:variant>
      <vt:variant>
        <vt:lpwstr>http://www.nevo.co.il/case/20392419</vt:lpwstr>
      </vt:variant>
      <vt:variant>
        <vt:lpwstr/>
      </vt:variant>
      <vt:variant>
        <vt:i4>3211382</vt:i4>
      </vt:variant>
      <vt:variant>
        <vt:i4>69</vt:i4>
      </vt:variant>
      <vt:variant>
        <vt:i4>0</vt:i4>
      </vt:variant>
      <vt:variant>
        <vt:i4>5</vt:i4>
      </vt:variant>
      <vt:variant>
        <vt:lpwstr>http://www.nevo.co.il/case/24218798</vt:lpwstr>
      </vt:variant>
      <vt:variant>
        <vt:lpwstr/>
      </vt:variant>
      <vt:variant>
        <vt:i4>3604597</vt:i4>
      </vt:variant>
      <vt:variant>
        <vt:i4>66</vt:i4>
      </vt:variant>
      <vt:variant>
        <vt:i4>0</vt:i4>
      </vt:variant>
      <vt:variant>
        <vt:i4>5</vt:i4>
      </vt:variant>
      <vt:variant>
        <vt:lpwstr>http://www.nevo.co.il/case/22203345</vt:lpwstr>
      </vt:variant>
      <vt:variant>
        <vt:lpwstr/>
      </vt:variant>
      <vt:variant>
        <vt:i4>3539064</vt:i4>
      </vt:variant>
      <vt:variant>
        <vt:i4>63</vt:i4>
      </vt:variant>
      <vt:variant>
        <vt:i4>0</vt:i4>
      </vt:variant>
      <vt:variant>
        <vt:i4>5</vt:i4>
      </vt:variant>
      <vt:variant>
        <vt:lpwstr>http://www.nevo.co.il/case/5079155</vt:lpwstr>
      </vt:variant>
      <vt:variant>
        <vt:lpwstr/>
      </vt:variant>
      <vt:variant>
        <vt:i4>3342449</vt:i4>
      </vt:variant>
      <vt:variant>
        <vt:i4>60</vt:i4>
      </vt:variant>
      <vt:variant>
        <vt:i4>0</vt:i4>
      </vt:variant>
      <vt:variant>
        <vt:i4>5</vt:i4>
      </vt:variant>
      <vt:variant>
        <vt:lpwstr>http://www.nevo.co.il/case/20159091</vt:lpwstr>
      </vt:variant>
      <vt:variant>
        <vt:lpwstr/>
      </vt:variant>
      <vt:variant>
        <vt:i4>3211377</vt:i4>
      </vt:variant>
      <vt:variant>
        <vt:i4>57</vt:i4>
      </vt:variant>
      <vt:variant>
        <vt:i4>0</vt:i4>
      </vt:variant>
      <vt:variant>
        <vt:i4>5</vt:i4>
      </vt:variant>
      <vt:variant>
        <vt:lpwstr>http://www.nevo.co.il/case/22526505</vt:lpwstr>
      </vt:variant>
      <vt:variant>
        <vt:lpwstr/>
      </vt:variant>
      <vt:variant>
        <vt:i4>3866750</vt:i4>
      </vt:variant>
      <vt:variant>
        <vt:i4>54</vt:i4>
      </vt:variant>
      <vt:variant>
        <vt:i4>0</vt:i4>
      </vt:variant>
      <vt:variant>
        <vt:i4>5</vt:i4>
      </vt:variant>
      <vt:variant>
        <vt:lpwstr>http://www.nevo.co.il/case/22881005</vt:lpwstr>
      </vt:variant>
      <vt:variant>
        <vt:lpwstr/>
      </vt:variant>
      <vt:variant>
        <vt:i4>4063344</vt:i4>
      </vt:variant>
      <vt:variant>
        <vt:i4>51</vt:i4>
      </vt:variant>
      <vt:variant>
        <vt:i4>0</vt:i4>
      </vt:variant>
      <vt:variant>
        <vt:i4>5</vt:i4>
      </vt:variant>
      <vt:variant>
        <vt:lpwstr>http://www.nevo.co.il/case/22267098</vt:lpwstr>
      </vt:variant>
      <vt:variant>
        <vt:lpwstr/>
      </vt:variant>
      <vt:variant>
        <vt:i4>3735671</vt:i4>
      </vt:variant>
      <vt:variant>
        <vt:i4>48</vt:i4>
      </vt:variant>
      <vt:variant>
        <vt:i4>0</vt:i4>
      </vt:variant>
      <vt:variant>
        <vt:i4>5</vt:i4>
      </vt:variant>
      <vt:variant>
        <vt:lpwstr>http://www.nevo.co.il/case/25946245</vt:lpwstr>
      </vt:variant>
      <vt:variant>
        <vt:lpwstr/>
      </vt:variant>
      <vt:variant>
        <vt:i4>3604593</vt:i4>
      </vt:variant>
      <vt:variant>
        <vt:i4>45</vt:i4>
      </vt:variant>
      <vt:variant>
        <vt:i4>0</vt:i4>
      </vt:variant>
      <vt:variant>
        <vt:i4>5</vt:i4>
      </vt:variant>
      <vt:variant>
        <vt:lpwstr>http://www.nevo.co.il/case/22311678</vt:lpwstr>
      </vt:variant>
      <vt:variant>
        <vt:lpwstr/>
      </vt:variant>
      <vt:variant>
        <vt:i4>3801204</vt:i4>
      </vt:variant>
      <vt:variant>
        <vt:i4>42</vt:i4>
      </vt:variant>
      <vt:variant>
        <vt:i4>0</vt:i4>
      </vt:variant>
      <vt:variant>
        <vt:i4>5</vt:i4>
      </vt:variant>
      <vt:variant>
        <vt:lpwstr>http://www.nevo.co.il/case/21887974</vt:lpwstr>
      </vt:variant>
      <vt:variant>
        <vt:lpwstr/>
      </vt:variant>
      <vt:variant>
        <vt:i4>3932275</vt:i4>
      </vt:variant>
      <vt:variant>
        <vt:i4>39</vt:i4>
      </vt:variant>
      <vt:variant>
        <vt:i4>0</vt:i4>
      </vt:variant>
      <vt:variant>
        <vt:i4>5</vt:i4>
      </vt:variant>
      <vt:variant>
        <vt:lpwstr>http://www.nevo.co.il/case/7765855</vt:lpwstr>
      </vt:variant>
      <vt:variant>
        <vt:lpwstr/>
      </vt:variant>
      <vt:variant>
        <vt:i4>3276914</vt:i4>
      </vt:variant>
      <vt:variant>
        <vt:i4>36</vt:i4>
      </vt:variant>
      <vt:variant>
        <vt:i4>0</vt:i4>
      </vt:variant>
      <vt:variant>
        <vt:i4>5</vt:i4>
      </vt:variant>
      <vt:variant>
        <vt:lpwstr>http://www.nevo.co.il/case/20111708</vt:lpwstr>
      </vt:variant>
      <vt:variant>
        <vt:lpwstr/>
      </vt:variant>
      <vt:variant>
        <vt:i4>3473529</vt:i4>
      </vt:variant>
      <vt:variant>
        <vt:i4>33</vt:i4>
      </vt:variant>
      <vt:variant>
        <vt:i4>0</vt:i4>
      </vt:variant>
      <vt:variant>
        <vt:i4>5</vt:i4>
      </vt:variant>
      <vt:variant>
        <vt:lpwstr>http://www.nevo.co.il/case/18107527</vt:lpwstr>
      </vt:variant>
      <vt:variant>
        <vt:lpwstr/>
      </vt:variant>
      <vt:variant>
        <vt:i4>3670139</vt:i4>
      </vt:variant>
      <vt:variant>
        <vt:i4>30</vt:i4>
      </vt:variant>
      <vt:variant>
        <vt:i4>0</vt:i4>
      </vt:variant>
      <vt:variant>
        <vt:i4>5</vt:i4>
      </vt:variant>
      <vt:variant>
        <vt:lpwstr>http://www.nevo.co.il/case/5738608</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2025-04-23T00:17:00Z</dcterms:created>
  <dcterms:modified xsi:type="dcterms:W3CDTF">2025-04-23T00:17:00Z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30094</vt:lpwstr>
  </property>
  <property fmtid="{D5CDD505-2E9C-101B-9397-08002B2CF9AE}" pid="6" name="NEWPARTB">
    <vt:lpwstr>09</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שרון זנטי</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20191211</vt:lpwstr>
  </property>
  <property fmtid="{D5CDD505-2E9C-101B-9397-08002B2CF9AE}" pid="13" name="TYPE_N_DATE">
    <vt:lpwstr>38020191211</vt:lpwstr>
  </property>
  <property fmtid="{D5CDD505-2E9C-101B-9397-08002B2CF9AE}" pid="14" name="CASESLISTTMP1">
    <vt:lpwstr>5738608;18107527;20111708;7765855;21887974;22311678;25946245;22267098;22881005;22526505;20159091;5079155;22203345;24218798;20392419</vt:lpwstr>
  </property>
  <property fmtid="{D5CDD505-2E9C-101B-9397-08002B2CF9AE}" pid="15" name="WORDNUMPAGES">
    <vt:lpwstr>8</vt:lpwstr>
  </property>
  <property fmtid="{D5CDD505-2E9C-101B-9397-08002B2CF9AE}" pid="16" name="TYPE_ABS_DATE">
    <vt:lpwstr>380020191211</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4216/006;007.a:2;007.c:2</vt:lpwstr>
  </property>
</Properties>
</file>