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52A42" w:rsidRPr="000711C7" w14:paraId="76E3F94D" w14:textId="77777777" w:rsidTr="00CD5415">
        <w:trPr>
          <w:trHeight w:hRule="exact" w:val="418"/>
          <w:jc w:val="center"/>
        </w:trPr>
        <w:tc>
          <w:tcPr>
            <w:tcW w:w="8721" w:type="dxa"/>
            <w:gridSpan w:val="2"/>
          </w:tcPr>
          <w:p w14:paraId="76BAC9FD" w14:textId="77777777" w:rsidR="00A52A42" w:rsidRPr="0035104B" w:rsidRDefault="00A52A42" w:rsidP="00966102">
            <w:pPr>
              <w:pStyle w:val="a3"/>
              <w:jc w:val="center"/>
              <w:rPr>
                <w:rFonts w:ascii="Tahoma" w:hAnsi="Tahoma" w:cs="Tahoma"/>
                <w:b/>
                <w:bCs/>
                <w:color w:val="000080"/>
                <w:rtl/>
              </w:rPr>
            </w:pPr>
            <w:bookmarkStart w:id="0" w:name="LastJudge"/>
            <w:r w:rsidRPr="0035104B">
              <w:rPr>
                <w:rFonts w:ascii="Tahoma" w:hAnsi="Tahoma" w:cs="Tahoma"/>
                <w:b/>
                <w:bCs/>
                <w:color w:val="000080"/>
                <w:rtl/>
              </w:rPr>
              <w:t>בית משפט השלום בירושלים</w:t>
            </w:r>
          </w:p>
        </w:tc>
      </w:tr>
      <w:tr w:rsidR="00A52A42" w:rsidRPr="0035104B" w14:paraId="5B2A7481" w14:textId="77777777" w:rsidTr="00CD5415">
        <w:trPr>
          <w:trHeight w:val="337"/>
          <w:jc w:val="center"/>
        </w:trPr>
        <w:tc>
          <w:tcPr>
            <w:tcW w:w="5054" w:type="dxa"/>
          </w:tcPr>
          <w:p w14:paraId="22DFEBB2" w14:textId="77777777" w:rsidR="00A52A42" w:rsidRPr="0035104B" w:rsidRDefault="00A52A42" w:rsidP="0035104B">
            <w:pPr>
              <w:spacing w:before="120" w:after="120" w:line="240" w:lineRule="exact"/>
              <w:rPr>
                <w:rFonts w:ascii="David" w:hAnsi="David" w:hint="cs"/>
                <w:b/>
                <w:bCs/>
                <w:sz w:val="26"/>
                <w:szCs w:val="26"/>
                <w:rtl/>
              </w:rPr>
            </w:pPr>
            <w:r w:rsidRPr="0035104B">
              <w:rPr>
                <w:b/>
                <w:bCs/>
                <w:sz w:val="26"/>
                <w:szCs w:val="26"/>
                <w:rtl/>
              </w:rPr>
              <w:t>ת"פ 40238-09-19 מדינת ישראל נ' פרין</w:t>
            </w:r>
          </w:p>
        </w:tc>
        <w:tc>
          <w:tcPr>
            <w:tcW w:w="3667" w:type="dxa"/>
          </w:tcPr>
          <w:p w14:paraId="0361D4B9" w14:textId="77777777" w:rsidR="00A52A42" w:rsidRPr="0035104B" w:rsidRDefault="00A52A42" w:rsidP="0035104B">
            <w:pPr>
              <w:pStyle w:val="a3"/>
              <w:spacing w:before="120" w:after="120" w:line="240" w:lineRule="exact"/>
              <w:jc w:val="right"/>
              <w:rPr>
                <w:rFonts w:ascii="David" w:hAnsi="David"/>
                <w:sz w:val="26"/>
                <w:szCs w:val="26"/>
                <w:rtl/>
              </w:rPr>
            </w:pPr>
          </w:p>
        </w:tc>
      </w:tr>
    </w:tbl>
    <w:p w14:paraId="06C454A7" w14:textId="77777777" w:rsidR="00A52A42" w:rsidRPr="0035104B" w:rsidRDefault="00A52A42" w:rsidP="0035104B">
      <w:pPr>
        <w:pStyle w:val="a3"/>
        <w:spacing w:before="120" w:after="120" w:line="240" w:lineRule="exact"/>
        <w:rPr>
          <w:rFonts w:ascii="David" w:hAnsi="David"/>
          <w:sz w:val="26"/>
          <w:szCs w:val="26"/>
          <w:rtl/>
        </w:rPr>
      </w:pPr>
      <w:r w:rsidRPr="0035104B">
        <w:rPr>
          <w:rFonts w:ascii="David" w:hAnsi="David"/>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52A42" w:rsidRPr="0035104B" w14:paraId="48BB9E63" w14:textId="77777777" w:rsidTr="00A52A42">
        <w:trPr>
          <w:trHeight w:val="295"/>
          <w:jc w:val="center"/>
        </w:trPr>
        <w:tc>
          <w:tcPr>
            <w:tcW w:w="923" w:type="dxa"/>
            <w:tcBorders>
              <w:top w:val="nil"/>
              <w:left w:val="nil"/>
              <w:bottom w:val="nil"/>
              <w:right w:val="nil"/>
            </w:tcBorders>
            <w:shd w:val="clear" w:color="auto" w:fill="auto"/>
          </w:tcPr>
          <w:p w14:paraId="34F051B3" w14:textId="77777777" w:rsidR="00A52A42" w:rsidRPr="0035104B" w:rsidRDefault="00A52A42" w:rsidP="0035104B">
            <w:pPr>
              <w:spacing w:before="120" w:after="120" w:line="240" w:lineRule="exact"/>
              <w:jc w:val="both"/>
              <w:rPr>
                <w:rFonts w:ascii="David" w:hAnsi="David"/>
                <w:b/>
                <w:bCs/>
                <w:sz w:val="26"/>
                <w:szCs w:val="26"/>
              </w:rPr>
            </w:pPr>
            <w:r w:rsidRPr="0035104B">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27B215D" w14:textId="77777777" w:rsidR="00A52A42" w:rsidRPr="0035104B" w:rsidRDefault="0035104B" w:rsidP="0035104B">
            <w:pPr>
              <w:spacing w:before="120" w:after="120" w:line="240" w:lineRule="exact"/>
              <w:rPr>
                <w:rFonts w:ascii="David" w:hAnsi="David" w:hint="cs"/>
                <w:b/>
                <w:bCs/>
                <w:sz w:val="26"/>
                <w:szCs w:val="26"/>
              </w:rPr>
            </w:pPr>
            <w:r>
              <w:rPr>
                <w:rFonts w:ascii="David" w:hAnsi="David"/>
                <w:b/>
                <w:bCs/>
                <w:sz w:val="26"/>
                <w:szCs w:val="26"/>
                <w:rtl/>
              </w:rPr>
              <w:t>כבוד השופט  דוד שאול גבאי ריכטר</w:t>
            </w:r>
          </w:p>
        </w:tc>
      </w:tr>
      <w:tr w:rsidR="00A52A42" w:rsidRPr="0035104B" w14:paraId="09990E9C" w14:textId="77777777" w:rsidTr="00A52A42">
        <w:trPr>
          <w:trHeight w:val="355"/>
          <w:jc w:val="center"/>
        </w:trPr>
        <w:tc>
          <w:tcPr>
            <w:tcW w:w="923" w:type="dxa"/>
            <w:tcBorders>
              <w:top w:val="nil"/>
              <w:left w:val="nil"/>
              <w:bottom w:val="nil"/>
              <w:right w:val="nil"/>
            </w:tcBorders>
            <w:shd w:val="clear" w:color="auto" w:fill="auto"/>
          </w:tcPr>
          <w:p w14:paraId="60B81F3F" w14:textId="77777777" w:rsidR="00A52A42" w:rsidRPr="0035104B" w:rsidRDefault="00A52A42" w:rsidP="0035104B">
            <w:pPr>
              <w:spacing w:before="120" w:after="120" w:line="240" w:lineRule="exact"/>
              <w:jc w:val="both"/>
              <w:rPr>
                <w:rFonts w:ascii="David" w:hAnsi="David"/>
                <w:b/>
                <w:bCs/>
                <w:sz w:val="26"/>
                <w:szCs w:val="26"/>
              </w:rPr>
            </w:pPr>
            <w:bookmarkStart w:id="1" w:name="FirstAppellant"/>
            <w:r w:rsidRPr="0035104B">
              <w:rPr>
                <w:rFonts w:ascii="David" w:hAnsi="David"/>
                <w:b/>
                <w:bCs/>
                <w:sz w:val="26"/>
                <w:szCs w:val="26"/>
                <w:rtl/>
              </w:rPr>
              <w:t>בעניין:</w:t>
            </w:r>
          </w:p>
        </w:tc>
        <w:tc>
          <w:tcPr>
            <w:tcW w:w="4126" w:type="dxa"/>
            <w:tcBorders>
              <w:top w:val="nil"/>
              <w:left w:val="nil"/>
              <w:bottom w:val="nil"/>
              <w:right w:val="nil"/>
            </w:tcBorders>
            <w:shd w:val="clear" w:color="auto" w:fill="auto"/>
          </w:tcPr>
          <w:p w14:paraId="12939838" w14:textId="77777777" w:rsidR="00A52A42" w:rsidRPr="0035104B" w:rsidRDefault="00A52A42" w:rsidP="0035104B">
            <w:pPr>
              <w:spacing w:before="120" w:after="120" w:line="240" w:lineRule="exact"/>
              <w:rPr>
                <w:rFonts w:ascii="David" w:hAnsi="David"/>
                <w:b/>
                <w:bCs/>
                <w:sz w:val="26"/>
                <w:szCs w:val="26"/>
              </w:rPr>
            </w:pPr>
            <w:r w:rsidRPr="0035104B">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3435823" w14:textId="77777777" w:rsidR="00A52A42" w:rsidRPr="0035104B" w:rsidRDefault="00A52A42" w:rsidP="0035104B">
            <w:pPr>
              <w:spacing w:before="120" w:after="120" w:line="240" w:lineRule="exact"/>
              <w:jc w:val="both"/>
              <w:rPr>
                <w:rFonts w:ascii="David" w:hAnsi="David"/>
                <w:b/>
                <w:bCs/>
                <w:sz w:val="26"/>
                <w:szCs w:val="26"/>
              </w:rPr>
            </w:pPr>
          </w:p>
        </w:tc>
      </w:tr>
      <w:bookmarkEnd w:id="1"/>
      <w:tr w:rsidR="00A52A42" w:rsidRPr="0035104B" w14:paraId="085E150A" w14:textId="77777777" w:rsidTr="00A52A42">
        <w:trPr>
          <w:trHeight w:val="355"/>
          <w:jc w:val="center"/>
        </w:trPr>
        <w:tc>
          <w:tcPr>
            <w:tcW w:w="923" w:type="dxa"/>
            <w:tcBorders>
              <w:top w:val="nil"/>
              <w:left w:val="nil"/>
              <w:bottom w:val="nil"/>
              <w:right w:val="nil"/>
            </w:tcBorders>
            <w:shd w:val="clear" w:color="auto" w:fill="auto"/>
          </w:tcPr>
          <w:p w14:paraId="4FD22C9F" w14:textId="77777777" w:rsidR="00A52A42" w:rsidRPr="0035104B" w:rsidRDefault="00A52A42" w:rsidP="0035104B">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4D06A135" w14:textId="77777777" w:rsidR="00A52A42" w:rsidRPr="0035104B" w:rsidRDefault="00A52A42" w:rsidP="0035104B">
            <w:pPr>
              <w:spacing w:before="120" w:after="120" w:line="240" w:lineRule="exact"/>
              <w:jc w:val="both"/>
              <w:rPr>
                <w:rFonts w:ascii="David" w:hAnsi="David"/>
                <w:b/>
                <w:bCs/>
                <w:sz w:val="26"/>
                <w:szCs w:val="26"/>
                <w:rtl/>
              </w:rPr>
            </w:pPr>
            <w:r w:rsidRPr="0035104B">
              <w:rPr>
                <w:rFonts w:ascii="David" w:hAnsi="David"/>
                <w:b/>
                <w:bCs/>
                <w:sz w:val="26"/>
                <w:szCs w:val="26"/>
                <w:rtl/>
              </w:rPr>
              <w:t>ע"י תביעות ירושלים</w:t>
            </w:r>
          </w:p>
        </w:tc>
        <w:tc>
          <w:tcPr>
            <w:tcW w:w="3771" w:type="dxa"/>
            <w:tcBorders>
              <w:top w:val="nil"/>
              <w:left w:val="nil"/>
              <w:bottom w:val="nil"/>
              <w:right w:val="nil"/>
            </w:tcBorders>
            <w:shd w:val="clear" w:color="auto" w:fill="auto"/>
          </w:tcPr>
          <w:p w14:paraId="1263591B" w14:textId="77777777" w:rsidR="00A52A42" w:rsidRPr="0035104B" w:rsidRDefault="00A52A42" w:rsidP="0035104B">
            <w:pPr>
              <w:spacing w:before="120" w:after="120" w:line="240" w:lineRule="exact"/>
              <w:jc w:val="right"/>
              <w:rPr>
                <w:rFonts w:ascii="David" w:hAnsi="David"/>
                <w:b/>
                <w:bCs/>
                <w:sz w:val="26"/>
                <w:szCs w:val="26"/>
                <w:rtl/>
              </w:rPr>
            </w:pPr>
            <w:r w:rsidRPr="0035104B">
              <w:rPr>
                <w:rFonts w:ascii="David" w:hAnsi="David"/>
                <w:b/>
                <w:bCs/>
                <w:sz w:val="26"/>
                <w:szCs w:val="26"/>
                <w:rtl/>
              </w:rPr>
              <w:t>המאשימה</w:t>
            </w:r>
          </w:p>
        </w:tc>
      </w:tr>
      <w:tr w:rsidR="0035104B" w:rsidRPr="0035104B" w14:paraId="3AE38219" w14:textId="77777777" w:rsidTr="003A4C98">
        <w:trPr>
          <w:trHeight w:val="355"/>
          <w:jc w:val="center"/>
        </w:trPr>
        <w:tc>
          <w:tcPr>
            <w:tcW w:w="8820" w:type="dxa"/>
            <w:gridSpan w:val="3"/>
            <w:tcBorders>
              <w:top w:val="nil"/>
              <w:left w:val="nil"/>
              <w:bottom w:val="nil"/>
              <w:right w:val="nil"/>
            </w:tcBorders>
            <w:shd w:val="clear" w:color="auto" w:fill="auto"/>
          </w:tcPr>
          <w:p w14:paraId="1C59C4E7" w14:textId="77777777" w:rsidR="0035104B" w:rsidRPr="0035104B" w:rsidRDefault="0035104B" w:rsidP="0035104B">
            <w:pPr>
              <w:spacing w:before="240" w:after="240" w:line="240" w:lineRule="exact"/>
              <w:jc w:val="center"/>
              <w:rPr>
                <w:rFonts w:ascii="David" w:hAnsi="David" w:hint="cs"/>
                <w:b/>
                <w:bCs/>
                <w:sz w:val="26"/>
                <w:szCs w:val="26"/>
              </w:rPr>
            </w:pPr>
            <w:r w:rsidRPr="0035104B">
              <w:rPr>
                <w:rFonts w:ascii="David" w:hAnsi="David"/>
                <w:b/>
                <w:bCs/>
                <w:sz w:val="26"/>
                <w:szCs w:val="26"/>
                <w:rtl/>
              </w:rPr>
              <w:t>נגד</w:t>
            </w:r>
          </w:p>
        </w:tc>
      </w:tr>
      <w:tr w:rsidR="00A52A42" w:rsidRPr="0035104B" w14:paraId="723AD4EB" w14:textId="77777777" w:rsidTr="00A52A42">
        <w:trPr>
          <w:trHeight w:val="355"/>
          <w:jc w:val="center"/>
        </w:trPr>
        <w:tc>
          <w:tcPr>
            <w:tcW w:w="923" w:type="dxa"/>
            <w:tcBorders>
              <w:top w:val="nil"/>
              <w:left w:val="nil"/>
              <w:bottom w:val="nil"/>
              <w:right w:val="nil"/>
            </w:tcBorders>
            <w:shd w:val="clear" w:color="auto" w:fill="auto"/>
          </w:tcPr>
          <w:p w14:paraId="4502CB0E" w14:textId="77777777" w:rsidR="00A52A42" w:rsidRPr="0035104B" w:rsidRDefault="00A52A42" w:rsidP="0035104B">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1734A6FD" w14:textId="77777777" w:rsidR="00A52A42" w:rsidRPr="0035104B" w:rsidRDefault="00A52A42" w:rsidP="0035104B">
            <w:pPr>
              <w:spacing w:before="120" w:after="120" w:line="240" w:lineRule="exact"/>
              <w:rPr>
                <w:rFonts w:ascii="David" w:hAnsi="David"/>
                <w:b/>
                <w:bCs/>
                <w:sz w:val="26"/>
                <w:szCs w:val="26"/>
                <w:rtl/>
              </w:rPr>
            </w:pPr>
            <w:r w:rsidRPr="0035104B">
              <w:rPr>
                <w:rFonts w:ascii="David" w:hAnsi="David"/>
                <w:b/>
                <w:bCs/>
                <w:sz w:val="26"/>
                <w:szCs w:val="26"/>
                <w:rtl/>
              </w:rPr>
              <w:t>יונתן פרין</w:t>
            </w:r>
          </w:p>
        </w:tc>
        <w:tc>
          <w:tcPr>
            <w:tcW w:w="3771" w:type="dxa"/>
            <w:tcBorders>
              <w:top w:val="nil"/>
              <w:left w:val="nil"/>
              <w:bottom w:val="nil"/>
              <w:right w:val="nil"/>
            </w:tcBorders>
            <w:shd w:val="clear" w:color="auto" w:fill="auto"/>
          </w:tcPr>
          <w:p w14:paraId="59F6F5A6" w14:textId="77777777" w:rsidR="00A52A42" w:rsidRPr="0035104B" w:rsidRDefault="00A52A42" w:rsidP="0035104B">
            <w:pPr>
              <w:spacing w:before="120" w:after="120" w:line="240" w:lineRule="exact"/>
              <w:jc w:val="right"/>
              <w:rPr>
                <w:rFonts w:ascii="David" w:hAnsi="David"/>
                <w:b/>
                <w:bCs/>
                <w:sz w:val="26"/>
                <w:szCs w:val="26"/>
              </w:rPr>
            </w:pPr>
          </w:p>
        </w:tc>
      </w:tr>
      <w:tr w:rsidR="00A52A42" w:rsidRPr="0035104B" w14:paraId="3761359F" w14:textId="77777777" w:rsidTr="00A52A42">
        <w:trPr>
          <w:trHeight w:val="355"/>
          <w:jc w:val="center"/>
        </w:trPr>
        <w:tc>
          <w:tcPr>
            <w:tcW w:w="923" w:type="dxa"/>
            <w:tcBorders>
              <w:top w:val="nil"/>
              <w:left w:val="nil"/>
              <w:bottom w:val="nil"/>
              <w:right w:val="nil"/>
            </w:tcBorders>
            <w:shd w:val="clear" w:color="auto" w:fill="auto"/>
          </w:tcPr>
          <w:p w14:paraId="56071FA0" w14:textId="77777777" w:rsidR="00A52A42" w:rsidRPr="0035104B" w:rsidRDefault="00A52A42" w:rsidP="0035104B">
            <w:pPr>
              <w:spacing w:before="120" w:after="120" w:line="240" w:lineRule="exact"/>
              <w:jc w:val="both"/>
              <w:rPr>
                <w:rFonts w:ascii="David" w:hAnsi="David"/>
                <w:b/>
                <w:bCs/>
                <w:sz w:val="26"/>
                <w:szCs w:val="26"/>
                <w:rtl/>
              </w:rPr>
            </w:pPr>
            <w:bookmarkStart w:id="2" w:name="FirstLawyer"/>
          </w:p>
        </w:tc>
        <w:tc>
          <w:tcPr>
            <w:tcW w:w="4126" w:type="dxa"/>
            <w:tcBorders>
              <w:top w:val="nil"/>
              <w:left w:val="nil"/>
              <w:bottom w:val="nil"/>
              <w:right w:val="nil"/>
            </w:tcBorders>
            <w:shd w:val="clear" w:color="auto" w:fill="auto"/>
          </w:tcPr>
          <w:p w14:paraId="6A551876" w14:textId="77777777" w:rsidR="00A52A42" w:rsidRPr="0035104B" w:rsidRDefault="00A52A42" w:rsidP="0035104B">
            <w:pPr>
              <w:spacing w:before="120" w:after="120" w:line="240" w:lineRule="exact"/>
              <w:jc w:val="both"/>
              <w:rPr>
                <w:rFonts w:ascii="David" w:hAnsi="David"/>
                <w:b/>
                <w:bCs/>
                <w:sz w:val="26"/>
                <w:szCs w:val="26"/>
                <w:rtl/>
              </w:rPr>
            </w:pPr>
            <w:r w:rsidRPr="0035104B">
              <w:rPr>
                <w:rFonts w:ascii="David" w:hAnsi="David"/>
                <w:b/>
                <w:bCs/>
                <w:sz w:val="26"/>
                <w:szCs w:val="26"/>
                <w:rtl/>
              </w:rPr>
              <w:t>ע"י ב"כ עו"ד גבי טרונשווילי</w:t>
            </w:r>
          </w:p>
        </w:tc>
        <w:tc>
          <w:tcPr>
            <w:tcW w:w="3771" w:type="dxa"/>
            <w:tcBorders>
              <w:top w:val="nil"/>
              <w:left w:val="nil"/>
              <w:bottom w:val="nil"/>
              <w:right w:val="nil"/>
            </w:tcBorders>
            <w:shd w:val="clear" w:color="auto" w:fill="auto"/>
          </w:tcPr>
          <w:p w14:paraId="5D9850D0" w14:textId="77777777" w:rsidR="00A52A42" w:rsidRPr="0035104B" w:rsidRDefault="00A52A42" w:rsidP="0035104B">
            <w:pPr>
              <w:spacing w:before="120" w:after="120" w:line="240" w:lineRule="exact"/>
              <w:jc w:val="right"/>
              <w:rPr>
                <w:rFonts w:ascii="David" w:hAnsi="David"/>
                <w:b/>
                <w:bCs/>
                <w:sz w:val="26"/>
                <w:szCs w:val="26"/>
              </w:rPr>
            </w:pPr>
            <w:r w:rsidRPr="0035104B">
              <w:rPr>
                <w:rFonts w:ascii="David" w:hAnsi="David"/>
                <w:b/>
                <w:bCs/>
                <w:sz w:val="26"/>
                <w:szCs w:val="26"/>
                <w:rtl/>
              </w:rPr>
              <w:t>הנאשם</w:t>
            </w:r>
          </w:p>
        </w:tc>
      </w:tr>
      <w:bookmarkEnd w:id="2"/>
    </w:tbl>
    <w:p w14:paraId="2752EA7B" w14:textId="77777777" w:rsidR="0035104B" w:rsidRDefault="0035104B" w:rsidP="0035104B">
      <w:pPr>
        <w:spacing w:before="120" w:after="120" w:line="240" w:lineRule="exact"/>
        <w:ind w:left="283" w:hanging="283"/>
        <w:jc w:val="both"/>
        <w:rPr>
          <w:rFonts w:ascii="FrankRuehl" w:hAnsi="FrankRuehl" w:cs="FrankRuehl" w:hint="cs"/>
          <w:rtl/>
        </w:rPr>
      </w:pPr>
    </w:p>
    <w:p w14:paraId="32FA42BB" w14:textId="77777777" w:rsidR="0035104B" w:rsidRPr="0035104B" w:rsidRDefault="0035104B" w:rsidP="0035104B">
      <w:pPr>
        <w:spacing w:before="120" w:after="120" w:line="240" w:lineRule="exact"/>
        <w:ind w:left="283" w:hanging="283"/>
        <w:jc w:val="both"/>
        <w:rPr>
          <w:rFonts w:ascii="FrankRuehl" w:hAnsi="FrankRuehl" w:cs="FrankRuehl"/>
          <w:rtl/>
        </w:rPr>
      </w:pPr>
      <w:r w:rsidRPr="0035104B">
        <w:rPr>
          <w:rFonts w:ascii="FrankRuehl" w:hAnsi="FrankRuehl" w:cs="FrankRuehl"/>
          <w:rtl/>
        </w:rPr>
        <w:t xml:space="preserve">חקיקה שאוזכרה: </w:t>
      </w:r>
    </w:p>
    <w:p w14:paraId="45DED5CD" w14:textId="77777777" w:rsidR="0035104B" w:rsidRPr="0035104B" w:rsidRDefault="0035104B" w:rsidP="0035104B">
      <w:pPr>
        <w:spacing w:before="120" w:after="120" w:line="240" w:lineRule="exact"/>
        <w:ind w:left="283" w:hanging="283"/>
        <w:jc w:val="both"/>
        <w:rPr>
          <w:rFonts w:ascii="FrankRuehl" w:hAnsi="FrankRuehl" w:cs="FrankRuehl"/>
          <w:color w:val="0000FF"/>
          <w:u w:val="single"/>
          <w:rtl/>
        </w:rPr>
      </w:pPr>
      <w:hyperlink r:id="rId7" w:history="1">
        <w:r w:rsidRPr="0035104B">
          <w:rPr>
            <w:rStyle w:val="Hyperlink"/>
            <w:rFonts w:ascii="FrankRuehl" w:hAnsi="FrankRuehl" w:cs="FrankRuehl"/>
            <w:color w:val="0000FF"/>
            <w:rtl/>
          </w:rPr>
          <w:t>פקודת הסמים המסוכנים [נוסח חדש], תשל"ג-1973</w:t>
        </w:r>
      </w:hyperlink>
      <w:r w:rsidRPr="0035104B">
        <w:rPr>
          <w:rFonts w:ascii="FrankRuehl" w:hAnsi="FrankRuehl" w:cs="FrankRuehl"/>
          <w:color w:val="0000FF"/>
          <w:u w:val="single"/>
          <w:rtl/>
        </w:rPr>
        <w:t xml:space="preserve">: סע'  </w:t>
      </w:r>
      <w:hyperlink r:id="rId8" w:history="1">
        <w:r w:rsidRPr="0035104B">
          <w:rPr>
            <w:rStyle w:val="Hyperlink"/>
            <w:rFonts w:ascii="FrankRuehl" w:hAnsi="FrankRuehl" w:cs="FrankRuehl"/>
            <w:color w:val="0000FF"/>
          </w:rPr>
          <w:t>6</w:t>
        </w:r>
      </w:hyperlink>
      <w:r w:rsidRPr="0035104B">
        <w:rPr>
          <w:rFonts w:ascii="FrankRuehl" w:hAnsi="FrankRuehl" w:cs="FrankRuehl"/>
          <w:color w:val="0000FF"/>
          <w:u w:val="single"/>
          <w:rtl/>
        </w:rPr>
        <w:t xml:space="preserve">, </w:t>
      </w:r>
      <w:hyperlink r:id="rId9" w:history="1">
        <w:r w:rsidRPr="0035104B">
          <w:rPr>
            <w:rStyle w:val="Hyperlink"/>
            <w:rFonts w:ascii="FrankRuehl" w:hAnsi="FrankRuehl" w:cs="FrankRuehl"/>
            <w:color w:val="0000FF"/>
          </w:rPr>
          <w:t>10</w:t>
        </w:r>
      </w:hyperlink>
    </w:p>
    <w:p w14:paraId="10BCF976" w14:textId="77777777" w:rsidR="0035104B" w:rsidRPr="0035104B" w:rsidRDefault="0035104B" w:rsidP="0035104B">
      <w:pPr>
        <w:spacing w:before="120" w:after="120" w:line="240" w:lineRule="exact"/>
        <w:ind w:left="283" w:hanging="283"/>
        <w:jc w:val="both"/>
        <w:rPr>
          <w:rFonts w:ascii="FrankRuehl" w:hAnsi="FrankRuehl" w:cs="FrankRuehl"/>
          <w:color w:val="0000FF"/>
          <w:u w:val="single"/>
          <w:rtl/>
        </w:rPr>
      </w:pPr>
      <w:hyperlink r:id="rId10" w:history="1">
        <w:r w:rsidRPr="0035104B">
          <w:rPr>
            <w:rStyle w:val="Hyperlink"/>
            <w:rFonts w:ascii="FrankRuehl" w:hAnsi="FrankRuehl" w:cs="FrankRuehl"/>
            <w:color w:val="0000FF"/>
            <w:rtl/>
          </w:rPr>
          <w:t>חוק העונשין, תשל"ז-1977</w:t>
        </w:r>
      </w:hyperlink>
      <w:r w:rsidRPr="0035104B">
        <w:rPr>
          <w:rFonts w:ascii="FrankRuehl" w:hAnsi="FrankRuehl" w:cs="FrankRuehl"/>
          <w:color w:val="0000FF"/>
          <w:u w:val="single"/>
          <w:rtl/>
        </w:rPr>
        <w:t xml:space="preserve">: סע'  </w:t>
      </w:r>
      <w:hyperlink r:id="rId11" w:history="1">
        <w:r w:rsidRPr="0035104B">
          <w:rPr>
            <w:rStyle w:val="Hyperlink"/>
            <w:rFonts w:ascii="FrankRuehl" w:hAnsi="FrankRuehl" w:cs="FrankRuehl"/>
            <w:color w:val="0000FF"/>
          </w:rPr>
          <w:t>40</w:t>
        </w:r>
        <w:r w:rsidRPr="0035104B">
          <w:rPr>
            <w:rStyle w:val="Hyperlink"/>
            <w:rFonts w:ascii="FrankRuehl" w:hAnsi="FrankRuehl" w:cs="FrankRuehl"/>
            <w:color w:val="0000FF"/>
            <w:rtl/>
          </w:rPr>
          <w:t>ט</w:t>
        </w:r>
        <w:r w:rsidRPr="0035104B">
          <w:rPr>
            <w:rStyle w:val="Hyperlink"/>
            <w:rFonts w:ascii="FrankRuehl" w:hAnsi="FrankRuehl" w:cs="FrankRuehl"/>
            <w:color w:val="0000FF"/>
          </w:rPr>
          <w:t>'</w:t>
        </w:r>
      </w:hyperlink>
      <w:r w:rsidRPr="0035104B">
        <w:rPr>
          <w:rFonts w:ascii="FrankRuehl" w:hAnsi="FrankRuehl" w:cs="FrankRuehl"/>
          <w:color w:val="0000FF"/>
          <w:u w:val="single"/>
          <w:rtl/>
        </w:rPr>
        <w:t xml:space="preserve">, </w:t>
      </w:r>
      <w:hyperlink r:id="rId12" w:history="1">
        <w:r w:rsidRPr="0035104B">
          <w:rPr>
            <w:rStyle w:val="Hyperlink"/>
            <w:rFonts w:ascii="FrankRuehl" w:hAnsi="FrankRuehl" w:cs="FrankRuehl"/>
            <w:color w:val="0000FF"/>
          </w:rPr>
          <w:t>40</w:t>
        </w:r>
        <w:r w:rsidRPr="0035104B">
          <w:rPr>
            <w:rStyle w:val="Hyperlink"/>
            <w:rFonts w:ascii="FrankRuehl" w:hAnsi="FrankRuehl" w:cs="FrankRuehl"/>
            <w:color w:val="0000FF"/>
            <w:rtl/>
          </w:rPr>
          <w:t>יא</w:t>
        </w:r>
      </w:hyperlink>
    </w:p>
    <w:p w14:paraId="3CBACB21" w14:textId="77777777" w:rsidR="00A52A42" w:rsidRDefault="00A52A42" w:rsidP="0035104B">
      <w:pPr>
        <w:rPr>
          <w:rFonts w:hint="cs"/>
          <w:rtl/>
        </w:rPr>
      </w:pPr>
      <w:bookmarkStart w:id="3" w:name="LawTable_End"/>
      <w:bookmarkEnd w:id="3"/>
    </w:p>
    <w:p w14:paraId="650F91B8"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35104B">
        <w:rPr>
          <w:rFonts w:cs="FrankRuehl" w:hint="cs"/>
          <w:szCs w:val="26"/>
          <w:rtl/>
        </w:rPr>
        <w:t>מיני-רציו:</w:t>
      </w:r>
    </w:p>
    <w:p w14:paraId="21562CCB"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hint="cs"/>
          <w:szCs w:val="26"/>
          <w:rtl/>
        </w:rPr>
        <w:t>* בית המשפט הורה על ביטול הרשעת הנאשם. אין מדובר בנסיבות חמורות, הן מבחינת מטרת גידול הסם, והן מבחינת סוג הסם וכמותו. כמו כן, הנאשם ייפגע בתעסוקתו אם הרשעתו תיוותר על כנה ונסיבותיו האישיות של הנאשם וקורותיו, מצדיקים הליכה לקראתו ומתן אמון בו כי לא יחטא שוב.</w:t>
      </w:r>
    </w:p>
    <w:p w14:paraId="02011F46"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hint="cs"/>
          <w:szCs w:val="26"/>
          <w:rtl/>
        </w:rPr>
        <w:t xml:space="preserve">* </w:t>
      </w:r>
      <w:r w:rsidRPr="0035104B">
        <w:rPr>
          <w:rFonts w:cs="FrankRuehl"/>
          <w:szCs w:val="26"/>
          <w:rtl/>
        </w:rPr>
        <w:t>דיון פלילי – הרשעה – הימנעות מהרשעה</w:t>
      </w:r>
    </w:p>
    <w:p w14:paraId="00196466"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hint="cs"/>
          <w:szCs w:val="26"/>
          <w:rtl/>
        </w:rPr>
        <w:t xml:space="preserve">* </w:t>
      </w:r>
      <w:r w:rsidRPr="0035104B">
        <w:rPr>
          <w:rFonts w:cs="FrankRuehl"/>
          <w:szCs w:val="26"/>
          <w:rtl/>
        </w:rPr>
        <w:t>עונשין – ענישה – הימנעות מהרשעה</w:t>
      </w:r>
    </w:p>
    <w:p w14:paraId="692D57B9"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B8B4DAA" w14:textId="77777777" w:rsidR="0035104B" w:rsidRPr="0035104B" w:rsidRDefault="0035104B" w:rsidP="0035104B">
      <w:pPr>
        <w:pBdr>
          <w:top w:val="single" w:sz="4" w:space="1" w:color="auto"/>
          <w:bottom w:val="single" w:sz="4" w:space="1" w:color="auto"/>
        </w:pBdr>
        <w:spacing w:after="120" w:line="320" w:lineRule="exact"/>
        <w:jc w:val="both"/>
        <w:rPr>
          <w:rFonts w:cs="FrankRuehl"/>
          <w:szCs w:val="26"/>
          <w:rtl/>
        </w:rPr>
      </w:pPr>
      <w:r w:rsidRPr="0035104B">
        <w:rPr>
          <w:rFonts w:cs="FrankRuehl" w:hint="cs"/>
          <w:szCs w:val="26"/>
          <w:rtl/>
        </w:rPr>
        <w:t xml:space="preserve">הנאשם הורשע על פי הודאתו בכתב אישום מתוקן, בעבירות של החזקת כלים להכנת סם ובגידול סמים. הצדדים לא הגיעו להסכמה עונשית, אך הסכימו כי הנאשם יישלח לשירות המבחן לעריכת תסקיר, כשלבקשת הסניגור, יתייחס השירות גם לשאלת ביטול ההרשעה. </w:t>
      </w:r>
    </w:p>
    <w:p w14:paraId="7A2F2628"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DD7BD98"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hint="cs"/>
          <w:szCs w:val="26"/>
          <w:rtl/>
        </w:rPr>
        <w:t>בית המשפט פסק כלהלן:</w:t>
      </w:r>
    </w:p>
    <w:p w14:paraId="5891742B"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szCs w:val="26"/>
          <w:rtl/>
        </w:rPr>
        <w:t>בידוע, שעה שנמצא כי נאשם ביצע את העבירות המיוחסות לו, יש להרשיעו. זהו הכלל. אי</w:t>
      </w:r>
      <w:r w:rsidRPr="0035104B">
        <w:rPr>
          <w:rFonts w:cs="FrankRuehl" w:hint="cs"/>
          <w:szCs w:val="26"/>
          <w:rtl/>
        </w:rPr>
        <w:t xml:space="preserve"> </w:t>
      </w:r>
      <w:r w:rsidRPr="0035104B">
        <w:rPr>
          <w:rFonts w:cs="FrankRuehl"/>
          <w:szCs w:val="26"/>
          <w:rtl/>
        </w:rPr>
        <w:t>הרשעה הוא היוצא מן הכלל. ב</w:t>
      </w:r>
      <w:hyperlink r:id="rId13" w:history="1">
        <w:r w:rsidRPr="0035104B">
          <w:rPr>
            <w:rFonts w:cs="FrankRuehl"/>
            <w:szCs w:val="26"/>
            <w:rtl/>
          </w:rPr>
          <w:t>ע"פ 2083/96</w:t>
        </w:r>
      </w:hyperlink>
      <w:r w:rsidRPr="0035104B">
        <w:rPr>
          <w:rFonts w:cs="FrankRuehl"/>
          <w:szCs w:val="26"/>
          <w:rtl/>
        </w:rPr>
        <w:t xml:space="preserve"> כתב נ' מ"י קבע בית המשפט העליון כי אי</w:t>
      </w:r>
      <w:r w:rsidRPr="0035104B">
        <w:rPr>
          <w:rFonts w:cs="FrankRuehl" w:hint="cs"/>
          <w:szCs w:val="26"/>
          <w:rtl/>
        </w:rPr>
        <w:t xml:space="preserve"> </w:t>
      </w:r>
      <w:r w:rsidRPr="0035104B">
        <w:rPr>
          <w:rFonts w:cs="FrankRuehl"/>
          <w:szCs w:val="26"/>
          <w:rtl/>
        </w:rPr>
        <w:t xml:space="preserve">הרשעה תיתכן בהינתן שני תנאים מצטברים: הראשון, כאשר טיב העבירה מאפשר אי-הרשעה מבחינת שיקולי הענישה ליחיד </w:t>
      </w:r>
      <w:r w:rsidRPr="0035104B">
        <w:rPr>
          <w:rFonts w:cs="FrankRuehl"/>
          <w:szCs w:val="26"/>
          <w:rtl/>
        </w:rPr>
        <w:lastRenderedPageBreak/>
        <w:t>ולרבים; השני, כאשר הנזק העלול להיגרם לנאשם מעצם הרשעתו הוא קונקרטי ובלתי מידתי בנסיבות העניין.</w:t>
      </w:r>
    </w:p>
    <w:p w14:paraId="5F226A83"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hint="cs"/>
          <w:szCs w:val="26"/>
          <w:rtl/>
        </w:rPr>
        <w:t>אשר לתנאי הראשון, בנסיבות המקרה נדמה כי ניתן לבטל את ההרשעה, שכן אין מדובר בנסיבות חמורות, הן מבחינת מטרת הגידול, והן מבחינת סוג הסם וכמותו. אשר לתנאי השני, הצטברות של שלושה טעמים תומכת בביטול ההרשעה: הראשון, בית המשפט שוכנע מדברי הנאשם, שעלו גם מהתסקיר, כי הנאשם ייפגע בתעסוקתו אם הרשעתו תיוותר על כנה; השני, ידיעה שיפוטית היא כי רישום פלילי למי מהמעורבים בבקשה לאיחוד משפחות, יש בו כדי להשפיע לרעה על סיכויי הצלחת ההליך; השלישי, נסיבותיו האישיות של הנאשם וקורותיו, מצדיקים הליכה לקראתו ומתן אמון בו כי לא יחטא שוב.</w:t>
      </w:r>
    </w:p>
    <w:p w14:paraId="465D1C13" w14:textId="77777777" w:rsidR="0035104B" w:rsidRPr="0035104B" w:rsidRDefault="0035104B" w:rsidP="0035104B">
      <w:pPr>
        <w:pBdr>
          <w:top w:val="single" w:sz="4" w:space="1" w:color="auto"/>
          <w:bottom w:val="single" w:sz="4" w:space="1" w:color="auto"/>
        </w:pBdr>
        <w:spacing w:after="120" w:line="320" w:lineRule="exact"/>
        <w:jc w:val="both"/>
        <w:rPr>
          <w:rFonts w:cs="FrankRuehl" w:hint="cs"/>
          <w:szCs w:val="26"/>
          <w:rtl/>
        </w:rPr>
      </w:pPr>
      <w:r w:rsidRPr="0035104B">
        <w:rPr>
          <w:rFonts w:cs="FrankRuehl" w:hint="cs"/>
          <w:szCs w:val="26"/>
          <w:rtl/>
        </w:rPr>
        <w:t xml:space="preserve">לפיכך, יש להורות על ביטול ההרשעה. יש להטיל על הנאשם 350 </w:t>
      </w:r>
      <w:r w:rsidRPr="0035104B">
        <w:rPr>
          <w:rFonts w:cs="FrankRuehl"/>
          <w:szCs w:val="26"/>
          <w:rtl/>
        </w:rPr>
        <w:t xml:space="preserve">שעות שירות לתועלת הציבור (של"ץ), צו מבחן לתקופה של </w:t>
      </w:r>
      <w:r w:rsidRPr="0035104B">
        <w:rPr>
          <w:rFonts w:cs="FrankRuehl" w:hint="cs"/>
          <w:szCs w:val="26"/>
          <w:rtl/>
        </w:rPr>
        <w:t>12 חודשים ו</w:t>
      </w:r>
      <w:r w:rsidRPr="0035104B">
        <w:rPr>
          <w:rFonts w:cs="FrankRuehl"/>
          <w:szCs w:val="26"/>
          <w:rtl/>
        </w:rPr>
        <w:t xml:space="preserve">התחייבות </w:t>
      </w:r>
      <w:r w:rsidRPr="0035104B">
        <w:rPr>
          <w:rFonts w:cs="FrankRuehl" w:hint="cs"/>
          <w:szCs w:val="26"/>
          <w:rtl/>
        </w:rPr>
        <w:t>כספית.</w:t>
      </w:r>
    </w:p>
    <w:p w14:paraId="7D0AE1BC" w14:textId="77777777" w:rsidR="0035104B" w:rsidRPr="0035104B" w:rsidRDefault="0035104B" w:rsidP="0035104B">
      <w:pPr>
        <w:rPr>
          <w:rFonts w:hint="cs"/>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2A42" w14:paraId="47F44D2A" w14:textId="77777777" w:rsidTr="00A52A42">
        <w:trPr>
          <w:trHeight w:val="355"/>
          <w:jc w:val="center"/>
        </w:trPr>
        <w:tc>
          <w:tcPr>
            <w:tcW w:w="8820" w:type="dxa"/>
            <w:tcBorders>
              <w:top w:val="nil"/>
              <w:left w:val="nil"/>
              <w:bottom w:val="nil"/>
              <w:right w:val="nil"/>
            </w:tcBorders>
            <w:shd w:val="clear" w:color="auto" w:fill="auto"/>
          </w:tcPr>
          <w:p w14:paraId="2582EB86" w14:textId="77777777" w:rsidR="000711C7" w:rsidRPr="000711C7" w:rsidRDefault="000711C7" w:rsidP="000711C7">
            <w:pPr>
              <w:jc w:val="center"/>
              <w:rPr>
                <w:rFonts w:ascii="Arial" w:hAnsi="Arial" w:cs="FrankRuehl"/>
                <w:b/>
                <w:bCs/>
                <w:sz w:val="32"/>
                <w:szCs w:val="32"/>
                <w:u w:val="single"/>
                <w:rtl/>
              </w:rPr>
            </w:pPr>
            <w:bookmarkStart w:id="6" w:name="PsakDin" w:colFirst="0" w:colLast="0"/>
            <w:bookmarkEnd w:id="0"/>
            <w:r w:rsidRPr="000711C7">
              <w:rPr>
                <w:rFonts w:ascii="Arial" w:hAnsi="Arial" w:cs="FrankRuehl"/>
                <w:b/>
                <w:bCs/>
                <w:sz w:val="32"/>
                <w:szCs w:val="32"/>
                <w:u w:val="single"/>
                <w:rtl/>
              </w:rPr>
              <w:t>גזר דין   תוך ביטול הרשעה</w:t>
            </w:r>
          </w:p>
          <w:p w14:paraId="2A9241D5" w14:textId="77777777" w:rsidR="00A52A42" w:rsidRPr="000711C7" w:rsidRDefault="00A52A42" w:rsidP="000711C7">
            <w:pPr>
              <w:jc w:val="center"/>
              <w:rPr>
                <w:rFonts w:ascii="Arial" w:hAnsi="Arial" w:cs="FrankRuehl"/>
                <w:b/>
                <w:bCs/>
                <w:sz w:val="32"/>
                <w:szCs w:val="32"/>
                <w:u w:val="single"/>
                <w:rtl/>
              </w:rPr>
            </w:pPr>
          </w:p>
        </w:tc>
      </w:tr>
      <w:bookmarkEnd w:id="6"/>
    </w:tbl>
    <w:p w14:paraId="0241145C" w14:textId="77777777" w:rsidR="00A52A42" w:rsidRPr="00B05847" w:rsidRDefault="00A52A42" w:rsidP="00A52A42">
      <w:pPr>
        <w:rPr>
          <w:rtl/>
        </w:rPr>
      </w:pPr>
    </w:p>
    <w:p w14:paraId="15B6C792" w14:textId="77777777" w:rsidR="00A52A42" w:rsidRDefault="00A52A42" w:rsidP="00A52A42">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 ומהלך הדיון</w:t>
      </w:r>
    </w:p>
    <w:p w14:paraId="2012DDB9" w14:textId="77777777" w:rsidR="00A52A42" w:rsidRDefault="00A52A42" w:rsidP="00A52A42">
      <w:pPr>
        <w:spacing w:line="360" w:lineRule="auto"/>
        <w:jc w:val="both"/>
        <w:rPr>
          <w:rFonts w:cs="FrankRuehl"/>
          <w:sz w:val="28"/>
          <w:szCs w:val="28"/>
        </w:rPr>
      </w:pPr>
      <w:r>
        <w:rPr>
          <w:rFonts w:cs="FrankRuehl" w:hint="cs"/>
          <w:sz w:val="28"/>
          <w:szCs w:val="28"/>
          <w:rtl/>
        </w:rPr>
        <w:t xml:space="preserve">הנאשם הורשע על-פי הודאתו בכתב אישום מתוקן, בעבירות של החזקת כלים להכנת סם, לפי </w:t>
      </w:r>
      <w:hyperlink r:id="rId14" w:history="1">
        <w:r w:rsidR="00CD5415" w:rsidRPr="00CD5415">
          <w:rPr>
            <w:rStyle w:val="Hyperlink"/>
            <w:rFonts w:cs="FrankRuehl" w:hint="eastAsia"/>
            <w:color w:val="0000FF"/>
            <w:sz w:val="28"/>
            <w:szCs w:val="28"/>
            <w:rtl/>
          </w:rPr>
          <w:t>סעיף</w:t>
        </w:r>
        <w:r w:rsidR="00CD5415" w:rsidRPr="00CD5415">
          <w:rPr>
            <w:rStyle w:val="Hyperlink"/>
            <w:rFonts w:cs="FrankRuehl"/>
            <w:color w:val="0000FF"/>
            <w:sz w:val="28"/>
            <w:szCs w:val="28"/>
            <w:rtl/>
          </w:rPr>
          <w:t xml:space="preserve"> 10</w:t>
        </w:r>
      </w:hyperlink>
      <w:r>
        <w:rPr>
          <w:rFonts w:cs="FrankRuehl" w:hint="cs"/>
          <w:sz w:val="28"/>
          <w:szCs w:val="28"/>
          <w:rtl/>
        </w:rPr>
        <w:t xml:space="preserve"> ל</w:t>
      </w:r>
      <w:hyperlink r:id="rId15" w:history="1">
        <w:r w:rsidR="000711C7" w:rsidRPr="000711C7">
          <w:rPr>
            <w:rFonts w:cs="FrankRuehl"/>
            <w:color w:val="0000FF"/>
            <w:sz w:val="28"/>
            <w:szCs w:val="28"/>
            <w:u w:val="single"/>
            <w:rtl/>
          </w:rPr>
          <w:t>פקודת הסמים המסוכנים</w:t>
        </w:r>
      </w:hyperlink>
      <w:r>
        <w:rPr>
          <w:rFonts w:cs="FrankRuehl" w:hint="cs"/>
          <w:sz w:val="28"/>
          <w:szCs w:val="28"/>
          <w:rtl/>
        </w:rPr>
        <w:t xml:space="preserve">, וכן בגידול סמים, לפי </w:t>
      </w:r>
      <w:hyperlink r:id="rId16" w:history="1">
        <w:r w:rsidR="00CD5415" w:rsidRPr="00CD5415">
          <w:rPr>
            <w:rStyle w:val="Hyperlink"/>
            <w:rFonts w:cs="FrankRuehl" w:hint="eastAsia"/>
            <w:color w:val="0000FF"/>
            <w:sz w:val="28"/>
            <w:szCs w:val="28"/>
            <w:rtl/>
          </w:rPr>
          <w:t>סעיף</w:t>
        </w:r>
        <w:r w:rsidR="00CD5415" w:rsidRPr="00CD5415">
          <w:rPr>
            <w:rStyle w:val="Hyperlink"/>
            <w:rFonts w:cs="FrankRuehl"/>
            <w:color w:val="0000FF"/>
            <w:sz w:val="28"/>
            <w:szCs w:val="28"/>
            <w:rtl/>
          </w:rPr>
          <w:t xml:space="preserve"> 6</w:t>
        </w:r>
      </w:hyperlink>
      <w:r>
        <w:rPr>
          <w:rFonts w:cs="FrankRuehl" w:hint="cs"/>
          <w:sz w:val="28"/>
          <w:szCs w:val="28"/>
          <w:rtl/>
        </w:rPr>
        <w:t xml:space="preserve"> לפקודה. מעובדות כתב האישום המתוקן עולה, כי ביום 14.3.2019 נתפסו בדירה אותה שכר הנאשם שתילי קנביס במשקל של כ-400 גרם נטו. הנאשם רכש זרעים של קנביס בעת ששהה בחו"ל, אותם ייבא לארץ וגידלם בדירה, אותה ייעד למעבדת סמים. בנוסף נמצאו בדירה אביזרים לגידול הסמים.</w:t>
      </w:r>
    </w:p>
    <w:p w14:paraId="0ED0B6BC" w14:textId="77777777" w:rsidR="00A52A42" w:rsidRPr="00724A0F" w:rsidRDefault="00A52A42" w:rsidP="00A52A42">
      <w:pPr>
        <w:spacing w:line="360" w:lineRule="auto"/>
        <w:jc w:val="both"/>
        <w:rPr>
          <w:rFonts w:cs="FrankRuehl"/>
          <w:sz w:val="28"/>
          <w:szCs w:val="28"/>
          <w:rtl/>
        </w:rPr>
      </w:pPr>
      <w:r w:rsidRPr="00724A0F">
        <w:rPr>
          <w:rFonts w:cs="FrankRuehl" w:hint="cs"/>
          <w:sz w:val="28"/>
          <w:szCs w:val="28"/>
          <w:rtl/>
        </w:rPr>
        <w:t xml:space="preserve">הצדדים לא הגיעו להסכמה עונשית, אך הסכימו כי הנאשם יישלח לשירות המבחן לעריכת תסקיר, כשלבקשת הסניגור, יתייחס השירות גם לשאלת ביטול ההרשעה. </w:t>
      </w:r>
    </w:p>
    <w:p w14:paraId="77FF0A6F" w14:textId="77777777" w:rsidR="00A52A42" w:rsidRDefault="00A52A42" w:rsidP="00A52A42">
      <w:pPr>
        <w:spacing w:line="360" w:lineRule="auto"/>
        <w:jc w:val="both"/>
        <w:rPr>
          <w:rFonts w:cs="FrankRuehl"/>
          <w:b/>
          <w:bCs/>
          <w:sz w:val="28"/>
          <w:szCs w:val="28"/>
          <w:u w:val="single"/>
        </w:rPr>
      </w:pPr>
    </w:p>
    <w:p w14:paraId="0E4030C0" w14:textId="77777777" w:rsidR="00A52A42" w:rsidRDefault="00A52A42" w:rsidP="00A52A42">
      <w:pPr>
        <w:spacing w:line="360" w:lineRule="auto"/>
        <w:jc w:val="both"/>
        <w:rPr>
          <w:rFonts w:cs="FrankRuehl"/>
          <w:b/>
          <w:bCs/>
          <w:sz w:val="28"/>
          <w:szCs w:val="28"/>
          <w:u w:val="single"/>
        </w:rPr>
      </w:pPr>
      <w:r>
        <w:rPr>
          <w:rFonts w:cs="FrankRuehl"/>
          <w:b/>
          <w:bCs/>
          <w:sz w:val="28"/>
          <w:szCs w:val="28"/>
          <w:u w:val="single"/>
          <w:rtl/>
        </w:rPr>
        <w:t>תסקיר שירות המבחן</w:t>
      </w:r>
    </w:p>
    <w:p w14:paraId="4F9AE2EE" w14:textId="77777777" w:rsidR="00A52A42" w:rsidRDefault="00A52A42" w:rsidP="00A52A42">
      <w:pPr>
        <w:spacing w:line="360" w:lineRule="auto"/>
        <w:jc w:val="both"/>
        <w:rPr>
          <w:rFonts w:cs="FrankRuehl"/>
          <w:sz w:val="28"/>
          <w:szCs w:val="28"/>
          <w:rtl/>
        </w:rPr>
      </w:pPr>
      <w:r>
        <w:rPr>
          <w:rFonts w:cs="FrankRuehl"/>
          <w:sz w:val="28"/>
          <w:szCs w:val="28"/>
          <w:rtl/>
        </w:rPr>
        <w:t>מהתסקיר שהוגש בעניינו של הנאשם עולה</w:t>
      </w:r>
      <w:r>
        <w:rPr>
          <w:rFonts w:cs="FrankRuehl" w:hint="cs"/>
          <w:sz w:val="28"/>
          <w:szCs w:val="28"/>
          <w:rtl/>
        </w:rPr>
        <w:t xml:space="preserve"> כי מדובר בגבר כבן 33, המתגורר עם בת זוגו בירושלים. עובד כשכיר כמנהל מחלקה בחברה מזה כחמש שנים. הנאשם עלה מאוקראינה בסוף שנות העשרה בעקבות אחיו, לאחר שגדל עם סבו וסבתו, כשהקשר עם אמו נותק למעשה ברבות השנים. הנאשם התחנך בפנימיה יהודית באוקראינה. לאחר עלייתו ארצה אמור היה להתגייס לצבא, אבל בשל בעיה רפואית שרודפת אותו שנים רבות גיוסו לא עלה יפה, והוא אף ריצה מאסר בגין עריקות ושוחרר מחובת השירות. הוא החל ללמוד לימודים בתחום טכנולוגי אך לא מיצה אותם. הוא נמצא בזוגיות ומאורס לבת זוגו, ויש בעניינם הליך של איחוד משפחות, כאשר הנאשם חושש מהשפעת ההרשעה על הצלחת הליך זה. הנאשם נחשף לשימוש בסמים בהיותו כבן 17, </w:t>
      </w:r>
      <w:r>
        <w:rPr>
          <w:rFonts w:cs="FrankRuehl" w:hint="cs"/>
          <w:sz w:val="28"/>
          <w:szCs w:val="28"/>
          <w:rtl/>
        </w:rPr>
        <w:lastRenderedPageBreak/>
        <w:t>ובתחילת שנות העשרים שלו העמיק השימוש שלו בסמים, בין היתר על רקע מצב דכאוני בשל הנתק המשפחתי ומצבו הרפואי. הנאשם נטל אחריות למעשים וסיפר כי מלאכת הגידול עניינה אותו והעסיקה אותו ולכן התמיד בה. הנאשם נכון לטיפול בתחום הסמים, ויצוין כי מסר בדיקה נקיה מסמים כשלטענתו כבר אינו עושה שימוש בסמים מזה כשנה וחצי. שירות המבחן סבר שמדובר באדם בעל כוחות משמעותיים שכן למרות הקשיים הרבים אותם חווה בחייו, הצליח לשמור על תפקוד נורמטיבי ואף להגיע להישגים. במכלול השיקולים, המליץ שירות המבחן על ביטול ההרשעה, בין היתר מחשש שזו תפגע בהליך איחוד המשפחות, ועל הטלת צו מבחן ושל"ץ בהיקף 200 שעות והתחייבות.</w:t>
      </w:r>
    </w:p>
    <w:p w14:paraId="0400B29C" w14:textId="77777777" w:rsidR="00A52A42" w:rsidRDefault="00A52A42" w:rsidP="00A52A42">
      <w:pPr>
        <w:spacing w:line="360" w:lineRule="auto"/>
        <w:jc w:val="both"/>
        <w:rPr>
          <w:rFonts w:cs="FrankRuehl"/>
          <w:b/>
          <w:bCs/>
          <w:sz w:val="28"/>
          <w:szCs w:val="28"/>
          <w:u w:val="single"/>
          <w:rtl/>
        </w:rPr>
      </w:pPr>
    </w:p>
    <w:p w14:paraId="29D0BE99" w14:textId="77777777" w:rsidR="00A52A42" w:rsidRDefault="00A52A42" w:rsidP="00A52A42">
      <w:pPr>
        <w:spacing w:line="360" w:lineRule="auto"/>
        <w:jc w:val="both"/>
        <w:rPr>
          <w:rFonts w:cs="FrankRuehl"/>
          <w:b/>
          <w:bCs/>
          <w:sz w:val="28"/>
          <w:szCs w:val="28"/>
          <w:u w:val="single"/>
          <w:rtl/>
        </w:rPr>
      </w:pPr>
      <w:r>
        <w:rPr>
          <w:rFonts w:cs="FrankRuehl"/>
          <w:b/>
          <w:bCs/>
          <w:sz w:val="28"/>
          <w:szCs w:val="28"/>
          <w:u w:val="single"/>
          <w:rtl/>
        </w:rPr>
        <w:t>טיעונים לעונש</w:t>
      </w:r>
    </w:p>
    <w:p w14:paraId="482CC8B3" w14:textId="77777777" w:rsidR="00A52A42" w:rsidRDefault="00A52A42" w:rsidP="00A52A42">
      <w:pPr>
        <w:spacing w:line="360" w:lineRule="auto"/>
        <w:jc w:val="both"/>
        <w:rPr>
          <w:rFonts w:cs="FrankRuehl"/>
          <w:sz w:val="28"/>
          <w:szCs w:val="28"/>
          <w:rtl/>
        </w:rPr>
      </w:pPr>
      <w:r>
        <w:rPr>
          <w:rFonts w:cs="FrankRuehl"/>
          <w:sz w:val="28"/>
          <w:szCs w:val="28"/>
          <w:rtl/>
        </w:rPr>
        <w:t xml:space="preserve">הצדדים לא הגיעו להסכמה עונשית. </w:t>
      </w:r>
    </w:p>
    <w:p w14:paraId="791C620D" w14:textId="77777777" w:rsidR="00A52A42" w:rsidRDefault="00A52A42" w:rsidP="00A52A42">
      <w:pPr>
        <w:spacing w:line="360" w:lineRule="auto"/>
        <w:jc w:val="both"/>
        <w:rPr>
          <w:rFonts w:cs="FrankRuehl"/>
          <w:sz w:val="28"/>
          <w:szCs w:val="28"/>
          <w:rtl/>
        </w:rPr>
      </w:pPr>
      <w:r>
        <w:rPr>
          <w:rFonts w:cs="FrankRuehl"/>
          <w:sz w:val="28"/>
          <w:szCs w:val="28"/>
          <w:rtl/>
        </w:rPr>
        <w:t xml:space="preserve">מחד, </w:t>
      </w:r>
      <w:r>
        <w:rPr>
          <w:rFonts w:cs="FrankRuehl" w:hint="cs"/>
          <w:sz w:val="28"/>
          <w:szCs w:val="28"/>
          <w:rtl/>
        </w:rPr>
        <w:t xml:space="preserve">ב"כ </w:t>
      </w:r>
      <w:r>
        <w:rPr>
          <w:rFonts w:cs="FrankRuehl"/>
          <w:sz w:val="28"/>
          <w:szCs w:val="28"/>
          <w:rtl/>
        </w:rPr>
        <w:t xml:space="preserve">המאשימה </w:t>
      </w:r>
      <w:r>
        <w:rPr>
          <w:rFonts w:cs="FrankRuehl" w:hint="cs"/>
          <w:sz w:val="28"/>
          <w:szCs w:val="28"/>
          <w:rtl/>
        </w:rPr>
        <w:t xml:space="preserve">עתר להותיר את ההרשעה על כנה, ולהטיל על הנאשם עונש בעבודות שירות לתקופה קצרה וענישה נלווית על בסיס מתחם המסתיים ב-8 חודשי מאסר. </w:t>
      </w:r>
    </w:p>
    <w:p w14:paraId="50EA838F" w14:textId="77777777" w:rsidR="00A52A42" w:rsidRDefault="00A52A42" w:rsidP="00A52A42">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מנה מספר סיבות מדוע יש לבטל את ההרשעה, וביקש לאמץ את המלצת שירות המבחן. הוא היפנה לפסיקה בנסיבות חמורות יותר של עבירות סמים, בהם נמנעו בתי המשפט מלהרשיע. </w:t>
      </w:r>
    </w:p>
    <w:p w14:paraId="4FC5E216" w14:textId="77777777" w:rsidR="00A52A42" w:rsidRDefault="00A52A42" w:rsidP="00A52A42">
      <w:pPr>
        <w:spacing w:line="360" w:lineRule="auto"/>
        <w:jc w:val="both"/>
        <w:rPr>
          <w:rFonts w:cs="FrankRuehl"/>
          <w:b/>
          <w:bCs/>
          <w:sz w:val="28"/>
          <w:szCs w:val="28"/>
          <w:u w:val="single"/>
          <w:rtl/>
        </w:rPr>
      </w:pPr>
    </w:p>
    <w:p w14:paraId="757F375D" w14:textId="77777777" w:rsidR="00A52A42" w:rsidRDefault="00A52A42" w:rsidP="00A52A42">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C7BCEAB" w14:textId="77777777" w:rsidR="00A52A42" w:rsidRDefault="00A52A42" w:rsidP="00A52A42">
      <w:pPr>
        <w:spacing w:line="360" w:lineRule="auto"/>
        <w:jc w:val="both"/>
        <w:rPr>
          <w:rFonts w:cs="FrankRuehl"/>
          <w:b/>
          <w:bCs/>
          <w:sz w:val="28"/>
          <w:szCs w:val="28"/>
          <w:u w:val="single"/>
          <w:rtl/>
        </w:rPr>
      </w:pPr>
    </w:p>
    <w:p w14:paraId="24B42E8B" w14:textId="77777777" w:rsidR="00A52A42" w:rsidRDefault="00A52A42" w:rsidP="00A52A42">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העבירות אותן עבר הנאשם פוגעות בערך המוגן של </w:t>
      </w:r>
      <w:r>
        <w:rPr>
          <w:rFonts w:cs="FrankRuehl" w:hint="cs"/>
          <w:sz w:val="28"/>
          <w:szCs w:val="28"/>
          <w:rtl/>
        </w:rPr>
        <w:t>בריאות הציבור ושלומו. נגע הסמים פוגע בכלל החברה ובעיקר במשתמשים. מידת הפגיעה בערך המוגן נמוכה, בשל טיב הסם ותכלית גידולו לשימוש עצמי כעולה ממכלול הנסיבות ומהתסקיר.</w:t>
      </w:r>
    </w:p>
    <w:p w14:paraId="2F6A5BB8" w14:textId="77777777" w:rsidR="00A52A42" w:rsidRDefault="00A52A42" w:rsidP="00A52A42">
      <w:pPr>
        <w:spacing w:line="360" w:lineRule="auto"/>
        <w:jc w:val="both"/>
        <w:rPr>
          <w:rFonts w:cs="FrankRuehl"/>
          <w:b/>
          <w:bCs/>
          <w:sz w:val="28"/>
          <w:szCs w:val="28"/>
          <w:u w:val="single"/>
          <w:rtl/>
        </w:rPr>
      </w:pPr>
    </w:p>
    <w:p w14:paraId="1E4D77CA" w14:textId="77777777" w:rsidR="00A52A42" w:rsidRDefault="00A52A42" w:rsidP="00A52A42">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7" w:history="1">
        <w:r w:rsidR="00CD5415" w:rsidRPr="00CD5415">
          <w:rPr>
            <w:rStyle w:val="Hyperlink"/>
            <w:rFonts w:cs="FrankRuehl"/>
            <w:b/>
            <w:bCs/>
            <w:color w:val="0000FF"/>
            <w:sz w:val="28"/>
            <w:szCs w:val="28"/>
            <w:rtl/>
          </w:rPr>
          <w:t>סעיף 40ט'</w:t>
        </w:r>
      </w:hyperlink>
      <w:r>
        <w:rPr>
          <w:rFonts w:cs="FrankRuehl"/>
          <w:b/>
          <w:bCs/>
          <w:sz w:val="28"/>
          <w:szCs w:val="28"/>
          <w:u w:val="single"/>
          <w:rtl/>
        </w:rPr>
        <w:t xml:space="preserve"> ל</w:t>
      </w:r>
      <w:hyperlink r:id="rId18" w:history="1">
        <w:r w:rsidR="000711C7" w:rsidRPr="000711C7">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שהנאשם השקיע משאבים בביצועה לאורך זמן, אם כי תכליתה הייתה לשימוש עצמי. סוג הסמים אינו נסיבה לחומרא וכך גם מניעיו של הנאשם, שגידל את הסם לשיכוך תחלואיו, כעולה מתסקיר שירות המבחן; הנאשם בגיר, צריך היה להימנע מן המעשים והוא אחראי להם בלעדית; הנזק שנגרם בפועל אינו גדול, וגם פוטנציאל הנזק מסוג זה של סם, כשמיועד לשימוש עצמי, אינו גדול. </w:t>
      </w:r>
    </w:p>
    <w:p w14:paraId="1CF940F9" w14:textId="77777777" w:rsidR="00A52A42" w:rsidRDefault="00A52A42" w:rsidP="00A52A42">
      <w:pPr>
        <w:spacing w:line="360" w:lineRule="auto"/>
        <w:jc w:val="both"/>
        <w:rPr>
          <w:rFonts w:cs="FrankRuehl"/>
          <w:b/>
          <w:bCs/>
          <w:sz w:val="28"/>
          <w:szCs w:val="28"/>
          <w:u w:val="single"/>
          <w:rtl/>
        </w:rPr>
      </w:pPr>
    </w:p>
    <w:p w14:paraId="213E59F7" w14:textId="77777777" w:rsidR="00A52A42" w:rsidRDefault="00A52A42" w:rsidP="00A52A42">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cs="FrankRuehl" w:hint="cs"/>
          <w:sz w:val="28"/>
          <w:szCs w:val="28"/>
          <w:rtl/>
        </w:rPr>
        <w:t xml:space="preserve">כאשר מדובר בגידול סם מסוג קנביס ולא בכמויות "מסחריות" ניתן למצוא ענישה המסתכמת בשל"ץ ועבודות שירות. ניתן לגזור מנסיבות חמורות אף יותר שהסתיימו </w:t>
      </w:r>
      <w:r w:rsidRPr="00843951">
        <w:rPr>
          <w:rFonts w:cs="FrankRuehl" w:hint="cs"/>
          <w:sz w:val="28"/>
          <w:szCs w:val="28"/>
          <w:rtl/>
        </w:rPr>
        <w:t xml:space="preserve">בעבודות שירות ולא במאסר. ר': </w:t>
      </w:r>
      <w:hyperlink r:id="rId19" w:history="1">
        <w:r w:rsidR="000711C7" w:rsidRPr="000711C7">
          <w:rPr>
            <w:rFonts w:cs="FrankRuehl"/>
            <w:color w:val="0000FF"/>
            <w:sz w:val="28"/>
            <w:szCs w:val="28"/>
            <w:u w:val="single"/>
            <w:rtl/>
          </w:rPr>
          <w:t>עפ"ג (ב"ש) 47987-06-13</w:t>
        </w:r>
      </w:hyperlink>
      <w:r w:rsidRPr="00843951">
        <w:rPr>
          <w:rFonts w:cs="FrankRuehl" w:hint="cs"/>
          <w:sz w:val="28"/>
          <w:szCs w:val="28"/>
          <w:rtl/>
        </w:rPr>
        <w:t xml:space="preserve"> </w:t>
      </w:r>
      <w:r w:rsidRPr="00843951">
        <w:rPr>
          <w:rFonts w:cs="FrankRuehl" w:hint="cs"/>
          <w:b/>
          <w:bCs/>
          <w:sz w:val="28"/>
          <w:szCs w:val="28"/>
          <w:u w:val="single"/>
          <w:rtl/>
        </w:rPr>
        <w:t>מולטיסנטי</w:t>
      </w:r>
      <w:r w:rsidRPr="00843951">
        <w:rPr>
          <w:rFonts w:cs="FrankRuehl" w:hint="cs"/>
          <w:sz w:val="28"/>
          <w:szCs w:val="28"/>
          <w:rtl/>
        </w:rPr>
        <w:t xml:space="preserve"> נ' </w:t>
      </w:r>
      <w:r w:rsidRPr="00843951">
        <w:rPr>
          <w:rFonts w:cs="FrankRuehl" w:hint="cs"/>
          <w:b/>
          <w:bCs/>
          <w:sz w:val="28"/>
          <w:szCs w:val="28"/>
          <w:u w:val="single"/>
          <w:rtl/>
        </w:rPr>
        <w:t>מ"י</w:t>
      </w:r>
      <w:r w:rsidRPr="00843951">
        <w:rPr>
          <w:rFonts w:cs="FrankRuehl" w:hint="cs"/>
          <w:sz w:val="28"/>
          <w:szCs w:val="28"/>
          <w:rtl/>
        </w:rPr>
        <w:t xml:space="preserve"> </w:t>
      </w:r>
      <w:r w:rsidR="0035104B" w:rsidRPr="0035104B">
        <w:rPr>
          <w:sz w:val="22"/>
          <w:rtl/>
        </w:rPr>
        <w:t xml:space="preserve">[פורסם בנבו] </w:t>
      </w:r>
      <w:r w:rsidRPr="00843951">
        <w:rPr>
          <w:rFonts w:cs="FrankRuehl" w:hint="cs"/>
          <w:sz w:val="28"/>
          <w:szCs w:val="28"/>
          <w:rtl/>
        </w:rPr>
        <w:t xml:space="preserve">(מיום 16.10.2013) </w:t>
      </w:r>
      <w:r w:rsidRPr="00843951">
        <w:rPr>
          <w:rFonts w:cs="FrankRuehl"/>
          <w:sz w:val="28"/>
          <w:szCs w:val="28"/>
          <w:rtl/>
        </w:rPr>
        <w:t>–</w:t>
      </w:r>
      <w:r w:rsidRPr="00843951">
        <w:rPr>
          <w:rFonts w:cs="FrankRuehl" w:hint="cs"/>
          <w:sz w:val="28"/>
          <w:szCs w:val="28"/>
          <w:rtl/>
        </w:rPr>
        <w:t xml:space="preserve"> התיק הסתיים ב-250 שעות של"ץ במקום עבודות שירות בנסיבות של גידול 20 גרם קנביס לצריכה עצמית; עפ"ג (מרכז) </w:t>
      </w:r>
      <w:r w:rsidRPr="00843951">
        <w:rPr>
          <w:rFonts w:cs="FrankRuehl" w:hint="cs"/>
          <w:b/>
          <w:bCs/>
          <w:sz w:val="28"/>
          <w:szCs w:val="28"/>
          <w:u w:val="single"/>
          <w:rtl/>
        </w:rPr>
        <w:t>מ"י</w:t>
      </w:r>
      <w:r w:rsidRPr="00843951">
        <w:rPr>
          <w:rFonts w:cs="FrankRuehl" w:hint="cs"/>
          <w:sz w:val="28"/>
          <w:szCs w:val="28"/>
          <w:rtl/>
        </w:rPr>
        <w:t xml:space="preserve"> נ' </w:t>
      </w:r>
      <w:r w:rsidRPr="00843951">
        <w:rPr>
          <w:rFonts w:cs="FrankRuehl" w:hint="cs"/>
          <w:b/>
          <w:bCs/>
          <w:sz w:val="28"/>
          <w:szCs w:val="28"/>
          <w:u w:val="single"/>
          <w:rtl/>
        </w:rPr>
        <w:t>אלקייס</w:t>
      </w:r>
      <w:r w:rsidRPr="00843951">
        <w:rPr>
          <w:rFonts w:cs="FrankRuehl" w:hint="cs"/>
          <w:sz w:val="28"/>
          <w:szCs w:val="28"/>
          <w:rtl/>
        </w:rPr>
        <w:t xml:space="preserve"> (מיום 24.9.2019) הסתיים ההליך ב-9 חודשי עבודות שירות, שם חרג בית המשפט מטעמי שיקום, בנסיבות של גידול מסחרי של 43.9 ק"ג קנביס לאדם בעל עבר, שהשתקם; </w:t>
      </w:r>
      <w:hyperlink r:id="rId20" w:history="1">
        <w:r w:rsidR="000711C7" w:rsidRPr="000711C7">
          <w:rPr>
            <w:rFonts w:cs="FrankRuehl"/>
            <w:color w:val="0000FF"/>
            <w:sz w:val="28"/>
            <w:szCs w:val="28"/>
            <w:u w:val="single"/>
            <w:rtl/>
          </w:rPr>
          <w:t>רע"פ 8237/15</w:t>
        </w:r>
      </w:hyperlink>
      <w:r w:rsidRPr="00843951">
        <w:rPr>
          <w:rFonts w:cs="FrankRuehl" w:hint="cs"/>
          <w:sz w:val="28"/>
          <w:szCs w:val="28"/>
          <w:rtl/>
        </w:rPr>
        <w:t xml:space="preserve"> </w:t>
      </w:r>
      <w:r w:rsidRPr="00843951">
        <w:rPr>
          <w:rFonts w:cs="FrankRuehl" w:hint="cs"/>
          <w:b/>
          <w:bCs/>
          <w:sz w:val="28"/>
          <w:szCs w:val="28"/>
          <w:u w:val="single"/>
          <w:rtl/>
        </w:rPr>
        <w:t>בן זקן</w:t>
      </w:r>
      <w:r w:rsidRPr="00843951">
        <w:rPr>
          <w:rFonts w:cs="FrankRuehl" w:hint="cs"/>
          <w:sz w:val="28"/>
          <w:szCs w:val="28"/>
          <w:rtl/>
        </w:rPr>
        <w:t xml:space="preserve"> נ' </w:t>
      </w:r>
      <w:r w:rsidRPr="00843951">
        <w:rPr>
          <w:rFonts w:cs="FrankRuehl" w:hint="cs"/>
          <w:b/>
          <w:bCs/>
          <w:sz w:val="28"/>
          <w:szCs w:val="28"/>
          <w:u w:val="single"/>
          <w:rtl/>
        </w:rPr>
        <w:t>מ"י</w:t>
      </w:r>
      <w:r w:rsidRPr="00843951">
        <w:rPr>
          <w:rFonts w:cs="FrankRuehl" w:hint="cs"/>
          <w:sz w:val="28"/>
          <w:szCs w:val="28"/>
          <w:rtl/>
        </w:rPr>
        <w:t xml:space="preserve"> </w:t>
      </w:r>
      <w:r w:rsidR="0035104B" w:rsidRPr="0035104B">
        <w:rPr>
          <w:sz w:val="22"/>
          <w:rtl/>
        </w:rPr>
        <w:t xml:space="preserve">[פורסם בנבו] </w:t>
      </w:r>
      <w:r w:rsidRPr="00843951">
        <w:rPr>
          <w:rFonts w:cs="FrankRuehl" w:hint="cs"/>
          <w:sz w:val="28"/>
          <w:szCs w:val="28"/>
          <w:rtl/>
        </w:rPr>
        <w:t xml:space="preserve">(מיום 2.12.2015) הסתיים ב-7 חודשי מאסר בפועל, על בסיס מתחם שבין של"ץ ועד 24 חודשי מאסר, בנסיבות חמורות מאוד של גידול 8.4 ק"ג קנביס, שם הנאשם היה בעל עבר פלילי מכביד. </w:t>
      </w:r>
    </w:p>
    <w:p w14:paraId="700E1379" w14:textId="77777777" w:rsidR="00A52A42" w:rsidRDefault="00A52A42" w:rsidP="00A52A42">
      <w:pPr>
        <w:spacing w:line="360" w:lineRule="auto"/>
        <w:jc w:val="both"/>
        <w:rPr>
          <w:rFonts w:cs="FrankRuehl"/>
          <w:sz w:val="28"/>
          <w:szCs w:val="28"/>
          <w:u w:val="single"/>
          <w:rtl/>
        </w:rPr>
      </w:pPr>
    </w:p>
    <w:p w14:paraId="670DF261" w14:textId="77777777" w:rsidR="00A52A42" w:rsidRDefault="00A52A42" w:rsidP="00A52A42">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w:t>
      </w:r>
      <w:r>
        <w:rPr>
          <w:rFonts w:cs="FrankRuehl" w:hint="cs"/>
          <w:sz w:val="28"/>
          <w:szCs w:val="28"/>
          <w:rtl/>
        </w:rPr>
        <w:t xml:space="preserve">של"ץ נרחב ועד 8 חודשי מאסר לרבות בעבודות שירות. </w:t>
      </w:r>
    </w:p>
    <w:p w14:paraId="1D1862F5" w14:textId="77777777" w:rsidR="00A52A42" w:rsidRDefault="00A52A42" w:rsidP="00A52A42">
      <w:pPr>
        <w:spacing w:line="360" w:lineRule="auto"/>
        <w:jc w:val="both"/>
        <w:rPr>
          <w:rFonts w:cs="FrankRuehl"/>
          <w:b/>
          <w:bCs/>
          <w:sz w:val="28"/>
          <w:szCs w:val="28"/>
          <w:rtl/>
        </w:rPr>
      </w:pPr>
    </w:p>
    <w:p w14:paraId="4B99242D" w14:textId="77777777" w:rsidR="00A52A42" w:rsidRDefault="00A52A42" w:rsidP="00A52A42">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1" w:history="1">
        <w:r w:rsidR="00CD5415" w:rsidRPr="00CD5415">
          <w:rPr>
            <w:rStyle w:val="Hyperlink"/>
            <w:rFonts w:cs="FrankRuehl"/>
            <w:b/>
            <w:bCs/>
            <w:color w:val="0000FF"/>
            <w:sz w:val="28"/>
            <w:szCs w:val="28"/>
            <w:rtl/>
          </w:rPr>
          <w:t>סעיף 40י"א</w:t>
        </w:r>
      </w:hyperlink>
      <w:r>
        <w:rPr>
          <w:rFonts w:cs="FrankRuehl"/>
          <w:b/>
          <w:bCs/>
          <w:sz w:val="28"/>
          <w:szCs w:val="28"/>
          <w:u w:val="single"/>
          <w:rtl/>
        </w:rPr>
        <w:t xml:space="preserve"> ל</w:t>
      </w:r>
      <w:hyperlink r:id="rId22" w:history="1">
        <w:r w:rsidR="000711C7" w:rsidRPr="000711C7">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יחסית, ללא עבר פלילי, שמסכת חייו לא הייתה פשוטה. למרות אתגרי חייו, הרגשיים, המשפחתיים והפיזיים, הנאשם יכול היה לאתגרים והגיע להישגים נאים בחייו; הנאשם הודה ונטל אחריות אמיתית והוא מוכן לעבור תהליך טיפולי.</w:t>
      </w:r>
    </w:p>
    <w:p w14:paraId="4D0D9DA6" w14:textId="77777777" w:rsidR="00A52A42" w:rsidRDefault="00A52A42" w:rsidP="00A52A42">
      <w:pPr>
        <w:spacing w:line="360" w:lineRule="auto"/>
        <w:jc w:val="both"/>
        <w:rPr>
          <w:rFonts w:cs="FrankRuehl"/>
          <w:sz w:val="28"/>
          <w:szCs w:val="28"/>
          <w:rtl/>
        </w:rPr>
      </w:pPr>
    </w:p>
    <w:p w14:paraId="1E65D833" w14:textId="77777777" w:rsidR="00A52A42" w:rsidRDefault="00A52A42" w:rsidP="00A52A42">
      <w:pPr>
        <w:spacing w:line="360" w:lineRule="auto"/>
        <w:jc w:val="both"/>
        <w:rPr>
          <w:rFonts w:cs="FrankRuehl"/>
          <w:sz w:val="28"/>
          <w:szCs w:val="28"/>
          <w:rtl/>
        </w:rPr>
      </w:pPr>
      <w:r>
        <w:rPr>
          <w:rFonts w:cs="FrankRuehl" w:hint="cs"/>
          <w:b/>
          <w:bCs/>
          <w:sz w:val="28"/>
          <w:szCs w:val="28"/>
          <w:u w:val="single"/>
          <w:rtl/>
        </w:rPr>
        <w:t>ביטול ה</w:t>
      </w:r>
      <w:r>
        <w:rPr>
          <w:rFonts w:cs="FrankRuehl"/>
          <w:b/>
          <w:bCs/>
          <w:sz w:val="28"/>
          <w:szCs w:val="28"/>
          <w:u w:val="single"/>
          <w:rtl/>
        </w:rPr>
        <w:t>הרשעה</w:t>
      </w:r>
      <w:r>
        <w:rPr>
          <w:rFonts w:cs="FrankRuehl"/>
          <w:sz w:val="28"/>
          <w:szCs w:val="28"/>
          <w:rtl/>
        </w:rPr>
        <w:t xml:space="preserve"> – בידוע, שעה שנמצא כי נאשם ביצע את העבירות המיוחסות לו, יש להרשיעו. זהו הכלל. אי-הרשעה הוא היוצא מן הכלל. ב</w:t>
      </w:r>
      <w:hyperlink r:id="rId23" w:history="1">
        <w:r w:rsidR="000711C7" w:rsidRPr="000711C7">
          <w:rPr>
            <w:rFonts w:cs="FrankRuehl"/>
            <w:color w:val="0000FF"/>
            <w:sz w:val="28"/>
            <w:szCs w:val="28"/>
            <w:u w:val="single"/>
            <w:rtl/>
          </w:rPr>
          <w:t>ע"פ 2083/96</w:t>
        </w:r>
      </w:hyperlink>
      <w:r>
        <w:rPr>
          <w:rFonts w:cs="FrankRuehl"/>
          <w:sz w:val="28"/>
          <w:szCs w:val="28"/>
          <w:rtl/>
        </w:rPr>
        <w:t xml:space="preserve"> </w:t>
      </w:r>
      <w:r>
        <w:rPr>
          <w:rFonts w:cs="FrankRuehl"/>
          <w:b/>
          <w:bCs/>
          <w:sz w:val="28"/>
          <w:szCs w:val="28"/>
          <w:u w:val="single"/>
          <w:rtl/>
        </w:rPr>
        <w:t>כתב</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w:t>
      </w:r>
      <w:r w:rsidR="0035104B" w:rsidRPr="0035104B">
        <w:rPr>
          <w:sz w:val="22"/>
          <w:rtl/>
        </w:rPr>
        <w:t xml:space="preserve">[פורסם בנבו] </w:t>
      </w:r>
      <w:r>
        <w:rPr>
          <w:rFonts w:cs="FrankRuehl"/>
          <w:sz w:val="28"/>
          <w:szCs w:val="28"/>
          <w:rtl/>
        </w:rPr>
        <w:t xml:space="preserve">(מיום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w:t>
      </w:r>
      <w:r w:rsidRPr="00E91F97">
        <w:rPr>
          <w:rFonts w:cs="FrankRuehl"/>
          <w:sz w:val="28"/>
          <w:szCs w:val="28"/>
          <w:rtl/>
        </w:rPr>
        <w:t xml:space="preserve">קונקרטי ובלתי מידתי בנסיבות העניין. ראו בהקשר זה גם את </w:t>
      </w:r>
      <w:hyperlink r:id="rId24" w:history="1">
        <w:r w:rsidR="000711C7" w:rsidRPr="000711C7">
          <w:rPr>
            <w:rFonts w:cs="FrankRuehl"/>
            <w:color w:val="0000FF"/>
            <w:sz w:val="28"/>
            <w:szCs w:val="28"/>
            <w:u w:val="single"/>
            <w:rtl/>
          </w:rPr>
          <w:t>ע"פ 5985/13</w:t>
        </w:r>
      </w:hyperlink>
      <w:r w:rsidRPr="00E91F97">
        <w:rPr>
          <w:rFonts w:cs="FrankRuehl"/>
          <w:sz w:val="28"/>
          <w:szCs w:val="28"/>
          <w:rtl/>
        </w:rPr>
        <w:t xml:space="preserve"> </w:t>
      </w:r>
      <w:r w:rsidRPr="00E91F97">
        <w:rPr>
          <w:rFonts w:cs="FrankRuehl"/>
          <w:b/>
          <w:bCs/>
          <w:sz w:val="28"/>
          <w:szCs w:val="28"/>
          <w:u w:val="single"/>
          <w:rtl/>
        </w:rPr>
        <w:t>אבן</w:t>
      </w:r>
      <w:r w:rsidRPr="00E91F97">
        <w:rPr>
          <w:rFonts w:cs="FrankRuehl"/>
          <w:sz w:val="28"/>
          <w:szCs w:val="28"/>
          <w:rtl/>
        </w:rPr>
        <w:t xml:space="preserve"> נ' </w:t>
      </w:r>
      <w:r w:rsidRPr="00E91F97">
        <w:rPr>
          <w:rFonts w:cs="FrankRuehl"/>
          <w:b/>
          <w:bCs/>
          <w:sz w:val="28"/>
          <w:szCs w:val="28"/>
          <w:u w:val="single"/>
          <w:rtl/>
        </w:rPr>
        <w:t>מ"י</w:t>
      </w:r>
      <w:r w:rsidRPr="00E91F97">
        <w:rPr>
          <w:rFonts w:cs="FrankRuehl"/>
          <w:sz w:val="28"/>
          <w:szCs w:val="28"/>
          <w:rtl/>
        </w:rPr>
        <w:t xml:space="preserve"> </w:t>
      </w:r>
      <w:r w:rsidR="0035104B" w:rsidRPr="0035104B">
        <w:rPr>
          <w:sz w:val="22"/>
          <w:rtl/>
        </w:rPr>
        <w:t xml:space="preserve">[פורסם בנבו] </w:t>
      </w:r>
      <w:r w:rsidRPr="00E91F97">
        <w:rPr>
          <w:rFonts w:cs="FrankRuehl"/>
          <w:sz w:val="28"/>
          <w:szCs w:val="28"/>
          <w:rtl/>
        </w:rPr>
        <w:t xml:space="preserve">(מיום 2.4.2014) בפסקאות 6 ו-7. </w:t>
      </w:r>
      <w:r w:rsidRPr="00E91F97">
        <w:rPr>
          <w:rFonts w:cs="FrankRuehl" w:hint="cs"/>
          <w:sz w:val="28"/>
          <w:szCs w:val="28"/>
          <w:rtl/>
        </w:rPr>
        <w:t xml:space="preserve">אשר לתנאי הראשון, בנסיבות המקרה נדמה כי ניתן לבטל את ההרשעה, שכן אין מדובר בנסיבות חמורות, הן מבחינת מטרת הגידול, </w:t>
      </w:r>
      <w:r>
        <w:rPr>
          <w:rFonts w:cs="FrankRuehl" w:hint="cs"/>
          <w:sz w:val="28"/>
          <w:szCs w:val="28"/>
          <w:rtl/>
        </w:rPr>
        <w:t>והן מבחינת סוג הסם וכמותו</w:t>
      </w:r>
      <w:r w:rsidRPr="00E91F97">
        <w:rPr>
          <w:rFonts w:cs="FrankRuehl" w:hint="cs"/>
          <w:sz w:val="28"/>
          <w:szCs w:val="28"/>
          <w:rtl/>
        </w:rPr>
        <w:t>. אשר לתנאי השני, הצטברות</w:t>
      </w:r>
      <w:r>
        <w:rPr>
          <w:rFonts w:cs="FrankRuehl" w:hint="cs"/>
          <w:sz w:val="28"/>
          <w:szCs w:val="28"/>
          <w:rtl/>
        </w:rPr>
        <w:t xml:space="preserve"> של שלושה טעמים תומכת בביטול ההרשעה: הראשון, שוכנעתי מדברי הנאשם, שעלו גם מהתסקיר, כי הנאשם ייפגע בתעסוקתו אם הרשעתו תיוותר על כנה; השני, ידיעה שיפוטית היא (מתיקים בהם נתקלתי בהליכי איחוד  משפחות), כי רישום פלילי למי מהמעורבים בבקשה לאיחוד משפחות, יש בו כדי להשפיע לרעה על סיכויי הצלחת ההליך; השלישי, נסיבותיו האישיות של הנאשם וקורותיו, מצדיקים הליכה לקראתו ומתן אמון בו כי לא יחטא שוב. לפיכך, מבטל את ההרשעה. מעבר לכך, </w:t>
      </w:r>
      <w:hyperlink r:id="rId25" w:history="1">
        <w:r w:rsidR="000711C7" w:rsidRPr="000711C7">
          <w:rPr>
            <w:rFonts w:cs="FrankRuehl"/>
            <w:color w:val="0000FF"/>
            <w:sz w:val="28"/>
            <w:szCs w:val="28"/>
            <w:u w:val="single"/>
            <w:rtl/>
          </w:rPr>
          <w:t>ע"פ (י-ם) 11045-09-18</w:t>
        </w:r>
      </w:hyperlink>
      <w:r>
        <w:rPr>
          <w:rFonts w:cs="FrankRuehl" w:hint="cs"/>
          <w:sz w:val="28"/>
          <w:szCs w:val="28"/>
          <w:rtl/>
        </w:rPr>
        <w:t xml:space="preserve"> </w:t>
      </w:r>
      <w:r w:rsidRPr="00E91F97">
        <w:rPr>
          <w:rFonts w:cs="FrankRuehl" w:hint="cs"/>
          <w:b/>
          <w:bCs/>
          <w:sz w:val="28"/>
          <w:szCs w:val="28"/>
          <w:u w:val="single"/>
          <w:rtl/>
        </w:rPr>
        <w:t>אליסיאן</w:t>
      </w:r>
      <w:r>
        <w:rPr>
          <w:rFonts w:cs="FrankRuehl" w:hint="cs"/>
          <w:sz w:val="28"/>
          <w:szCs w:val="28"/>
          <w:rtl/>
        </w:rPr>
        <w:t xml:space="preserve"> נ' </w:t>
      </w:r>
      <w:r w:rsidRPr="00E91F97">
        <w:rPr>
          <w:rFonts w:cs="FrankRuehl" w:hint="cs"/>
          <w:b/>
          <w:bCs/>
          <w:sz w:val="28"/>
          <w:szCs w:val="28"/>
          <w:u w:val="single"/>
          <w:rtl/>
        </w:rPr>
        <w:t>מ"י</w:t>
      </w:r>
      <w:r>
        <w:rPr>
          <w:rFonts w:cs="FrankRuehl" w:hint="cs"/>
          <w:sz w:val="28"/>
          <w:szCs w:val="28"/>
          <w:rtl/>
        </w:rPr>
        <w:t xml:space="preserve"> </w:t>
      </w:r>
      <w:r w:rsidR="0035104B" w:rsidRPr="0035104B">
        <w:rPr>
          <w:sz w:val="22"/>
          <w:rtl/>
        </w:rPr>
        <w:t xml:space="preserve">[פורסם בנבו] </w:t>
      </w:r>
      <w:r>
        <w:rPr>
          <w:rFonts w:cs="FrankRuehl" w:hint="cs"/>
          <w:sz w:val="28"/>
          <w:szCs w:val="28"/>
          <w:rtl/>
        </w:rPr>
        <w:t>(מיום 3.9.2019) ו</w:t>
      </w:r>
      <w:hyperlink r:id="rId26" w:history="1">
        <w:r w:rsidR="000711C7" w:rsidRPr="000711C7">
          <w:rPr>
            <w:rFonts w:cs="FrankRuehl"/>
            <w:color w:val="0000FF"/>
            <w:sz w:val="28"/>
            <w:szCs w:val="28"/>
            <w:u w:val="single"/>
            <w:rtl/>
          </w:rPr>
          <w:t>ע"פ (י-ם) 33947-10-17</w:t>
        </w:r>
      </w:hyperlink>
      <w:r>
        <w:rPr>
          <w:rFonts w:cs="FrankRuehl" w:hint="cs"/>
          <w:sz w:val="28"/>
          <w:szCs w:val="28"/>
          <w:rtl/>
        </w:rPr>
        <w:t xml:space="preserve"> </w:t>
      </w:r>
      <w:r w:rsidRPr="00E91F97">
        <w:rPr>
          <w:rFonts w:cs="FrankRuehl" w:hint="cs"/>
          <w:b/>
          <w:bCs/>
          <w:sz w:val="28"/>
          <w:szCs w:val="28"/>
          <w:u w:val="single"/>
          <w:rtl/>
        </w:rPr>
        <w:t>מ"י</w:t>
      </w:r>
      <w:r>
        <w:rPr>
          <w:rFonts w:cs="FrankRuehl" w:hint="cs"/>
          <w:sz w:val="28"/>
          <w:szCs w:val="28"/>
          <w:rtl/>
        </w:rPr>
        <w:t xml:space="preserve"> נ' </w:t>
      </w:r>
      <w:r w:rsidRPr="00E91F97">
        <w:rPr>
          <w:rFonts w:cs="FrankRuehl" w:hint="cs"/>
          <w:b/>
          <w:bCs/>
          <w:sz w:val="28"/>
          <w:szCs w:val="28"/>
          <w:u w:val="single"/>
          <w:rtl/>
        </w:rPr>
        <w:t>קרוקוצקי</w:t>
      </w:r>
      <w:r>
        <w:rPr>
          <w:rFonts w:cs="FrankRuehl" w:hint="cs"/>
          <w:sz w:val="28"/>
          <w:szCs w:val="28"/>
          <w:rtl/>
        </w:rPr>
        <w:t xml:space="preserve"> </w:t>
      </w:r>
      <w:r w:rsidR="0035104B" w:rsidRPr="0035104B">
        <w:rPr>
          <w:sz w:val="22"/>
          <w:rtl/>
        </w:rPr>
        <w:t xml:space="preserve">[פורסם בנבו] </w:t>
      </w:r>
      <w:r>
        <w:rPr>
          <w:rFonts w:cs="FrankRuehl" w:hint="cs"/>
          <w:sz w:val="28"/>
          <w:szCs w:val="28"/>
          <w:rtl/>
        </w:rPr>
        <w:t>(מיום 20.3.2018) תומכים במסקנתי זו, שם דובר בנסיבות חמורות יותר ובריחוק משמעותי, לטעמי, מעמידה בתנאים הנדרשים לביטול הרשעה. לכן מבטל את ההרשעה.</w:t>
      </w:r>
    </w:p>
    <w:p w14:paraId="4423EFC6" w14:textId="77777777" w:rsidR="00A52A42" w:rsidRDefault="00A52A42" w:rsidP="00A52A42">
      <w:pPr>
        <w:rPr>
          <w:rFonts w:cs="FrankRuehl"/>
          <w:sz w:val="28"/>
          <w:szCs w:val="28"/>
          <w:rtl/>
        </w:rPr>
      </w:pPr>
    </w:p>
    <w:p w14:paraId="31B25134" w14:textId="77777777" w:rsidR="00A52A42" w:rsidRDefault="00A52A42" w:rsidP="00A52A42">
      <w:pPr>
        <w:spacing w:line="360" w:lineRule="auto"/>
        <w:jc w:val="both"/>
        <w:rPr>
          <w:rFonts w:cs="FrankRuehl"/>
          <w:sz w:val="28"/>
          <w:szCs w:val="28"/>
          <w:rtl/>
        </w:rPr>
      </w:pPr>
    </w:p>
    <w:p w14:paraId="20E1FC4D" w14:textId="77777777" w:rsidR="00A52A42" w:rsidRDefault="00A52A42" w:rsidP="00A52A42">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 במכלול השיקולים, יש למקם את הנאשם בתחתית המתחם. </w:t>
      </w:r>
    </w:p>
    <w:p w14:paraId="1898E998" w14:textId="77777777" w:rsidR="00A52A42" w:rsidRDefault="00A52A42" w:rsidP="00A52A42">
      <w:pPr>
        <w:spacing w:line="360" w:lineRule="auto"/>
        <w:jc w:val="both"/>
        <w:rPr>
          <w:rFonts w:cs="FrankRuehl"/>
          <w:b/>
          <w:bCs/>
          <w:sz w:val="28"/>
          <w:szCs w:val="28"/>
          <w:u w:val="single"/>
          <w:rtl/>
        </w:rPr>
      </w:pPr>
    </w:p>
    <w:p w14:paraId="3D463AF8" w14:textId="77777777" w:rsidR="00A52A42" w:rsidRDefault="00A52A42" w:rsidP="00A52A42">
      <w:pPr>
        <w:spacing w:line="360" w:lineRule="auto"/>
        <w:jc w:val="both"/>
        <w:rPr>
          <w:rFonts w:cs="FrankRuehl"/>
          <w:b/>
          <w:bCs/>
          <w:sz w:val="28"/>
          <w:szCs w:val="28"/>
          <w:u w:val="single"/>
          <w:rtl/>
        </w:rPr>
      </w:pPr>
      <w:r>
        <w:rPr>
          <w:rFonts w:cs="FrankRuehl"/>
          <w:b/>
          <w:bCs/>
          <w:sz w:val="28"/>
          <w:szCs w:val="28"/>
          <w:u w:val="single"/>
          <w:rtl/>
        </w:rPr>
        <w:t>גזירת הדין</w:t>
      </w:r>
    </w:p>
    <w:p w14:paraId="4A511243" w14:textId="77777777" w:rsidR="00A52A42" w:rsidRDefault="00A52A42" w:rsidP="00A52A42">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33669D6" w14:textId="77777777" w:rsidR="00A52A42" w:rsidRDefault="00A52A42" w:rsidP="00A52A42">
      <w:pPr>
        <w:numPr>
          <w:ilvl w:val="0"/>
          <w:numId w:val="1"/>
        </w:numPr>
        <w:spacing w:after="160" w:line="360" w:lineRule="auto"/>
        <w:contextualSpacing/>
        <w:jc w:val="both"/>
        <w:rPr>
          <w:rFonts w:cs="FrankRuehl"/>
          <w:sz w:val="28"/>
          <w:szCs w:val="28"/>
          <w:rtl/>
        </w:rPr>
      </w:pPr>
      <w:r>
        <w:rPr>
          <w:rFonts w:cs="FrankRuehl" w:hint="cs"/>
          <w:sz w:val="28"/>
          <w:szCs w:val="28"/>
          <w:rtl/>
        </w:rPr>
        <w:t xml:space="preserve">350 </w:t>
      </w:r>
      <w:r>
        <w:rPr>
          <w:rFonts w:cs="FrankRuehl"/>
          <w:sz w:val="28"/>
          <w:szCs w:val="28"/>
          <w:rtl/>
        </w:rPr>
        <w:t xml:space="preserve">שעות שירות לתועלת הציבור (של"ץ), אשר ירוצו </w:t>
      </w:r>
      <w:r>
        <w:rPr>
          <w:rFonts w:cs="FrankRuehl" w:hint="cs"/>
          <w:sz w:val="28"/>
          <w:szCs w:val="28"/>
          <w:rtl/>
        </w:rPr>
        <w:t xml:space="preserve">לא לפני 1.12.2020 </w:t>
      </w:r>
      <w:r>
        <w:rPr>
          <w:rFonts w:cs="FrankRuehl"/>
          <w:sz w:val="28"/>
          <w:szCs w:val="28"/>
          <w:rtl/>
        </w:rPr>
        <w:t>על-פי התוכנית ש</w:t>
      </w:r>
      <w:r>
        <w:rPr>
          <w:rFonts w:cs="FrankRuehl" w:hint="cs"/>
          <w:sz w:val="28"/>
          <w:szCs w:val="28"/>
          <w:rtl/>
        </w:rPr>
        <w:t>י</w:t>
      </w:r>
      <w:r>
        <w:rPr>
          <w:rFonts w:cs="FrankRuehl"/>
          <w:sz w:val="28"/>
          <w:szCs w:val="28"/>
          <w:rtl/>
        </w:rPr>
        <w:t xml:space="preserve">כין שירות המבחן ובפיקוחו. </w:t>
      </w:r>
      <w:r>
        <w:rPr>
          <w:rFonts w:cs="FrankRuehl" w:hint="cs"/>
          <w:sz w:val="28"/>
          <w:szCs w:val="28"/>
          <w:rtl/>
        </w:rPr>
        <w:t xml:space="preserve">התוכנית תוגש בתוך 30 יום מהיום. </w:t>
      </w:r>
      <w:r>
        <w:rPr>
          <w:rFonts w:cs="FrankRuehl"/>
          <w:sz w:val="28"/>
          <w:szCs w:val="28"/>
          <w:rtl/>
        </w:rPr>
        <w:t>הנאשם הוזהר כי אי-קיום צו השל"ץ באופן משביע רצון עלול להביא להפקעת הצו ולדיון מחודש בשאלת גזר הדין הראוי לרבות הרשעה והטלת מאסר בפועל;</w:t>
      </w:r>
    </w:p>
    <w:p w14:paraId="7986F3E1" w14:textId="77777777" w:rsidR="00A52A42" w:rsidRDefault="00A52A42" w:rsidP="00A52A42">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12 חודשים</w:t>
      </w:r>
      <w:r>
        <w:rPr>
          <w:rFonts w:cs="FrankRuehl"/>
          <w:sz w:val="28"/>
          <w:szCs w:val="28"/>
          <w:rtl/>
        </w:rPr>
        <w:t>. במהלך תקופה זו הנאשם מחויב בשיתוף פעולה עם שירות המבחן</w:t>
      </w:r>
      <w:r>
        <w:rPr>
          <w:rFonts w:cs="FrankRuehl" w:hint="cs"/>
          <w:sz w:val="28"/>
          <w:szCs w:val="28"/>
          <w:rtl/>
        </w:rPr>
        <w:t xml:space="preserve"> לרבות מתן בדיקות שתן</w:t>
      </w:r>
      <w:r>
        <w:rPr>
          <w:rFonts w:cs="FrankRuehl"/>
          <w:sz w:val="28"/>
          <w:szCs w:val="28"/>
          <w:rtl/>
        </w:rPr>
        <w:t>, כאשר מובהר כי הפרת  הצו תוכל להביא לפתיחה מחודשת של המשפט וגזירת עונשו של הנאשם, לרבות עונש מאסר.</w:t>
      </w:r>
    </w:p>
    <w:p w14:paraId="49470755" w14:textId="77777777" w:rsidR="00A52A42" w:rsidRDefault="00A52A42" w:rsidP="00A52A42">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עבירה </w:t>
      </w:r>
      <w:r>
        <w:rPr>
          <w:rFonts w:cs="FrankRuehl" w:hint="cs"/>
          <w:sz w:val="28"/>
          <w:szCs w:val="28"/>
          <w:rtl/>
        </w:rPr>
        <w:t>לפי פקודת הסמים במשך שנה מהיום.</w:t>
      </w:r>
      <w:r>
        <w:rPr>
          <w:rFonts w:cs="FrankRuehl"/>
          <w:sz w:val="28"/>
          <w:szCs w:val="28"/>
          <w:rtl/>
        </w:rPr>
        <w:t xml:space="preserve"> הובהר לנאשם שמשמעות ההתחייבות היא, כי אם יעבור את העבירה בתוך התקופה שצוינה, בית המשפט שיגזור את הדין יהא חייב לחלט את ההתחייבות כקנס.</w:t>
      </w:r>
    </w:p>
    <w:p w14:paraId="44F126D0" w14:textId="77777777" w:rsidR="00A52A42" w:rsidRDefault="00A52A42" w:rsidP="00A52A42">
      <w:pPr>
        <w:spacing w:after="160" w:line="360" w:lineRule="auto"/>
        <w:contextualSpacing/>
        <w:jc w:val="both"/>
        <w:rPr>
          <w:rFonts w:cs="FrankRuehl"/>
          <w:sz w:val="28"/>
          <w:szCs w:val="28"/>
          <w:rtl/>
        </w:rPr>
      </w:pPr>
    </w:p>
    <w:p w14:paraId="726AD8B8" w14:textId="77777777" w:rsidR="00A52A42" w:rsidRDefault="00A52A42" w:rsidP="00A52A42">
      <w:pPr>
        <w:spacing w:after="160" w:line="360" w:lineRule="auto"/>
        <w:contextualSpacing/>
        <w:jc w:val="both"/>
        <w:rPr>
          <w:rFonts w:cs="FrankRuehl"/>
          <w:sz w:val="28"/>
          <w:szCs w:val="28"/>
          <w:rtl/>
        </w:rPr>
      </w:pPr>
      <w:r>
        <w:rPr>
          <w:rFonts w:cs="FrankRuehl" w:hint="cs"/>
          <w:sz w:val="28"/>
          <w:szCs w:val="28"/>
          <w:rtl/>
        </w:rPr>
        <w:t>לא מצאתי לחייב בקנס, מאחר שלעבירה לא היה אופי כלכלי של עשיית רווח.</w:t>
      </w:r>
    </w:p>
    <w:p w14:paraId="0808FEE9" w14:textId="77777777" w:rsidR="00A52A42" w:rsidRDefault="00A52A42" w:rsidP="00A52A42">
      <w:pPr>
        <w:spacing w:line="360" w:lineRule="auto"/>
        <w:rPr>
          <w:rFonts w:ascii="FrankRuehl" w:hAnsi="FrankRuehl" w:cs="FrankRuehl"/>
          <w:sz w:val="28"/>
          <w:szCs w:val="28"/>
          <w:rtl/>
        </w:rPr>
      </w:pPr>
    </w:p>
    <w:p w14:paraId="5C27F20E" w14:textId="77777777" w:rsidR="00A52A42" w:rsidRDefault="00A52A42" w:rsidP="00A52A42">
      <w:pPr>
        <w:spacing w:line="360" w:lineRule="auto"/>
        <w:rPr>
          <w:rFonts w:ascii="FrankRuehl" w:hAnsi="FrankRuehl" w:cs="FrankRuehl"/>
          <w:sz w:val="28"/>
          <w:szCs w:val="28"/>
          <w:rtl/>
        </w:rPr>
      </w:pPr>
      <w:r>
        <w:rPr>
          <w:rFonts w:ascii="FrankRuehl" w:hAnsi="FrankRuehl" w:cs="FrankRuehl" w:hint="cs"/>
          <w:sz w:val="28"/>
          <w:szCs w:val="28"/>
          <w:rtl/>
        </w:rPr>
        <w:t>מ</w:t>
      </w:r>
      <w:r>
        <w:rPr>
          <w:rFonts w:ascii="FrankRuehl" w:hAnsi="FrankRuehl" w:cs="FrankRuehl"/>
          <w:sz w:val="28"/>
          <w:szCs w:val="28"/>
          <w:rtl/>
        </w:rPr>
        <w:t xml:space="preserve">ורה על השמדת </w:t>
      </w:r>
      <w:r>
        <w:rPr>
          <w:rFonts w:ascii="FrankRuehl" w:hAnsi="FrankRuehl" w:cs="FrankRuehl" w:hint="cs"/>
          <w:sz w:val="28"/>
          <w:szCs w:val="28"/>
          <w:rtl/>
        </w:rPr>
        <w:t>הסמים והמוצגים שנתפסו</w:t>
      </w:r>
      <w:r>
        <w:rPr>
          <w:rFonts w:ascii="FrankRuehl" w:hAnsi="FrankRuehl" w:cs="FrankRuehl"/>
          <w:sz w:val="28"/>
          <w:szCs w:val="28"/>
          <w:rtl/>
        </w:rPr>
        <w:t>.</w:t>
      </w:r>
    </w:p>
    <w:p w14:paraId="037DF2E2" w14:textId="77777777" w:rsidR="00A52A42" w:rsidRDefault="00A52A42" w:rsidP="00A52A42">
      <w:pPr>
        <w:spacing w:line="360" w:lineRule="auto"/>
        <w:rPr>
          <w:rFonts w:ascii="FrankRuehl" w:hAnsi="FrankRuehl" w:cs="FrankRuehl"/>
          <w:sz w:val="28"/>
          <w:szCs w:val="28"/>
          <w:rtl/>
        </w:rPr>
      </w:pPr>
    </w:p>
    <w:p w14:paraId="11DB7BE1" w14:textId="77777777" w:rsidR="00A52A42" w:rsidRDefault="00A52A42" w:rsidP="00A52A42">
      <w:pPr>
        <w:spacing w:line="360" w:lineRule="auto"/>
        <w:rPr>
          <w:rFonts w:ascii="FrankRuehl" w:hAnsi="FrankRuehl" w:cs="FrankRuehl"/>
          <w:sz w:val="28"/>
          <w:szCs w:val="28"/>
        </w:rPr>
      </w:pPr>
      <w:r>
        <w:rPr>
          <w:rFonts w:ascii="FrankRuehl" w:hAnsi="FrankRuehl" w:cs="FrankRuehl"/>
          <w:sz w:val="28"/>
          <w:szCs w:val="28"/>
          <w:rtl/>
        </w:rPr>
        <w:t>יש לשלוח לשירות המבחן.</w:t>
      </w:r>
    </w:p>
    <w:p w14:paraId="2C2C2DEC" w14:textId="77777777" w:rsidR="00A52A42" w:rsidRDefault="00A52A42" w:rsidP="00A52A42">
      <w:pPr>
        <w:rPr>
          <w:rFonts w:ascii="FrankRuehl" w:hAnsi="FrankRuehl" w:cs="FrankRuehl"/>
          <w:sz w:val="28"/>
          <w:szCs w:val="28"/>
          <w:rtl/>
        </w:rPr>
      </w:pPr>
    </w:p>
    <w:p w14:paraId="35EA7FA4" w14:textId="77777777" w:rsidR="00A52A42" w:rsidRDefault="00A52A42" w:rsidP="00A52A42">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002F864E" w14:textId="77777777" w:rsidR="00A52A42" w:rsidRPr="00B05847" w:rsidRDefault="00A52A42" w:rsidP="00A52A42">
      <w:pPr>
        <w:rPr>
          <w:rtl/>
        </w:rPr>
      </w:pPr>
    </w:p>
    <w:p w14:paraId="3A401C01" w14:textId="77777777" w:rsidR="00A52A42" w:rsidRPr="00B05847" w:rsidRDefault="00A52A42" w:rsidP="00A52A42">
      <w:pPr>
        <w:rPr>
          <w:rtl/>
        </w:rPr>
      </w:pPr>
    </w:p>
    <w:p w14:paraId="487F18A6" w14:textId="77777777" w:rsidR="00A52A42" w:rsidRPr="000711C7" w:rsidRDefault="000711C7" w:rsidP="00A52A42">
      <w:pPr>
        <w:rPr>
          <w:color w:val="FFFFFF"/>
          <w:sz w:val="2"/>
          <w:szCs w:val="2"/>
          <w:rtl/>
        </w:rPr>
      </w:pPr>
      <w:r w:rsidRPr="000711C7">
        <w:rPr>
          <w:color w:val="FFFFFF"/>
          <w:sz w:val="2"/>
          <w:szCs w:val="2"/>
          <w:rtl/>
        </w:rPr>
        <w:t>5129371</w:t>
      </w:r>
    </w:p>
    <w:p w14:paraId="4EE168B4" w14:textId="77777777" w:rsidR="00A52A42" w:rsidRDefault="000711C7" w:rsidP="00A52A42">
      <w:pPr>
        <w:rPr>
          <w:rFonts w:cs="FrankRuehl"/>
          <w:sz w:val="28"/>
          <w:szCs w:val="28"/>
          <w:rtl/>
        </w:rPr>
      </w:pPr>
      <w:bookmarkStart w:id="7" w:name="Nitan"/>
      <w:r w:rsidRPr="000711C7">
        <w:rPr>
          <w:rFonts w:ascii="Arial" w:hAnsi="Arial"/>
          <w:color w:val="FFFFFF"/>
          <w:sz w:val="2"/>
          <w:szCs w:val="2"/>
          <w:rtl/>
        </w:rPr>
        <w:t>54678313</w:t>
      </w:r>
      <w:r>
        <w:rPr>
          <w:rFonts w:ascii="Arial" w:hAnsi="Arial"/>
          <w:rtl/>
        </w:rPr>
        <w:t xml:space="preserve">ניתן היום,  כ' אלול תש"פ, 09 ספטמבר 2020, במעמד הצדדים. </w:t>
      </w:r>
      <w:bookmarkEnd w:id="7"/>
    </w:p>
    <w:p w14:paraId="387A9769" w14:textId="77777777" w:rsidR="00A52A42" w:rsidRDefault="00A52A42" w:rsidP="000711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0F5EB3" w14:textId="77777777" w:rsidR="000711C7" w:rsidRDefault="000711C7" w:rsidP="000711C7">
      <w:pPr>
        <w:rPr>
          <w:rtl/>
        </w:rPr>
      </w:pPr>
    </w:p>
    <w:p w14:paraId="32B0E4C6" w14:textId="77777777" w:rsidR="000711C7" w:rsidRDefault="000711C7" w:rsidP="000711C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7456169" w14:textId="77777777" w:rsidR="00CD5415" w:rsidRPr="00CD5415" w:rsidRDefault="00CD5415" w:rsidP="00CD5415">
      <w:pPr>
        <w:keepNext/>
        <w:rPr>
          <w:rFonts w:ascii="David" w:hAnsi="David"/>
          <w:color w:val="000000"/>
          <w:sz w:val="22"/>
          <w:szCs w:val="22"/>
          <w:rtl/>
        </w:rPr>
      </w:pPr>
    </w:p>
    <w:p w14:paraId="4BB6DF0C" w14:textId="77777777" w:rsidR="00CD5415" w:rsidRPr="00CD5415" w:rsidRDefault="00CD5415" w:rsidP="00CD5415">
      <w:pPr>
        <w:keepNext/>
        <w:rPr>
          <w:rFonts w:ascii="David" w:hAnsi="David"/>
          <w:color w:val="000000"/>
          <w:sz w:val="22"/>
          <w:szCs w:val="22"/>
          <w:rtl/>
        </w:rPr>
      </w:pPr>
      <w:r w:rsidRPr="00CD5415">
        <w:rPr>
          <w:rFonts w:ascii="David" w:hAnsi="David"/>
          <w:color w:val="000000"/>
          <w:sz w:val="22"/>
          <w:szCs w:val="22"/>
          <w:rtl/>
        </w:rPr>
        <w:t>דוד שאול גבאי ריכטר 54678313-/</w:t>
      </w:r>
    </w:p>
    <w:p w14:paraId="4197AA66" w14:textId="77777777" w:rsidR="000711C7" w:rsidRPr="000711C7" w:rsidRDefault="00CD5415" w:rsidP="00CD5415">
      <w:pPr>
        <w:rPr>
          <w:color w:val="0000FF"/>
          <w:u w:val="single"/>
        </w:rPr>
      </w:pPr>
      <w:r w:rsidRPr="00CD5415">
        <w:rPr>
          <w:color w:val="000000"/>
          <w:u w:val="single"/>
          <w:rtl/>
        </w:rPr>
        <w:t>נוסח מסמך זה כפוף לשינויי ניסוח ועריכה</w:t>
      </w:r>
    </w:p>
    <w:sectPr w:rsidR="000711C7" w:rsidRPr="000711C7" w:rsidSect="00CD5415">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9BACA" w14:textId="77777777" w:rsidR="003A4C98" w:rsidRDefault="003A4C98" w:rsidP="00BF2A0C">
      <w:r>
        <w:separator/>
      </w:r>
    </w:p>
  </w:endnote>
  <w:endnote w:type="continuationSeparator" w:id="0">
    <w:p w14:paraId="79BFACB0" w14:textId="77777777" w:rsidR="003A4C98" w:rsidRDefault="003A4C98" w:rsidP="00BF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FFEEE" w14:textId="77777777" w:rsidR="00CD5415" w:rsidRDefault="00CD5415" w:rsidP="00CD54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53A79D" w14:textId="77777777" w:rsidR="00966102" w:rsidRPr="00CD5415" w:rsidRDefault="00CD5415" w:rsidP="00CD5415">
    <w:pPr>
      <w:pStyle w:val="a5"/>
      <w:pBdr>
        <w:top w:val="single" w:sz="4" w:space="1" w:color="auto"/>
        <w:between w:val="single" w:sz="4" w:space="0" w:color="auto"/>
      </w:pBdr>
      <w:spacing w:after="60"/>
      <w:jc w:val="center"/>
      <w:rPr>
        <w:rFonts w:ascii="FrankRuehl" w:hAnsi="FrankRuehl" w:cs="FrankRuehl"/>
        <w:color w:val="000000"/>
      </w:rPr>
    </w:pPr>
    <w:r w:rsidRPr="00CD54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BF51A" w14:textId="77777777" w:rsidR="00CD5415" w:rsidRDefault="00CD5415" w:rsidP="00CD54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D87">
      <w:rPr>
        <w:rFonts w:ascii="FrankRuehl" w:hAnsi="FrankRuehl" w:cs="FrankRuehl"/>
        <w:noProof/>
        <w:rtl/>
      </w:rPr>
      <w:t>1</w:t>
    </w:r>
    <w:r>
      <w:rPr>
        <w:rFonts w:ascii="FrankRuehl" w:hAnsi="FrankRuehl" w:cs="FrankRuehl"/>
        <w:rtl/>
      </w:rPr>
      <w:fldChar w:fldCharType="end"/>
    </w:r>
  </w:p>
  <w:p w14:paraId="6886C77A" w14:textId="77777777" w:rsidR="00966102" w:rsidRPr="00CD5415" w:rsidRDefault="00CD5415" w:rsidP="00CD5415">
    <w:pPr>
      <w:pStyle w:val="a5"/>
      <w:pBdr>
        <w:top w:val="single" w:sz="4" w:space="1" w:color="auto"/>
        <w:between w:val="single" w:sz="4" w:space="0" w:color="auto"/>
      </w:pBdr>
      <w:spacing w:after="60"/>
      <w:jc w:val="center"/>
      <w:rPr>
        <w:rFonts w:ascii="FrankRuehl" w:hAnsi="FrankRuehl" w:cs="FrankRuehl"/>
        <w:color w:val="000000"/>
      </w:rPr>
    </w:pPr>
    <w:r w:rsidRPr="00CD5415">
      <w:rPr>
        <w:rFonts w:ascii="FrankRuehl" w:hAnsi="FrankRuehl" w:cs="FrankRuehl"/>
        <w:color w:val="000000"/>
      </w:rPr>
      <w:pict w14:anchorId="4BD11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6AB2A" w14:textId="77777777" w:rsidR="003A4C98" w:rsidRDefault="003A4C98" w:rsidP="00BF2A0C">
      <w:r>
        <w:separator/>
      </w:r>
    </w:p>
  </w:footnote>
  <w:footnote w:type="continuationSeparator" w:id="0">
    <w:p w14:paraId="24294C30" w14:textId="77777777" w:rsidR="003A4C98" w:rsidRDefault="003A4C98" w:rsidP="00BF2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1EADD" w14:textId="77777777" w:rsidR="000711C7" w:rsidRPr="00CD5415" w:rsidRDefault="00CD5415" w:rsidP="00CD54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40238-09-19</w:t>
    </w:r>
    <w:r>
      <w:rPr>
        <w:rFonts w:ascii="David" w:hAnsi="David"/>
        <w:color w:val="000000"/>
        <w:sz w:val="22"/>
        <w:szCs w:val="22"/>
        <w:rtl/>
      </w:rPr>
      <w:tab/>
      <w:t xml:space="preserve"> מדינת ישראל נ' יונתן פרין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9AD6D" w14:textId="77777777" w:rsidR="000711C7" w:rsidRPr="00CD5415" w:rsidRDefault="00CD5415" w:rsidP="00CD54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40238-09-19</w:t>
    </w:r>
    <w:r>
      <w:rPr>
        <w:rFonts w:ascii="David" w:hAnsi="David"/>
        <w:color w:val="000000"/>
        <w:sz w:val="22"/>
        <w:szCs w:val="22"/>
        <w:rtl/>
      </w:rPr>
      <w:tab/>
      <w:t xml:space="preserve"> מדינת ישראל נ' יונתן פרין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74360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2A42"/>
    <w:rsid w:val="000711C7"/>
    <w:rsid w:val="00124144"/>
    <w:rsid w:val="0035104B"/>
    <w:rsid w:val="003A4C98"/>
    <w:rsid w:val="00485C98"/>
    <w:rsid w:val="004D3807"/>
    <w:rsid w:val="00511E89"/>
    <w:rsid w:val="007F47B1"/>
    <w:rsid w:val="00966102"/>
    <w:rsid w:val="00A52A42"/>
    <w:rsid w:val="00BF2A0C"/>
    <w:rsid w:val="00C501AB"/>
    <w:rsid w:val="00CD5415"/>
    <w:rsid w:val="00DC0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48AB9A"/>
  <w15:chartTrackingRefBased/>
  <w15:docId w15:val="{9DD1DAA7-4E03-4C2C-9976-19818730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2A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2A42"/>
    <w:pPr>
      <w:tabs>
        <w:tab w:val="center" w:pos="4153"/>
        <w:tab w:val="right" w:pos="8306"/>
      </w:tabs>
    </w:pPr>
  </w:style>
  <w:style w:type="character" w:customStyle="1" w:styleId="a4">
    <w:name w:val="כותרת עליונה תו"/>
    <w:link w:val="a3"/>
    <w:rsid w:val="00A52A42"/>
    <w:rPr>
      <w:rFonts w:ascii="Times New Roman" w:eastAsia="Times New Roman" w:hAnsi="Times New Roman" w:cs="David"/>
      <w:sz w:val="24"/>
      <w:szCs w:val="24"/>
    </w:rPr>
  </w:style>
  <w:style w:type="paragraph" w:styleId="a5">
    <w:name w:val="footer"/>
    <w:basedOn w:val="a"/>
    <w:link w:val="a6"/>
    <w:rsid w:val="00A52A42"/>
    <w:pPr>
      <w:tabs>
        <w:tab w:val="center" w:pos="4153"/>
        <w:tab w:val="right" w:pos="8306"/>
      </w:tabs>
    </w:pPr>
  </w:style>
  <w:style w:type="character" w:customStyle="1" w:styleId="a6">
    <w:name w:val="כותרת תחתונה תו"/>
    <w:link w:val="a5"/>
    <w:rsid w:val="00A52A42"/>
    <w:rPr>
      <w:rFonts w:ascii="Times New Roman" w:eastAsia="Times New Roman" w:hAnsi="Times New Roman" w:cs="David"/>
      <w:sz w:val="24"/>
      <w:szCs w:val="24"/>
    </w:rPr>
  </w:style>
  <w:style w:type="table" w:styleId="a7">
    <w:name w:val="Table Grid"/>
    <w:basedOn w:val="a1"/>
    <w:rsid w:val="00A52A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2A42"/>
  </w:style>
  <w:style w:type="character" w:styleId="Hyperlink">
    <w:name w:val="Hyperlink"/>
    <w:rsid w:val="000711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1078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158178" TargetMode="External"/><Relationship Id="rId3" Type="http://schemas.openxmlformats.org/officeDocument/2006/relationships/settings" Target="settings.xml"/><Relationship Id="rId21"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497123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case/2077050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798017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810781"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769122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1641</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9831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3932275</vt:i4>
      </vt:variant>
      <vt:variant>
        <vt:i4>57</vt:i4>
      </vt:variant>
      <vt:variant>
        <vt:i4>0</vt:i4>
      </vt:variant>
      <vt:variant>
        <vt:i4>5</vt:i4>
      </vt:variant>
      <vt:variant>
        <vt:lpwstr>http://www.nevo.co.il/case/23158178</vt:lpwstr>
      </vt:variant>
      <vt:variant>
        <vt:lpwstr/>
      </vt:variant>
      <vt:variant>
        <vt:i4>3735669</vt:i4>
      </vt:variant>
      <vt:variant>
        <vt:i4>54</vt:i4>
      </vt:variant>
      <vt:variant>
        <vt:i4>0</vt:i4>
      </vt:variant>
      <vt:variant>
        <vt:i4>5</vt:i4>
      </vt:variant>
      <vt:variant>
        <vt:lpwstr>http://www.nevo.co.il/case/24971234</vt:lpwstr>
      </vt:variant>
      <vt:variant>
        <vt:lpwstr/>
      </vt:variant>
      <vt:variant>
        <vt:i4>3604602</vt:i4>
      </vt:variant>
      <vt:variant>
        <vt:i4>51</vt:i4>
      </vt:variant>
      <vt:variant>
        <vt:i4>0</vt:i4>
      </vt:variant>
      <vt:variant>
        <vt:i4>5</vt:i4>
      </vt:variant>
      <vt:variant>
        <vt:lpwstr>http://www.nevo.co.il/case/7980179</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3473526</vt:i4>
      </vt:variant>
      <vt:variant>
        <vt:i4>39</vt:i4>
      </vt:variant>
      <vt:variant>
        <vt:i4>0</vt:i4>
      </vt:variant>
      <vt:variant>
        <vt:i4>5</vt:i4>
      </vt:variant>
      <vt:variant>
        <vt:lpwstr>http://www.nevo.co.il/case/20770504</vt:lpwstr>
      </vt:variant>
      <vt:variant>
        <vt:lpwstr/>
      </vt:variant>
      <vt:variant>
        <vt:i4>4128881</vt:i4>
      </vt:variant>
      <vt:variant>
        <vt:i4>36</vt:i4>
      </vt:variant>
      <vt:variant>
        <vt:i4>0</vt:i4>
      </vt:variant>
      <vt:variant>
        <vt:i4>5</vt:i4>
      </vt:variant>
      <vt:variant>
        <vt:lpwstr>http://www.nevo.co.il/case/7691223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4718666</vt:i4>
      </vt:variant>
      <vt:variant>
        <vt:i4>27</vt:i4>
      </vt:variant>
      <vt:variant>
        <vt:i4>0</vt:i4>
      </vt:variant>
      <vt:variant>
        <vt:i4>5</vt:i4>
      </vt:variant>
      <vt:variant>
        <vt:lpwstr>http://www.nevo.co.il/law/4216/6</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3276916</vt:i4>
      </vt:variant>
      <vt:variant>
        <vt:i4>18</vt:i4>
      </vt:variant>
      <vt:variant>
        <vt:i4>0</vt:i4>
      </vt:variant>
      <vt:variant>
        <vt:i4>5</vt:i4>
      </vt:variant>
      <vt:variant>
        <vt:lpwstr>http://www.nevo.co.il/case/5810781</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40238</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יונתן פרין</vt:lpwstr>
  </property>
  <property fmtid="{D5CDD505-2E9C-101B-9397-08002B2CF9AE}" pid="10" name="LAWYER">
    <vt:lpwstr>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20200909</vt:lpwstr>
  </property>
  <property fmtid="{D5CDD505-2E9C-101B-9397-08002B2CF9AE}" pid="14" name="TYPE_N_DATE">
    <vt:lpwstr>38020200909</vt:lpwstr>
  </property>
  <property fmtid="{D5CDD505-2E9C-101B-9397-08002B2CF9AE}" pid="15" name="WORDNUMPAGES">
    <vt:lpwstr>6</vt:lpwstr>
  </property>
  <property fmtid="{D5CDD505-2E9C-101B-9397-08002B2CF9AE}" pid="16" name="TYPE_ABS_DATE">
    <vt:lpwstr>380120200909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7691223;20770504;5810781;7980179;24971234;23158178</vt:lpwstr>
  </property>
  <property fmtid="{D5CDD505-2E9C-101B-9397-08002B2CF9AE}" pid="36" name="LAWLISTTMP1">
    <vt:lpwstr>4216/010;006</vt:lpwstr>
  </property>
  <property fmtid="{D5CDD505-2E9C-101B-9397-08002B2CF9AE}" pid="37" name="LAWLISTTMP2">
    <vt:lpwstr>70301/040i;40ja</vt:lpwstr>
  </property>
  <property fmtid="{D5CDD505-2E9C-101B-9397-08002B2CF9AE}" pid="38" name="METAKZER">
    <vt:lpwstr>שירי</vt:lpwstr>
  </property>
  <property fmtid="{D5CDD505-2E9C-101B-9397-08002B2CF9AE}" pid="39" name="NOSE1ID">
    <vt:lpwstr>18;77</vt:lpwstr>
  </property>
  <property fmtid="{D5CDD505-2E9C-101B-9397-08002B2CF9AE}" pid="40" name="NOSE2ID">
    <vt:lpwstr>465;1446</vt:lpwstr>
  </property>
  <property fmtid="{D5CDD505-2E9C-101B-9397-08002B2CF9AE}" pid="41" name="NOSE3ID">
    <vt:lpwstr>3634;11695</vt:lpwstr>
  </property>
  <property fmtid="{D5CDD505-2E9C-101B-9397-08002B2CF9AE}" pid="42" name="NOSE11">
    <vt:lpwstr>דיון פלילי</vt:lpwstr>
  </property>
  <property fmtid="{D5CDD505-2E9C-101B-9397-08002B2CF9AE}" pid="43" name="NOSE21">
    <vt:lpwstr>הרשעה</vt:lpwstr>
  </property>
  <property fmtid="{D5CDD505-2E9C-101B-9397-08002B2CF9AE}" pid="44" name="NOSE31">
    <vt:lpwstr>הימנעות מהרשעה</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הימנעות מהרשעה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20201007</vt:lpwstr>
  </property>
</Properties>
</file>