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1A7439" w:rsidRPr="0079399C" w14:paraId="466093D0" w14:textId="77777777" w:rsidTr="00416C93">
        <w:trPr>
          <w:trHeight w:hRule="exact" w:val="418"/>
          <w:jc w:val="center"/>
        </w:trPr>
        <w:tc>
          <w:tcPr>
            <w:tcW w:w="8721" w:type="dxa"/>
            <w:gridSpan w:val="2"/>
          </w:tcPr>
          <w:p w14:paraId="651DE17E" w14:textId="77777777" w:rsidR="001A7439" w:rsidRPr="0079399C" w:rsidRDefault="001A7439" w:rsidP="000C697E">
            <w:pPr>
              <w:pStyle w:val="a3"/>
              <w:jc w:val="center"/>
              <w:rPr>
                <w:rFonts w:ascii="Tahoma" w:hAnsi="Tahoma" w:cs="Tahoma"/>
                <w:color w:val="000080"/>
                <w:rtl/>
              </w:rPr>
            </w:pPr>
            <w:bookmarkStart w:id="0" w:name="LastJudge"/>
            <w:r w:rsidRPr="0079399C">
              <w:rPr>
                <w:rFonts w:ascii="Tahoma" w:hAnsi="Tahoma" w:cs="Tahoma"/>
                <w:b/>
                <w:bCs/>
                <w:color w:val="000080"/>
                <w:rtl/>
              </w:rPr>
              <w:t>בית משפט השלום בחדרה</w:t>
            </w:r>
          </w:p>
        </w:tc>
      </w:tr>
      <w:tr w:rsidR="001A7439" w:rsidRPr="0079399C" w14:paraId="65CF6BD2" w14:textId="77777777" w:rsidTr="00416C93">
        <w:trPr>
          <w:trHeight w:val="337"/>
          <w:jc w:val="center"/>
        </w:trPr>
        <w:tc>
          <w:tcPr>
            <w:tcW w:w="5054" w:type="dxa"/>
          </w:tcPr>
          <w:p w14:paraId="021361C4" w14:textId="77777777" w:rsidR="001A7439" w:rsidRPr="0079399C" w:rsidRDefault="001A7439" w:rsidP="000C697E">
            <w:pPr>
              <w:rPr>
                <w:rFonts w:cs="FrankRuehl"/>
                <w:sz w:val="28"/>
                <w:szCs w:val="28"/>
                <w:rtl/>
              </w:rPr>
            </w:pPr>
            <w:r w:rsidRPr="0079399C">
              <w:rPr>
                <w:rFonts w:cs="FrankRuehl"/>
                <w:sz w:val="28"/>
                <w:szCs w:val="28"/>
                <w:rtl/>
              </w:rPr>
              <w:t>ת"פ</w:t>
            </w:r>
            <w:r w:rsidRPr="0079399C">
              <w:rPr>
                <w:rFonts w:cs="FrankRuehl" w:hint="cs"/>
                <w:sz w:val="28"/>
                <w:szCs w:val="28"/>
                <w:rtl/>
              </w:rPr>
              <w:t xml:space="preserve"> </w:t>
            </w:r>
            <w:r w:rsidRPr="0079399C">
              <w:rPr>
                <w:rFonts w:cs="FrankRuehl"/>
                <w:sz w:val="28"/>
                <w:szCs w:val="28"/>
                <w:rtl/>
              </w:rPr>
              <w:t>10140-10-19</w:t>
            </w:r>
            <w:r w:rsidRPr="0079399C">
              <w:rPr>
                <w:rFonts w:cs="FrankRuehl" w:hint="cs"/>
                <w:sz w:val="28"/>
                <w:szCs w:val="28"/>
                <w:rtl/>
              </w:rPr>
              <w:t xml:space="preserve"> </w:t>
            </w:r>
            <w:r w:rsidRPr="0079399C">
              <w:rPr>
                <w:rFonts w:cs="FrankRuehl"/>
                <w:sz w:val="28"/>
                <w:szCs w:val="28"/>
                <w:rtl/>
              </w:rPr>
              <w:t>מדינת ישראל נ' ותד</w:t>
            </w:r>
          </w:p>
          <w:p w14:paraId="3C9A4F74" w14:textId="77777777" w:rsidR="001A7439" w:rsidRPr="0079399C" w:rsidRDefault="001A7439" w:rsidP="000C697E">
            <w:pPr>
              <w:pStyle w:val="a3"/>
              <w:rPr>
                <w:rFonts w:cs="FrankRuehl"/>
                <w:sz w:val="28"/>
                <w:szCs w:val="28"/>
                <w:rtl/>
              </w:rPr>
            </w:pPr>
          </w:p>
        </w:tc>
        <w:tc>
          <w:tcPr>
            <w:tcW w:w="3667" w:type="dxa"/>
          </w:tcPr>
          <w:p w14:paraId="06E6F847" w14:textId="77777777" w:rsidR="001A7439" w:rsidRPr="0079399C" w:rsidRDefault="001A7439" w:rsidP="000C697E">
            <w:pPr>
              <w:pStyle w:val="a3"/>
              <w:jc w:val="right"/>
              <w:rPr>
                <w:rFonts w:cs="FrankRuehl"/>
                <w:sz w:val="28"/>
                <w:szCs w:val="28"/>
                <w:rtl/>
              </w:rPr>
            </w:pPr>
          </w:p>
        </w:tc>
      </w:tr>
    </w:tbl>
    <w:p w14:paraId="616841AF" w14:textId="77777777" w:rsidR="001A7439" w:rsidRPr="0079399C" w:rsidRDefault="001A7439" w:rsidP="001A7439">
      <w:pPr>
        <w:pStyle w:val="a3"/>
        <w:rPr>
          <w:rtl/>
        </w:rPr>
      </w:pPr>
      <w:r w:rsidRPr="0079399C">
        <w:rPr>
          <w:rFonts w:hint="cs"/>
          <w:rtl/>
        </w:rPr>
        <w:t xml:space="preserve"> </w:t>
      </w:r>
    </w:p>
    <w:p w14:paraId="77ACD413" w14:textId="77777777" w:rsidR="001A7439" w:rsidRPr="0079399C" w:rsidRDefault="001A7439" w:rsidP="001A7439">
      <w:pPr>
        <w:rPr>
          <w:rtl/>
        </w:rPr>
      </w:pPr>
    </w:p>
    <w:p w14:paraId="3C50E69F" w14:textId="77777777" w:rsidR="001A7439" w:rsidRPr="0079399C" w:rsidRDefault="001A7439" w:rsidP="001A7439">
      <w:pPr>
        <w:rPr>
          <w:rtl/>
        </w:rPr>
      </w:pPr>
    </w:p>
    <w:tbl>
      <w:tblPr>
        <w:bidiVisual/>
        <w:tblW w:w="8820" w:type="dxa"/>
        <w:jc w:val="center"/>
        <w:tblLook w:val="01E0" w:firstRow="1" w:lastRow="1" w:firstColumn="1" w:lastColumn="1" w:noHBand="0" w:noVBand="0"/>
      </w:tblPr>
      <w:tblGrid>
        <w:gridCol w:w="923"/>
        <w:gridCol w:w="2296"/>
        <w:gridCol w:w="923"/>
        <w:gridCol w:w="3755"/>
        <w:gridCol w:w="923"/>
      </w:tblGrid>
      <w:tr w:rsidR="001A7439" w:rsidRPr="0079399C" w14:paraId="31EF5ADC" w14:textId="77777777" w:rsidTr="001A7439">
        <w:trPr>
          <w:trHeight w:val="295"/>
          <w:jc w:val="center"/>
        </w:trPr>
        <w:tc>
          <w:tcPr>
            <w:tcW w:w="923" w:type="dxa"/>
            <w:shd w:val="clear" w:color="auto" w:fill="auto"/>
          </w:tcPr>
          <w:p w14:paraId="06AC3636" w14:textId="77777777" w:rsidR="001A7439" w:rsidRPr="0079399C" w:rsidRDefault="001A7439" w:rsidP="001A7439">
            <w:pPr>
              <w:jc w:val="both"/>
              <w:rPr>
                <w:rFonts w:ascii="David" w:hAnsi="David"/>
                <w:sz w:val="26"/>
                <w:szCs w:val="26"/>
              </w:rPr>
            </w:pPr>
            <w:r w:rsidRPr="0079399C">
              <w:rPr>
                <w:rFonts w:ascii="David" w:hAnsi="David"/>
                <w:sz w:val="26"/>
                <w:szCs w:val="26"/>
                <w:rtl/>
              </w:rPr>
              <w:t xml:space="preserve">בפני </w:t>
            </w:r>
          </w:p>
        </w:tc>
        <w:tc>
          <w:tcPr>
            <w:tcW w:w="7897" w:type="dxa"/>
            <w:gridSpan w:val="4"/>
            <w:shd w:val="clear" w:color="auto" w:fill="auto"/>
          </w:tcPr>
          <w:p w14:paraId="17A85DEE" w14:textId="77777777" w:rsidR="001A7439" w:rsidRPr="0079399C" w:rsidRDefault="001A7439" w:rsidP="000C697E">
            <w:pPr>
              <w:rPr>
                <w:rFonts w:ascii="David" w:hAnsi="David"/>
                <w:b/>
                <w:bCs/>
                <w:sz w:val="26"/>
                <w:szCs w:val="26"/>
                <w:rtl/>
              </w:rPr>
            </w:pPr>
            <w:r w:rsidRPr="0079399C">
              <w:rPr>
                <w:rFonts w:ascii="David" w:hAnsi="David"/>
                <w:b/>
                <w:bCs/>
                <w:sz w:val="26"/>
                <w:szCs w:val="26"/>
                <w:rtl/>
              </w:rPr>
              <w:t>כבוד השופט  אלכס אחטר</w:t>
            </w:r>
          </w:p>
          <w:p w14:paraId="312842A9" w14:textId="77777777" w:rsidR="001A7439" w:rsidRPr="0079399C" w:rsidRDefault="001A7439" w:rsidP="000C697E">
            <w:pPr>
              <w:rPr>
                <w:rFonts w:ascii="David" w:hAnsi="David"/>
                <w:sz w:val="26"/>
                <w:szCs w:val="26"/>
                <w:rtl/>
              </w:rPr>
            </w:pPr>
          </w:p>
          <w:p w14:paraId="70922702" w14:textId="77777777" w:rsidR="001A7439" w:rsidRPr="0079399C" w:rsidRDefault="001A7439" w:rsidP="001A7439">
            <w:pPr>
              <w:jc w:val="both"/>
              <w:rPr>
                <w:rFonts w:ascii="David" w:hAnsi="David"/>
                <w:sz w:val="26"/>
                <w:szCs w:val="26"/>
              </w:rPr>
            </w:pPr>
          </w:p>
        </w:tc>
      </w:tr>
      <w:tr w:rsidR="001A7439" w:rsidRPr="0079399C" w14:paraId="31883403" w14:textId="77777777" w:rsidTr="001A7439">
        <w:trPr>
          <w:gridAfter w:val="1"/>
          <w:wAfter w:w="923" w:type="dxa"/>
          <w:trHeight w:val="355"/>
          <w:jc w:val="center"/>
        </w:trPr>
        <w:tc>
          <w:tcPr>
            <w:tcW w:w="3219" w:type="dxa"/>
            <w:gridSpan w:val="2"/>
            <w:shd w:val="clear" w:color="auto" w:fill="auto"/>
          </w:tcPr>
          <w:p w14:paraId="467D6963" w14:textId="77777777" w:rsidR="001A7439" w:rsidRPr="0079399C" w:rsidRDefault="001A7439" w:rsidP="001A7439">
            <w:pPr>
              <w:suppressLineNumbers/>
            </w:pPr>
            <w:bookmarkStart w:id="1" w:name="FirstAppellant"/>
            <w:bookmarkStart w:id="2" w:name="FirstLawyer"/>
            <w:r w:rsidRPr="0079399C">
              <w:rPr>
                <w:rFonts w:ascii="Arial" w:hAnsi="Arial" w:hint="cs"/>
                <w:b/>
                <w:bCs/>
                <w:sz w:val="26"/>
                <w:szCs w:val="26"/>
                <w:rtl/>
              </w:rPr>
              <w:t>ה</w:t>
            </w:r>
            <w:r w:rsidRPr="0079399C">
              <w:rPr>
                <w:rFonts w:ascii="Arial" w:hAnsi="Arial"/>
                <w:b/>
                <w:bCs/>
                <w:sz w:val="26"/>
                <w:szCs w:val="26"/>
                <w:rtl/>
              </w:rPr>
              <w:t>מאשימה</w:t>
            </w:r>
          </w:p>
          <w:p w14:paraId="5440CF09" w14:textId="77777777" w:rsidR="001A7439" w:rsidRPr="0079399C" w:rsidRDefault="001A7439" w:rsidP="000C697E">
            <w:pPr>
              <w:rPr>
                <w:rFonts w:ascii="David" w:hAnsi="David"/>
                <w:sz w:val="26"/>
                <w:szCs w:val="26"/>
              </w:rPr>
            </w:pPr>
          </w:p>
        </w:tc>
        <w:tc>
          <w:tcPr>
            <w:tcW w:w="4678" w:type="dxa"/>
            <w:gridSpan w:val="2"/>
            <w:shd w:val="clear" w:color="auto" w:fill="auto"/>
            <w:vAlign w:val="center"/>
          </w:tcPr>
          <w:p w14:paraId="55535E77" w14:textId="77777777" w:rsidR="001A7439" w:rsidRPr="0079399C" w:rsidRDefault="001A7439" w:rsidP="001A7439">
            <w:pPr>
              <w:suppressLineNumbers/>
              <w:rPr>
                <w:rFonts w:ascii="Arial" w:hAnsi="Arial"/>
                <w:b/>
                <w:bCs/>
                <w:sz w:val="26"/>
                <w:szCs w:val="26"/>
                <w:rtl/>
              </w:rPr>
            </w:pPr>
            <w:r w:rsidRPr="0079399C">
              <w:rPr>
                <w:rFonts w:ascii="Arial" w:hAnsi="Arial"/>
                <w:b/>
                <w:bCs/>
                <w:sz w:val="26"/>
                <w:szCs w:val="26"/>
                <w:rtl/>
              </w:rPr>
              <w:t>מדינת ישראל</w:t>
            </w:r>
            <w:r w:rsidRPr="0079399C">
              <w:rPr>
                <w:rFonts w:ascii="Arial" w:hAnsi="Arial" w:hint="cs"/>
                <w:b/>
                <w:bCs/>
                <w:sz w:val="26"/>
                <w:szCs w:val="26"/>
                <w:rtl/>
              </w:rPr>
              <w:t xml:space="preserve"> </w:t>
            </w:r>
          </w:p>
          <w:p w14:paraId="7A5BDF08" w14:textId="77777777" w:rsidR="001A7439" w:rsidRPr="0079399C" w:rsidRDefault="001A7439" w:rsidP="001A7439">
            <w:pPr>
              <w:suppressLineNumbers/>
            </w:pPr>
            <w:r w:rsidRPr="0079399C">
              <w:rPr>
                <w:rFonts w:ascii="Arial" w:hAnsi="Arial"/>
                <w:b/>
                <w:bCs/>
                <w:rtl/>
              </w:rPr>
              <w:t>ע"י ב"כ עוה"ד</w:t>
            </w:r>
            <w:r w:rsidRPr="0079399C">
              <w:rPr>
                <w:rFonts w:hint="cs"/>
                <w:rtl/>
              </w:rPr>
              <w:t xml:space="preserve"> </w:t>
            </w:r>
            <w:r w:rsidRPr="0079399C">
              <w:rPr>
                <w:rFonts w:hint="cs"/>
                <w:b/>
                <w:bCs/>
                <w:rtl/>
              </w:rPr>
              <w:t>שגיב אמיר</w:t>
            </w:r>
          </w:p>
        </w:tc>
      </w:tr>
      <w:bookmarkEnd w:id="1"/>
      <w:bookmarkEnd w:id="2"/>
      <w:tr w:rsidR="001A7439" w:rsidRPr="0079399C" w14:paraId="1982816E" w14:textId="77777777" w:rsidTr="001A7439">
        <w:trPr>
          <w:gridAfter w:val="1"/>
          <w:wAfter w:w="923" w:type="dxa"/>
          <w:trHeight w:val="355"/>
          <w:jc w:val="center"/>
        </w:trPr>
        <w:tc>
          <w:tcPr>
            <w:tcW w:w="7897" w:type="dxa"/>
            <w:gridSpan w:val="4"/>
            <w:shd w:val="clear" w:color="auto" w:fill="auto"/>
          </w:tcPr>
          <w:p w14:paraId="5140258A" w14:textId="77777777" w:rsidR="001A7439" w:rsidRPr="0079399C" w:rsidRDefault="001A7439" w:rsidP="001A7439">
            <w:pPr>
              <w:jc w:val="center"/>
              <w:rPr>
                <w:rFonts w:ascii="David" w:hAnsi="David"/>
                <w:b/>
                <w:bCs/>
                <w:sz w:val="26"/>
                <w:szCs w:val="26"/>
                <w:rtl/>
              </w:rPr>
            </w:pPr>
          </w:p>
          <w:p w14:paraId="24ECFFCB" w14:textId="77777777" w:rsidR="001A7439" w:rsidRPr="0079399C" w:rsidRDefault="001A7439" w:rsidP="001A7439">
            <w:pPr>
              <w:jc w:val="center"/>
              <w:rPr>
                <w:rFonts w:ascii="David" w:hAnsi="David"/>
                <w:b/>
                <w:bCs/>
                <w:sz w:val="26"/>
                <w:szCs w:val="26"/>
                <w:rtl/>
              </w:rPr>
            </w:pPr>
            <w:r w:rsidRPr="0079399C">
              <w:rPr>
                <w:rFonts w:ascii="David" w:hAnsi="David"/>
                <w:b/>
                <w:bCs/>
                <w:sz w:val="26"/>
                <w:szCs w:val="26"/>
                <w:rtl/>
              </w:rPr>
              <w:t>נגד</w:t>
            </w:r>
          </w:p>
          <w:p w14:paraId="331DCE5D" w14:textId="77777777" w:rsidR="001A7439" w:rsidRPr="0079399C" w:rsidRDefault="001A7439" w:rsidP="001A7439">
            <w:pPr>
              <w:jc w:val="both"/>
              <w:rPr>
                <w:rFonts w:ascii="David" w:hAnsi="David"/>
                <w:sz w:val="26"/>
                <w:szCs w:val="26"/>
              </w:rPr>
            </w:pPr>
          </w:p>
        </w:tc>
      </w:tr>
      <w:tr w:rsidR="001A7439" w:rsidRPr="0079399C" w14:paraId="56FEF6B1" w14:textId="77777777" w:rsidTr="001A7439">
        <w:trPr>
          <w:gridAfter w:val="1"/>
          <w:wAfter w:w="923" w:type="dxa"/>
          <w:trHeight w:val="355"/>
          <w:jc w:val="center"/>
        </w:trPr>
        <w:tc>
          <w:tcPr>
            <w:tcW w:w="3219" w:type="dxa"/>
            <w:gridSpan w:val="2"/>
            <w:shd w:val="clear" w:color="auto" w:fill="auto"/>
          </w:tcPr>
          <w:p w14:paraId="3EAC22EA" w14:textId="77777777" w:rsidR="001A7439" w:rsidRPr="0079399C" w:rsidRDefault="001A7439" w:rsidP="000C697E">
            <w:pPr>
              <w:rPr>
                <w:rFonts w:ascii="Arial" w:hAnsi="Arial"/>
                <w:b/>
                <w:bCs/>
                <w:sz w:val="26"/>
                <w:szCs w:val="26"/>
                <w:rtl/>
              </w:rPr>
            </w:pPr>
            <w:r w:rsidRPr="0079399C">
              <w:rPr>
                <w:rFonts w:ascii="Arial" w:hAnsi="Arial"/>
                <w:b/>
                <w:bCs/>
                <w:sz w:val="26"/>
                <w:szCs w:val="26"/>
                <w:rtl/>
              </w:rPr>
              <w:t>הנאשם</w:t>
            </w:r>
          </w:p>
        </w:tc>
        <w:tc>
          <w:tcPr>
            <w:tcW w:w="4678" w:type="dxa"/>
            <w:gridSpan w:val="2"/>
            <w:shd w:val="clear" w:color="auto" w:fill="auto"/>
            <w:vAlign w:val="center"/>
          </w:tcPr>
          <w:p w14:paraId="6CC44F8F" w14:textId="77777777" w:rsidR="001A7439" w:rsidRPr="0079399C" w:rsidRDefault="001A7439" w:rsidP="001A7439">
            <w:pPr>
              <w:suppressLineNumbers/>
              <w:rPr>
                <w:rFonts w:ascii="Arial" w:hAnsi="Arial"/>
                <w:b/>
                <w:bCs/>
                <w:sz w:val="26"/>
                <w:szCs w:val="26"/>
                <w:rtl/>
              </w:rPr>
            </w:pPr>
            <w:r w:rsidRPr="0079399C">
              <w:rPr>
                <w:rFonts w:ascii="Arial" w:hAnsi="Arial"/>
                <w:b/>
                <w:bCs/>
                <w:sz w:val="26"/>
                <w:szCs w:val="26"/>
                <w:rtl/>
              </w:rPr>
              <w:t>עדנאן ותד</w:t>
            </w:r>
            <w:r w:rsidRPr="0079399C">
              <w:rPr>
                <w:rFonts w:ascii="Arial" w:hAnsi="Arial" w:hint="cs"/>
                <w:b/>
                <w:bCs/>
                <w:sz w:val="26"/>
                <w:szCs w:val="26"/>
                <w:rtl/>
              </w:rPr>
              <w:t xml:space="preserve"> </w:t>
            </w:r>
          </w:p>
          <w:p w14:paraId="422D1803" w14:textId="77777777" w:rsidR="001A7439" w:rsidRPr="0079399C" w:rsidRDefault="001A7439" w:rsidP="001A7439">
            <w:pPr>
              <w:suppressLineNumbers/>
            </w:pPr>
            <w:r w:rsidRPr="0079399C">
              <w:rPr>
                <w:rFonts w:ascii="Arial" w:hAnsi="Arial"/>
                <w:b/>
                <w:bCs/>
                <w:rtl/>
              </w:rPr>
              <w:t>ע"י ב"כ עוה"ד</w:t>
            </w:r>
            <w:r w:rsidRPr="0079399C">
              <w:rPr>
                <w:rFonts w:hint="cs"/>
                <w:rtl/>
              </w:rPr>
              <w:t xml:space="preserve"> </w:t>
            </w:r>
            <w:r w:rsidRPr="0079399C">
              <w:rPr>
                <w:rFonts w:hint="cs"/>
                <w:b/>
                <w:bCs/>
                <w:rtl/>
              </w:rPr>
              <w:t>עקל ותד</w:t>
            </w:r>
          </w:p>
        </w:tc>
      </w:tr>
      <w:tr w:rsidR="001A7439" w:rsidRPr="0079399C" w14:paraId="3AE33EE5" w14:textId="77777777" w:rsidTr="001A7439">
        <w:trPr>
          <w:trHeight w:val="355"/>
          <w:jc w:val="center"/>
        </w:trPr>
        <w:tc>
          <w:tcPr>
            <w:tcW w:w="923" w:type="dxa"/>
            <w:shd w:val="clear" w:color="auto" w:fill="auto"/>
          </w:tcPr>
          <w:p w14:paraId="0E4AC8B5" w14:textId="77777777" w:rsidR="001A7439" w:rsidRPr="0079399C" w:rsidRDefault="001A7439" w:rsidP="001A7439">
            <w:pPr>
              <w:jc w:val="both"/>
              <w:rPr>
                <w:rFonts w:ascii="David" w:hAnsi="David"/>
                <w:sz w:val="26"/>
                <w:szCs w:val="26"/>
                <w:rtl/>
              </w:rPr>
            </w:pPr>
          </w:p>
        </w:tc>
        <w:tc>
          <w:tcPr>
            <w:tcW w:w="3219" w:type="dxa"/>
            <w:gridSpan w:val="2"/>
            <w:shd w:val="clear" w:color="auto" w:fill="auto"/>
          </w:tcPr>
          <w:p w14:paraId="66028A83" w14:textId="77777777" w:rsidR="001A7439" w:rsidRPr="0079399C" w:rsidRDefault="001A7439" w:rsidP="001A7439">
            <w:pPr>
              <w:jc w:val="both"/>
              <w:rPr>
                <w:rFonts w:ascii="David" w:hAnsi="David"/>
                <w:sz w:val="26"/>
                <w:szCs w:val="26"/>
                <w:rtl/>
              </w:rPr>
            </w:pPr>
          </w:p>
        </w:tc>
        <w:tc>
          <w:tcPr>
            <w:tcW w:w="4678" w:type="dxa"/>
            <w:gridSpan w:val="2"/>
            <w:shd w:val="clear" w:color="auto" w:fill="auto"/>
          </w:tcPr>
          <w:p w14:paraId="0A88BDBA" w14:textId="77777777" w:rsidR="001A7439" w:rsidRPr="0079399C" w:rsidRDefault="001A7439" w:rsidP="001A7439">
            <w:pPr>
              <w:jc w:val="right"/>
              <w:rPr>
                <w:rFonts w:ascii="David" w:hAnsi="David"/>
                <w:sz w:val="26"/>
                <w:szCs w:val="26"/>
              </w:rPr>
            </w:pPr>
          </w:p>
        </w:tc>
      </w:tr>
    </w:tbl>
    <w:p w14:paraId="3AF0A51E" w14:textId="77777777" w:rsidR="00547FA3" w:rsidRDefault="00547FA3" w:rsidP="006B615E">
      <w:pPr>
        <w:rPr>
          <w:sz w:val="26"/>
          <w:szCs w:val="26"/>
          <w:rtl/>
        </w:rPr>
      </w:pPr>
      <w:bookmarkStart w:id="3" w:name="Links_Kitvei_Start"/>
    </w:p>
    <w:p w14:paraId="3CFB4624" w14:textId="77777777" w:rsidR="00547FA3" w:rsidRPr="00547FA3" w:rsidRDefault="00547FA3" w:rsidP="00547FA3">
      <w:pPr>
        <w:spacing w:after="120" w:line="240" w:lineRule="exact"/>
        <w:ind w:left="283" w:hanging="283"/>
        <w:jc w:val="both"/>
        <w:rPr>
          <w:rFonts w:ascii="FrankRuehl" w:hAnsi="FrankRuehl" w:cs="FrankRuehl"/>
          <w:rtl/>
        </w:rPr>
      </w:pPr>
    </w:p>
    <w:bookmarkEnd w:id="3"/>
    <w:p w14:paraId="0EBEAF8B" w14:textId="77777777" w:rsidR="00547FA3" w:rsidRPr="00547FA3" w:rsidRDefault="00547FA3" w:rsidP="00547FA3">
      <w:pPr>
        <w:spacing w:after="120" w:line="240" w:lineRule="exact"/>
        <w:ind w:left="283" w:hanging="283"/>
        <w:jc w:val="both"/>
        <w:rPr>
          <w:rStyle w:val="Hyperlink"/>
          <w:rFonts w:ascii="FrankRuehl" w:hAnsi="FrankRuehl" w:cs="FrankRuehl"/>
          <w:u w:val="none"/>
        </w:rPr>
      </w:pPr>
      <w:r w:rsidRPr="00547FA3">
        <w:rPr>
          <w:rFonts w:ascii="FrankRuehl" w:hAnsi="FrankRuehl" w:cs="FrankRuehl"/>
          <w:rtl/>
        </w:rPr>
        <w:t>כתבי עת:</w:t>
      </w:r>
      <w:r w:rsidRPr="00547FA3">
        <w:rPr>
          <w:rFonts w:ascii="FrankRuehl" w:hAnsi="FrankRuehl" w:cs="FrankRuehl"/>
          <w:color w:val="0000FF"/>
          <w:rtl/>
        </w:rPr>
        <w:fldChar w:fldCharType="begin"/>
      </w:r>
      <w:r w:rsidRPr="00547FA3">
        <w:rPr>
          <w:rFonts w:ascii="FrankRuehl" w:hAnsi="FrankRuehl" w:cs="FrankRuehl"/>
          <w:color w:val="0000FF"/>
          <w:rtl/>
        </w:rPr>
        <w:instrText xml:space="preserve"> </w:instrText>
      </w:r>
      <w:r w:rsidRPr="00547FA3">
        <w:rPr>
          <w:rFonts w:ascii="FrankRuehl" w:hAnsi="FrankRuehl" w:cs="FrankRuehl"/>
          <w:color w:val="0000FF"/>
        </w:rPr>
        <w:instrText xml:space="preserve">HYPERLINK </w:instrText>
      </w:r>
      <w:r w:rsidRPr="00547FA3">
        <w:rPr>
          <w:rFonts w:ascii="FrankRuehl" w:hAnsi="FrankRuehl" w:cs="FrankRuehl"/>
          <w:color w:val="0000FF"/>
          <w:rtl/>
        </w:rPr>
        <w:instrText>"</w:instrText>
      </w:r>
      <w:r w:rsidRPr="00547FA3">
        <w:rPr>
          <w:rFonts w:ascii="FrankRuehl" w:hAnsi="FrankRuehl" w:cs="FrankRuehl"/>
          <w:color w:val="0000FF"/>
        </w:rPr>
        <w:instrText>http://www.nevo.co.il/safrut/book/974"</w:instrText>
      </w:r>
      <w:r w:rsidRPr="00547FA3">
        <w:rPr>
          <w:rFonts w:ascii="FrankRuehl" w:hAnsi="FrankRuehl" w:cs="FrankRuehl"/>
          <w:color w:val="0000FF"/>
          <w:rtl/>
        </w:rPr>
        <w:instrText xml:space="preserve"> </w:instrText>
      </w:r>
      <w:r w:rsidRPr="00547FA3">
        <w:rPr>
          <w:rFonts w:ascii="FrankRuehl" w:hAnsi="FrankRuehl" w:cs="FrankRuehl"/>
          <w:color w:val="0000FF"/>
          <w:rtl/>
        </w:rPr>
      </w:r>
      <w:r w:rsidRPr="00547FA3">
        <w:rPr>
          <w:rFonts w:ascii="FrankRuehl" w:hAnsi="FrankRuehl" w:cs="FrankRuehl"/>
          <w:color w:val="0000FF"/>
          <w:rtl/>
        </w:rPr>
        <w:fldChar w:fldCharType="separate"/>
      </w:r>
    </w:p>
    <w:p w14:paraId="44612084" w14:textId="77777777" w:rsidR="00547FA3" w:rsidRPr="00547FA3" w:rsidRDefault="00547FA3" w:rsidP="00547FA3">
      <w:pPr>
        <w:spacing w:after="120" w:line="240" w:lineRule="exact"/>
        <w:ind w:left="283" w:hanging="283"/>
        <w:jc w:val="both"/>
        <w:rPr>
          <w:rFonts w:ascii="FrankRuehl" w:hAnsi="FrankRuehl" w:cs="FrankRuehl"/>
        </w:rPr>
      </w:pPr>
      <w:r w:rsidRPr="00547FA3">
        <w:rPr>
          <w:rStyle w:val="Hyperlink"/>
          <w:rFonts w:ascii="FrankRuehl" w:hAnsi="FrankRuehl" w:cs="FrankRuehl"/>
          <w:u w:val="none"/>
          <w:rtl/>
        </w:rPr>
        <w:t>מרדכי בן דרור, "בית המשפט העליון - מבנה חדש והערכות חדשה", המשפט, א (תשנ"ג) 15</w:t>
      </w:r>
      <w:r w:rsidRPr="00547FA3">
        <w:rPr>
          <w:rFonts w:ascii="FrankRuehl" w:hAnsi="FrankRuehl" w:cs="FrankRuehl"/>
          <w:color w:val="0000FF"/>
          <w:rtl/>
        </w:rPr>
        <w:fldChar w:fldCharType="end"/>
      </w:r>
    </w:p>
    <w:p w14:paraId="5D294A8F" w14:textId="77777777" w:rsidR="00547FA3" w:rsidRDefault="00547FA3" w:rsidP="00547FA3">
      <w:pPr>
        <w:rPr>
          <w:sz w:val="26"/>
          <w:szCs w:val="26"/>
          <w:rtl/>
        </w:rPr>
      </w:pPr>
      <w:bookmarkStart w:id="4" w:name="Links_Kitvei_End"/>
      <w:bookmarkStart w:id="5" w:name="LawTable"/>
      <w:bookmarkEnd w:id="4"/>
      <w:bookmarkEnd w:id="5"/>
    </w:p>
    <w:p w14:paraId="141E2B4A" w14:textId="77777777" w:rsidR="00547FA3" w:rsidRPr="00547FA3" w:rsidRDefault="00547FA3" w:rsidP="00547FA3">
      <w:pPr>
        <w:spacing w:before="120" w:after="120" w:line="240" w:lineRule="exact"/>
        <w:ind w:left="283" w:hanging="283"/>
        <w:jc w:val="both"/>
        <w:rPr>
          <w:rFonts w:ascii="FrankRuehl" w:hAnsi="FrankRuehl" w:cs="FrankRuehl"/>
          <w:rtl/>
        </w:rPr>
      </w:pPr>
    </w:p>
    <w:p w14:paraId="646F7977" w14:textId="77777777" w:rsidR="00547FA3" w:rsidRPr="00547FA3" w:rsidRDefault="00547FA3" w:rsidP="00547FA3">
      <w:pPr>
        <w:spacing w:before="120" w:after="120" w:line="240" w:lineRule="exact"/>
        <w:ind w:left="283" w:hanging="283"/>
        <w:jc w:val="both"/>
        <w:rPr>
          <w:rFonts w:ascii="FrankRuehl" w:hAnsi="FrankRuehl" w:cs="FrankRuehl"/>
          <w:rtl/>
        </w:rPr>
      </w:pPr>
    </w:p>
    <w:p w14:paraId="2393C44A" w14:textId="77777777" w:rsidR="00547FA3" w:rsidRPr="00547FA3" w:rsidRDefault="00547FA3" w:rsidP="00547FA3">
      <w:pPr>
        <w:spacing w:before="120" w:after="120" w:line="240" w:lineRule="exact"/>
        <w:ind w:left="283" w:hanging="283"/>
        <w:jc w:val="both"/>
        <w:rPr>
          <w:rFonts w:ascii="FrankRuehl" w:hAnsi="FrankRuehl" w:cs="FrankRuehl"/>
          <w:rtl/>
        </w:rPr>
      </w:pPr>
      <w:r w:rsidRPr="00547FA3">
        <w:rPr>
          <w:rFonts w:ascii="FrankRuehl" w:hAnsi="FrankRuehl" w:cs="FrankRuehl"/>
          <w:rtl/>
        </w:rPr>
        <w:t xml:space="preserve">חקיקה שאוזכרה: </w:t>
      </w:r>
    </w:p>
    <w:p w14:paraId="76DE2099" w14:textId="77777777" w:rsidR="00547FA3" w:rsidRPr="00547FA3" w:rsidRDefault="00547FA3" w:rsidP="00547FA3">
      <w:pPr>
        <w:spacing w:before="120" w:after="120" w:line="240" w:lineRule="exact"/>
        <w:ind w:left="283" w:hanging="283"/>
        <w:jc w:val="both"/>
        <w:rPr>
          <w:rFonts w:ascii="FrankRuehl" w:hAnsi="FrankRuehl" w:cs="FrankRuehl"/>
          <w:rtl/>
        </w:rPr>
      </w:pPr>
      <w:hyperlink r:id="rId7" w:history="1">
        <w:r w:rsidRPr="00547FA3">
          <w:rPr>
            <w:rFonts w:ascii="FrankRuehl" w:hAnsi="FrankRuehl" w:cs="FrankRuehl"/>
            <w:color w:val="0000FF"/>
            <w:rtl/>
          </w:rPr>
          <w:t>פקודת הסמים המסוכנים [נוסח חדש], תשל"ג-1973</w:t>
        </w:r>
      </w:hyperlink>
      <w:r w:rsidRPr="00547FA3">
        <w:rPr>
          <w:rFonts w:ascii="FrankRuehl" w:hAnsi="FrankRuehl" w:cs="FrankRuehl"/>
          <w:rtl/>
        </w:rPr>
        <w:t xml:space="preserve">: סע'  </w:t>
      </w:r>
      <w:hyperlink r:id="rId8" w:history="1">
        <w:r w:rsidRPr="00547FA3">
          <w:rPr>
            <w:rFonts w:ascii="FrankRuehl" w:hAnsi="FrankRuehl" w:cs="FrankRuehl"/>
            <w:color w:val="0000FF"/>
            <w:rtl/>
          </w:rPr>
          <w:t>6</w:t>
        </w:r>
      </w:hyperlink>
      <w:r w:rsidRPr="00547FA3">
        <w:rPr>
          <w:rFonts w:ascii="FrankRuehl" w:hAnsi="FrankRuehl" w:cs="FrankRuehl"/>
          <w:rtl/>
        </w:rPr>
        <w:t xml:space="preserve">, </w:t>
      </w:r>
      <w:hyperlink r:id="rId9" w:history="1">
        <w:r w:rsidRPr="00547FA3">
          <w:rPr>
            <w:rFonts w:ascii="FrankRuehl" w:hAnsi="FrankRuehl" w:cs="FrankRuehl"/>
            <w:color w:val="0000FF"/>
            <w:rtl/>
          </w:rPr>
          <w:t>7.א.</w:t>
        </w:r>
      </w:hyperlink>
      <w:r w:rsidRPr="00547FA3">
        <w:rPr>
          <w:rFonts w:ascii="FrankRuehl" w:hAnsi="FrankRuehl" w:cs="FrankRuehl"/>
          <w:rtl/>
        </w:rPr>
        <w:t xml:space="preserve">, </w:t>
      </w:r>
      <w:hyperlink r:id="rId10" w:history="1">
        <w:r w:rsidRPr="00547FA3">
          <w:rPr>
            <w:rFonts w:ascii="FrankRuehl" w:hAnsi="FrankRuehl" w:cs="FrankRuehl"/>
            <w:color w:val="0000FF"/>
            <w:rtl/>
          </w:rPr>
          <w:t>7.ג</w:t>
        </w:r>
      </w:hyperlink>
    </w:p>
    <w:p w14:paraId="429585FE" w14:textId="77777777" w:rsidR="00547FA3" w:rsidRPr="00547FA3" w:rsidRDefault="00547FA3" w:rsidP="00547FA3">
      <w:pPr>
        <w:spacing w:before="120" w:after="120" w:line="240" w:lineRule="exact"/>
        <w:ind w:left="283" w:hanging="283"/>
        <w:jc w:val="both"/>
        <w:rPr>
          <w:rFonts w:ascii="FrankRuehl" w:hAnsi="FrankRuehl" w:cs="FrankRuehl"/>
          <w:rtl/>
        </w:rPr>
      </w:pPr>
      <w:hyperlink r:id="rId11" w:history="1">
        <w:r w:rsidRPr="00547FA3">
          <w:rPr>
            <w:rFonts w:ascii="FrankRuehl" w:hAnsi="FrankRuehl" w:cs="FrankRuehl"/>
            <w:color w:val="0000FF"/>
            <w:rtl/>
          </w:rPr>
          <w:t>חוק העונשין, תשל"ז-1977</w:t>
        </w:r>
      </w:hyperlink>
      <w:r w:rsidRPr="00547FA3">
        <w:rPr>
          <w:rFonts w:ascii="FrankRuehl" w:hAnsi="FrankRuehl" w:cs="FrankRuehl"/>
          <w:rtl/>
        </w:rPr>
        <w:t xml:space="preserve">: סע'  </w:t>
      </w:r>
      <w:hyperlink r:id="rId12" w:history="1">
        <w:r w:rsidRPr="00547FA3">
          <w:rPr>
            <w:rFonts w:ascii="FrankRuehl" w:hAnsi="FrankRuehl" w:cs="FrankRuehl"/>
            <w:color w:val="0000FF"/>
            <w:rtl/>
          </w:rPr>
          <w:t>40ד'</w:t>
        </w:r>
      </w:hyperlink>
      <w:r w:rsidRPr="00547FA3">
        <w:rPr>
          <w:rFonts w:ascii="FrankRuehl" w:hAnsi="FrankRuehl" w:cs="FrankRuehl"/>
          <w:rtl/>
        </w:rPr>
        <w:t xml:space="preserve">, </w:t>
      </w:r>
      <w:hyperlink r:id="rId13" w:history="1">
        <w:r w:rsidRPr="00547FA3">
          <w:rPr>
            <w:rFonts w:ascii="FrankRuehl" w:hAnsi="FrankRuehl" w:cs="FrankRuehl"/>
            <w:color w:val="0000FF"/>
            <w:rtl/>
          </w:rPr>
          <w:t>40 ה'</w:t>
        </w:r>
      </w:hyperlink>
      <w:r w:rsidRPr="00547FA3">
        <w:rPr>
          <w:rFonts w:ascii="FrankRuehl" w:hAnsi="FrankRuehl" w:cs="FrankRuehl"/>
          <w:rtl/>
        </w:rPr>
        <w:t xml:space="preserve">, </w:t>
      </w:r>
      <w:hyperlink r:id="rId14" w:history="1">
        <w:r w:rsidRPr="00547FA3">
          <w:rPr>
            <w:rFonts w:ascii="FrankRuehl" w:hAnsi="FrankRuehl" w:cs="FrankRuehl"/>
            <w:color w:val="0000FF"/>
            <w:rtl/>
          </w:rPr>
          <w:t>40ט'</w:t>
        </w:r>
      </w:hyperlink>
      <w:r w:rsidRPr="00547FA3">
        <w:rPr>
          <w:rFonts w:ascii="FrankRuehl" w:hAnsi="FrankRuehl" w:cs="FrankRuehl"/>
          <w:rtl/>
        </w:rPr>
        <w:t xml:space="preserve">, </w:t>
      </w:r>
      <w:hyperlink r:id="rId15" w:history="1">
        <w:r w:rsidRPr="00547FA3">
          <w:rPr>
            <w:rFonts w:ascii="FrankRuehl" w:hAnsi="FrankRuehl" w:cs="FrankRuehl"/>
            <w:color w:val="0000FF"/>
            <w:rtl/>
          </w:rPr>
          <w:t>40יא'</w:t>
        </w:r>
      </w:hyperlink>
    </w:p>
    <w:p w14:paraId="7D423736" w14:textId="77777777" w:rsidR="00547FA3" w:rsidRPr="00547FA3" w:rsidRDefault="00547FA3" w:rsidP="00547FA3">
      <w:pPr>
        <w:rPr>
          <w:sz w:val="26"/>
          <w:szCs w:val="26"/>
          <w:rtl/>
        </w:rPr>
      </w:pPr>
      <w:bookmarkStart w:id="6" w:name="LawTable_End"/>
      <w:bookmarkEnd w:id="6"/>
    </w:p>
    <w:p w14:paraId="704D1FEE" w14:textId="77777777" w:rsidR="001A7439" w:rsidRPr="00547FA3" w:rsidRDefault="001A7439" w:rsidP="006B615E">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A7439" w14:paraId="373330D7" w14:textId="77777777" w:rsidTr="001A7439">
        <w:trPr>
          <w:trHeight w:val="355"/>
          <w:jc w:val="center"/>
        </w:trPr>
        <w:tc>
          <w:tcPr>
            <w:tcW w:w="8820" w:type="dxa"/>
            <w:tcBorders>
              <w:top w:val="nil"/>
              <w:left w:val="nil"/>
              <w:bottom w:val="nil"/>
              <w:right w:val="nil"/>
            </w:tcBorders>
            <w:shd w:val="clear" w:color="auto" w:fill="auto"/>
          </w:tcPr>
          <w:p w14:paraId="59CEDD7A" w14:textId="77777777" w:rsidR="0079399C" w:rsidRPr="0079399C" w:rsidRDefault="0079399C" w:rsidP="0079399C">
            <w:pPr>
              <w:jc w:val="center"/>
              <w:rPr>
                <w:rFonts w:ascii="David" w:hAnsi="David"/>
                <w:b/>
                <w:bCs/>
                <w:sz w:val="32"/>
                <w:szCs w:val="32"/>
                <w:u w:val="single"/>
                <w:rtl/>
              </w:rPr>
            </w:pPr>
            <w:bookmarkStart w:id="7" w:name="PsakDin" w:colFirst="0" w:colLast="0"/>
            <w:bookmarkEnd w:id="0"/>
            <w:r w:rsidRPr="0079399C">
              <w:rPr>
                <w:rFonts w:ascii="David" w:hAnsi="David"/>
                <w:b/>
                <w:bCs/>
                <w:sz w:val="32"/>
                <w:szCs w:val="32"/>
                <w:u w:val="single"/>
                <w:rtl/>
              </w:rPr>
              <w:t>גזר דין</w:t>
            </w:r>
          </w:p>
          <w:p w14:paraId="70138070" w14:textId="77777777" w:rsidR="001A7439" w:rsidRPr="0079399C" w:rsidRDefault="001A7439" w:rsidP="0079399C">
            <w:pPr>
              <w:jc w:val="center"/>
              <w:rPr>
                <w:rFonts w:ascii="David" w:hAnsi="David"/>
                <w:bCs/>
                <w:sz w:val="32"/>
                <w:szCs w:val="32"/>
                <w:u w:val="single"/>
                <w:rtl/>
              </w:rPr>
            </w:pPr>
          </w:p>
        </w:tc>
      </w:tr>
      <w:bookmarkEnd w:id="7"/>
    </w:tbl>
    <w:p w14:paraId="41E56E2A" w14:textId="77777777" w:rsidR="001A7439" w:rsidRPr="000F2247" w:rsidRDefault="001A7439" w:rsidP="001A7439">
      <w:pPr>
        <w:rPr>
          <w:rFonts w:ascii="Arial" w:hAnsi="Arial"/>
          <w:b/>
          <w:bCs/>
          <w:sz w:val="26"/>
          <w:szCs w:val="26"/>
          <w:rtl/>
        </w:rPr>
      </w:pPr>
    </w:p>
    <w:p w14:paraId="19C014BB" w14:textId="77777777" w:rsidR="001A7439" w:rsidRDefault="001A7439" w:rsidP="001A7439">
      <w:pPr>
        <w:spacing w:line="360" w:lineRule="auto"/>
        <w:rPr>
          <w:b/>
          <w:bCs/>
          <w:u w:val="single"/>
          <w:rtl/>
        </w:rPr>
      </w:pPr>
      <w:r>
        <w:rPr>
          <w:b/>
          <w:bCs/>
          <w:u w:val="single"/>
          <w:rtl/>
        </w:rPr>
        <w:t xml:space="preserve">מבוא: </w:t>
      </w:r>
    </w:p>
    <w:p w14:paraId="78E80ABE" w14:textId="77777777" w:rsidR="001A7439" w:rsidRDefault="001A7439" w:rsidP="001A7439">
      <w:pPr>
        <w:spacing w:line="360" w:lineRule="auto"/>
        <w:jc w:val="both"/>
        <w:rPr>
          <w:rtl/>
        </w:rPr>
      </w:pPr>
      <w:bookmarkStart w:id="8" w:name="ABSTRACT_START"/>
      <w:bookmarkEnd w:id="8"/>
      <w:r>
        <w:rPr>
          <w:noProof/>
          <w:rtl/>
        </w:rPr>
        <w:t>הנאשם הורשע בהתאם להודאתו בכתב האישום</w:t>
      </w:r>
      <w:r>
        <w:rPr>
          <w:b/>
          <w:bCs/>
          <w:noProof/>
          <w:rtl/>
        </w:rPr>
        <w:t xml:space="preserve"> בגידול וייצור סמים</w:t>
      </w:r>
      <w:r>
        <w:rPr>
          <w:noProof/>
          <w:rtl/>
        </w:rPr>
        <w:t xml:space="preserve"> – עבירה לפי </w:t>
      </w:r>
      <w:hyperlink r:id="rId16" w:history="1">
        <w:r w:rsidR="00416C93" w:rsidRPr="00416C93">
          <w:rPr>
            <w:rStyle w:val="Hyperlink"/>
            <w:noProof/>
            <w:rtl/>
          </w:rPr>
          <w:t>סעיף 6</w:t>
        </w:r>
      </w:hyperlink>
      <w:r>
        <w:rPr>
          <w:noProof/>
          <w:rtl/>
        </w:rPr>
        <w:t xml:space="preserve"> ל</w:t>
      </w:r>
      <w:hyperlink r:id="rId17" w:history="1">
        <w:r w:rsidR="0079399C" w:rsidRPr="0079399C">
          <w:rPr>
            <w:noProof/>
            <w:color w:val="0000FF"/>
            <w:u w:val="single"/>
            <w:rtl/>
          </w:rPr>
          <w:t>פקודת הסמים המסוכנים</w:t>
        </w:r>
      </w:hyperlink>
      <w:r>
        <w:rPr>
          <w:noProof/>
          <w:rtl/>
        </w:rPr>
        <w:t xml:space="preserve"> [נוסח חדש] התשל"ג-1973 </w:t>
      </w:r>
      <w:r>
        <w:rPr>
          <w:b/>
          <w:bCs/>
          <w:noProof/>
          <w:rtl/>
        </w:rPr>
        <w:t>ובהחזקה/ שימוש בסמים שלא צריכה עצמית</w:t>
      </w:r>
      <w:r>
        <w:rPr>
          <w:noProof/>
          <w:rtl/>
        </w:rPr>
        <w:t xml:space="preserve"> – עבירה לפי </w:t>
      </w:r>
      <w:hyperlink r:id="rId18" w:history="1">
        <w:r w:rsidR="00416C93" w:rsidRPr="00416C93">
          <w:rPr>
            <w:rStyle w:val="Hyperlink"/>
            <w:noProof/>
            <w:rtl/>
          </w:rPr>
          <w:t>סעיף 7(א)+7(ג)</w:t>
        </w:r>
      </w:hyperlink>
      <w:r>
        <w:rPr>
          <w:noProof/>
          <w:rtl/>
        </w:rPr>
        <w:t xml:space="preserve"> רישא לפקודת הסמים המסוכנים [נוסח חדש] התשל"ג-1973.</w:t>
      </w:r>
    </w:p>
    <w:p w14:paraId="78F11FCB" w14:textId="77777777" w:rsidR="001A7439" w:rsidRDefault="001A7439" w:rsidP="001A7439">
      <w:pPr>
        <w:spacing w:line="360" w:lineRule="auto"/>
        <w:rPr>
          <w:rtl/>
        </w:rPr>
      </w:pPr>
      <w:bookmarkStart w:id="9" w:name="ABSTRACT_END"/>
      <w:bookmarkEnd w:id="9"/>
    </w:p>
    <w:p w14:paraId="555DA9DA" w14:textId="77777777" w:rsidR="001A7439" w:rsidRDefault="001A7439" w:rsidP="001A7439">
      <w:pPr>
        <w:spacing w:line="360" w:lineRule="auto"/>
        <w:jc w:val="both"/>
        <w:rPr>
          <w:rtl/>
        </w:rPr>
      </w:pPr>
      <w:r>
        <w:rPr>
          <w:rtl/>
        </w:rPr>
        <w:t xml:space="preserve">על פי עובדות כתב האישום, בתאריך 31.07.18, לאחר ביצוע חיפוש משטרתי בבית הנאשם, נמצאו במקומות שונים בבית 80 שתילים של סם מסוכן מסוג קנבוס במשקל כולל של כ-2.5 ק"ג נטו וכן </w:t>
      </w:r>
      <w:r>
        <w:rPr>
          <w:rtl/>
        </w:rPr>
        <w:lastRenderedPageBreak/>
        <w:t>סם מסוכן מסוג קנבוס במשקל כולל של 16.2 גרם שלא לצריכה עצמית. עוד נמצאו שלושה בקבוקים לגידול והדברת צמחים וכלי קססנית כמפורט בכתב האישום.</w:t>
      </w:r>
    </w:p>
    <w:p w14:paraId="0549FAD2" w14:textId="77777777" w:rsidR="001A7439" w:rsidRDefault="001A7439" w:rsidP="001A7439">
      <w:pPr>
        <w:spacing w:line="360" w:lineRule="auto"/>
        <w:jc w:val="both"/>
        <w:rPr>
          <w:rtl/>
        </w:rPr>
      </w:pPr>
    </w:p>
    <w:p w14:paraId="02280FFA" w14:textId="77777777" w:rsidR="001A7439" w:rsidRDefault="001A7439" w:rsidP="001A7439">
      <w:pPr>
        <w:spacing w:line="360" w:lineRule="auto"/>
        <w:jc w:val="both"/>
        <w:rPr>
          <w:noProof/>
          <w:rtl/>
        </w:rPr>
      </w:pPr>
      <w:r>
        <w:rPr>
          <w:rFonts w:hint="cs"/>
          <w:noProof/>
          <w:rtl/>
        </w:rPr>
        <w:t xml:space="preserve">כתב האישום הוגש בחודש אוקטובר 2019 ונותב לשמיעה בפני כב' השופט גינות. </w:t>
      </w:r>
      <w:r>
        <w:rPr>
          <w:noProof/>
          <w:rtl/>
        </w:rPr>
        <w:t>בדיון אשר התקיים לפני המותב הקודם, בתאריך 07.06.20, הודה הנאשם במיוחס לו בכתב האישום ולבקשת בא כוחו, הופנה הנאשם אל שירות המבחן לקבלת תסקיר בעניינו. בהמשך</w:t>
      </w:r>
      <w:r>
        <w:rPr>
          <w:rFonts w:hint="cs"/>
          <w:noProof/>
          <w:rtl/>
        </w:rPr>
        <w:t xml:space="preserve"> ובמשך שנה וחצי נדחו מעת לעת הדיונים בתיק לאור המלצות שירות המבחן</w:t>
      </w:r>
      <w:r>
        <w:rPr>
          <w:noProof/>
          <w:rtl/>
        </w:rPr>
        <w:t xml:space="preserve"> </w:t>
      </w:r>
      <w:r>
        <w:rPr>
          <w:rFonts w:hint="cs"/>
          <w:noProof/>
          <w:rtl/>
        </w:rPr>
        <w:t xml:space="preserve">ותוך </w:t>
      </w:r>
      <w:r w:rsidRPr="001B1721">
        <w:rPr>
          <w:rFonts w:hint="cs"/>
          <w:b/>
          <w:bCs/>
          <w:noProof/>
          <w:rtl/>
        </w:rPr>
        <w:t>שהתקבלו 6 תסקירים בתקופת שמיעת התיק בפניי כב' השופט גינות</w:t>
      </w:r>
      <w:r>
        <w:rPr>
          <w:rFonts w:hint="cs"/>
          <w:noProof/>
          <w:rtl/>
        </w:rPr>
        <w:t xml:space="preserve">. </w:t>
      </w:r>
    </w:p>
    <w:p w14:paraId="55F99A73" w14:textId="77777777" w:rsidR="001A7439" w:rsidRDefault="001A7439" w:rsidP="001A7439">
      <w:pPr>
        <w:spacing w:line="360" w:lineRule="auto"/>
        <w:jc w:val="both"/>
        <w:rPr>
          <w:noProof/>
          <w:rtl/>
        </w:rPr>
      </w:pPr>
    </w:p>
    <w:p w14:paraId="63A70332" w14:textId="77777777" w:rsidR="001A7439" w:rsidRDefault="001A7439" w:rsidP="001A7439">
      <w:pPr>
        <w:spacing w:line="360" w:lineRule="auto"/>
        <w:jc w:val="both"/>
        <w:rPr>
          <w:noProof/>
          <w:rtl/>
        </w:rPr>
      </w:pPr>
      <w:r>
        <w:rPr>
          <w:rFonts w:hint="cs"/>
          <w:noProof/>
          <w:rtl/>
        </w:rPr>
        <w:t>בתאריך 01.05.22 לאור פרישתו הצפויה של כב' השופט גינות,</w:t>
      </w:r>
      <w:r>
        <w:rPr>
          <w:noProof/>
          <w:rtl/>
        </w:rPr>
        <w:t xml:space="preserve"> התיק הועבר לשמיעה בפניי</w:t>
      </w:r>
      <w:r>
        <w:rPr>
          <w:rFonts w:hint="cs"/>
          <w:noProof/>
          <w:rtl/>
        </w:rPr>
        <w:t>.</w:t>
      </w:r>
      <w:r>
        <w:rPr>
          <w:noProof/>
          <w:rtl/>
        </w:rPr>
        <w:t xml:space="preserve"> </w:t>
      </w:r>
      <w:r>
        <w:rPr>
          <w:rFonts w:hint="cs"/>
          <w:noProof/>
          <w:rtl/>
        </w:rPr>
        <w:t xml:space="preserve">בדיון שהתקיים בפניי בתאריך 07.06.22  נתבקשה דחייה נוספת של הדיון בהמלצה של שירות המבחן ואולם, סברתי שלנאשם ניתנו הזדמנויות רבות, כמפורט מעלה, והגיעה העת לסיים את ההליך. בהתאם לבקשת בא כוחו, </w:t>
      </w:r>
      <w:r>
        <w:rPr>
          <w:noProof/>
          <w:rtl/>
        </w:rPr>
        <w:t>הופנה הנאשם אל הממונה על עבודות השירות לקבלת חוות דעת שתבדוק שאלת התאמתו לביצוע עבודות שירות ככל שכך ייגזר.</w:t>
      </w:r>
    </w:p>
    <w:p w14:paraId="193288B5" w14:textId="77777777" w:rsidR="001A7439" w:rsidRDefault="001A7439" w:rsidP="001A7439">
      <w:pPr>
        <w:spacing w:line="360" w:lineRule="auto"/>
        <w:jc w:val="both"/>
        <w:rPr>
          <w:b/>
          <w:bCs/>
          <w:noProof/>
          <w:u w:val="single"/>
          <w:rtl/>
        </w:rPr>
      </w:pPr>
      <w:r>
        <w:rPr>
          <w:b/>
          <w:bCs/>
          <w:noProof/>
          <w:u w:val="single"/>
          <w:rtl/>
        </w:rPr>
        <w:t xml:space="preserve"> </w:t>
      </w:r>
    </w:p>
    <w:p w14:paraId="42B33EAD" w14:textId="77777777" w:rsidR="001A7439" w:rsidRDefault="001A7439" w:rsidP="001A7439">
      <w:pPr>
        <w:spacing w:line="360" w:lineRule="auto"/>
        <w:jc w:val="both"/>
        <w:rPr>
          <w:b/>
          <w:bCs/>
          <w:noProof/>
          <w:u w:val="single"/>
          <w:rtl/>
        </w:rPr>
      </w:pPr>
    </w:p>
    <w:p w14:paraId="71785227" w14:textId="77777777" w:rsidR="001A7439" w:rsidRDefault="001A7439" w:rsidP="001A7439">
      <w:pPr>
        <w:spacing w:line="360" w:lineRule="auto"/>
        <w:jc w:val="both"/>
        <w:rPr>
          <w:b/>
          <w:bCs/>
          <w:noProof/>
          <w:u w:val="single"/>
          <w:rtl/>
        </w:rPr>
      </w:pPr>
      <w:r>
        <w:rPr>
          <w:b/>
          <w:bCs/>
          <w:noProof/>
          <w:u w:val="single"/>
          <w:rtl/>
        </w:rPr>
        <w:t xml:space="preserve">תסקירי שירות המבחן וחוות דעת הממונה על עבודות השירות </w:t>
      </w:r>
    </w:p>
    <w:p w14:paraId="2FF4A42B" w14:textId="77777777" w:rsidR="001A7439" w:rsidRDefault="001A7439" w:rsidP="001A7439">
      <w:pPr>
        <w:spacing w:line="360" w:lineRule="auto"/>
        <w:jc w:val="both"/>
        <w:rPr>
          <w:noProof/>
          <w:rtl/>
        </w:rPr>
      </w:pPr>
      <w:r>
        <w:rPr>
          <w:rFonts w:hint="cs"/>
          <w:noProof/>
          <w:rtl/>
        </w:rPr>
        <w:t xml:space="preserve">כאמור, </w:t>
      </w:r>
      <w:r>
        <w:rPr>
          <w:noProof/>
          <w:rtl/>
        </w:rPr>
        <w:t xml:space="preserve">מטעם שירות המבחן הוגשו לא פחות משישה תסקירים על פני תקופה של כשנה וחצי. בתאריך 09.02.21 הוגש התסקיר </w:t>
      </w:r>
      <w:r w:rsidRPr="001B1721">
        <w:rPr>
          <w:b/>
          <w:bCs/>
          <w:noProof/>
          <w:rtl/>
        </w:rPr>
        <w:t>הראשון</w:t>
      </w:r>
      <w:r>
        <w:rPr>
          <w:noProof/>
          <w:rtl/>
        </w:rPr>
        <w:t xml:space="preserve"> מטעם שירות המבחן. מהתסקיר עולה כי הנאשם, נשוי בן 36 ואב לארבעה ילדים בגילאי שנה עד שמונה, שכיר בעסק לשיווק ירקות מזה 13 שנים.</w:t>
      </w:r>
    </w:p>
    <w:p w14:paraId="574AE527" w14:textId="77777777" w:rsidR="001A7439" w:rsidRDefault="001A7439" w:rsidP="001A7439">
      <w:pPr>
        <w:spacing w:line="360" w:lineRule="auto"/>
        <w:jc w:val="both"/>
        <w:rPr>
          <w:noProof/>
          <w:rtl/>
        </w:rPr>
      </w:pPr>
    </w:p>
    <w:p w14:paraId="6F45F9B5" w14:textId="77777777" w:rsidR="001A7439" w:rsidRDefault="001A7439" w:rsidP="001A7439">
      <w:pPr>
        <w:spacing w:line="360" w:lineRule="auto"/>
        <w:jc w:val="both"/>
        <w:rPr>
          <w:noProof/>
          <w:rtl/>
        </w:rPr>
      </w:pPr>
      <w:r>
        <w:rPr>
          <w:noProof/>
          <w:rtl/>
        </w:rPr>
        <w:t>לנאשם אם וארבעה אחים כאשר את אביו שכל בנסיבות טראגיות בעת שהיה ילד. בשל כך, מגיל צעיר נאלץ לסייע לאמו בפרנסת המשפחה וגידול אחיו הצעירים. לפני מספר שנים, נרצח אחיו של הנאשם על רקע סכסוך משפחתי כאשר הסכסוך יושב בסולחה רק לפני כשנתיים.</w:t>
      </w:r>
    </w:p>
    <w:p w14:paraId="6A898E36" w14:textId="77777777" w:rsidR="001A7439" w:rsidRDefault="001A7439" w:rsidP="001A7439">
      <w:pPr>
        <w:spacing w:line="360" w:lineRule="auto"/>
        <w:jc w:val="both"/>
        <w:rPr>
          <w:noProof/>
          <w:rtl/>
        </w:rPr>
      </w:pPr>
      <w:r>
        <w:rPr>
          <w:noProof/>
          <w:rtl/>
        </w:rPr>
        <w:t xml:space="preserve">הנאשם סיים 12 שנות לימוד ללא תעודה בשל הצורך לצאת ולפרנס את משפחתו. </w:t>
      </w:r>
    </w:p>
    <w:p w14:paraId="3A219864" w14:textId="77777777" w:rsidR="001A7439" w:rsidRDefault="001A7439" w:rsidP="001A7439">
      <w:pPr>
        <w:spacing w:line="360" w:lineRule="auto"/>
        <w:jc w:val="both"/>
        <w:rPr>
          <w:noProof/>
          <w:rtl/>
        </w:rPr>
      </w:pPr>
    </w:p>
    <w:p w14:paraId="35E007F3" w14:textId="77777777" w:rsidR="001A7439" w:rsidRDefault="001A7439" w:rsidP="001A7439">
      <w:pPr>
        <w:spacing w:line="360" w:lineRule="auto"/>
        <w:jc w:val="both"/>
        <w:rPr>
          <w:noProof/>
          <w:rtl/>
        </w:rPr>
      </w:pPr>
      <w:r>
        <w:rPr>
          <w:noProof/>
          <w:rtl/>
        </w:rPr>
        <w:t xml:space="preserve">לחובת הנאשם 2 </w:t>
      </w:r>
      <w:r>
        <w:rPr>
          <w:rFonts w:hint="cs"/>
          <w:noProof/>
          <w:rtl/>
        </w:rPr>
        <w:t>הרשעות</w:t>
      </w:r>
      <w:r>
        <w:rPr>
          <w:noProof/>
          <w:rtl/>
        </w:rPr>
        <w:t xml:space="preserve"> קודמות בגין </w:t>
      </w:r>
      <w:r>
        <w:rPr>
          <w:rFonts w:hint="cs"/>
          <w:noProof/>
          <w:rtl/>
        </w:rPr>
        <w:t xml:space="preserve">עבירות </w:t>
      </w:r>
      <w:r>
        <w:rPr>
          <w:noProof/>
          <w:rtl/>
        </w:rPr>
        <w:t>נשק ואלימות. האחת משנת 2010 בגינה ביצע עבודות שירות והשניה משנת 2015 בגינה נשא עונש מאסר בפועל.</w:t>
      </w:r>
    </w:p>
    <w:p w14:paraId="6E9DC406" w14:textId="77777777" w:rsidR="001A7439" w:rsidRDefault="001A7439" w:rsidP="001A7439">
      <w:pPr>
        <w:spacing w:line="360" w:lineRule="auto"/>
        <w:jc w:val="both"/>
        <w:rPr>
          <w:noProof/>
          <w:rtl/>
        </w:rPr>
      </w:pPr>
    </w:p>
    <w:p w14:paraId="357616B6" w14:textId="77777777" w:rsidR="001A7439" w:rsidRDefault="001A7439" w:rsidP="001A7439">
      <w:pPr>
        <w:spacing w:line="360" w:lineRule="auto"/>
        <w:jc w:val="both"/>
        <w:rPr>
          <w:noProof/>
          <w:rtl/>
        </w:rPr>
      </w:pPr>
      <w:r>
        <w:rPr>
          <w:noProof/>
          <w:rtl/>
        </w:rPr>
        <w:t xml:space="preserve">הנאשם לקח אחריות על העבירות בתיק זה וטען שגידל את הסמים לצורך שימוש עצמי וזאת על מנת להימנע ממגע עם גורמים שוליים ומאחר והשתמש בקנאביס באופן יומיומי מזה כ-13 שנים. הנאשם מסר שמעת הסתבכותו </w:t>
      </w:r>
      <w:r>
        <w:rPr>
          <w:rFonts w:hint="cs"/>
          <w:noProof/>
          <w:rtl/>
        </w:rPr>
        <w:t>ב</w:t>
      </w:r>
      <w:r>
        <w:rPr>
          <w:noProof/>
          <w:rtl/>
        </w:rPr>
        <w:t>תיק זה, הפסיק לצרוך קנאביס כאשר בבדיקת שתן אחת שמסר נמצאו שרידים סם ואילו בדיקה שניה נמצאה נקיה. לאור חוסר בהירות באשר לצורך טיפולי בתחום הסמים הומלץ על דחיית הדיון.</w:t>
      </w:r>
    </w:p>
    <w:p w14:paraId="0E5219C3" w14:textId="77777777" w:rsidR="001A7439" w:rsidRDefault="001A7439" w:rsidP="001A7439">
      <w:pPr>
        <w:spacing w:line="360" w:lineRule="auto"/>
        <w:jc w:val="both"/>
        <w:rPr>
          <w:noProof/>
          <w:rtl/>
        </w:rPr>
      </w:pPr>
    </w:p>
    <w:p w14:paraId="7EB318EA" w14:textId="77777777" w:rsidR="001A7439" w:rsidRDefault="001A7439" w:rsidP="001A7439">
      <w:pPr>
        <w:spacing w:line="360" w:lineRule="auto"/>
        <w:jc w:val="both"/>
        <w:rPr>
          <w:noProof/>
          <w:rtl/>
        </w:rPr>
      </w:pPr>
      <w:r>
        <w:rPr>
          <w:noProof/>
          <w:rtl/>
        </w:rPr>
        <w:lastRenderedPageBreak/>
        <w:t xml:space="preserve">בתסקיר </w:t>
      </w:r>
      <w:r w:rsidRPr="001B1721">
        <w:rPr>
          <w:b/>
          <w:bCs/>
          <w:noProof/>
          <w:rtl/>
        </w:rPr>
        <w:t>שני</w:t>
      </w:r>
      <w:r>
        <w:rPr>
          <w:noProof/>
          <w:rtl/>
        </w:rPr>
        <w:t xml:space="preserve"> מתאריך 06.05.21 הנאשם נענה להנחיות שירות המבחן, הגם ששירות המבחן התרשם שמדובר במוטיבציה חיצונית שמקורה בהליך המשפטי. עם זאת ועל מנת לרתום את הנאשם להליך שיקומי בחסות ההליך המשפטי, הומלץ על דחיית הדיון מאחר ונגרם עיכוב בהליך הטיפולי שאיננו באשמת הנאשם.</w:t>
      </w:r>
    </w:p>
    <w:p w14:paraId="37CFC95C" w14:textId="77777777" w:rsidR="001A7439" w:rsidRDefault="001A7439" w:rsidP="001A7439">
      <w:pPr>
        <w:spacing w:line="360" w:lineRule="auto"/>
        <w:jc w:val="both"/>
        <w:rPr>
          <w:noProof/>
          <w:rtl/>
        </w:rPr>
      </w:pPr>
    </w:p>
    <w:p w14:paraId="396CAE1B" w14:textId="77777777" w:rsidR="001A7439" w:rsidRDefault="001A7439" w:rsidP="001A7439">
      <w:pPr>
        <w:spacing w:line="360" w:lineRule="auto"/>
        <w:jc w:val="both"/>
        <w:rPr>
          <w:noProof/>
          <w:rtl/>
        </w:rPr>
      </w:pPr>
      <w:r>
        <w:rPr>
          <w:noProof/>
          <w:rtl/>
        </w:rPr>
        <w:t xml:space="preserve">בתסקיר </w:t>
      </w:r>
      <w:r w:rsidRPr="001B1721">
        <w:rPr>
          <w:b/>
          <w:bCs/>
          <w:noProof/>
          <w:rtl/>
        </w:rPr>
        <w:t>שלישי</w:t>
      </w:r>
      <w:r>
        <w:rPr>
          <w:noProof/>
          <w:rtl/>
        </w:rPr>
        <w:t xml:space="preserve"> מתאריך 01.09.21 הנאשם שיתף פעולה עם גורמי אבחון ביחידה להתמכרויות וניכר כי התחיל הליך טיפולי. מנגד, הנאשם לא הופיע לבדיקות שתן אליהן זומן ולא שמר על קשר עם שירות המבחן. על מנת לבחון את מידת שיתוף הפעולה לאורך זמן הומלץ על דחיית הדיון.</w:t>
      </w:r>
    </w:p>
    <w:p w14:paraId="196019ED" w14:textId="77777777" w:rsidR="001A7439" w:rsidRDefault="001A7439" w:rsidP="001A7439">
      <w:pPr>
        <w:spacing w:line="360" w:lineRule="auto"/>
        <w:jc w:val="both"/>
        <w:rPr>
          <w:noProof/>
          <w:rtl/>
        </w:rPr>
      </w:pPr>
    </w:p>
    <w:p w14:paraId="16CF63F4" w14:textId="77777777" w:rsidR="001A7439" w:rsidRDefault="001A7439" w:rsidP="001A7439">
      <w:pPr>
        <w:spacing w:line="360" w:lineRule="auto"/>
        <w:jc w:val="both"/>
        <w:rPr>
          <w:noProof/>
          <w:rtl/>
        </w:rPr>
      </w:pPr>
      <w:r>
        <w:rPr>
          <w:noProof/>
          <w:rtl/>
        </w:rPr>
        <w:t xml:space="preserve">בתסקיר </w:t>
      </w:r>
      <w:r w:rsidRPr="001B1721">
        <w:rPr>
          <w:b/>
          <w:bCs/>
          <w:noProof/>
          <w:rtl/>
        </w:rPr>
        <w:t>רביעי</w:t>
      </w:r>
      <w:r>
        <w:rPr>
          <w:noProof/>
          <w:rtl/>
        </w:rPr>
        <w:t xml:space="preserve"> מתאריך 12.01.22 חלה רגרסיה במצבו של הנאשם אשר שיתוף הפעולה עם גורמי הטיפול הפך ללא יציב, הנאשם דיווח על שימוש מזדמן </w:t>
      </w:r>
      <w:r>
        <w:rPr>
          <w:rFonts w:hint="cs"/>
          <w:noProof/>
          <w:rtl/>
        </w:rPr>
        <w:t>ב</w:t>
      </w:r>
      <w:r>
        <w:rPr>
          <w:noProof/>
          <w:rtl/>
        </w:rPr>
        <w:t>קנאביס ועל רצונו לקבל אישור לשימוש בקנאביס רפואי. גורמי הטיפול התרשמו שהנאשם עסוק במחירים שישלם בגין ההליך המשפטי והשלכותיו על חייו. הנאשם פוטר מעבודתו, לא שמר על קשר רציף עם שירות המבחן ולא התייצב לבדיקות שתן. בשל ההתרשמות שהנאשם מונע ממוטיבציה חיצונית ומתקשה לשתף פעולה לאורך זמן, התקשה שירות המבחן לבוא בהמלצה טיפולית והעריך קיומו של סיכון להישנות עבירות דומות. הומלץ על דחיית הדיון אם הנאשם יתחייב לשתף פעולה באופן מלא ועקבי.</w:t>
      </w:r>
    </w:p>
    <w:p w14:paraId="2D3A4CBA" w14:textId="77777777" w:rsidR="001A7439" w:rsidRDefault="001A7439" w:rsidP="001A7439">
      <w:pPr>
        <w:spacing w:line="360" w:lineRule="auto"/>
        <w:jc w:val="both"/>
        <w:rPr>
          <w:noProof/>
          <w:rtl/>
        </w:rPr>
      </w:pPr>
    </w:p>
    <w:p w14:paraId="309E412E" w14:textId="77777777" w:rsidR="001A7439" w:rsidRDefault="001A7439" w:rsidP="001A7439">
      <w:pPr>
        <w:spacing w:line="360" w:lineRule="auto"/>
        <w:jc w:val="both"/>
        <w:rPr>
          <w:noProof/>
          <w:rtl/>
        </w:rPr>
      </w:pPr>
      <w:r>
        <w:rPr>
          <w:noProof/>
          <w:rtl/>
        </w:rPr>
        <w:t xml:space="preserve">בתסקיר </w:t>
      </w:r>
      <w:r w:rsidRPr="001B1721">
        <w:rPr>
          <w:b/>
          <w:bCs/>
          <w:noProof/>
          <w:rtl/>
        </w:rPr>
        <w:t>חמישי</w:t>
      </w:r>
      <w:r>
        <w:rPr>
          <w:noProof/>
          <w:rtl/>
        </w:rPr>
        <w:t xml:space="preserve"> מתאריך 28.04.22 הנאשם חידש </w:t>
      </w:r>
      <w:r>
        <w:rPr>
          <w:rFonts w:hint="cs"/>
          <w:noProof/>
          <w:rtl/>
        </w:rPr>
        <w:t>את ה</w:t>
      </w:r>
      <w:r>
        <w:rPr>
          <w:noProof/>
          <w:rtl/>
        </w:rPr>
        <w:t>קשר עם גורמי הטיפול וביטא נכונות מילולית להמשך הטיפול לצד רצון להימנע משימוש בחומרים ממכרים ולכן נקבעה לו וועדת אבחון. הנאשם שב לעבודתו ובמקביל החל לעבוד במסעדה. הנאשם ציין שאיננו צורך סמים אך הציג מסמכים רפואיים לפיהם סובל מכאבים כרוניים ומטופל בתרופות נרקוטיות ולכן פועל להוצאת רישיון לשימוש בקנאביס רפואי.</w:t>
      </w:r>
    </w:p>
    <w:p w14:paraId="423751BC" w14:textId="77777777" w:rsidR="001A7439" w:rsidRDefault="001A7439" w:rsidP="001A7439">
      <w:pPr>
        <w:spacing w:line="360" w:lineRule="auto"/>
        <w:jc w:val="both"/>
        <w:rPr>
          <w:noProof/>
          <w:rtl/>
        </w:rPr>
      </w:pPr>
      <w:r>
        <w:rPr>
          <w:noProof/>
          <w:rtl/>
        </w:rPr>
        <w:t>בדיקות שתן שמסר מצאו ממצאים גבוליים. לאור ההתפתחויות וועדת האבחון שנקבעה הומלץ על דחיית הדיון.</w:t>
      </w:r>
    </w:p>
    <w:p w14:paraId="5F4772D6" w14:textId="77777777" w:rsidR="001A7439" w:rsidRDefault="001A7439" w:rsidP="001A7439">
      <w:pPr>
        <w:spacing w:line="360" w:lineRule="auto"/>
        <w:jc w:val="both"/>
        <w:rPr>
          <w:noProof/>
          <w:rtl/>
        </w:rPr>
      </w:pPr>
    </w:p>
    <w:p w14:paraId="530D57E7" w14:textId="77777777" w:rsidR="001A7439" w:rsidRDefault="001A7439" w:rsidP="001A7439">
      <w:pPr>
        <w:spacing w:line="360" w:lineRule="auto"/>
        <w:jc w:val="both"/>
        <w:rPr>
          <w:noProof/>
          <w:rtl/>
        </w:rPr>
      </w:pPr>
      <w:r>
        <w:rPr>
          <w:noProof/>
          <w:rtl/>
        </w:rPr>
        <w:t xml:space="preserve">בתסקיר </w:t>
      </w:r>
      <w:r w:rsidRPr="001B1721">
        <w:rPr>
          <w:b/>
          <w:bCs/>
          <w:noProof/>
          <w:rtl/>
        </w:rPr>
        <w:t>שישי</w:t>
      </w:r>
      <w:r>
        <w:rPr>
          <w:noProof/>
          <w:rtl/>
        </w:rPr>
        <w:t xml:space="preserve"> מתאריך 02.06.22 הנאשם שיתף שהקפיא את ניסיונו להוצאת רישיון לשימוש בקנאביס מתוך רצון לשמור על ניקיון מוחלט מסמים וכעת נוטל משככי כאבים על פי המלצת הרופא. הנאשם הביע נכונות מילולית להמשיך את הקשר הטיפולי ומסר בדיקות שתן נקיות.</w:t>
      </w:r>
    </w:p>
    <w:p w14:paraId="41F222CB" w14:textId="77777777" w:rsidR="001A7439" w:rsidRDefault="001A7439" w:rsidP="001A7439">
      <w:pPr>
        <w:spacing w:line="360" w:lineRule="auto"/>
        <w:jc w:val="both"/>
        <w:rPr>
          <w:noProof/>
          <w:rtl/>
        </w:rPr>
      </w:pPr>
      <w:r>
        <w:rPr>
          <w:noProof/>
          <w:rtl/>
        </w:rPr>
        <w:t>וועדת האבחון שנערכה מצאה שלנאשם התמכרות לקנאביס וקיימת נזקקות התערבות טיפולית ייעודית בתחום ההתמכרויות. הנאשם הביע תזוזה חיובית ביכולתו לשיתוף פעולה ואולם בשל חוסר היציבות בשיתוף פעולה לאורך זמן סבר שירות המבחן שטרם בשלו התנאים למסירת המלצה סופית והמליץ פעם נוספת על דחיית הדיון.</w:t>
      </w:r>
    </w:p>
    <w:p w14:paraId="012D927A" w14:textId="77777777" w:rsidR="001A7439" w:rsidRDefault="001A7439" w:rsidP="001A7439">
      <w:pPr>
        <w:spacing w:line="360" w:lineRule="auto"/>
        <w:jc w:val="both"/>
        <w:rPr>
          <w:noProof/>
          <w:rtl/>
        </w:rPr>
      </w:pPr>
    </w:p>
    <w:p w14:paraId="4C5905CC" w14:textId="77777777" w:rsidR="001A7439" w:rsidRDefault="001A7439" w:rsidP="001A7439">
      <w:pPr>
        <w:spacing w:line="360" w:lineRule="auto"/>
        <w:jc w:val="both"/>
        <w:rPr>
          <w:noProof/>
          <w:rtl/>
        </w:rPr>
      </w:pPr>
      <w:r>
        <w:rPr>
          <w:noProof/>
          <w:rtl/>
        </w:rPr>
        <w:t>בדיון מתאריך 07.06.22 קבעתי שתסקירי שירות המבחן – שישה במספר כאמור – מלמדים על חידוש קשר טיפולי בסמוך למועדי דיון וכי עולה הרושם ששירות המבחן מעוניין לסייע לנאשם יותר משהוא מעוניין בהליך טיפולי. עוד קבעתי כי הליך טיפולי הינו זכות שיש להילחם עליה ולא חובה ולאחר שישה תסקירים שנפרסו לאורך שנה וחצי, הוכיח הנאשם שאין הוא חפץ בדרך זו ועל כן קבעתי שההליך מול שירות המבחן מוצה.</w:t>
      </w:r>
    </w:p>
    <w:p w14:paraId="0E4034C9" w14:textId="77777777" w:rsidR="001A7439" w:rsidRDefault="001A7439" w:rsidP="001A7439">
      <w:pPr>
        <w:spacing w:line="360" w:lineRule="auto"/>
        <w:jc w:val="both"/>
        <w:rPr>
          <w:noProof/>
          <w:rtl/>
        </w:rPr>
      </w:pPr>
    </w:p>
    <w:p w14:paraId="5035C182" w14:textId="77777777" w:rsidR="001A7439" w:rsidRDefault="001A7439" w:rsidP="001A7439">
      <w:pPr>
        <w:spacing w:line="360" w:lineRule="auto"/>
        <w:jc w:val="both"/>
        <w:rPr>
          <w:noProof/>
          <w:rtl/>
        </w:rPr>
      </w:pPr>
      <w:r>
        <w:rPr>
          <w:noProof/>
          <w:rtl/>
        </w:rPr>
        <w:t>לבקשת ב"כ הנאשם, הוריתי על הפנית הנאשם אל הממונה על עבודות השירות מבלי שהדבר ילמד על העונש שייגזר. בתאריך 14.07.22 התקבלה חוות דעת הממונה על עבודות השירות לפיה הנאשם נמצא כשיר לבצע עבודות שירות בעיריית חדרה.</w:t>
      </w:r>
    </w:p>
    <w:p w14:paraId="394D84CC" w14:textId="77777777" w:rsidR="001A7439" w:rsidRDefault="001A7439" w:rsidP="001A7439">
      <w:pPr>
        <w:spacing w:line="360" w:lineRule="auto"/>
        <w:jc w:val="both"/>
        <w:rPr>
          <w:noProof/>
          <w:rtl/>
        </w:rPr>
      </w:pPr>
    </w:p>
    <w:p w14:paraId="6DEC6784" w14:textId="77777777" w:rsidR="001A7439" w:rsidRDefault="001A7439" w:rsidP="001A7439">
      <w:pPr>
        <w:spacing w:line="360" w:lineRule="auto"/>
        <w:jc w:val="both"/>
        <w:rPr>
          <w:b/>
          <w:bCs/>
          <w:noProof/>
          <w:color w:val="FF0000"/>
          <w:sz w:val="40"/>
          <w:szCs w:val="40"/>
          <w:rtl/>
        </w:rPr>
      </w:pPr>
      <w:r>
        <w:rPr>
          <w:b/>
          <w:bCs/>
          <w:noProof/>
          <w:u w:val="single"/>
          <w:rtl/>
        </w:rPr>
        <w:t>טיעונים וראיות הצדדים לעונש</w:t>
      </w:r>
      <w:r>
        <w:rPr>
          <w:b/>
          <w:bCs/>
          <w:noProof/>
          <w:rtl/>
        </w:rPr>
        <w:t xml:space="preserve">: </w:t>
      </w:r>
    </w:p>
    <w:p w14:paraId="214C11E4" w14:textId="77777777" w:rsidR="001A7439" w:rsidRDefault="001A7439" w:rsidP="001A7439">
      <w:pPr>
        <w:spacing w:line="360" w:lineRule="auto"/>
        <w:jc w:val="both"/>
        <w:rPr>
          <w:noProof/>
          <w:rtl/>
        </w:rPr>
      </w:pPr>
      <w:r>
        <w:rPr>
          <w:noProof/>
          <w:rtl/>
        </w:rPr>
        <w:t>המאשימה הפנתה לעובדות כתב האישום וכן לפגיעה בערכים המוגנים של בריאות הציבור כאשר בתי המשפט עמדו על כך שיש לנהוג בחומרה עם מבצעי העבירות על מנת למגר אותן וכי כל עוד הקנאביס מוגדר כסם מסוכן, הרי שכך יש להתייחס אליו.</w:t>
      </w:r>
    </w:p>
    <w:p w14:paraId="7E5710B2" w14:textId="77777777" w:rsidR="001A7439" w:rsidRDefault="001A7439" w:rsidP="001A7439">
      <w:pPr>
        <w:spacing w:line="360" w:lineRule="auto"/>
        <w:jc w:val="both"/>
        <w:rPr>
          <w:noProof/>
          <w:rtl/>
        </w:rPr>
      </w:pPr>
      <w:r>
        <w:rPr>
          <w:noProof/>
          <w:rtl/>
        </w:rPr>
        <w:t>לאחר שהפנתה למספר השתילים הרב שנשתלו ולכמות הסם שנתפסה מחולקת</w:t>
      </w:r>
      <w:r>
        <w:rPr>
          <w:rFonts w:hint="cs"/>
          <w:noProof/>
          <w:rtl/>
        </w:rPr>
        <w:t xml:space="preserve"> למנות</w:t>
      </w:r>
      <w:r>
        <w:rPr>
          <w:noProof/>
          <w:rtl/>
        </w:rPr>
        <w:t>, המאשימה עתרה לקביעת מתחם ענישה בין 7-18 חודשי מאסר בפועל תוך שהפנתה לפסיקה בה נקבעו מתחמים דומים הגם שדובר בכמות רבה יותר משמעותית של החזקת סם.</w:t>
      </w:r>
    </w:p>
    <w:p w14:paraId="6D2877B2" w14:textId="77777777" w:rsidR="001A7439" w:rsidRDefault="001A7439" w:rsidP="001A7439">
      <w:pPr>
        <w:spacing w:line="360" w:lineRule="auto"/>
        <w:jc w:val="both"/>
        <w:rPr>
          <w:noProof/>
          <w:rtl/>
        </w:rPr>
      </w:pPr>
    </w:p>
    <w:p w14:paraId="4484CB65" w14:textId="77777777" w:rsidR="001A7439" w:rsidRDefault="001A7439" w:rsidP="001A7439">
      <w:pPr>
        <w:spacing w:line="360" w:lineRule="auto"/>
        <w:jc w:val="both"/>
        <w:rPr>
          <w:noProof/>
          <w:rtl/>
        </w:rPr>
      </w:pPr>
      <w:r>
        <w:rPr>
          <w:noProof/>
          <w:rtl/>
        </w:rPr>
        <w:t>אשר לנסיבותיו של הנאשם, לחובתו 2 הרשעות קודמות פליליות משנים 2010 ו-2015 וכן שתי הרשעות שעניינן תעבורה (ת/1). המאשימה הפנתה לכך שבסופו של דבר, שירות המבחן לא הצליח לרתום את הנאשם להליך שיקומי ולא בא בהמלצה שיקומית ומעריך סיכון להישנות העבירות. בהתאם לכך, ביקשה המאשימה לגזור על הנאשם עונש ברף הבינוני של המתחם כך שעונשו יעמוד על 12 חודשי מאסר בפועל, ענישה צופה פני עתיד, פסילת רישיון נהיגה וקנס.</w:t>
      </w:r>
    </w:p>
    <w:p w14:paraId="357BB28A" w14:textId="77777777" w:rsidR="001A7439" w:rsidRDefault="001A7439" w:rsidP="001A7439">
      <w:pPr>
        <w:spacing w:line="360" w:lineRule="auto"/>
        <w:jc w:val="both"/>
        <w:rPr>
          <w:noProof/>
          <w:rtl/>
        </w:rPr>
      </w:pPr>
    </w:p>
    <w:p w14:paraId="657D3198" w14:textId="77777777" w:rsidR="001A7439" w:rsidRDefault="001A7439" w:rsidP="001A7439">
      <w:pPr>
        <w:spacing w:line="360" w:lineRule="auto"/>
        <w:jc w:val="both"/>
        <w:rPr>
          <w:noProof/>
          <w:rtl/>
        </w:rPr>
      </w:pPr>
      <w:r>
        <w:rPr>
          <w:noProof/>
          <w:rtl/>
        </w:rPr>
        <w:t xml:space="preserve">ב"כ הנאשם פתח טיעוניו בטענה שלנאשם נסיבות חיים קשות בשלן השתמש בסם לצריכה עצמית וכי הודה בעבירות בהזדמנות הראשונה הן במשטרה והן בפני בית המשפט. </w:t>
      </w:r>
    </w:p>
    <w:p w14:paraId="0EE48FC7" w14:textId="77777777" w:rsidR="001A7439" w:rsidRDefault="001A7439" w:rsidP="001A7439">
      <w:pPr>
        <w:spacing w:line="360" w:lineRule="auto"/>
        <w:jc w:val="both"/>
        <w:rPr>
          <w:noProof/>
          <w:rtl/>
        </w:rPr>
      </w:pPr>
    </w:p>
    <w:p w14:paraId="716C8CEC" w14:textId="77777777" w:rsidR="001A7439" w:rsidRDefault="001A7439" w:rsidP="001A7439">
      <w:pPr>
        <w:spacing w:line="360" w:lineRule="auto"/>
        <w:jc w:val="both"/>
        <w:rPr>
          <w:noProof/>
          <w:rtl/>
        </w:rPr>
      </w:pPr>
      <w:r>
        <w:rPr>
          <w:noProof/>
          <w:rtl/>
        </w:rPr>
        <w:t xml:space="preserve">הסנגור טען שהנאשם לא ידע שתצמח כמות כזו גדולה של שתילים מאחר ומדובר בגידול חובבני, כאשר הנאשם לא הסתייע בכל מיני מאווררים והדברים האחרים אותם מוצאים בדרך כלל. כמו כן, הפנה לכך שהמדובר בסם במדרג הנמוך ועתר לקביעת מתחם שנע מענישה צופה פני עתיד ועד 8 חודשי מאסר בפועל וזאתלאחר שהפנה לפסיקה רלוונטית. </w:t>
      </w:r>
    </w:p>
    <w:p w14:paraId="6C672C72" w14:textId="77777777" w:rsidR="001A7439" w:rsidRDefault="001A7439" w:rsidP="001A7439">
      <w:pPr>
        <w:spacing w:line="360" w:lineRule="auto"/>
        <w:jc w:val="both"/>
        <w:rPr>
          <w:noProof/>
          <w:rtl/>
        </w:rPr>
      </w:pPr>
    </w:p>
    <w:p w14:paraId="4D211536" w14:textId="77777777" w:rsidR="001A7439" w:rsidRDefault="001A7439" w:rsidP="001A7439">
      <w:pPr>
        <w:spacing w:line="360" w:lineRule="auto"/>
        <w:jc w:val="both"/>
        <w:rPr>
          <w:noProof/>
          <w:rtl/>
        </w:rPr>
      </w:pPr>
      <w:r>
        <w:rPr>
          <w:noProof/>
          <w:rtl/>
        </w:rPr>
        <w:t>מאחר שהנאשם הודה בהזדמנות הראשונה, לאור התרשמות שירות המבחן שקיים סיכוי לשיקום הנאשם ואין לחובתו עבר מכביד, כמו גם היותו מפרנס יחיד של ארבעה קטינים, ביקש ב"כ הנאשם להתספק בענישה הצופה פני עתיד או לחלופין, לגזור על הנאשם חודשיים עבודות שירות ומאסר על תנאי.</w:t>
      </w:r>
    </w:p>
    <w:p w14:paraId="0937A5F1" w14:textId="77777777" w:rsidR="001A7439" w:rsidRDefault="001A7439" w:rsidP="001A7439">
      <w:pPr>
        <w:spacing w:line="360" w:lineRule="auto"/>
        <w:jc w:val="both"/>
        <w:rPr>
          <w:noProof/>
          <w:rtl/>
        </w:rPr>
      </w:pPr>
    </w:p>
    <w:p w14:paraId="36E5C28D" w14:textId="77777777" w:rsidR="001A7439" w:rsidRDefault="001A7439" w:rsidP="001A7439">
      <w:pPr>
        <w:spacing w:line="360" w:lineRule="auto"/>
        <w:jc w:val="both"/>
        <w:rPr>
          <w:noProof/>
          <w:rtl/>
        </w:rPr>
      </w:pPr>
      <w:r>
        <w:rPr>
          <w:noProof/>
          <w:rtl/>
        </w:rPr>
        <w:t>הנאשם הביע חרטה על מעשיו וטען שהפסיק לעשן.</w:t>
      </w:r>
    </w:p>
    <w:p w14:paraId="27657750" w14:textId="77777777" w:rsidR="001A7439" w:rsidRDefault="001A7439" w:rsidP="001A7439">
      <w:pPr>
        <w:spacing w:after="120" w:line="360" w:lineRule="auto"/>
        <w:jc w:val="both"/>
        <w:rPr>
          <w:rFonts w:ascii="Tahoma" w:hAnsi="Tahoma"/>
          <w:b/>
          <w:bCs/>
          <w:noProof/>
          <w:u w:val="single"/>
          <w:rtl/>
        </w:rPr>
      </w:pPr>
    </w:p>
    <w:p w14:paraId="7A9EF49A" w14:textId="77777777" w:rsidR="001A7439" w:rsidRDefault="001A7439" w:rsidP="001A7439">
      <w:pPr>
        <w:spacing w:after="120" w:line="360" w:lineRule="auto"/>
        <w:jc w:val="both"/>
        <w:rPr>
          <w:rFonts w:ascii="Tahoma" w:hAnsi="Tahoma"/>
          <w:b/>
          <w:bCs/>
          <w:noProof/>
          <w:u w:val="single"/>
          <w:rtl/>
        </w:rPr>
      </w:pPr>
      <w:r>
        <w:rPr>
          <w:rFonts w:ascii="Tahoma" w:hAnsi="Tahoma"/>
          <w:b/>
          <w:bCs/>
          <w:noProof/>
          <w:u w:val="single"/>
          <w:rtl/>
        </w:rPr>
        <w:t>דיון והכרעה</w:t>
      </w:r>
      <w:r>
        <w:rPr>
          <w:rFonts w:ascii="Tahoma" w:hAnsi="Tahoma"/>
          <w:b/>
          <w:bCs/>
          <w:noProof/>
          <w:rtl/>
        </w:rPr>
        <w:t>:</w:t>
      </w:r>
    </w:p>
    <w:p w14:paraId="3F1AAF28" w14:textId="77777777" w:rsidR="001A7439" w:rsidRDefault="001A7439" w:rsidP="001A7439">
      <w:pPr>
        <w:spacing w:line="360" w:lineRule="auto"/>
        <w:jc w:val="both"/>
        <w:rPr>
          <w:rFonts w:ascii="Arial" w:hAnsi="Arial" w:cs="Arial"/>
          <w:noProof/>
          <w:rtl/>
        </w:rPr>
      </w:pPr>
      <w:r>
        <w:rPr>
          <w:noProof/>
          <w:rtl/>
        </w:rPr>
        <w:t>תיקון 113 ל</w:t>
      </w:r>
      <w:hyperlink r:id="rId19" w:history="1">
        <w:r w:rsidR="0079399C" w:rsidRPr="0079399C">
          <w:rPr>
            <w:noProof/>
            <w:color w:val="0000FF"/>
            <w:u w:val="single"/>
            <w:rtl/>
          </w:rPr>
          <w:t>חוק העונשין</w:t>
        </w:r>
      </w:hyperlink>
      <w:r>
        <w:rPr>
          <w:noProof/>
          <w:rtl/>
        </w:rPr>
        <w:t xml:space="preserve">, עיגן את הבניית שיקול הדעת השיפוטי והעניק מעמד בכורה לעיקרון ההלימה, היינו קיומו של יחס הולם בין חומרת מעשי העבירה, בנסיבותיו ומידת אשמו של הנאשם ובין סוג ומידת העונש המוטל עליו. בהתאם לתיקון לחוק, על בית המשפט לקבוע את מתחם העונש ההולם למעשה העבירות שביצע הנאשם. לשם כך יתחשב בית המשפט בערך החברתי שנפגע מביצוע העבירה, במידת הפגיעה בו, במדיניות הענישה הנהוגה ובנסיבות הקשורות בביצוע העבירה המפורטות </w:t>
      </w:r>
      <w:hyperlink r:id="rId20" w:history="1">
        <w:r w:rsidR="00416C93" w:rsidRPr="00416C93">
          <w:rPr>
            <w:rStyle w:val="Hyperlink"/>
            <w:noProof/>
            <w:rtl/>
          </w:rPr>
          <w:t>בסעיף 40ט'</w:t>
        </w:r>
      </w:hyperlink>
      <w:r>
        <w:rPr>
          <w:noProof/>
          <w:rtl/>
        </w:rPr>
        <w:t xml:space="preserve"> ל</w:t>
      </w:r>
      <w:hyperlink r:id="rId21" w:history="1">
        <w:r w:rsidR="0079399C" w:rsidRPr="0079399C">
          <w:rPr>
            <w:noProof/>
            <w:color w:val="0000FF"/>
            <w:u w:val="single"/>
            <w:rtl/>
          </w:rPr>
          <w:t>חוק העונשין</w:t>
        </w:r>
      </w:hyperlink>
      <w:r>
        <w:rPr>
          <w:noProof/>
          <w:rtl/>
        </w:rPr>
        <w:t xml:space="preserve">. </w:t>
      </w:r>
    </w:p>
    <w:p w14:paraId="7DBE6B11" w14:textId="77777777" w:rsidR="001A7439" w:rsidRDefault="001A7439" w:rsidP="001A7439">
      <w:pPr>
        <w:spacing w:line="360" w:lineRule="auto"/>
        <w:jc w:val="both"/>
        <w:rPr>
          <w:noProof/>
          <w:rtl/>
        </w:rPr>
      </w:pPr>
    </w:p>
    <w:p w14:paraId="0D1E6DB4" w14:textId="77777777" w:rsidR="001A7439" w:rsidRDefault="001A7439" w:rsidP="001A7439">
      <w:pPr>
        <w:spacing w:line="360" w:lineRule="auto"/>
        <w:jc w:val="both"/>
        <w:rPr>
          <w:noProof/>
          <w:rtl/>
        </w:rPr>
      </w:pPr>
      <w:r>
        <w:rPr>
          <w:noProof/>
          <w:rtl/>
        </w:rPr>
        <w:t xml:space="preserve">לכשייקבע מתחם הענישה, יקבע בית המשפט את העונש המתאים, בתוך המתחם, אשר יוטל על הנאשם וזאת בהתחשב בנסיבות שאינן קשורות בביצוע העבירה המפורטות </w:t>
      </w:r>
      <w:hyperlink r:id="rId22" w:history="1">
        <w:r w:rsidR="00416C93" w:rsidRPr="00416C93">
          <w:rPr>
            <w:rStyle w:val="Hyperlink"/>
            <w:noProof/>
            <w:rtl/>
          </w:rPr>
          <w:t>בסעיף 40יא'</w:t>
        </w:r>
      </w:hyperlink>
      <w:r>
        <w:rPr>
          <w:noProof/>
          <w:rtl/>
        </w:rPr>
        <w:t xml:space="preserve"> לחוק. </w:t>
      </w:r>
    </w:p>
    <w:p w14:paraId="6363560D" w14:textId="77777777" w:rsidR="001A7439" w:rsidRDefault="001A7439" w:rsidP="001A7439">
      <w:pPr>
        <w:spacing w:line="360" w:lineRule="auto"/>
        <w:jc w:val="both"/>
        <w:rPr>
          <w:noProof/>
        </w:rPr>
      </w:pPr>
    </w:p>
    <w:p w14:paraId="74E90B62" w14:textId="77777777" w:rsidR="001A7439" w:rsidRDefault="001A7439" w:rsidP="001A7439">
      <w:pPr>
        <w:spacing w:line="360" w:lineRule="auto"/>
        <w:jc w:val="both"/>
        <w:rPr>
          <w:noProof/>
        </w:rPr>
      </w:pPr>
      <w:r>
        <w:rPr>
          <w:noProof/>
          <w:rtl/>
        </w:rPr>
        <w:t xml:space="preserve">בית המשפט רשאי לחרוג ממתחם העונש ההולם בשל שיקולי שיקום או הגנה על שלום הציבור לפי </w:t>
      </w:r>
      <w:hyperlink r:id="rId23" w:history="1">
        <w:r w:rsidR="00416C93" w:rsidRPr="00416C93">
          <w:rPr>
            <w:rStyle w:val="Hyperlink"/>
            <w:noProof/>
            <w:rtl/>
          </w:rPr>
          <w:t>סעיפים 40ד'</w:t>
        </w:r>
      </w:hyperlink>
      <w:r>
        <w:rPr>
          <w:noProof/>
          <w:rtl/>
        </w:rPr>
        <w:t xml:space="preserve"> ו</w:t>
      </w:r>
      <w:hyperlink r:id="rId24" w:history="1">
        <w:r w:rsidR="00416C93" w:rsidRPr="00416C93">
          <w:rPr>
            <w:rStyle w:val="Hyperlink"/>
            <w:noProof/>
            <w:rtl/>
          </w:rPr>
          <w:t>40 ה'</w:t>
        </w:r>
      </w:hyperlink>
      <w:r>
        <w:rPr>
          <w:noProof/>
          <w:rtl/>
        </w:rPr>
        <w:t xml:space="preserve"> לחוק.</w:t>
      </w:r>
    </w:p>
    <w:p w14:paraId="2B66A690" w14:textId="77777777" w:rsidR="001A7439" w:rsidRDefault="001A7439" w:rsidP="001A7439">
      <w:pPr>
        <w:spacing w:line="360" w:lineRule="auto"/>
        <w:jc w:val="both"/>
        <w:rPr>
          <w:rFonts w:ascii="Arial" w:hAnsi="Arial"/>
          <w:noProof/>
          <w:rtl/>
        </w:rPr>
      </w:pPr>
    </w:p>
    <w:p w14:paraId="1C10B4D0" w14:textId="77777777" w:rsidR="001A7439" w:rsidRDefault="001A7439" w:rsidP="001A7439">
      <w:pPr>
        <w:spacing w:after="120" w:line="360" w:lineRule="auto"/>
        <w:jc w:val="both"/>
        <w:rPr>
          <w:rFonts w:ascii="Tahoma" w:hAnsi="Tahoma"/>
          <w:b/>
          <w:bCs/>
          <w:u w:val="single"/>
          <w:rtl/>
        </w:rPr>
      </w:pPr>
      <w:r>
        <w:rPr>
          <w:rFonts w:ascii="Tahoma" w:hAnsi="Tahoma"/>
          <w:b/>
          <w:bCs/>
          <w:u w:val="single"/>
          <w:rtl/>
        </w:rPr>
        <w:t>קביעת מתחם העונש ההולם</w:t>
      </w:r>
      <w:r>
        <w:rPr>
          <w:rFonts w:ascii="Tahoma" w:hAnsi="Tahoma"/>
          <w:rtl/>
        </w:rPr>
        <w:t xml:space="preserve">: </w:t>
      </w:r>
    </w:p>
    <w:p w14:paraId="47F54283" w14:textId="77777777" w:rsidR="001A7439" w:rsidRDefault="001A7439" w:rsidP="001A7439">
      <w:pPr>
        <w:spacing w:after="240" w:line="360" w:lineRule="auto"/>
        <w:jc w:val="both"/>
        <w:rPr>
          <w:rFonts w:ascii="David" w:hAnsi="David"/>
          <w:color w:val="000000"/>
          <w:rtl/>
        </w:rPr>
      </w:pPr>
      <w:r>
        <w:rPr>
          <w:rFonts w:ascii="David" w:hAnsi="David"/>
          <w:color w:val="000000"/>
          <w:rtl/>
        </w:rPr>
        <w:t>עבירות הסמים פוגעות בשלומו ובריאותו של הציבור. גידול סם בכמויות גדולות והחזקה שלא לצריכה עצמית תורמות להפצת הסם. בנוסף לשימוש בסם עצמו, ההתמכרות לסמים והצורך במימונם יוצרת מעגלים רחבים של פשיעה בתחום הרכוש ובתחומים</w:t>
      </w:r>
      <w:r>
        <w:rPr>
          <w:rFonts w:cs="Times New Roman"/>
          <w:color w:val="000000"/>
          <w:rtl/>
        </w:rPr>
        <w:t xml:space="preserve"> </w:t>
      </w:r>
      <w:r>
        <w:rPr>
          <w:rFonts w:ascii="David" w:hAnsi="David"/>
          <w:color w:val="000000"/>
          <w:rtl/>
        </w:rPr>
        <w:t>נוספים. בתי המשפט עמדו על הצורך בענישה משמעותית בעבירות אלו, המביאה בחשבון בין היתר את כמות הסם ואת חלקו של הנאשם בביצוע העבירות (</w:t>
      </w:r>
      <w:hyperlink r:id="rId25" w:history="1">
        <w:r w:rsidR="0079399C" w:rsidRPr="0079399C">
          <w:rPr>
            <w:rFonts w:ascii="David" w:hAnsi="David"/>
            <w:color w:val="0000FF"/>
            <w:u w:val="single"/>
            <w:rtl/>
          </w:rPr>
          <w:t>רע"פ 7906/19</w:t>
        </w:r>
      </w:hyperlink>
      <w:r>
        <w:rPr>
          <w:rFonts w:ascii="David" w:hAnsi="David"/>
          <w:color w:val="000000"/>
          <w:rtl/>
        </w:rPr>
        <w:t xml:space="preserve"> </w:t>
      </w:r>
      <w:r>
        <w:rPr>
          <w:rFonts w:ascii="David" w:hAnsi="David"/>
          <w:b/>
          <w:bCs/>
          <w:color w:val="000000"/>
          <w:rtl/>
        </w:rPr>
        <w:t>אדרי נ' מדינת ישראל</w:t>
      </w:r>
      <w:r>
        <w:rPr>
          <w:rFonts w:ascii="David" w:hAnsi="David"/>
          <w:color w:val="000000"/>
          <w:rtl/>
        </w:rPr>
        <w:t xml:space="preserve"> (03.12.19)). </w:t>
      </w:r>
    </w:p>
    <w:p w14:paraId="27058936" w14:textId="77777777" w:rsidR="001A7439" w:rsidRDefault="001A7439" w:rsidP="001A7439">
      <w:pPr>
        <w:pStyle w:val="2"/>
        <w:bidi/>
        <w:spacing w:before="240" w:beforeAutospacing="0" w:after="240" w:afterAutospacing="0" w:line="360" w:lineRule="auto"/>
        <w:jc w:val="both"/>
        <w:rPr>
          <w:color w:val="000000"/>
          <w:sz w:val="27"/>
          <w:szCs w:val="27"/>
          <w:rtl/>
        </w:rPr>
      </w:pPr>
      <w:r>
        <w:rPr>
          <w:rFonts w:ascii="David" w:hAnsi="David" w:cs="David"/>
          <w:rtl/>
        </w:rPr>
        <w:t>ב</w:t>
      </w:r>
      <w:hyperlink r:id="rId26" w:history="1">
        <w:r w:rsidR="0079399C" w:rsidRPr="0079399C">
          <w:rPr>
            <w:rFonts w:ascii="David" w:hAnsi="David" w:cs="David"/>
            <w:color w:val="0000FF"/>
            <w:u w:val="single"/>
            <w:rtl/>
          </w:rPr>
          <w:t>ע"פ 4387/20</w:t>
        </w:r>
      </w:hyperlink>
      <w:r w:rsidR="0079399C">
        <w:rPr>
          <w:rFonts w:ascii="David" w:hAnsi="David" w:cs="David"/>
          <w:rtl/>
        </w:rPr>
        <w:t xml:space="preserve"> </w:t>
      </w:r>
      <w:r>
        <w:rPr>
          <w:rFonts w:ascii="David" w:hAnsi="David" w:cs="David"/>
          <w:b/>
          <w:bCs/>
          <w:rtl/>
        </w:rPr>
        <w:t xml:space="preserve">מדינת </w:t>
      </w:r>
      <w:r>
        <w:rPr>
          <w:rFonts w:ascii="David" w:hAnsi="David" w:cs="David"/>
          <w:b/>
          <w:bCs/>
          <w:color w:val="000000"/>
          <w:rtl/>
        </w:rPr>
        <w:t>ישראל נ' דרור</w:t>
      </w:r>
      <w:r>
        <w:rPr>
          <w:rFonts w:ascii="David" w:hAnsi="David" w:cs="David"/>
          <w:color w:val="000000"/>
          <w:rtl/>
        </w:rPr>
        <w:t xml:space="preserve"> (8.2.2021) נכתב:</w:t>
      </w:r>
    </w:p>
    <w:p w14:paraId="1A6DAC7E" w14:textId="77777777" w:rsidR="001A7439" w:rsidRDefault="001A7439" w:rsidP="001A7439">
      <w:pPr>
        <w:pStyle w:val="2"/>
        <w:bidi/>
        <w:spacing w:before="0" w:beforeAutospacing="0" w:after="0" w:afterAutospacing="0" w:line="360" w:lineRule="auto"/>
        <w:ind w:left="567" w:right="567"/>
        <w:jc w:val="both"/>
        <w:rPr>
          <w:rFonts w:ascii="David" w:hAnsi="David" w:cs="David"/>
          <w:color w:val="000000"/>
        </w:rPr>
      </w:pPr>
      <w:r>
        <w:rPr>
          <w:rFonts w:ascii="David" w:hAnsi="David" w:cs="David"/>
          <w:color w:val="000000"/>
          <w:rtl/>
        </w:rPr>
        <w:t>"</w:t>
      </w:r>
      <w:r>
        <w:rPr>
          <w:rFonts w:ascii="David" w:hAnsi="David" w:cs="David"/>
          <w:b/>
          <w:bCs/>
          <w:color w:val="000000"/>
          <w:rtl/>
        </w:rPr>
        <w:t>בית משפט זה עמד לא אחת על חומרתן של עבירות הסמים והדגיש כי יש צורך בהטלת ענישה ממשית אשר תרתיע עבריינים פוטנציאליים מביצוען. זאת, בין היתר במטרה למגר את מעבדות הסמים הפועלות במדינה, המתפשטות כאש בשדה קוצים. רמת ענישה זו, כפי שמשתקפת במדיניות הענישה הנוהגת, אף יש בה כדי להביע מסר חד וברור כי ניסיונות להקמת מיזמים מן הסוג כבמקרה דנן, אינן בעלות תוחלת כלכלית</w:t>
      </w:r>
      <w:r>
        <w:rPr>
          <w:rFonts w:ascii="David" w:hAnsi="David" w:cs="David"/>
          <w:color w:val="000000"/>
          <w:rtl/>
        </w:rPr>
        <w:t>".</w:t>
      </w:r>
    </w:p>
    <w:p w14:paraId="7C7F295F" w14:textId="77777777" w:rsidR="001A7439" w:rsidRDefault="001A7439" w:rsidP="001A7439">
      <w:pPr>
        <w:pStyle w:val="2"/>
        <w:bidi/>
        <w:spacing w:before="240" w:beforeAutospacing="0" w:after="240" w:afterAutospacing="0" w:line="360" w:lineRule="auto"/>
        <w:jc w:val="both"/>
        <w:rPr>
          <w:rFonts w:ascii="David" w:hAnsi="David" w:cs="David"/>
          <w:color w:val="000000"/>
          <w:rtl/>
        </w:rPr>
      </w:pPr>
      <w:r>
        <w:rPr>
          <w:rFonts w:ascii="David" w:hAnsi="David" w:cs="David"/>
          <w:color w:val="000000"/>
          <w:rtl/>
        </w:rPr>
        <w:t>עוד הודגש בפסיקה כי אף שרשויות האכיפה מציגות מדיניות אכיפה מקלה יותר לגבי שימוש בקנבוס – השימוש בקנבוס אסור ויש להמשיך להילחם בתופעות של גידול והפצה של סם זה:</w:t>
      </w:r>
    </w:p>
    <w:p w14:paraId="35632C48" w14:textId="77777777" w:rsidR="001A7439" w:rsidRDefault="001A7439" w:rsidP="001A7439">
      <w:pPr>
        <w:pStyle w:val="2"/>
        <w:bidi/>
        <w:spacing w:before="0" w:beforeAutospacing="0" w:after="240" w:afterAutospacing="0" w:line="360" w:lineRule="auto"/>
        <w:ind w:left="567" w:right="567"/>
        <w:jc w:val="both"/>
        <w:rPr>
          <w:rFonts w:ascii="David" w:hAnsi="David" w:cs="David"/>
          <w:color w:val="000000"/>
          <w:rtl/>
        </w:rPr>
      </w:pPr>
      <w:r>
        <w:rPr>
          <w:rFonts w:ascii="David" w:hAnsi="David" w:cs="David"/>
          <w:color w:val="000000"/>
          <w:rtl/>
        </w:rPr>
        <w:t>"</w:t>
      </w:r>
      <w:r>
        <w:rPr>
          <w:rFonts w:ascii="David" w:hAnsi="David" w:cs="David"/>
          <w:b/>
          <w:bCs/>
          <w:color w:val="000000"/>
          <w:rtl/>
        </w:rPr>
        <w:t xml:space="preserve">לטעמי זה אינו סם קל אלא סם פחות חמור. ממילא, אין זו המסגרת לבחון את מדיניות רשויות האכיפה. מתוך הנחה שהיא ראויה, הרי שהיא נועדה בעיקר למשתמשים בסם זה לשימוש עצמי, ולא בתדירות גבוהה... מדיניות החדשה זו לא נועדה לעודד הספקה או ייצור של סם, ואין בה לגרוע מהתכלית החברתית של מלחמה נגד התופעות אלו. עולה כי מדיניות הענישה למשתמש העצמי בסם מסוג קנבוס פעם ראשונה לחוד, ומדיניות הענישה למפיץ, לסוחר ולמגדל, ולמסייע להם – </w:t>
      </w:r>
      <w:r>
        <w:rPr>
          <w:rFonts w:ascii="David" w:hAnsi="David" w:cs="David"/>
          <w:b/>
          <w:bCs/>
          <w:rtl/>
        </w:rPr>
        <w:t>לחוד</w:t>
      </w:r>
      <w:r>
        <w:rPr>
          <w:rFonts w:ascii="David" w:hAnsi="David" w:cs="David"/>
          <w:rtl/>
        </w:rPr>
        <w:t>" (</w:t>
      </w:r>
      <w:hyperlink r:id="rId27" w:history="1">
        <w:r w:rsidR="0079399C" w:rsidRPr="0079399C">
          <w:rPr>
            <w:rFonts w:ascii="David" w:hAnsi="David" w:cs="David"/>
            <w:color w:val="0000FF"/>
            <w:u w:val="single"/>
            <w:rtl/>
          </w:rPr>
          <w:t>ע"פ 5807/17</w:t>
        </w:r>
      </w:hyperlink>
      <w:r w:rsidR="0079399C">
        <w:rPr>
          <w:rFonts w:ascii="David" w:hAnsi="David" w:cs="David"/>
          <w:b/>
          <w:bCs/>
          <w:rtl/>
        </w:rPr>
        <w:t xml:space="preserve"> </w:t>
      </w:r>
      <w:r>
        <w:rPr>
          <w:rFonts w:ascii="David" w:hAnsi="David" w:cs="David"/>
          <w:b/>
          <w:bCs/>
          <w:rtl/>
        </w:rPr>
        <w:t xml:space="preserve">דרחי </w:t>
      </w:r>
      <w:r>
        <w:rPr>
          <w:rFonts w:ascii="David" w:hAnsi="David" w:cs="David"/>
          <w:b/>
          <w:bCs/>
          <w:color w:val="000000"/>
          <w:rtl/>
        </w:rPr>
        <w:t>נ' מדינת ישראל</w:t>
      </w:r>
      <w:r>
        <w:rPr>
          <w:rFonts w:ascii="David" w:hAnsi="David" w:cs="David"/>
          <w:color w:val="000000"/>
          <w:rtl/>
        </w:rPr>
        <w:t xml:space="preserve"> (18.6.2018))</w:t>
      </w:r>
    </w:p>
    <w:p w14:paraId="38A688EB" w14:textId="77777777" w:rsidR="001A7439" w:rsidRDefault="001A7439" w:rsidP="001A7439">
      <w:pPr>
        <w:pStyle w:val="2"/>
        <w:bidi/>
        <w:spacing w:before="0" w:beforeAutospacing="0" w:after="240" w:afterAutospacing="0" w:line="360" w:lineRule="auto"/>
        <w:ind w:left="567" w:right="567"/>
        <w:jc w:val="both"/>
        <w:rPr>
          <w:rFonts w:ascii="David" w:hAnsi="David" w:cs="David"/>
          <w:color w:val="000000"/>
          <w:rtl/>
        </w:rPr>
      </w:pPr>
    </w:p>
    <w:p w14:paraId="67DF7324" w14:textId="77777777" w:rsidR="001A7439" w:rsidRDefault="001A7439" w:rsidP="001A7439">
      <w:pPr>
        <w:pStyle w:val="2"/>
        <w:bidi/>
        <w:spacing w:before="0" w:beforeAutospacing="0" w:after="240" w:afterAutospacing="0" w:line="360" w:lineRule="auto"/>
        <w:ind w:left="567" w:right="567"/>
        <w:jc w:val="both"/>
        <w:rPr>
          <w:rFonts w:ascii="David" w:hAnsi="David" w:cs="David"/>
          <w:color w:val="000000"/>
        </w:rPr>
      </w:pPr>
    </w:p>
    <w:p w14:paraId="025108C5" w14:textId="77777777" w:rsidR="001A7439" w:rsidRDefault="001A7439" w:rsidP="001A7439">
      <w:pPr>
        <w:spacing w:line="360" w:lineRule="auto"/>
        <w:jc w:val="both"/>
        <w:rPr>
          <w:rFonts w:ascii="David" w:hAnsi="David"/>
          <w:color w:val="000000"/>
          <w:rtl/>
        </w:rPr>
      </w:pPr>
      <w:r>
        <w:rPr>
          <w:rFonts w:ascii="David" w:hAnsi="David"/>
          <w:color w:val="000000"/>
          <w:rtl/>
        </w:rPr>
        <w:t>וב</w:t>
      </w:r>
      <w:hyperlink r:id="rId28" w:history="1">
        <w:r w:rsidR="0079399C" w:rsidRPr="0079399C">
          <w:rPr>
            <w:rFonts w:ascii="David" w:hAnsi="David"/>
            <w:color w:val="0000FF"/>
            <w:u w:val="single"/>
            <w:rtl/>
          </w:rPr>
          <w:t>עפ"ג (מרכז) 72782-12-18</w:t>
        </w:r>
      </w:hyperlink>
      <w:r>
        <w:rPr>
          <w:rFonts w:ascii="David" w:hAnsi="David"/>
          <w:color w:val="000000"/>
          <w:rtl/>
        </w:rPr>
        <w:t xml:space="preserve"> אדרי נ' מדינת ישראל (29.10.19) נאמר:</w:t>
      </w:r>
    </w:p>
    <w:p w14:paraId="79CA1520" w14:textId="77777777" w:rsidR="001A7439" w:rsidRPr="001A7439" w:rsidRDefault="001A7439" w:rsidP="001A7439">
      <w:pPr>
        <w:pStyle w:val="a3"/>
        <w:spacing w:line="360" w:lineRule="auto"/>
        <w:ind w:left="567" w:right="567"/>
        <w:jc w:val="both"/>
        <w:rPr>
          <w:rFonts w:ascii="David" w:eastAsia="Calibri" w:hAnsi="David"/>
          <w:b/>
          <w:bCs/>
          <w:color w:val="000000"/>
          <w:rtl/>
        </w:rPr>
      </w:pPr>
      <w:r>
        <w:rPr>
          <w:rFonts w:ascii="David" w:hAnsi="David"/>
          <w:color w:val="000000"/>
          <w:rtl/>
        </w:rPr>
        <w:t>"</w:t>
      </w:r>
      <w:r>
        <w:rPr>
          <w:rFonts w:ascii="David" w:hAnsi="David"/>
          <w:b/>
          <w:bCs/>
          <w:color w:val="000000"/>
          <w:rtl/>
        </w:rPr>
        <w:t>אין צורך להכביר מילים אודות החומרה היתרה הטמונה בעבירות מהסוג שביצעו המערערים. תופעת המעבדות לגידול סמים הפכה ל"מכת מדינה" ושומה על בתי המשפט לתת כתף למלחמה בתופעה זו נוכח פוטנציאל הנזק הרב הגלום בה.</w:t>
      </w:r>
    </w:p>
    <w:p w14:paraId="5899693B" w14:textId="77777777" w:rsidR="001A7439" w:rsidRDefault="001A7439" w:rsidP="001A7439">
      <w:pPr>
        <w:pStyle w:val="a3"/>
        <w:spacing w:before="240" w:after="96" w:line="360" w:lineRule="auto"/>
        <w:ind w:left="567" w:right="567"/>
        <w:jc w:val="both"/>
        <w:rPr>
          <w:rFonts w:ascii="David" w:hAnsi="David"/>
          <w:b/>
          <w:bCs/>
          <w:color w:val="000000"/>
        </w:rPr>
      </w:pPr>
      <w:r>
        <w:rPr>
          <w:rFonts w:ascii="David" w:hAnsi="David"/>
          <w:b/>
          <w:bCs/>
          <w:color w:val="000000"/>
          <w:rtl/>
        </w:rPr>
        <w:t xml:space="preserve">ראו בהקשר זה דברי בית המשפט </w:t>
      </w:r>
      <w:r>
        <w:rPr>
          <w:rFonts w:ascii="David" w:hAnsi="David"/>
          <w:b/>
          <w:bCs/>
          <w:rtl/>
        </w:rPr>
        <w:t>העליון ב</w:t>
      </w:r>
      <w:hyperlink r:id="rId29" w:history="1">
        <w:r w:rsidR="0079399C" w:rsidRPr="0079399C">
          <w:rPr>
            <w:rFonts w:ascii="David" w:hAnsi="David"/>
            <w:b/>
            <w:bCs/>
            <w:color w:val="0000FF"/>
            <w:u w:val="single"/>
            <w:rtl/>
          </w:rPr>
          <w:t>ע"פ 211/09</w:t>
        </w:r>
      </w:hyperlink>
      <w:r w:rsidR="0079399C">
        <w:rPr>
          <w:rFonts w:ascii="David" w:hAnsi="David"/>
          <w:b/>
          <w:bCs/>
          <w:rtl/>
        </w:rPr>
        <w:t xml:space="preserve"> </w:t>
      </w:r>
      <w:r>
        <w:rPr>
          <w:rFonts w:ascii="David" w:hAnsi="David"/>
          <w:b/>
          <w:bCs/>
          <w:rtl/>
        </w:rPr>
        <w:t xml:space="preserve">אזולאי </w:t>
      </w:r>
      <w:r>
        <w:rPr>
          <w:rFonts w:ascii="David" w:hAnsi="David"/>
          <w:b/>
          <w:bCs/>
          <w:color w:val="000000"/>
          <w:rtl/>
        </w:rPr>
        <w:t>נ' מדינת ישראל, פסקה 10 (22.6.2010):</w:t>
      </w:r>
    </w:p>
    <w:p w14:paraId="1066EFE7" w14:textId="77777777" w:rsidR="001A7439" w:rsidRDefault="001A7439" w:rsidP="001A7439">
      <w:pPr>
        <w:pStyle w:val="a00"/>
        <w:bidi/>
        <w:spacing w:before="0" w:beforeAutospacing="0" w:after="96" w:afterAutospacing="0" w:line="360" w:lineRule="auto"/>
        <w:ind w:left="567" w:right="567"/>
        <w:jc w:val="both"/>
        <w:rPr>
          <w:rFonts w:ascii="David" w:hAnsi="David" w:cs="David"/>
          <w:color w:val="000000"/>
          <w:rtl/>
        </w:rPr>
      </w:pPr>
      <w:r>
        <w:rPr>
          <w:rFonts w:ascii="David" w:hAnsi="David" w:cs="David"/>
          <w:b/>
          <w:bCs/>
          <w:color w:val="000000"/>
          <w:rtl/>
        </w:rPr>
        <w:t>"על חומרתה המופלגת של עבירת החזקת סמים מסוכנים שלא לצריכה עצמית אין צורך להכביר מילים, ולא כל שכן כך הוא כאשר מדובר בכמות כה גדולה של סמים מסוג זה.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p>
    <w:p w14:paraId="580E20DF" w14:textId="77777777" w:rsidR="001A7439" w:rsidRDefault="001A7439" w:rsidP="001A7439">
      <w:pPr>
        <w:spacing w:after="240" w:line="360" w:lineRule="auto"/>
        <w:jc w:val="both"/>
        <w:rPr>
          <w:rFonts w:ascii="David" w:hAnsi="David"/>
          <w:color w:val="000000"/>
          <w:rtl/>
        </w:rPr>
      </w:pPr>
      <w:r>
        <w:rPr>
          <w:rFonts w:ascii="David" w:hAnsi="David"/>
          <w:color w:val="000000"/>
          <w:rtl/>
        </w:rPr>
        <w:t>על חומרת נסיבות הקמת "המעבדות", עמד</w:t>
      </w:r>
      <w:r w:rsidR="0079399C">
        <w:rPr>
          <w:rFonts w:ascii="David" w:hAnsi="David"/>
          <w:color w:val="000000"/>
          <w:rtl/>
        </w:rPr>
        <w:t xml:space="preserve"> </w:t>
      </w:r>
      <w:r>
        <w:rPr>
          <w:rFonts w:ascii="David" w:hAnsi="David"/>
          <w:color w:val="000000"/>
          <w:rtl/>
        </w:rPr>
        <w:t>בית המשפט המחו</w:t>
      </w:r>
      <w:r>
        <w:rPr>
          <w:rFonts w:ascii="David" w:hAnsi="David"/>
          <w:rtl/>
        </w:rPr>
        <w:t>זי ב</w:t>
      </w:r>
      <w:hyperlink r:id="rId30" w:history="1">
        <w:r w:rsidR="0079399C" w:rsidRPr="0079399C">
          <w:rPr>
            <w:rFonts w:ascii="David" w:hAnsi="David"/>
            <w:color w:val="0000FF"/>
            <w:u w:val="single"/>
            <w:rtl/>
          </w:rPr>
          <w:t>עפ"ג 55495-03-18</w:t>
        </w:r>
      </w:hyperlink>
      <w:r w:rsidR="0079399C">
        <w:rPr>
          <w:rFonts w:ascii="David" w:hAnsi="David"/>
          <w:rtl/>
        </w:rPr>
        <w:t xml:space="preserve"> </w:t>
      </w:r>
      <w:r>
        <w:rPr>
          <w:rFonts w:ascii="David" w:hAnsi="David"/>
          <w:b/>
          <w:bCs/>
          <w:color w:val="000000"/>
          <w:rtl/>
        </w:rPr>
        <w:t>מדינת ישראל נ' כהן</w:t>
      </w:r>
      <w:r w:rsidR="0079399C">
        <w:rPr>
          <w:rFonts w:ascii="David" w:hAnsi="David"/>
          <w:color w:val="000000"/>
          <w:rtl/>
        </w:rPr>
        <w:t xml:space="preserve"> </w:t>
      </w:r>
      <w:r>
        <w:rPr>
          <w:rFonts w:ascii="David" w:hAnsi="David"/>
          <w:color w:val="000000"/>
          <w:rtl/>
        </w:rPr>
        <w:t>(27.05.18). במסגרת פסק הדין הוחמר עונשו של המשיב תוך שבית המשפט שם דגש על גודלן</w:t>
      </w:r>
      <w:r w:rsidR="0079399C">
        <w:rPr>
          <w:rFonts w:ascii="David" w:hAnsi="David"/>
          <w:color w:val="000000"/>
          <w:rtl/>
        </w:rPr>
        <w:t xml:space="preserve"> </w:t>
      </w:r>
      <w:r>
        <w:rPr>
          <w:rFonts w:ascii="David" w:hAnsi="David"/>
          <w:color w:val="000000"/>
          <w:rtl/>
        </w:rPr>
        <w:t xml:space="preserve"> העצום של "המעבדות" והציוד שהיה בהן, משך התקופה בה הן פעלו ולרווח הכלכלי שהיה צפוי מהן.</w:t>
      </w:r>
    </w:p>
    <w:p w14:paraId="310FEE71" w14:textId="77777777" w:rsidR="001A7439" w:rsidRPr="001A7439" w:rsidRDefault="001A7439" w:rsidP="001A7439">
      <w:pPr>
        <w:spacing w:after="240" w:line="360" w:lineRule="auto"/>
        <w:jc w:val="both"/>
        <w:rPr>
          <w:rFonts w:ascii="Calibri" w:eastAsia="Calibri" w:hAnsi="Calibri" w:cs="Arial"/>
          <w:color w:val="000000"/>
          <w:sz w:val="27"/>
          <w:szCs w:val="27"/>
          <w:rtl/>
        </w:rPr>
      </w:pPr>
      <w:r>
        <w:rPr>
          <w:rFonts w:ascii="David" w:hAnsi="David"/>
          <w:color w:val="000000"/>
          <w:rtl/>
        </w:rPr>
        <w:t>בענייננו הנאשם הורשע</w:t>
      </w:r>
      <w:r>
        <w:rPr>
          <w:rFonts w:ascii="David" w:hAnsi="David" w:hint="cs"/>
          <w:color w:val="000000"/>
          <w:rtl/>
        </w:rPr>
        <w:t xml:space="preserve"> בעבירות  לפי </w:t>
      </w:r>
      <w:hyperlink r:id="rId31" w:history="1">
        <w:r w:rsidR="0079399C" w:rsidRPr="0079399C">
          <w:rPr>
            <w:rFonts w:ascii="David" w:hAnsi="David"/>
            <w:color w:val="0000FF"/>
            <w:u w:val="single"/>
            <w:rtl/>
          </w:rPr>
          <w:t>פקודת הסמים המסוכנים</w:t>
        </w:r>
      </w:hyperlink>
      <w:r>
        <w:rPr>
          <w:rFonts w:ascii="David" w:hAnsi="David" w:hint="cs"/>
          <w:color w:val="000000"/>
          <w:rtl/>
        </w:rPr>
        <w:t xml:space="preserve"> -</w:t>
      </w:r>
      <w:r>
        <w:rPr>
          <w:rFonts w:ascii="David" w:hAnsi="David"/>
          <w:color w:val="000000"/>
          <w:rtl/>
        </w:rPr>
        <w:t xml:space="preserve"> גידול שלא לצריכה עצמית והחזקה שלא צריכה עצמית. עם זאת, מעובדות כתב האישום אכן עולה תמונה של גידול חובבני</w:t>
      </w:r>
      <w:r>
        <w:rPr>
          <w:rFonts w:ascii="David" w:hAnsi="David" w:hint="cs"/>
          <w:color w:val="000000"/>
          <w:rtl/>
        </w:rPr>
        <w:t>,</w:t>
      </w:r>
      <w:r>
        <w:rPr>
          <w:rFonts w:ascii="David" w:hAnsi="David"/>
          <w:color w:val="000000"/>
          <w:rtl/>
        </w:rPr>
        <w:t xml:space="preserve"> לא נמצאו ציוד וכלים המשמשים "מעבדות" דומות וכל שנמצאו זה מספר שתילים ככל הנראה קטנים </w:t>
      </w:r>
      <w:r w:rsidRPr="00852141">
        <w:rPr>
          <w:rFonts w:ascii="David" w:hAnsi="David"/>
          <w:color w:val="000000"/>
          <w:u w:val="single"/>
          <w:rtl/>
        </w:rPr>
        <w:t>בגג ובמרפסת הבית</w:t>
      </w:r>
      <w:r>
        <w:rPr>
          <w:rFonts w:ascii="David" w:hAnsi="David"/>
          <w:color w:val="000000"/>
          <w:rtl/>
        </w:rPr>
        <w:t xml:space="preserve"> בו מתגורר הנאשם עם משפחתו (</w:t>
      </w:r>
      <w:r>
        <w:rPr>
          <w:rFonts w:ascii="David" w:hAnsi="David"/>
          <w:b/>
          <w:bCs/>
          <w:color w:val="000000"/>
          <w:rtl/>
        </w:rPr>
        <w:t>40 שתילים השוקלים מעט פחות מ-2.5 ק"ג</w:t>
      </w:r>
      <w:r>
        <w:rPr>
          <w:rFonts w:ascii="David" w:hAnsi="David"/>
          <w:color w:val="000000"/>
          <w:rtl/>
        </w:rPr>
        <w:t>). כך גם, כמות הסם שנמצאה ברשות הנאשם גבולית וחורגת במעט מהכמות המוגדרת לשימוש עצמי (</w:t>
      </w:r>
      <w:r>
        <w:rPr>
          <w:rFonts w:ascii="David" w:hAnsi="David"/>
          <w:b/>
          <w:bCs/>
          <w:color w:val="000000"/>
          <w:rtl/>
        </w:rPr>
        <w:t>16.2 גרם</w:t>
      </w:r>
      <w:r>
        <w:rPr>
          <w:rFonts w:ascii="David" w:hAnsi="David"/>
          <w:color w:val="000000"/>
          <w:rtl/>
        </w:rPr>
        <w:t xml:space="preserve">). המאשימה טוענת שהכמות חולקה למנות ואולם, מעובדות כתב האישום עולה ש"המנות" חולקו באופן לא שווה ותמוה. כך למשל, נתפסה שקית </w:t>
      </w:r>
      <w:r>
        <w:rPr>
          <w:rFonts w:ascii="David" w:hAnsi="David"/>
          <w:color w:val="000000"/>
          <w:u w:val="single"/>
          <w:rtl/>
        </w:rPr>
        <w:t>במכנסי הנאשם שהיו בחדר הכביסה</w:t>
      </w:r>
      <w:r>
        <w:rPr>
          <w:rFonts w:ascii="David" w:hAnsi="David"/>
          <w:color w:val="000000"/>
          <w:rtl/>
        </w:rPr>
        <w:t xml:space="preserve"> ובתוכה קנאביס במשקל 0.98 גרם וזאת לצד </w:t>
      </w:r>
      <w:r>
        <w:rPr>
          <w:rFonts w:ascii="David" w:hAnsi="David"/>
          <w:color w:val="000000"/>
          <w:u w:val="single"/>
          <w:rtl/>
        </w:rPr>
        <w:t>שקית בארון המטבח</w:t>
      </w:r>
      <w:r>
        <w:rPr>
          <w:rFonts w:ascii="David" w:hAnsi="David"/>
          <w:color w:val="000000"/>
          <w:rtl/>
        </w:rPr>
        <w:t xml:space="preserve"> במשקל 2.72 גרם, </w:t>
      </w:r>
      <w:r>
        <w:rPr>
          <w:rFonts w:ascii="David" w:hAnsi="David"/>
          <w:color w:val="000000"/>
          <w:u w:val="single"/>
          <w:rtl/>
        </w:rPr>
        <w:t>שקית מעל התנור</w:t>
      </w:r>
      <w:r>
        <w:rPr>
          <w:rFonts w:ascii="David" w:hAnsi="David"/>
          <w:color w:val="000000"/>
          <w:rtl/>
        </w:rPr>
        <w:t xml:space="preserve"> במשקל 4.49 גרם </w:t>
      </w:r>
      <w:r>
        <w:rPr>
          <w:rFonts w:ascii="David" w:hAnsi="David"/>
          <w:color w:val="000000"/>
          <w:u w:val="single"/>
          <w:rtl/>
        </w:rPr>
        <w:t>ושקית במרפסת הבית</w:t>
      </w:r>
      <w:r>
        <w:rPr>
          <w:rFonts w:ascii="David" w:hAnsi="David"/>
          <w:color w:val="000000"/>
          <w:rtl/>
        </w:rPr>
        <w:t xml:space="preserve"> במשקל 8.04 גרם. בנסיבות אלה, אני דוחה את טענות המאשימה שהמדובר בחלוקה למנות שנועדו להפצה ודומה כי העובדות והמשקלים מתיישבים יותר עם טענת הנאשם לשימוש עצמי וזאת להבדיל, ממקרים אחרים בהם נכתב "</w:t>
      </w:r>
      <w:r>
        <w:rPr>
          <w:rFonts w:ascii="David" w:hAnsi="David"/>
          <w:b/>
          <w:bCs/>
          <w:color w:val="000000"/>
          <w:rtl/>
        </w:rPr>
        <w:t>שלא מדובר במעידה חד פעמית וספונטנית או בגידול מזדמן וחובבני, אלא בנאשם שהשקיע מחשבה רבה בהקמת המעבדה, בגידול הסם, כמו גם השקיע כסף לשכירת הדירה ולרכישת הציוד לצד הזמן הרב והמשאבים שנדרשו לצורך הפעלת המעבדה, כך שמדובר היה בעסק של ממש מבחינתו</w:t>
      </w:r>
      <w:r>
        <w:rPr>
          <w:rFonts w:ascii="David" w:hAnsi="David"/>
          <w:color w:val="000000"/>
          <w:rtl/>
        </w:rPr>
        <w:t>" (</w:t>
      </w:r>
      <w:hyperlink r:id="rId32" w:history="1">
        <w:r w:rsidR="0079399C" w:rsidRPr="0079399C">
          <w:rPr>
            <w:rFonts w:ascii="David" w:hAnsi="David"/>
            <w:color w:val="0000FF"/>
            <w:u w:val="single"/>
            <w:rtl/>
          </w:rPr>
          <w:t>ת"פ (מחוזי ת"א) 23190-04-21</w:t>
        </w:r>
      </w:hyperlink>
      <w:r w:rsidR="0079399C">
        <w:rPr>
          <w:rFonts w:ascii="David" w:hAnsi="David"/>
          <w:color w:val="000000"/>
          <w:rtl/>
        </w:rPr>
        <w:t xml:space="preserve"> </w:t>
      </w:r>
      <w:r>
        <w:rPr>
          <w:rFonts w:ascii="David" w:hAnsi="David"/>
          <w:b/>
          <w:bCs/>
          <w:color w:val="000000"/>
          <w:rtl/>
        </w:rPr>
        <w:t>מדינת ישראל נ' מאיר שרגא</w:t>
      </w:r>
      <w:r w:rsidR="0079399C">
        <w:rPr>
          <w:rFonts w:ascii="David" w:hAnsi="David"/>
          <w:color w:val="000000"/>
          <w:rtl/>
        </w:rPr>
        <w:t xml:space="preserve"> </w:t>
      </w:r>
      <w:r>
        <w:rPr>
          <w:rFonts w:ascii="David" w:hAnsi="David"/>
          <w:color w:val="000000"/>
          <w:rtl/>
        </w:rPr>
        <w:t>(נבו 18.07.2022)).</w:t>
      </w:r>
    </w:p>
    <w:p w14:paraId="4B3B4050" w14:textId="77777777" w:rsidR="001A7439" w:rsidRDefault="001A7439" w:rsidP="001A7439">
      <w:pPr>
        <w:spacing w:after="240" w:line="360" w:lineRule="auto"/>
        <w:jc w:val="both"/>
        <w:rPr>
          <w:rFonts w:ascii="David" w:hAnsi="David"/>
          <w:b/>
          <w:bCs/>
          <w:spacing w:val="10"/>
          <w:rtl/>
        </w:rPr>
      </w:pPr>
      <w:r>
        <w:rPr>
          <w:rFonts w:ascii="David" w:hAnsi="David"/>
          <w:rtl/>
        </w:rPr>
        <w:t>ב</w:t>
      </w:r>
      <w:hyperlink r:id="rId33" w:history="1">
        <w:r w:rsidR="0079399C" w:rsidRPr="0079399C">
          <w:rPr>
            <w:rFonts w:ascii="David" w:hAnsi="David"/>
            <w:color w:val="0000FF"/>
            <w:u w:val="single"/>
            <w:rtl/>
          </w:rPr>
          <w:t>ע"פ 126/22</w:t>
        </w:r>
      </w:hyperlink>
      <w:r w:rsidR="0079399C">
        <w:rPr>
          <w:rFonts w:ascii="David" w:hAnsi="David"/>
          <w:rtl/>
        </w:rPr>
        <w:t xml:space="preserve"> </w:t>
      </w:r>
      <w:r>
        <w:rPr>
          <w:rFonts w:ascii="David" w:hAnsi="David"/>
          <w:b/>
          <w:bCs/>
          <w:rtl/>
        </w:rPr>
        <w:t>מדינת ישראל נ' פלוני</w:t>
      </w:r>
      <w:r w:rsidR="0079399C">
        <w:rPr>
          <w:rFonts w:ascii="David" w:hAnsi="David"/>
          <w:rtl/>
        </w:rPr>
        <w:t xml:space="preserve"> </w:t>
      </w:r>
      <w:r>
        <w:rPr>
          <w:rFonts w:ascii="David" w:hAnsi="David"/>
          <w:rtl/>
        </w:rPr>
        <w:t>(27.4.22) נכתב: "</w:t>
      </w:r>
      <w:r>
        <w:rPr>
          <w:rFonts w:ascii="David" w:hAnsi="David"/>
          <w:b/>
          <w:bCs/>
          <w:spacing w:val="10"/>
          <w:rtl/>
        </w:rPr>
        <w:t xml:space="preserve">הלכה מושרשת היא שבעבירות של ייצור והפקת סם מסוכן בכמות משמעותית, על הענישה להיות </w:t>
      </w:r>
      <w:r w:rsidRPr="007254BD">
        <w:rPr>
          <w:rFonts w:ascii="David" w:hAnsi="David"/>
          <w:b/>
          <w:bCs/>
          <w:spacing w:val="10"/>
          <w:rtl/>
        </w:rPr>
        <w:t>מחמירה ומרתיעה (</w:t>
      </w:r>
      <w:hyperlink r:id="rId34" w:history="1">
        <w:r w:rsidR="0079399C" w:rsidRPr="0079399C">
          <w:rPr>
            <w:rFonts w:ascii="David" w:hAnsi="David"/>
            <w:b/>
            <w:bCs/>
            <w:color w:val="0000FF"/>
            <w:spacing w:val="10"/>
            <w:u w:val="single"/>
            <w:rtl/>
          </w:rPr>
          <w:t>ע"פ 2596/18</w:t>
        </w:r>
      </w:hyperlink>
      <w:r w:rsidR="0079399C">
        <w:rPr>
          <w:rFonts w:ascii="David" w:hAnsi="David"/>
          <w:b/>
          <w:bCs/>
          <w:spacing w:val="10"/>
          <w:rtl/>
        </w:rPr>
        <w:t xml:space="preserve"> </w:t>
      </w:r>
      <w:r w:rsidRPr="007254BD">
        <w:rPr>
          <w:rFonts w:ascii="David" w:hAnsi="David"/>
          <w:b/>
          <w:bCs/>
          <w:rtl/>
        </w:rPr>
        <w:t>זנזורי נ' מדינת ישראל</w:t>
      </w:r>
      <w:r w:rsidRPr="007254BD">
        <w:rPr>
          <w:rFonts w:ascii="David" w:hAnsi="David"/>
          <w:b/>
          <w:bCs/>
          <w:spacing w:val="10"/>
          <w:rtl/>
        </w:rPr>
        <w:t>, פס' 8</w:t>
      </w:r>
      <w:r w:rsidR="0079399C">
        <w:rPr>
          <w:rFonts w:ascii="David" w:hAnsi="David"/>
          <w:b/>
          <w:bCs/>
          <w:spacing w:val="10"/>
          <w:rtl/>
        </w:rPr>
        <w:t xml:space="preserve"> </w:t>
      </w:r>
      <w:r w:rsidRPr="007254BD">
        <w:rPr>
          <w:rFonts w:ascii="David" w:hAnsi="David"/>
          <w:b/>
          <w:bCs/>
          <w:rtl/>
        </w:rPr>
        <w:t>[פורסם בנבו]</w:t>
      </w:r>
      <w:r w:rsidR="0079399C">
        <w:rPr>
          <w:rFonts w:ascii="David" w:hAnsi="David"/>
          <w:b/>
          <w:bCs/>
          <w:rtl/>
        </w:rPr>
        <w:t xml:space="preserve"> </w:t>
      </w:r>
      <w:r w:rsidRPr="007254BD">
        <w:rPr>
          <w:rFonts w:ascii="David" w:hAnsi="David"/>
          <w:b/>
          <w:bCs/>
          <w:spacing w:val="10"/>
          <w:rtl/>
        </w:rPr>
        <w:t>(12.8.2018)). עב</w:t>
      </w:r>
      <w:r>
        <w:rPr>
          <w:rFonts w:ascii="David" w:hAnsi="David"/>
          <w:b/>
          <w:bCs/>
          <w:spacing w:val="10"/>
          <w:rtl/>
        </w:rPr>
        <w:t xml:space="preserve">ירות כאלו מעוררות "צורך בהטלת ענישה ממשית אשר תרתיע עבריינים פוטנציאליים מביצוען. זאת, בין היתר במטרה למגר את מעבדות הסמים הפועלות במדינה, המתפשטות כאש בשדה </w:t>
      </w:r>
      <w:r w:rsidRPr="007254BD">
        <w:rPr>
          <w:rFonts w:ascii="David" w:hAnsi="David"/>
          <w:b/>
          <w:bCs/>
          <w:spacing w:val="10"/>
          <w:rtl/>
        </w:rPr>
        <w:t>קוצים" (</w:t>
      </w:r>
      <w:hyperlink r:id="rId35" w:history="1">
        <w:r w:rsidR="0079399C" w:rsidRPr="0079399C">
          <w:rPr>
            <w:rFonts w:ascii="David" w:hAnsi="David"/>
            <w:b/>
            <w:bCs/>
            <w:color w:val="0000FF"/>
            <w:spacing w:val="10"/>
            <w:u w:val="single"/>
            <w:rtl/>
          </w:rPr>
          <w:t>ע"פ 4387/20</w:t>
        </w:r>
      </w:hyperlink>
      <w:r w:rsidR="0079399C">
        <w:rPr>
          <w:rFonts w:ascii="David" w:hAnsi="David"/>
          <w:b/>
          <w:bCs/>
          <w:spacing w:val="10"/>
          <w:rtl/>
        </w:rPr>
        <w:t xml:space="preserve"> </w:t>
      </w:r>
      <w:r w:rsidRPr="007254BD">
        <w:rPr>
          <w:rFonts w:ascii="David" w:hAnsi="David"/>
          <w:b/>
          <w:bCs/>
          <w:rtl/>
        </w:rPr>
        <w:t>מדינת ישראל נ' דרור</w:t>
      </w:r>
      <w:r w:rsidRPr="007254BD">
        <w:rPr>
          <w:rFonts w:ascii="David" w:hAnsi="David"/>
          <w:b/>
          <w:bCs/>
          <w:spacing w:val="10"/>
          <w:rtl/>
        </w:rPr>
        <w:t>, פס' 13</w:t>
      </w:r>
      <w:r w:rsidR="0079399C">
        <w:rPr>
          <w:rFonts w:ascii="David" w:hAnsi="David"/>
          <w:b/>
          <w:bCs/>
          <w:spacing w:val="10"/>
          <w:rtl/>
        </w:rPr>
        <w:t xml:space="preserve"> </w:t>
      </w:r>
      <w:r w:rsidRPr="007254BD">
        <w:rPr>
          <w:rFonts w:ascii="David" w:hAnsi="David"/>
          <w:b/>
          <w:bCs/>
          <w:rtl/>
        </w:rPr>
        <w:t>[פורסם בנבו]</w:t>
      </w:r>
      <w:r w:rsidR="0079399C">
        <w:rPr>
          <w:rFonts w:ascii="David" w:hAnsi="David"/>
          <w:b/>
          <w:bCs/>
          <w:rtl/>
        </w:rPr>
        <w:t xml:space="preserve"> </w:t>
      </w:r>
      <w:r w:rsidRPr="007254BD">
        <w:rPr>
          <w:rFonts w:ascii="David" w:hAnsi="David"/>
          <w:b/>
          <w:bCs/>
          <w:spacing w:val="10"/>
          <w:rtl/>
        </w:rPr>
        <w:t>(8.2.2021)). כוחם של דב</w:t>
      </w:r>
      <w:r>
        <w:rPr>
          <w:rFonts w:ascii="David" w:hAnsi="David"/>
          <w:b/>
          <w:bCs/>
          <w:spacing w:val="10"/>
          <w:rtl/>
        </w:rPr>
        <w:t>רים אלו יפה גם ביחס לסם מסוג קנבוס, כבענייננו, שלגביו כבר נקבע כי "סחר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 (עניין</w:t>
      </w:r>
      <w:r w:rsidR="0079399C">
        <w:rPr>
          <w:rFonts w:ascii="David" w:hAnsi="David"/>
          <w:b/>
          <w:bCs/>
          <w:spacing w:val="10"/>
          <w:rtl/>
        </w:rPr>
        <w:t xml:space="preserve"> </w:t>
      </w:r>
      <w:r>
        <w:rPr>
          <w:rFonts w:ascii="David" w:hAnsi="David"/>
          <w:b/>
          <w:bCs/>
          <w:rtl/>
        </w:rPr>
        <w:t>זנזורי</w:t>
      </w:r>
      <w:r>
        <w:rPr>
          <w:rFonts w:ascii="David" w:hAnsi="David"/>
          <w:b/>
          <w:bCs/>
          <w:spacing w:val="10"/>
          <w:rtl/>
        </w:rPr>
        <w:t>, פס' 8; ראו גם:</w:t>
      </w:r>
      <w:r w:rsidR="0079399C">
        <w:rPr>
          <w:rFonts w:ascii="David" w:hAnsi="David"/>
          <w:b/>
          <w:bCs/>
          <w:spacing w:val="10"/>
          <w:rtl/>
        </w:rPr>
        <w:t xml:space="preserve"> </w:t>
      </w:r>
      <w:hyperlink r:id="rId36" w:history="1">
        <w:r w:rsidR="0079399C" w:rsidRPr="0079399C">
          <w:rPr>
            <w:rFonts w:ascii="David" w:hAnsi="David"/>
            <w:b/>
            <w:bCs/>
            <w:color w:val="0000FF"/>
            <w:spacing w:val="10"/>
            <w:u w:val="single"/>
            <w:rtl/>
          </w:rPr>
          <w:t>ע"פ 6299/20</w:t>
        </w:r>
      </w:hyperlink>
      <w:r w:rsidR="0079399C">
        <w:rPr>
          <w:rFonts w:ascii="David" w:hAnsi="David"/>
          <w:b/>
          <w:bCs/>
          <w:spacing w:val="10"/>
          <w:rtl/>
        </w:rPr>
        <w:t xml:space="preserve"> </w:t>
      </w:r>
      <w:r>
        <w:rPr>
          <w:rFonts w:ascii="David" w:hAnsi="David"/>
          <w:b/>
          <w:bCs/>
          <w:rtl/>
        </w:rPr>
        <w:t>חן נ' מדינת ישראל</w:t>
      </w:r>
      <w:r w:rsidR="0079399C">
        <w:rPr>
          <w:rFonts w:ascii="David" w:hAnsi="David"/>
          <w:b/>
          <w:bCs/>
          <w:spacing w:val="10"/>
          <w:rtl/>
        </w:rPr>
        <w:t xml:space="preserve"> </w:t>
      </w:r>
      <w:r>
        <w:rPr>
          <w:rFonts w:ascii="David" w:hAnsi="David"/>
          <w:b/>
          <w:bCs/>
          <w:rtl/>
        </w:rPr>
        <w:t>[פורסם בנבו]</w:t>
      </w:r>
      <w:r w:rsidR="0079399C">
        <w:rPr>
          <w:rFonts w:ascii="David" w:hAnsi="David"/>
          <w:b/>
          <w:bCs/>
          <w:rtl/>
        </w:rPr>
        <w:t xml:space="preserve"> </w:t>
      </w:r>
      <w:r>
        <w:rPr>
          <w:rFonts w:ascii="David" w:hAnsi="David"/>
          <w:b/>
          <w:bCs/>
          <w:spacing w:val="10"/>
          <w:rtl/>
        </w:rPr>
        <w:t>(4.2.2021)).</w:t>
      </w:r>
      <w:r w:rsidR="0079399C">
        <w:rPr>
          <w:rFonts w:ascii="David" w:hAnsi="David"/>
          <w:b/>
          <w:bCs/>
          <w:spacing w:val="10"/>
          <w:rtl/>
        </w:rPr>
        <w:t xml:space="preserve"> </w:t>
      </w:r>
    </w:p>
    <w:p w14:paraId="3B1F200B" w14:textId="77777777" w:rsidR="001A7439" w:rsidRDefault="001A7439" w:rsidP="001A7439">
      <w:pPr>
        <w:pStyle w:val="ruller40"/>
        <w:bidi/>
        <w:spacing w:before="0" w:beforeAutospacing="0" w:after="0" w:afterAutospacing="0" w:line="360" w:lineRule="auto"/>
        <w:jc w:val="both"/>
        <w:rPr>
          <w:rFonts w:ascii="David" w:hAnsi="David" w:cs="David"/>
          <w:spacing w:val="10"/>
          <w:rtl/>
        </w:rPr>
      </w:pPr>
      <w:r>
        <w:rPr>
          <w:rFonts w:ascii="David" w:hAnsi="David" w:cs="David"/>
          <w:b/>
          <w:bCs/>
          <w:spacing w:val="10"/>
          <w:rtl/>
        </w:rPr>
        <w:t>באופן פרטני יותר, ביחס לעבירות של</w:t>
      </w:r>
      <w:r w:rsidR="0079399C">
        <w:rPr>
          <w:rFonts w:ascii="David" w:hAnsi="David" w:cs="David"/>
          <w:b/>
          <w:bCs/>
          <w:spacing w:val="10"/>
          <w:rtl/>
        </w:rPr>
        <w:t xml:space="preserve"> </w:t>
      </w:r>
      <w:r>
        <w:rPr>
          <w:rFonts w:ascii="David" w:hAnsi="David" w:cs="David"/>
          <w:b/>
          <w:bCs/>
          <w:spacing w:val="10"/>
          <w:rtl/>
        </w:rPr>
        <w:t>גידול</w:t>
      </w:r>
      <w:r w:rsidR="0079399C">
        <w:rPr>
          <w:rFonts w:ascii="David" w:hAnsi="David" w:cs="David"/>
          <w:b/>
          <w:bCs/>
          <w:spacing w:val="10"/>
          <w:rtl/>
        </w:rPr>
        <w:t xml:space="preserve"> </w:t>
      </w:r>
      <w:r>
        <w:rPr>
          <w:rFonts w:ascii="David" w:hAnsi="David" w:cs="David"/>
          <w:b/>
          <w:bCs/>
          <w:spacing w:val="10"/>
          <w:rtl/>
        </w:rPr>
        <w:t xml:space="preserve">וייצור סם נקבע כי </w:t>
      </w:r>
      <w:r>
        <w:rPr>
          <w:rFonts w:ascii="David" w:hAnsi="David" w:cs="David"/>
          <w:b/>
          <w:bCs/>
          <w:spacing w:val="10"/>
          <w:u w:val="single"/>
          <w:rtl/>
        </w:rPr>
        <w:t>יש לתת משקל משמעותי, בין היתר, להיקף הגידול וההחזקה של הסמים שלא לצריכה עצמית, בשים לב לכמות השתילים ולמשקל הסמים שכבר גדלו, כמו גם להיקף התכנון, הכלים והמשאבים שהושקעו בגידול</w:t>
      </w:r>
      <w:r>
        <w:rPr>
          <w:rFonts w:ascii="David" w:hAnsi="David" w:cs="David"/>
          <w:b/>
          <w:bCs/>
          <w:spacing w:val="10"/>
          <w:rtl/>
        </w:rPr>
        <w:t xml:space="preserve"> (ראו, למשל:</w:t>
      </w:r>
      <w:r w:rsidR="0079399C">
        <w:rPr>
          <w:rFonts w:ascii="David" w:hAnsi="David" w:cs="David"/>
          <w:b/>
          <w:bCs/>
          <w:spacing w:val="10"/>
          <w:rtl/>
        </w:rPr>
        <w:t xml:space="preserve"> </w:t>
      </w:r>
      <w:hyperlink r:id="rId37" w:history="1">
        <w:r w:rsidR="0079399C" w:rsidRPr="0079399C">
          <w:rPr>
            <w:rFonts w:ascii="David" w:hAnsi="David" w:cs="David"/>
            <w:b/>
            <w:bCs/>
            <w:color w:val="0000FF"/>
            <w:spacing w:val="10"/>
            <w:u w:val="single"/>
            <w:rtl/>
          </w:rPr>
          <w:t>ע"פ 8988/16</w:t>
        </w:r>
      </w:hyperlink>
      <w:r w:rsidR="0079399C">
        <w:rPr>
          <w:rFonts w:ascii="David" w:hAnsi="David" w:cs="David"/>
          <w:b/>
          <w:bCs/>
          <w:spacing w:val="10"/>
          <w:rtl/>
        </w:rPr>
        <w:t xml:space="preserve"> </w:t>
      </w:r>
      <w:r>
        <w:rPr>
          <w:rFonts w:ascii="David" w:hAnsi="David" w:cs="David"/>
          <w:b/>
          <w:bCs/>
          <w:rtl/>
        </w:rPr>
        <w:t>בן סימון נ' מדינת ישראל</w:t>
      </w:r>
      <w:r>
        <w:rPr>
          <w:rFonts w:ascii="David" w:hAnsi="David" w:cs="David"/>
          <w:b/>
          <w:bCs/>
          <w:spacing w:val="10"/>
          <w:rtl/>
        </w:rPr>
        <w:t>,</w:t>
      </w:r>
      <w:r w:rsidR="0079399C">
        <w:rPr>
          <w:rFonts w:ascii="David" w:hAnsi="David" w:cs="David"/>
          <w:b/>
          <w:bCs/>
          <w:spacing w:val="10"/>
          <w:rtl/>
        </w:rPr>
        <w:t xml:space="preserve"> </w:t>
      </w:r>
      <w:r>
        <w:rPr>
          <w:rFonts w:ascii="David" w:hAnsi="David" w:cs="David"/>
          <w:b/>
          <w:bCs/>
          <w:spacing w:val="10"/>
          <w:rtl/>
        </w:rPr>
        <w:t>פס' 3</w:t>
      </w:r>
      <w:r w:rsidR="0079399C">
        <w:rPr>
          <w:rFonts w:ascii="David" w:hAnsi="David" w:cs="David"/>
          <w:b/>
          <w:bCs/>
          <w:spacing w:val="10"/>
          <w:rtl/>
        </w:rPr>
        <w:t xml:space="preserve"> </w:t>
      </w:r>
      <w:r>
        <w:rPr>
          <w:rFonts w:ascii="David" w:hAnsi="David" w:cs="David"/>
          <w:b/>
          <w:bCs/>
          <w:rtl/>
        </w:rPr>
        <w:t>[פורסם בנבו]</w:t>
      </w:r>
      <w:r w:rsidR="0079399C">
        <w:rPr>
          <w:rFonts w:ascii="David" w:hAnsi="David" w:cs="David"/>
          <w:b/>
          <w:bCs/>
          <w:rtl/>
        </w:rPr>
        <w:t xml:space="preserve"> </w:t>
      </w:r>
      <w:r>
        <w:rPr>
          <w:rFonts w:ascii="David" w:hAnsi="David" w:cs="David"/>
          <w:b/>
          <w:bCs/>
          <w:spacing w:val="10"/>
          <w:rtl/>
        </w:rPr>
        <w:t>(8.3.2017);</w:t>
      </w:r>
      <w:r w:rsidR="0079399C">
        <w:rPr>
          <w:rFonts w:ascii="David" w:hAnsi="David" w:cs="David"/>
          <w:b/>
          <w:bCs/>
          <w:spacing w:val="10"/>
          <w:rtl/>
        </w:rPr>
        <w:t xml:space="preserve"> </w:t>
      </w:r>
      <w:hyperlink r:id="rId38" w:history="1">
        <w:r w:rsidR="0079399C" w:rsidRPr="0079399C">
          <w:rPr>
            <w:rFonts w:ascii="David" w:hAnsi="David" w:cs="David"/>
            <w:b/>
            <w:bCs/>
            <w:color w:val="0000FF"/>
            <w:spacing w:val="10"/>
            <w:u w:val="single"/>
            <w:rtl/>
          </w:rPr>
          <w:t>עפ"ג (ב"ש) 66895-12-20</w:t>
        </w:r>
      </w:hyperlink>
      <w:r w:rsidR="0079399C">
        <w:rPr>
          <w:rFonts w:ascii="David" w:hAnsi="David" w:cs="David"/>
          <w:b/>
          <w:bCs/>
          <w:spacing w:val="10"/>
          <w:rtl/>
        </w:rPr>
        <w:t xml:space="preserve"> </w:t>
      </w:r>
      <w:r>
        <w:rPr>
          <w:rFonts w:ascii="David" w:hAnsi="David" w:cs="David"/>
          <w:b/>
          <w:bCs/>
          <w:rtl/>
        </w:rPr>
        <w:t>מדינת ישראל נ' עתמין</w:t>
      </w:r>
      <w:r w:rsidR="0079399C">
        <w:rPr>
          <w:rFonts w:ascii="David" w:hAnsi="David" w:cs="David"/>
          <w:b/>
          <w:bCs/>
          <w:spacing w:val="10"/>
          <w:rtl/>
        </w:rPr>
        <w:t xml:space="preserve"> </w:t>
      </w:r>
      <w:r>
        <w:rPr>
          <w:rFonts w:ascii="David" w:hAnsi="David" w:cs="David"/>
          <w:b/>
          <w:bCs/>
          <w:rtl/>
        </w:rPr>
        <w:t>[פורסם בנבו]</w:t>
      </w:r>
      <w:r w:rsidR="0079399C">
        <w:rPr>
          <w:rFonts w:ascii="David" w:hAnsi="David" w:cs="David"/>
          <w:b/>
          <w:bCs/>
          <w:rtl/>
        </w:rPr>
        <w:t xml:space="preserve"> </w:t>
      </w:r>
      <w:r>
        <w:rPr>
          <w:rFonts w:ascii="David" w:hAnsi="David" w:cs="David"/>
          <w:b/>
          <w:bCs/>
          <w:spacing w:val="10"/>
          <w:rtl/>
        </w:rPr>
        <w:t>(17.8.2021)).</w:t>
      </w:r>
      <w:r>
        <w:rPr>
          <w:rFonts w:ascii="David" w:hAnsi="David" w:cs="David"/>
          <w:spacing w:val="10"/>
          <w:rtl/>
        </w:rPr>
        <w:t>"</w:t>
      </w:r>
    </w:p>
    <w:p w14:paraId="341D1DD0" w14:textId="77777777" w:rsidR="001A7439" w:rsidRDefault="001A7439" w:rsidP="001A7439">
      <w:pPr>
        <w:spacing w:after="240" w:line="360" w:lineRule="auto"/>
        <w:jc w:val="both"/>
        <w:rPr>
          <w:rFonts w:ascii="David" w:hAnsi="David"/>
          <w:rtl/>
        </w:rPr>
      </w:pPr>
    </w:p>
    <w:p w14:paraId="5C0D89E8" w14:textId="77777777" w:rsidR="001A7439" w:rsidRDefault="001A7439" w:rsidP="001A7439">
      <w:pPr>
        <w:spacing w:after="240" w:line="360" w:lineRule="auto"/>
        <w:jc w:val="both"/>
        <w:rPr>
          <w:rFonts w:ascii="David" w:hAnsi="David"/>
          <w:rtl/>
        </w:rPr>
      </w:pPr>
      <w:r>
        <w:rPr>
          <w:rFonts w:ascii="David" w:hAnsi="David"/>
          <w:rtl/>
        </w:rPr>
        <w:t xml:space="preserve">סקירת מדיניות הענישה הנוהגת בתיקי "משתלות סמים" מלמדת על טווח ענישה רחב התלוי לרוב בנסיבותיו של כל מקרה ומקרה, זאת בהתחשב בכמות השתילים במשתלה, כמות הסם שנתפסה, סוג הסם, משך פעולתה וכן מידת מעורבותו של הנאשם בגידול או עבירות קשורות נוספות בהן הואשם. </w:t>
      </w:r>
    </w:p>
    <w:p w14:paraId="0E705EDA" w14:textId="77777777" w:rsidR="001A7439" w:rsidRDefault="001A7439" w:rsidP="001A7439">
      <w:pPr>
        <w:spacing w:after="240" w:line="360" w:lineRule="auto"/>
        <w:jc w:val="both"/>
        <w:rPr>
          <w:rFonts w:ascii="David" w:hAnsi="David"/>
          <w:rtl/>
        </w:rPr>
      </w:pPr>
      <w:r>
        <w:rPr>
          <w:rFonts w:ascii="David" w:hAnsi="David"/>
          <w:rtl/>
        </w:rPr>
        <w:t>ב</w:t>
      </w:r>
      <w:hyperlink r:id="rId39" w:history="1">
        <w:r w:rsidR="0079399C" w:rsidRPr="0079399C">
          <w:rPr>
            <w:rFonts w:ascii="David" w:hAnsi="David"/>
            <w:color w:val="0000FF"/>
            <w:u w:val="single"/>
            <w:rtl/>
          </w:rPr>
          <w:t>רע"פ 513/21</w:t>
        </w:r>
      </w:hyperlink>
      <w:r>
        <w:rPr>
          <w:rFonts w:ascii="David" w:hAnsi="David"/>
          <w:rtl/>
        </w:rPr>
        <w:t xml:space="preserve"> </w:t>
      </w:r>
      <w:r>
        <w:rPr>
          <w:rFonts w:ascii="David" w:hAnsi="David"/>
          <w:b/>
          <w:bCs/>
          <w:rtl/>
        </w:rPr>
        <w:t>עידן יהושע נ' מדינת ישראל</w:t>
      </w:r>
      <w:r>
        <w:rPr>
          <w:rFonts w:ascii="David" w:hAnsi="David"/>
          <w:rtl/>
        </w:rPr>
        <w:t xml:space="preserve"> (04.03.21) – נדחתה בקשת ערעור של נאשם שבית המשפט המחוזי החמיר את עונשו מצו של"צ ל-10 חודשי מאסר בפועל לאחר שהורשע בגידול 60 שתילי קנביס במשקל של 10 ק"ג כאשר הנאשם אדם נורמטיבי, נעדר עבר פלילי שהחל בטיפול בטרם ההליך הפלילי והוגש בעניינו תסקיר עם המלצה טיפולית. נאמר כי בית המשפט המחוזי שם דגש על מדיניות הענישה בעבירת גידול סמים שככלל מצדיקה הטלת עונשי מאסר בפועל ואיך בכך עיוות דין.</w:t>
      </w:r>
    </w:p>
    <w:p w14:paraId="07F3954F" w14:textId="77777777" w:rsidR="001A7439" w:rsidRDefault="001A7439" w:rsidP="001A7439">
      <w:pPr>
        <w:shd w:val="clear" w:color="auto" w:fill="FFFFFF"/>
        <w:spacing w:after="240" w:line="360" w:lineRule="auto"/>
        <w:jc w:val="both"/>
        <w:rPr>
          <w:rFonts w:ascii="David" w:hAnsi="David"/>
          <w:rtl/>
        </w:rPr>
      </w:pPr>
      <w:r>
        <w:rPr>
          <w:rFonts w:ascii="David" w:hAnsi="David"/>
          <w:rtl/>
        </w:rPr>
        <w:t>ב</w:t>
      </w:r>
      <w:hyperlink r:id="rId40" w:history="1">
        <w:r w:rsidR="0079399C" w:rsidRPr="0079399C">
          <w:rPr>
            <w:rFonts w:ascii="David" w:hAnsi="David"/>
            <w:color w:val="0000FF"/>
            <w:u w:val="single"/>
            <w:rtl/>
          </w:rPr>
          <w:t>ע"פ 8713/21</w:t>
        </w:r>
      </w:hyperlink>
      <w:r w:rsidR="0079399C">
        <w:rPr>
          <w:rFonts w:ascii="David" w:hAnsi="David"/>
          <w:rtl/>
        </w:rPr>
        <w:t xml:space="preserve"> </w:t>
      </w:r>
      <w:r>
        <w:rPr>
          <w:rFonts w:ascii="David" w:hAnsi="David"/>
          <w:b/>
          <w:bCs/>
          <w:rtl/>
        </w:rPr>
        <w:t>דור בן חמו נ' מדינת ישראל</w:t>
      </w:r>
      <w:r w:rsidR="0079399C">
        <w:rPr>
          <w:rFonts w:ascii="David" w:hAnsi="David"/>
          <w:rtl/>
        </w:rPr>
        <w:t xml:space="preserve"> </w:t>
      </w:r>
      <w:r>
        <w:rPr>
          <w:rFonts w:ascii="David" w:hAnsi="David"/>
          <w:rtl/>
        </w:rPr>
        <w:t xml:space="preserve">(07.06.22) – הורשע הנאשם בבית משפט קמא, על סמך הודאתו, בעבירות של ייצור הכנה והפקת סם מסוכן, החזקת סם מסוכן שלא לצריכה עצמית, החזקת כלים ונטילת חשמל. הנאשם החזיק בבית 153 שתילים במשקל של 52.1 ק"ג נטו. בית המשפט קמא קבע מתחם עונש הולם הנע בין 16 ל-36 חודשי מאסר בפועל והשית על הנאשם עונש </w:t>
      </w:r>
      <w:hyperlink r:id="rId41" w:history="1">
        <w:r w:rsidR="0079399C" w:rsidRPr="0079399C">
          <w:rPr>
            <w:rFonts w:ascii="David" w:hAnsi="David"/>
            <w:color w:val="0000FF"/>
            <w:u w:val="single"/>
            <w:rtl/>
          </w:rPr>
          <w:t>בן 16 חודשים.</w:t>
        </w:r>
        <w:r w:rsidR="0079399C" w:rsidRPr="0079399C">
          <w:rPr>
            <w:rFonts w:ascii="David" w:hAnsi="David"/>
            <w:color w:val="0000FF"/>
            <w:u w:val="single"/>
            <w:rtl/>
          </w:rPr>
          <w:cr/>
          <w:t xml:space="preserve">בית המשפט העליון </w:t>
        </w:r>
      </w:hyperlink>
      <w:r>
        <w:rPr>
          <w:rFonts w:ascii="David" w:hAnsi="David"/>
          <w:rtl/>
        </w:rPr>
        <w:t xml:space="preserve"> קיבל את ערעור ההגנה על חומרת העונש והשית על הנאשם עונש של 9 חודשי מאסר בפועל שירוצו בעבודות שירות, ובתוך כך הדגיש כי ההקלה בעונש מתבססת על הליך השיקום המשמעותי ונסיבותיו האישיות של הנאשם, וכי הוא אינו חולק כלל ועיקר על מדיניות הענישה שנקבעה על ידי בית משפט קמא.</w:t>
      </w:r>
    </w:p>
    <w:p w14:paraId="26B3AF73" w14:textId="77777777" w:rsidR="001A7439" w:rsidRDefault="001A7439" w:rsidP="001A7439">
      <w:pPr>
        <w:shd w:val="clear" w:color="auto" w:fill="FFFFFF"/>
        <w:spacing w:after="240" w:line="360" w:lineRule="auto"/>
        <w:jc w:val="both"/>
        <w:rPr>
          <w:rFonts w:ascii="David" w:hAnsi="David"/>
          <w:rtl/>
        </w:rPr>
      </w:pPr>
      <w:r>
        <w:rPr>
          <w:rFonts w:ascii="David" w:hAnsi="David"/>
          <w:rtl/>
        </w:rPr>
        <w:t>ב</w:t>
      </w:r>
      <w:hyperlink r:id="rId42" w:history="1">
        <w:r w:rsidR="0079399C" w:rsidRPr="0079399C">
          <w:rPr>
            <w:rFonts w:ascii="David" w:hAnsi="David"/>
            <w:color w:val="0000FF"/>
            <w:u w:val="single"/>
            <w:rtl/>
          </w:rPr>
          <w:t>ע"פ 6162/21</w:t>
        </w:r>
      </w:hyperlink>
      <w:r w:rsidR="0079399C">
        <w:rPr>
          <w:rFonts w:ascii="David" w:hAnsi="David"/>
          <w:rtl/>
        </w:rPr>
        <w:t xml:space="preserve"> </w:t>
      </w:r>
      <w:r>
        <w:rPr>
          <w:rFonts w:ascii="David" w:hAnsi="David"/>
          <w:b/>
          <w:bCs/>
          <w:rtl/>
        </w:rPr>
        <w:t>ניסים אזיזוב נ' מדינת ישראל</w:t>
      </w:r>
      <w:r w:rsidR="0079399C">
        <w:rPr>
          <w:rFonts w:ascii="David" w:hAnsi="David"/>
          <w:b/>
          <w:bCs/>
          <w:rtl/>
        </w:rPr>
        <w:t xml:space="preserve"> </w:t>
      </w:r>
      <w:r>
        <w:rPr>
          <w:rFonts w:ascii="David" w:hAnsi="David"/>
          <w:rtl/>
        </w:rPr>
        <w:t>(09.03.22) הורשע הנאשם בבית משפט קמא, על סמך הודאתו במסגרת הסדר טיעון, בעבירות של ייצור הכנה והפקת סם מסוכן, החזקת סם מסוכן שלא לצריכה עצמית ונטילת חשמל מים או גז. הנאשם הצטייד במכשירים למדידת לחות, מאוררים, מערכת השקיה, חומרי דישון, מערכת חשמל וגופי תאורה.</w:t>
      </w:r>
      <w:r w:rsidR="0079399C">
        <w:rPr>
          <w:rFonts w:ascii="David" w:hAnsi="David"/>
          <w:rtl/>
        </w:rPr>
        <w:t xml:space="preserve"> </w:t>
      </w:r>
      <w:r>
        <w:rPr>
          <w:rFonts w:ascii="David" w:hAnsi="David"/>
          <w:rtl/>
        </w:rPr>
        <w:t>הנאשם גידל כ-255 שתילי קנבוס במשקל של 70 ק"ג. בית המשפט המחוזי קבע מתחם עונש הולם הנע בין 25 ל-50 חודשי מאסר בפועל והשית על הנאשם עונש בן 28 חודשים לצד ענישה נלווית. ערעור שהוגש מטעם ההגנה לבית המשפט העליון על חומרת העונש התקבל, תוך שהודגש כי ברגיל העונש שהושת על הנאשם לא היה מצדיק התערבות ערכאת הערעור. ואולם בית המשפט ציין כי נוכח נסיבות חריגות המתקיימות בעניינו של הנאשם ביניהן העובדה שמגדל את שלושת ילדיו הקטינים לבדו והחשש מהנזק שיגרם להם אם ישלח למאסר, הגמילה שעבר ביוזמתו מסמים והליך שיקום משמעותי, הרי שמדובר במקרה בו יש להקל בעונש, והשית עליו 9 חודשי מאסר לריצוי בעבודות שירות.</w:t>
      </w:r>
    </w:p>
    <w:p w14:paraId="565E87A6" w14:textId="77777777" w:rsidR="001A7439" w:rsidRDefault="001A7439" w:rsidP="001A7439">
      <w:pPr>
        <w:shd w:val="clear" w:color="auto" w:fill="FFFFFF"/>
        <w:spacing w:after="240" w:line="360" w:lineRule="auto"/>
        <w:jc w:val="both"/>
        <w:rPr>
          <w:rFonts w:ascii="David" w:hAnsi="David"/>
          <w:rtl/>
        </w:rPr>
      </w:pPr>
      <w:r>
        <w:rPr>
          <w:rFonts w:ascii="David" w:hAnsi="David"/>
          <w:rtl/>
        </w:rPr>
        <w:t>ב</w:t>
      </w:r>
      <w:hyperlink r:id="rId43" w:history="1">
        <w:r w:rsidR="0079399C" w:rsidRPr="0079399C">
          <w:rPr>
            <w:rFonts w:ascii="David" w:hAnsi="David"/>
            <w:color w:val="0000FF"/>
            <w:u w:val="single"/>
            <w:rtl/>
          </w:rPr>
          <w:t>ע"פ 126/22</w:t>
        </w:r>
      </w:hyperlink>
      <w:r w:rsidR="0079399C">
        <w:rPr>
          <w:rFonts w:ascii="David" w:hAnsi="David"/>
          <w:rtl/>
        </w:rPr>
        <w:t xml:space="preserve"> </w:t>
      </w:r>
      <w:r>
        <w:rPr>
          <w:rFonts w:ascii="David" w:hAnsi="David"/>
          <w:b/>
          <w:bCs/>
          <w:rtl/>
        </w:rPr>
        <w:t>מדינת ישראל נ' פלוני</w:t>
      </w:r>
      <w:r w:rsidR="0079399C">
        <w:rPr>
          <w:rFonts w:ascii="David" w:hAnsi="David"/>
          <w:rtl/>
        </w:rPr>
        <w:t xml:space="preserve"> </w:t>
      </w:r>
      <w:r>
        <w:rPr>
          <w:rFonts w:ascii="David" w:hAnsi="David"/>
          <w:rtl/>
        </w:rPr>
        <w:t>(27.04.22) הורשע הנאשם, על סמך הודאתו במסגרת הסדר טיעון בבית משפט קמא בעבירות של ייצור, הכנה והפקה של סם מסוכן, החזקת סם מסוכן שלא לצריכה עצמית, החזקת כלים להכנת סם מסוכן וגניבת חשמל. בעת מעצרו של הנאשם נמצאו בדירתו 286 שתילים במשקל 63.23 ק"ג נטו. בית המשפט המחוזי קבע מתחם עונש הולם הנע בין 18 ל-48 חודשי מאסר בפועל, ותוך שסטה מהמתחם בשל שיקולי שיקום השית עליו עונש בן 9 חודשי מאסר בפועל לריצוי בעבודות שירות, קנס בסך 10,000 ₪ ועונשים נלווים.</w:t>
      </w:r>
    </w:p>
    <w:p w14:paraId="0386BFFA" w14:textId="77777777" w:rsidR="001A7439" w:rsidRDefault="001A7439" w:rsidP="001A7439">
      <w:pPr>
        <w:shd w:val="clear" w:color="auto" w:fill="FFFFFF"/>
        <w:spacing w:after="240" w:line="360" w:lineRule="auto"/>
        <w:jc w:val="both"/>
        <w:rPr>
          <w:rFonts w:ascii="David" w:hAnsi="David"/>
          <w:rtl/>
        </w:rPr>
      </w:pPr>
      <w:r>
        <w:rPr>
          <w:rFonts w:ascii="David" w:hAnsi="David"/>
          <w:rtl/>
        </w:rPr>
        <w:t>בית המשפט העליון קיבל את ערעור המדינה על קולת העונש באופן חלקי, תוך שציין כי מדובר במקרה חריג המחייב החמרת הענישה. לדברי בית המשפט העליון הן מתחם הענישה והן התוצאה הסופית אליה הגיע בית המשפט קמא, הקלו עם הנאשם יתר על המידה באופן המצדיק התערבות. בית המשפט ציין בין היתר כי הרף התחתון של המתחם נמוך ביחס לפסיקה הנוהגת במקרים דומים כמו גם העונש שהושת עליו, והשית עליו 18 חודשי מאסר לריצוי בפועל. אשר לקנס, קבע כי אינו חורג ממדיניות הענישה הנוהגת ודחה את הערעור בנוגע לרכיב זה.</w:t>
      </w:r>
    </w:p>
    <w:p w14:paraId="637F9709" w14:textId="77777777" w:rsidR="001A7439" w:rsidRDefault="001A7439" w:rsidP="001A7439">
      <w:pPr>
        <w:spacing w:after="240" w:line="360" w:lineRule="auto"/>
        <w:jc w:val="both"/>
        <w:rPr>
          <w:rFonts w:ascii="David" w:hAnsi="David"/>
          <w:rtl/>
        </w:rPr>
      </w:pPr>
      <w:r>
        <w:rPr>
          <w:rFonts w:ascii="David" w:hAnsi="David"/>
          <w:rtl/>
        </w:rPr>
        <w:t>ב</w:t>
      </w:r>
      <w:hyperlink r:id="rId44" w:history="1">
        <w:r w:rsidR="0079399C" w:rsidRPr="0079399C">
          <w:rPr>
            <w:rFonts w:ascii="David" w:hAnsi="David"/>
            <w:color w:val="0000FF"/>
            <w:u w:val="single"/>
            <w:rtl/>
          </w:rPr>
          <w:t>רע"פ 8563/18</w:t>
        </w:r>
      </w:hyperlink>
      <w:r>
        <w:rPr>
          <w:rFonts w:ascii="David" w:hAnsi="David"/>
          <w:rtl/>
        </w:rPr>
        <w:t xml:space="preserve"> </w:t>
      </w:r>
      <w:r>
        <w:rPr>
          <w:rFonts w:ascii="David" w:hAnsi="David"/>
          <w:b/>
          <w:bCs/>
          <w:rtl/>
        </w:rPr>
        <w:t xml:space="preserve">שרפוב נ' מדינת ישראל </w:t>
      </w:r>
      <w:r>
        <w:rPr>
          <w:rFonts w:ascii="David" w:hAnsi="David"/>
          <w:rtl/>
        </w:rPr>
        <w:t xml:space="preserve">(12.12.18), שם מדובר היה בגידול 18 ק"ג קנאביס על-פני 8 חודשים נקבע מתחם ענישה שבין 10 חודשי מאסר עד 30 חודשי מאסר, והנאשם נדון ל – 10 חודשי מאסר בפועל בהתחשב בנטילת אחריות, היעדר עבר פלילי, נסיבות אישיות והמלצת שירות המבחן. </w:t>
      </w:r>
    </w:p>
    <w:p w14:paraId="30D21D78" w14:textId="77777777" w:rsidR="001A7439" w:rsidRDefault="001A7439" w:rsidP="001A7439">
      <w:pPr>
        <w:spacing w:after="240" w:line="360" w:lineRule="auto"/>
        <w:jc w:val="both"/>
        <w:rPr>
          <w:rFonts w:ascii="David" w:hAnsi="David"/>
        </w:rPr>
      </w:pPr>
      <w:r>
        <w:rPr>
          <w:rFonts w:ascii="David" w:hAnsi="David"/>
          <w:rtl/>
        </w:rPr>
        <w:t xml:space="preserve">ברע"פ </w:t>
      </w:r>
      <w:hyperlink r:id="rId45" w:history="1">
        <w:r w:rsidR="006B615E" w:rsidRPr="006B615E">
          <w:rPr>
            <w:rFonts w:ascii="David" w:hAnsi="David"/>
            <w:color w:val="0000FF"/>
            <w:u w:val="single"/>
            <w:rtl/>
          </w:rPr>
          <w:t>6889/17</w:t>
        </w:r>
      </w:hyperlink>
      <w:r>
        <w:rPr>
          <w:rFonts w:ascii="David" w:hAnsi="David"/>
          <w:rtl/>
        </w:rPr>
        <w:t xml:space="preserve"> </w:t>
      </w:r>
      <w:r>
        <w:rPr>
          <w:rFonts w:ascii="David" w:hAnsi="David"/>
          <w:b/>
          <w:bCs/>
          <w:rtl/>
        </w:rPr>
        <w:t xml:space="preserve">פילברג נ' מדינת ישראל </w:t>
      </w:r>
      <w:r>
        <w:rPr>
          <w:rFonts w:ascii="David" w:hAnsi="David"/>
          <w:rtl/>
        </w:rPr>
        <w:t xml:space="preserve"> (11.09.17) מדובר היה בגידול 19 ק"ג קנאביס, ונקבע מתחם ענישה של 12 עד 36 חודשי מאסר בפועל. בית משפט השלום הביא בחשבון את גילו הצעיר של הנאשם, היעדר עבר פלילי, הודאתו, ותסקירים חיוביים וגזר עליו, מטעמי שיקום, 6 חודשי מאסר בעבודות שירות, ואילו בית-המשפט המחוזי החמיר בענישה וגזר על אותו נאשם 9 חודשי מאסר בפועל, ובקשת רשות הערעור לבית המשפט העליון נדחתה. </w:t>
      </w:r>
    </w:p>
    <w:p w14:paraId="07C15F56" w14:textId="77777777" w:rsidR="001A7439" w:rsidRDefault="001A7439" w:rsidP="001A7439">
      <w:pPr>
        <w:spacing w:after="240" w:line="360" w:lineRule="auto"/>
        <w:jc w:val="both"/>
        <w:rPr>
          <w:rFonts w:ascii="David" w:hAnsi="David"/>
          <w:rtl/>
        </w:rPr>
      </w:pPr>
      <w:r>
        <w:rPr>
          <w:rFonts w:ascii="David" w:hAnsi="David"/>
          <w:rtl/>
        </w:rPr>
        <w:t xml:space="preserve">לצד זאת קיימת פסיקה שבה נמנעו בתי משפט מלמצות את הדין עם נאשמים בעבירות מסוג זה והסתפקו בהטלת עונש מאסר לריצוי בעבודות שירות, אך זאת כאשר התקיימו נסיבות שהיה בהן כדי להצדיק הימנעות מהטלת עונש מאסר לריצוי מאחורי סורג ובריח. </w:t>
      </w:r>
    </w:p>
    <w:p w14:paraId="20731872" w14:textId="77777777" w:rsidR="001A7439" w:rsidRDefault="001A7439" w:rsidP="001A7439">
      <w:pPr>
        <w:spacing w:after="240" w:line="360" w:lineRule="auto"/>
        <w:jc w:val="both"/>
        <w:rPr>
          <w:rFonts w:ascii="David" w:hAnsi="David"/>
        </w:rPr>
      </w:pPr>
      <w:r>
        <w:rPr>
          <w:rFonts w:ascii="David" w:hAnsi="David"/>
          <w:rtl/>
        </w:rPr>
        <w:t>ב</w:t>
      </w:r>
      <w:hyperlink r:id="rId46" w:history="1">
        <w:r w:rsidR="0079399C" w:rsidRPr="0079399C">
          <w:rPr>
            <w:rFonts w:ascii="David" w:hAnsi="David"/>
            <w:color w:val="0000FF"/>
            <w:u w:val="single"/>
            <w:rtl/>
          </w:rPr>
          <w:t>עפ"ג (מחוזי חיפה) 45010-01-20</w:t>
        </w:r>
      </w:hyperlink>
      <w:r>
        <w:rPr>
          <w:rFonts w:ascii="David" w:hAnsi="David"/>
          <w:rtl/>
        </w:rPr>
        <w:t xml:space="preserve"> </w:t>
      </w:r>
      <w:r>
        <w:rPr>
          <w:rFonts w:ascii="David" w:hAnsi="David"/>
          <w:b/>
          <w:bCs/>
          <w:rtl/>
        </w:rPr>
        <w:t>מדינת ישראל נ' סטולרו</w:t>
      </w:r>
      <w:r>
        <w:rPr>
          <w:rFonts w:ascii="David" w:hAnsi="David"/>
          <w:rtl/>
        </w:rPr>
        <w:t xml:space="preserve"> (12.7.20) סקר בית-המשפט המחוזי את הפסיקה הרלוונטית וציין, שקיים מנעד של ענישה והעונש הקונקרטי תלוי בנסיבותיו של כל מקרה, סוג הסם, כמותו, נסיבות החזקתו, ונסיבותיו של הנאשם כשהעונש נגזר לאחר שקלול של מלוא הנתונים, וקבע: </w:t>
      </w:r>
    </w:p>
    <w:p w14:paraId="7A7D9BB6" w14:textId="77777777" w:rsidR="001A7439" w:rsidRDefault="001A7439" w:rsidP="001A7439">
      <w:pPr>
        <w:spacing w:after="240" w:line="360" w:lineRule="auto"/>
        <w:ind w:left="1134" w:right="1134"/>
        <w:jc w:val="both"/>
        <w:rPr>
          <w:rFonts w:ascii="David" w:hAnsi="David"/>
          <w:noProof/>
        </w:rPr>
      </w:pPr>
      <w:r>
        <w:rPr>
          <w:rFonts w:ascii="David" w:hAnsi="David"/>
          <w:b/>
          <w:bCs/>
          <w:rtl/>
        </w:rPr>
        <w:t xml:space="preserve">"מסקירת פסיקת בתי המשפט העוסקים בעבירות הסמים, מצאנו – כבכל מקרה - כי הענישה מגוונת ותלויה בנסיבות כל מקרה, זאת בעיקר על פי סוג וכמות הסם, נסיבות אחזקתו, כמו גם נסיבותיו של הנאשם (גיל, מצב אישי, עבר פלילי, שיקום, תסקיר חיובי וכו'), כשבסופו של דבר על בית המשפט לשקלל את מלוא הנתונים ובכל מקרה להגיע לתוצאה על פי הנסיבות הספציפיות. כך, עולה כי </w:t>
      </w:r>
      <w:r>
        <w:rPr>
          <w:rFonts w:ascii="David" w:hAnsi="David"/>
          <w:b/>
          <w:bCs/>
          <w:u w:val="single"/>
          <w:rtl/>
        </w:rPr>
        <w:t>בנסיבות דומות של גידול סם מסוג קנבוס בדירה בכמות שבין 4 ועד 19 ק"ג, נקבעו מתחמי ענישה בין 8 ועד 24 חודשי מאסר, כאשר ניתן להסיק כי ריצוי העונש הוא בדרך כלל במאסר בפועל, אלא באותם מקרים בהם הסתפק בית המשפט במאסר בעבודות שירות ברף התחתון של המתחם, או בחריגה ממשית ממתחם הענישה כאשר שוכנע כי הנאשם עבר שיקום ושינוי ממשי</w:t>
      </w:r>
      <w:r>
        <w:rPr>
          <w:rFonts w:ascii="David" w:hAnsi="David"/>
          <w:b/>
          <w:bCs/>
          <w:rtl/>
        </w:rPr>
        <w:t>"</w:t>
      </w:r>
      <w:r>
        <w:rPr>
          <w:rFonts w:ascii="David" w:hAnsi="David"/>
          <w:rtl/>
        </w:rPr>
        <w:t xml:space="preserve"> (ההדגשה במקור). </w:t>
      </w:r>
    </w:p>
    <w:p w14:paraId="3FCB8E34" w14:textId="77777777" w:rsidR="001A7439" w:rsidRDefault="001A7439" w:rsidP="001A7439">
      <w:pPr>
        <w:spacing w:after="240" w:line="360" w:lineRule="auto"/>
        <w:jc w:val="both"/>
        <w:rPr>
          <w:rFonts w:ascii="David" w:hAnsi="David"/>
          <w:rtl/>
        </w:rPr>
      </w:pPr>
      <w:r>
        <w:rPr>
          <w:rFonts w:ascii="David" w:hAnsi="David"/>
          <w:rtl/>
        </w:rPr>
        <w:t>ב</w:t>
      </w:r>
      <w:hyperlink r:id="rId47" w:history="1">
        <w:r w:rsidR="0079399C" w:rsidRPr="0079399C">
          <w:rPr>
            <w:rFonts w:ascii="David" w:hAnsi="David"/>
            <w:color w:val="0000FF"/>
            <w:u w:val="single"/>
            <w:rtl/>
          </w:rPr>
          <w:t>ע"פ 4285/17</w:t>
        </w:r>
      </w:hyperlink>
      <w:r w:rsidR="0079399C">
        <w:rPr>
          <w:rFonts w:ascii="David" w:hAnsi="David"/>
        </w:rPr>
        <w:t xml:space="preserve"> </w:t>
      </w:r>
      <w:r>
        <w:rPr>
          <w:rFonts w:ascii="David" w:hAnsi="David"/>
          <w:b/>
          <w:bCs/>
          <w:rtl/>
        </w:rPr>
        <w:t>יצחקי נ' מדינת ישראל</w:t>
      </w:r>
      <w:r w:rsidR="0079399C">
        <w:rPr>
          <w:rFonts w:ascii="David" w:hAnsi="David"/>
          <w:rtl/>
        </w:rPr>
        <w:t xml:space="preserve"> </w:t>
      </w:r>
      <w:r>
        <w:rPr>
          <w:rFonts w:ascii="David" w:hAnsi="David"/>
          <w:rtl/>
        </w:rPr>
        <w:t xml:space="preserve">(11.06.18) התקבל (בהסכמה) הערעור על חומרת העונש ונקבע כי המערערת תרצה 6 חודשי מאסר בעבודות שירות בגין הרשעתה בעבירה של </w:t>
      </w:r>
      <w:r>
        <w:rPr>
          <w:rFonts w:ascii="David" w:hAnsi="David"/>
          <w:b/>
          <w:bCs/>
          <w:rtl/>
        </w:rPr>
        <w:t>גידול</w:t>
      </w:r>
      <w:r w:rsidR="0079399C">
        <w:rPr>
          <w:rFonts w:ascii="David" w:hAnsi="David"/>
          <w:b/>
          <w:bCs/>
          <w:rtl/>
        </w:rPr>
        <w:t xml:space="preserve"> </w:t>
      </w:r>
      <w:r>
        <w:rPr>
          <w:rFonts w:ascii="David" w:hAnsi="David"/>
          <w:b/>
          <w:bCs/>
        </w:rPr>
        <w:t>100</w:t>
      </w:r>
      <w:r w:rsidR="0079399C">
        <w:rPr>
          <w:rFonts w:ascii="David" w:hAnsi="David"/>
          <w:b/>
          <w:bCs/>
          <w:rtl/>
        </w:rPr>
        <w:t xml:space="preserve"> </w:t>
      </w:r>
      <w:r>
        <w:rPr>
          <w:rFonts w:ascii="David" w:hAnsi="David"/>
          <w:b/>
          <w:bCs/>
          <w:rtl/>
        </w:rPr>
        <w:t>ק"ג קנבוס</w:t>
      </w:r>
      <w:r>
        <w:rPr>
          <w:rFonts w:ascii="David" w:hAnsi="David"/>
          <w:rtl/>
        </w:rPr>
        <w:t xml:space="preserve"> יחד עם אחר וזאת, חלף 12 חודשי מאסר שהושתו עליה בבית המשפט המחוזי, תוך חריגה מטעמי שיקום ממתחם העונש ההולם שעמד על 48-24 חודשים.</w:t>
      </w:r>
    </w:p>
    <w:p w14:paraId="7F1B28BE" w14:textId="77777777" w:rsidR="001A7439" w:rsidRDefault="001A7439" w:rsidP="001A7439">
      <w:pPr>
        <w:spacing w:after="240" w:line="360" w:lineRule="auto"/>
        <w:jc w:val="both"/>
        <w:rPr>
          <w:rFonts w:ascii="David" w:hAnsi="David"/>
          <w:rtl/>
        </w:rPr>
      </w:pPr>
      <w:r>
        <w:rPr>
          <w:rFonts w:ascii="David" w:hAnsi="David"/>
          <w:rtl/>
        </w:rPr>
        <w:t xml:space="preserve">בת"פ (חי') 65264-01-21 </w:t>
      </w:r>
      <w:r>
        <w:rPr>
          <w:rFonts w:ascii="David" w:hAnsi="David"/>
          <w:b/>
          <w:bCs/>
          <w:rtl/>
        </w:rPr>
        <w:t>מדינת ישראל נ' חן</w:t>
      </w:r>
      <w:r>
        <w:rPr>
          <w:rFonts w:ascii="David" w:hAnsi="David"/>
          <w:rtl/>
        </w:rPr>
        <w:t xml:space="preserve"> (05.01.21) נגזרו על בני זוג שהורשעו בגידול כ-70 ק"ג קנבוס, 6 חודשי מאסר (על הגבר) ו-9 חודשי מאסר (על האישה) שניהם בעבודות שירות.</w:t>
      </w:r>
    </w:p>
    <w:p w14:paraId="4FF708A5" w14:textId="77777777" w:rsidR="001A7439" w:rsidRDefault="001A7439" w:rsidP="001A7439">
      <w:pPr>
        <w:pStyle w:val="1"/>
        <w:bidi/>
        <w:spacing w:before="0" w:beforeAutospacing="0" w:after="240" w:afterAutospacing="0" w:line="360" w:lineRule="auto"/>
        <w:jc w:val="both"/>
        <w:rPr>
          <w:rFonts w:ascii="David" w:hAnsi="David" w:cs="David"/>
        </w:rPr>
      </w:pPr>
      <w:r>
        <w:rPr>
          <w:rFonts w:ascii="David" w:hAnsi="David" w:cs="David"/>
          <w:rtl/>
        </w:rPr>
        <w:t>ב</w:t>
      </w:r>
      <w:hyperlink r:id="rId48" w:history="1">
        <w:r w:rsidR="0079399C" w:rsidRPr="0079399C">
          <w:rPr>
            <w:rFonts w:ascii="David" w:hAnsi="David" w:cs="David"/>
            <w:color w:val="0000FF"/>
            <w:u w:val="single"/>
            <w:rtl/>
          </w:rPr>
          <w:t>עפ"ג (חיפה) 54910-04-21</w:t>
        </w:r>
      </w:hyperlink>
      <w:r w:rsidR="0079399C">
        <w:rPr>
          <w:rFonts w:ascii="David" w:hAnsi="David" w:cs="David"/>
          <w:rtl/>
        </w:rPr>
        <w:t xml:space="preserve"> </w:t>
      </w:r>
      <w:r>
        <w:rPr>
          <w:rFonts w:ascii="David" w:hAnsi="David" w:cs="David"/>
          <w:b/>
          <w:bCs/>
          <w:rtl/>
        </w:rPr>
        <w:t>מדינת ישראל נ' בן עזרי</w:t>
      </w:r>
      <w:r w:rsidR="0079399C">
        <w:rPr>
          <w:rFonts w:ascii="David" w:hAnsi="David" w:cs="David"/>
          <w:b/>
          <w:bCs/>
          <w:rtl/>
        </w:rPr>
        <w:t xml:space="preserve"> </w:t>
      </w:r>
      <w:r>
        <w:rPr>
          <w:rFonts w:ascii="David" w:hAnsi="David" w:cs="David"/>
          <w:rtl/>
        </w:rPr>
        <w:t>(19.07.21), התקבל ערעור המדינה על קולת העונש שהוטל על הנאשם – 4 חודשי עבודות שירות לאחר שהורשע בגידול 100 שתילים במשקל 17 ק"ג והחזקת סם במשקל 8 ק"ג. בית המשפט המחוזי החמיר את עונשו של הנאשם ל-9 חודשי עבודות שירות וקבע שיש להימנע משליחת הנאשם אל מאחורי סורג ובריח אך משום שיקולי שיקום, הליך שיקומי שעובר הנאשם ותסקירים חיוביים.</w:t>
      </w:r>
    </w:p>
    <w:p w14:paraId="53137317" w14:textId="77777777" w:rsidR="001A7439" w:rsidRDefault="001A7439" w:rsidP="001A7439">
      <w:pPr>
        <w:spacing w:after="120" w:line="360" w:lineRule="auto"/>
        <w:jc w:val="both"/>
        <w:rPr>
          <w:rFonts w:ascii="David" w:eastAsia="Calibri" w:hAnsi="David"/>
          <w:noProof/>
          <w:rtl/>
        </w:rPr>
      </w:pPr>
      <w:r>
        <w:rPr>
          <w:rFonts w:ascii="David" w:hAnsi="David"/>
          <w:noProof/>
          <w:rtl/>
        </w:rPr>
        <w:t xml:space="preserve">על כן ולאור כל האמור לעיל, בהתחשב בשיקולים האמורים ובנסיבות המקרה דנא שהינן קלות יותר מנסיבות הפסיקה שנסקרה, </w:t>
      </w:r>
      <w:r>
        <w:rPr>
          <w:rFonts w:ascii="David" w:hAnsi="David" w:hint="cs"/>
          <w:noProof/>
          <w:rtl/>
        </w:rPr>
        <w:t xml:space="preserve">הן מבחינת החובבניות באופן הגידול, הן מבחינת כמויות השתילים והן מבחינת כמות הסם שנמצאה, </w:t>
      </w:r>
      <w:r>
        <w:rPr>
          <w:rFonts w:ascii="David" w:hAnsi="David"/>
          <w:noProof/>
          <w:rtl/>
        </w:rPr>
        <w:t>אני קובע כי מתחם העונש ההולם ביחס לעבירות בהן הורשע הנאשם, הינו מ-</w:t>
      </w:r>
      <w:r>
        <w:rPr>
          <w:rFonts w:ascii="David" w:hAnsi="David" w:hint="cs"/>
          <w:noProof/>
          <w:rtl/>
        </w:rPr>
        <w:t>5</w:t>
      </w:r>
      <w:r>
        <w:rPr>
          <w:rFonts w:ascii="David" w:hAnsi="David"/>
          <w:noProof/>
          <w:rtl/>
        </w:rPr>
        <w:t xml:space="preserve"> חודשי מאסר בפועל</w:t>
      </w:r>
      <w:r>
        <w:rPr>
          <w:rFonts w:ascii="David" w:hAnsi="David" w:hint="cs"/>
          <w:noProof/>
          <w:rtl/>
        </w:rPr>
        <w:t xml:space="preserve"> שיכול ויבוצעו בעבודות שירות</w:t>
      </w:r>
      <w:r>
        <w:rPr>
          <w:rFonts w:ascii="David" w:hAnsi="David"/>
          <w:noProof/>
          <w:rtl/>
        </w:rPr>
        <w:t xml:space="preserve"> ועד </w:t>
      </w:r>
      <w:r>
        <w:rPr>
          <w:rFonts w:ascii="David" w:hAnsi="David" w:hint="cs"/>
          <w:noProof/>
          <w:rtl/>
        </w:rPr>
        <w:t>16</w:t>
      </w:r>
      <w:r>
        <w:rPr>
          <w:rFonts w:ascii="David" w:hAnsi="David"/>
          <w:noProof/>
          <w:rtl/>
        </w:rPr>
        <w:t xml:space="preserve"> חודשי מאסר בפועל לצד ענישה נלווית.</w:t>
      </w:r>
    </w:p>
    <w:p w14:paraId="2C330855" w14:textId="77777777" w:rsidR="001A7439" w:rsidRDefault="001A7439" w:rsidP="001A7439">
      <w:pPr>
        <w:spacing w:after="120" w:line="360" w:lineRule="auto"/>
        <w:jc w:val="both"/>
        <w:rPr>
          <w:rFonts w:ascii="Tahoma" w:hAnsi="Tahoma"/>
          <w:noProof/>
        </w:rPr>
      </w:pPr>
    </w:p>
    <w:p w14:paraId="3CD36997" w14:textId="77777777" w:rsidR="001A7439" w:rsidRDefault="001A7439" w:rsidP="001A7439">
      <w:pPr>
        <w:spacing w:after="120" w:line="360" w:lineRule="auto"/>
        <w:jc w:val="both"/>
        <w:rPr>
          <w:rFonts w:ascii="Tahoma" w:hAnsi="Tahoma"/>
          <w:b/>
          <w:bCs/>
          <w:u w:val="single"/>
          <w:rtl/>
        </w:rPr>
      </w:pPr>
      <w:r>
        <w:rPr>
          <w:rFonts w:ascii="Tahoma" w:hAnsi="Tahoma"/>
          <w:b/>
          <w:bCs/>
          <w:u w:val="single"/>
          <w:rtl/>
        </w:rPr>
        <w:t>גזירת עונשו של הנאשם בתוך מתחם העונש ההולם</w:t>
      </w:r>
      <w:r>
        <w:rPr>
          <w:rFonts w:ascii="Tahoma" w:hAnsi="Tahoma"/>
          <w:rtl/>
        </w:rPr>
        <w:t>:</w:t>
      </w:r>
    </w:p>
    <w:p w14:paraId="15868EFD" w14:textId="77777777" w:rsidR="001A7439" w:rsidRDefault="001A7439" w:rsidP="001A7439">
      <w:pPr>
        <w:pStyle w:val="normal-p-p"/>
        <w:bidi/>
        <w:spacing w:line="360" w:lineRule="auto"/>
        <w:ind w:left="584" w:hanging="584"/>
        <w:jc w:val="both"/>
        <w:rPr>
          <w:rFonts w:ascii="David" w:hAnsi="David" w:cs="David"/>
          <w:sz w:val="24"/>
          <w:szCs w:val="24"/>
          <w:rtl/>
        </w:rPr>
      </w:pPr>
      <w:r>
        <w:rPr>
          <w:rStyle w:val="normal-h-h"/>
          <w:rFonts w:ascii="David" w:hAnsi="David" w:cs="David"/>
          <w:sz w:val="24"/>
          <w:szCs w:val="24"/>
          <w:rtl/>
        </w:rPr>
        <w:t>על שיקולי ענישה, עמד בהרחבה כב' בית המשפט העליון ב</w:t>
      </w:r>
      <w:hyperlink r:id="rId49" w:history="1">
        <w:r w:rsidR="0079399C" w:rsidRPr="0079399C">
          <w:rPr>
            <w:rStyle w:val="normal-h-h"/>
            <w:rFonts w:ascii="David" w:hAnsi="David" w:cs="David"/>
            <w:color w:val="0000FF"/>
            <w:sz w:val="24"/>
            <w:szCs w:val="24"/>
            <w:u w:val="single"/>
            <w:rtl/>
          </w:rPr>
          <w:t>ע"פ 11699/05</w:t>
        </w:r>
      </w:hyperlink>
      <w:r>
        <w:rPr>
          <w:rStyle w:val="normal-h-h"/>
          <w:rFonts w:ascii="David" w:hAnsi="David" w:cs="David"/>
          <w:sz w:val="24"/>
          <w:szCs w:val="24"/>
          <w:rtl/>
        </w:rPr>
        <w:t xml:space="preserve"> </w:t>
      </w:r>
      <w:r>
        <w:rPr>
          <w:rStyle w:val="normal-h-h"/>
          <w:rFonts w:ascii="David" w:hAnsi="David" w:cs="David"/>
          <w:b/>
          <w:bCs/>
          <w:sz w:val="24"/>
          <w:szCs w:val="24"/>
          <w:rtl/>
        </w:rPr>
        <w:t>סרפו נ' מ"י</w:t>
      </w:r>
      <w:r>
        <w:rPr>
          <w:rStyle w:val="normal-h-h"/>
          <w:rFonts w:ascii="David" w:hAnsi="David" w:cs="David"/>
          <w:sz w:val="24"/>
          <w:szCs w:val="24"/>
          <w:rtl/>
        </w:rPr>
        <w:t xml:space="preserve"> (23/6/08):</w:t>
      </w:r>
    </w:p>
    <w:p w14:paraId="66283E2C" w14:textId="77777777" w:rsidR="001A7439" w:rsidRDefault="001A7439" w:rsidP="001A7439">
      <w:pPr>
        <w:pStyle w:val="ruller40-p-p"/>
        <w:bidi/>
        <w:spacing w:line="360" w:lineRule="auto"/>
        <w:ind w:left="851" w:right="851"/>
        <w:rPr>
          <w:rFonts w:ascii="David" w:hAnsi="David" w:cs="David"/>
          <w:b/>
          <w:bCs/>
          <w:sz w:val="24"/>
          <w:szCs w:val="24"/>
        </w:rPr>
      </w:pPr>
      <w:r>
        <w:rPr>
          <w:rStyle w:val="ruller40-h1-h1"/>
          <w:rFonts w:ascii="David" w:hAnsi="David" w:cs="David"/>
          <w:b/>
          <w:bCs/>
          <w:sz w:val="24"/>
          <w:szCs w:val="24"/>
          <w:rtl/>
        </w:rPr>
        <w:t xml:space="preserve">"מלאכת גזירת הדין קשה ומורכבת היא. היא מצריכה עריכת איזון עדין ורגיש בין שיקולי הענישה השונים, ובין נתוניו של הנאשם הקונקרטי והנסיבות שבהן נעברה העבירה, לבין שיקולי מדיניות מגוונים והצורך בהתוויית מדיניות עונשית ברורה שיש בה כדי לקדם ערכים חברתיים. מטבע הדברים, זהו אינו מדע מדויק, שהרי אין מקרה אחד זהה למשנהו, אין נאשם דומה לחברו וגם אם ניתן לעיתים להצביע על דמיון או קרבת-מה בין נסיבותיו של מקרה פלוני למקרה אלמוני, הרי שתמיד יימצא ייחוד ושוני בנסיבותיו של כל מקרה ומקרה ובאופן שבו ראוי ליישם את השיקולים השונים על עניינו של אותו נאשם העומד בפני בית המשפט. בסופו של יום, וזאת אין לשכוח, גזירת העונש נעשית למידותיו של הנאשם הספציפי. עמד על הדברים בבהירות רבה, כדרכו, השופט (כתוארו אז) א' ברק בפרשה קודמת: </w:t>
      </w:r>
    </w:p>
    <w:p w14:paraId="30E61C04" w14:textId="77777777" w:rsidR="001A7439" w:rsidRDefault="0079399C" w:rsidP="001A7439">
      <w:pPr>
        <w:pStyle w:val="ruller50-p-p"/>
        <w:bidi/>
        <w:spacing w:line="360" w:lineRule="auto"/>
        <w:ind w:left="851" w:right="851"/>
        <w:rPr>
          <w:rFonts w:ascii="David" w:hAnsi="David" w:cs="David"/>
          <w:b/>
          <w:bCs/>
          <w:sz w:val="24"/>
          <w:szCs w:val="24"/>
        </w:rPr>
      </w:pPr>
      <w:r>
        <w:rPr>
          <w:rStyle w:val="ruller50-h1-h1"/>
          <w:rFonts w:ascii="David" w:hAnsi="David" w:cs="David"/>
          <w:b/>
          <w:bCs/>
          <w:sz w:val="24"/>
          <w:szCs w:val="24"/>
          <w:rtl/>
        </w:rPr>
        <w:t xml:space="preserve"> </w:t>
      </w:r>
    </w:p>
    <w:p w14:paraId="06CD8CDD" w14:textId="77777777" w:rsidR="001A7439" w:rsidRPr="007254BD" w:rsidRDefault="0079399C" w:rsidP="001A7439">
      <w:pPr>
        <w:pStyle w:val="ruller50-p-p"/>
        <w:bidi/>
        <w:spacing w:line="360" w:lineRule="auto"/>
        <w:ind w:left="851" w:right="851"/>
        <w:rPr>
          <w:rStyle w:val="ruller50-p-h1"/>
          <w:rFonts w:ascii="David" w:hAnsi="David" w:cs="David"/>
          <w:sz w:val="24"/>
          <w:szCs w:val="24"/>
          <w:rtl/>
        </w:rPr>
      </w:pPr>
      <w:r>
        <w:rPr>
          <w:rStyle w:val="ruller50-h1-h1"/>
          <w:rFonts w:ascii="David" w:hAnsi="David" w:cs="David"/>
          <w:b/>
          <w:bCs/>
          <w:sz w:val="24"/>
          <w:szCs w:val="24"/>
          <w:rtl/>
        </w:rPr>
        <w:t xml:space="preserve">       </w:t>
      </w:r>
      <w:r w:rsidR="001A7439">
        <w:rPr>
          <w:rStyle w:val="ruller50-h1-h1"/>
          <w:rFonts w:ascii="David" w:hAnsi="David" w:cs="David"/>
          <w:b/>
          <w:bCs/>
          <w:sz w:val="24"/>
          <w:szCs w:val="24"/>
          <w:rtl/>
        </w:rPr>
        <w:t xml:space="preserve">"ביסוד הענישה אינו עומד שיקול אחד ויחיד, אלא מכלול של שיקולים. במלאכת הענישה בכל מקרה ומקרה חייב השופט למצוא את המשקל הראוי שיש להעניק לכל אחד מהשיקולים הנזכרים, תוך שהוא מודע לכך כי לעיתים קרובות שיקול אחד בא על חשבונו של שיקול אחר. מכאן, שהעונש אשר מוטל בסופו של דבר על הנאשם, אינו אלא תוצאה "משוקללת" – אם תרצה פשרה – של השיקולים השונים שיש להביאם בחשבון. מלאכת "שקלול" זו אינה מלאכה מדעית, אך היא אף אינה מלאכה שרירותית. היא ענין שבשיקול דעת, הנעשה על הרקע הכללי והאינדיבידואלי, במסגרת המדיניות העונשית </w:t>
      </w:r>
      <w:r w:rsidR="001A7439" w:rsidRPr="007254BD">
        <w:rPr>
          <w:rStyle w:val="ruller50-h1-h1"/>
          <w:rFonts w:ascii="David" w:hAnsi="David" w:cs="David"/>
          <w:b/>
          <w:bCs/>
          <w:sz w:val="24"/>
          <w:szCs w:val="24"/>
          <w:rtl/>
        </w:rPr>
        <w:t>הכללית כפי שהיא מתבצעת על-ידי בתי-המשפט" (</w:t>
      </w:r>
      <w:hyperlink r:id="rId50" w:history="1">
        <w:r w:rsidRPr="0079399C">
          <w:rPr>
            <w:rStyle w:val="hyperlink-h1-h1"/>
            <w:rFonts w:ascii="David" w:hAnsi="David" w:cs="David"/>
            <w:b/>
            <w:bCs/>
            <w:sz w:val="24"/>
            <w:szCs w:val="24"/>
            <w:u w:val="single"/>
            <w:rtl/>
          </w:rPr>
          <w:t>ע"פ 212/79</w:t>
        </w:r>
      </w:hyperlink>
      <w:r w:rsidR="001A7439" w:rsidRPr="007254BD">
        <w:rPr>
          <w:rStyle w:val="hyperlink-h1-h1"/>
          <w:rFonts w:ascii="David" w:hAnsi="David" w:cs="David"/>
          <w:b/>
          <w:bCs/>
          <w:sz w:val="24"/>
          <w:szCs w:val="24"/>
          <w:rtl/>
        </w:rPr>
        <w:t xml:space="preserve"> פלוני נ' מדינת ישראל, פ"ד לד</w:t>
      </w:r>
      <w:r w:rsidR="001A7439" w:rsidRPr="007254BD">
        <w:rPr>
          <w:rStyle w:val="ruller50-h1-h1"/>
          <w:rFonts w:ascii="David" w:hAnsi="David" w:cs="David"/>
          <w:b/>
          <w:bCs/>
          <w:sz w:val="24"/>
          <w:szCs w:val="24"/>
          <w:rtl/>
        </w:rPr>
        <w:t>(2) 421, 434 (1979))....".</w:t>
      </w:r>
    </w:p>
    <w:p w14:paraId="16A1B1BC" w14:textId="77777777" w:rsidR="001A7439" w:rsidRDefault="001A7439" w:rsidP="001A7439">
      <w:pPr>
        <w:pStyle w:val="ruller50-p-p"/>
        <w:bidi/>
        <w:spacing w:line="360" w:lineRule="auto"/>
        <w:ind w:left="584" w:right="600" w:hanging="584"/>
        <w:rPr>
          <w:rtl/>
        </w:rPr>
      </w:pPr>
    </w:p>
    <w:p w14:paraId="542C3CA8" w14:textId="77777777" w:rsidR="001A7439" w:rsidRDefault="001A7439" w:rsidP="001A7439">
      <w:pPr>
        <w:spacing w:line="360" w:lineRule="auto"/>
        <w:jc w:val="both"/>
        <w:rPr>
          <w:rFonts w:ascii="David" w:hAnsi="David"/>
          <w:rtl/>
        </w:rPr>
      </w:pPr>
      <w:r>
        <w:rPr>
          <w:rFonts w:ascii="David" w:hAnsi="David"/>
          <w:rtl/>
        </w:rPr>
        <w:t>בענייננו, כפי שעלה מתסקירי שירות המבחן, לנאשם נסיבות משפחתיות אישיות מורכבות. כך גם, טענותיו אודות מצבו והסיבות בגינן נזקק לגידול ושימוש בסם לא גובו באסמכתאות לא בפניי אך הוצגו אסמכתאות רפואיות בפני שירות המבחן.</w:t>
      </w:r>
    </w:p>
    <w:p w14:paraId="401FDE2F" w14:textId="77777777" w:rsidR="001A7439" w:rsidRDefault="001A7439" w:rsidP="001A7439">
      <w:pPr>
        <w:spacing w:line="360" w:lineRule="auto"/>
        <w:jc w:val="both"/>
        <w:rPr>
          <w:rFonts w:ascii="David" w:hAnsi="David"/>
          <w:rtl/>
        </w:rPr>
      </w:pPr>
    </w:p>
    <w:p w14:paraId="219B9328" w14:textId="77777777" w:rsidR="001A7439" w:rsidRDefault="001A7439" w:rsidP="001A7439">
      <w:pPr>
        <w:spacing w:line="360" w:lineRule="auto"/>
        <w:jc w:val="both"/>
        <w:rPr>
          <w:rFonts w:ascii="David" w:hAnsi="David"/>
          <w:rtl/>
        </w:rPr>
      </w:pPr>
      <w:r>
        <w:rPr>
          <w:rFonts w:ascii="David" w:hAnsi="David"/>
          <w:rtl/>
        </w:rPr>
        <w:t>עם זאת, על אף ההזדמנויות הרבות שניתנו לו משך שנה וחצי, לא התמיד הנאשם בקשר טיפולי ובשיתוף פעולה עם שירות המבחן וזה התרשם שהנאשם הביע רצון חיצוני ללכת באפיק טיפולי מפאת ההליך המשפטי. יחד עם זאת, בתסקירים האחרונים זיהה שירות המבחן תזוזה חיובית של הנאשם לכיוון השיקומי והוא החל שומר על רצף טיפולי וניקיון מסמים. אין בכך די כדי להזיז את הנאשם מחוץ לגבולותיו של מתחם העונש ההולם אך יש בכך מה כדי למקמו לכיוון הרף הנמוך של המתחם.</w:t>
      </w:r>
    </w:p>
    <w:p w14:paraId="68693674" w14:textId="77777777" w:rsidR="001A7439" w:rsidRDefault="001A7439" w:rsidP="001A7439">
      <w:pPr>
        <w:spacing w:line="360" w:lineRule="auto"/>
        <w:jc w:val="both"/>
        <w:rPr>
          <w:rFonts w:ascii="David" w:hAnsi="David"/>
          <w:rtl/>
        </w:rPr>
      </w:pPr>
    </w:p>
    <w:p w14:paraId="275AE093" w14:textId="77777777" w:rsidR="001A7439" w:rsidRDefault="001A7439" w:rsidP="001A7439">
      <w:pPr>
        <w:spacing w:line="360" w:lineRule="auto"/>
        <w:jc w:val="both"/>
        <w:rPr>
          <w:rFonts w:ascii="David" w:hAnsi="David"/>
          <w:color w:val="000000"/>
          <w:rtl/>
        </w:rPr>
      </w:pPr>
      <w:r>
        <w:rPr>
          <w:rFonts w:ascii="David" w:hAnsi="David"/>
          <w:color w:val="000000"/>
          <w:rtl/>
        </w:rPr>
        <w:t xml:space="preserve">לחובת הנאשם 2 הרשעות ישנות יחסית </w:t>
      </w:r>
      <w:r>
        <w:rPr>
          <w:rFonts w:ascii="David" w:hAnsi="David"/>
          <w:b/>
          <w:bCs/>
          <w:color w:val="000000"/>
          <w:rtl/>
        </w:rPr>
        <w:t>שלא</w:t>
      </w:r>
      <w:r>
        <w:rPr>
          <w:rFonts w:ascii="David" w:hAnsi="David"/>
          <w:color w:val="000000"/>
          <w:rtl/>
        </w:rPr>
        <w:t xml:space="preserve"> בעבירות סמים, ומזה 4 שנים שלא נפתחו כנגד הנאשם תיקים נוספים.</w:t>
      </w:r>
    </w:p>
    <w:p w14:paraId="64663879" w14:textId="77777777" w:rsidR="001A7439" w:rsidRDefault="001A7439" w:rsidP="001A7439">
      <w:pPr>
        <w:spacing w:line="360" w:lineRule="auto"/>
        <w:jc w:val="both"/>
        <w:rPr>
          <w:rFonts w:ascii="David" w:hAnsi="David"/>
          <w:rtl/>
        </w:rPr>
      </w:pPr>
    </w:p>
    <w:p w14:paraId="40916854" w14:textId="77777777" w:rsidR="001A7439" w:rsidRDefault="001A7439" w:rsidP="001A7439">
      <w:pPr>
        <w:spacing w:line="360" w:lineRule="auto"/>
        <w:jc w:val="both"/>
        <w:rPr>
          <w:rtl/>
        </w:rPr>
      </w:pPr>
      <w:r>
        <w:rPr>
          <w:rtl/>
        </w:rPr>
        <w:t>כך גם, יש לתת משקל להודאתו של הנאשם בכתב האישום בהזדמנות הראשונה ולחיסכון בזמן השיפוטי עת הנאשם חסך עדותם של מעל ל-20 עדים.</w:t>
      </w:r>
    </w:p>
    <w:p w14:paraId="255C2759" w14:textId="77777777" w:rsidR="001A7439" w:rsidRDefault="001A7439" w:rsidP="001A7439">
      <w:pPr>
        <w:spacing w:line="360" w:lineRule="auto"/>
        <w:jc w:val="both"/>
        <w:rPr>
          <w:rtl/>
        </w:rPr>
      </w:pPr>
    </w:p>
    <w:p w14:paraId="5B5E4A16" w14:textId="77777777" w:rsidR="001A7439" w:rsidRDefault="001A7439" w:rsidP="001A7439">
      <w:pPr>
        <w:spacing w:line="360" w:lineRule="auto"/>
        <w:jc w:val="both"/>
        <w:rPr>
          <w:rFonts w:cs="Times New Roman"/>
          <w:color w:val="000000"/>
          <w:sz w:val="27"/>
          <w:szCs w:val="27"/>
          <w:rtl/>
        </w:rPr>
      </w:pPr>
      <w:r>
        <w:rPr>
          <w:rtl/>
        </w:rPr>
        <w:t>הנאשם נשוי ואב ל-4 קטינים אשר שליחתו למאסר בפועל מאחורי סורג ובריח, וודאי תיפגע גם בהם ובפרנסתם וגם לכך יש לתת משקל מסויים. בנוסף, בנשיאת מאסר מאחורי סורג ובריח ייחשף הנאשם לתרבות עבריינית כאשר אין זה אינטרס הציבור מקום בו הנאשם עושה מאמצים שנים רבות להימנע מחשיפה לחברה שולית והתמדה בפרנסת משפחתו וגידול ילדיו.</w:t>
      </w:r>
    </w:p>
    <w:p w14:paraId="4B4D1624" w14:textId="77777777" w:rsidR="001A7439" w:rsidRDefault="001A7439" w:rsidP="001A7439">
      <w:pPr>
        <w:spacing w:before="240" w:after="240" w:line="360" w:lineRule="auto"/>
        <w:rPr>
          <w:rFonts w:ascii="David" w:hAnsi="David"/>
          <w:color w:val="000000"/>
          <w:rtl/>
        </w:rPr>
      </w:pPr>
      <w:r>
        <w:rPr>
          <w:rFonts w:ascii="David" w:hAnsi="David"/>
          <w:color w:val="000000"/>
          <w:rtl/>
        </w:rPr>
        <w:t>לנוכח האמור,</w:t>
      </w:r>
      <w:r w:rsidR="0079399C">
        <w:rPr>
          <w:rFonts w:ascii="David" w:hAnsi="David"/>
          <w:color w:val="000000"/>
          <w:rtl/>
        </w:rPr>
        <w:t xml:space="preserve"> </w:t>
      </w:r>
      <w:r>
        <w:rPr>
          <w:rFonts w:ascii="David" w:hAnsi="David"/>
          <w:color w:val="000000"/>
          <w:rtl/>
        </w:rPr>
        <w:t>אמקם את הנאשם ברף התחתון</w:t>
      </w:r>
      <w:r w:rsidR="0079399C">
        <w:rPr>
          <w:rFonts w:ascii="David" w:hAnsi="David"/>
          <w:color w:val="000000"/>
          <w:rtl/>
        </w:rPr>
        <w:t xml:space="preserve"> </w:t>
      </w:r>
      <w:r>
        <w:rPr>
          <w:rFonts w:ascii="David" w:hAnsi="David"/>
          <w:color w:val="000000"/>
          <w:rtl/>
        </w:rPr>
        <w:t>של מתחם העונש ההולם.</w:t>
      </w:r>
    </w:p>
    <w:p w14:paraId="67574F59" w14:textId="77777777" w:rsidR="001A7439" w:rsidRDefault="001A7439" w:rsidP="001A7439">
      <w:pPr>
        <w:spacing w:line="360" w:lineRule="auto"/>
        <w:jc w:val="both"/>
        <w:rPr>
          <w:rFonts w:ascii="Arial" w:hAnsi="Arial"/>
          <w:rtl/>
        </w:rPr>
      </w:pPr>
      <w:r>
        <w:rPr>
          <w:rFonts w:ascii="Arial" w:hAnsi="Arial"/>
          <w:rtl/>
        </w:rPr>
        <w:t xml:space="preserve">משנאמר כל זאת, ולאחר שנשקלו כל השיקולים הרלוונטיים אשר צוינו לעיל, תוך עריכת איזון בין רכיבי הענישה השונים, אני מטיל על הנאשם את העונשים הבאים: </w:t>
      </w:r>
    </w:p>
    <w:p w14:paraId="1B8BF53B" w14:textId="77777777" w:rsidR="001A7439" w:rsidRDefault="001A7439" w:rsidP="001A7439">
      <w:pPr>
        <w:spacing w:line="360" w:lineRule="auto"/>
        <w:jc w:val="both"/>
        <w:rPr>
          <w:rFonts w:ascii="Arial" w:hAnsi="Arial"/>
          <w:rtl/>
        </w:rPr>
      </w:pPr>
      <w:r>
        <w:rPr>
          <w:rFonts w:ascii="Arial" w:hAnsi="Arial"/>
          <w:rtl/>
        </w:rPr>
        <w:t xml:space="preserve"> </w:t>
      </w:r>
    </w:p>
    <w:p w14:paraId="634BA17D" w14:textId="77777777" w:rsidR="001A7439" w:rsidRDefault="001A7439" w:rsidP="001A7439">
      <w:pPr>
        <w:numPr>
          <w:ilvl w:val="0"/>
          <w:numId w:val="1"/>
        </w:numPr>
        <w:spacing w:line="360" w:lineRule="auto"/>
        <w:contextualSpacing/>
        <w:jc w:val="both"/>
        <w:rPr>
          <w:rFonts w:ascii="Calibri" w:hAnsi="Calibri" w:cs="Arial"/>
          <w:sz w:val="22"/>
          <w:szCs w:val="22"/>
          <w:rtl/>
        </w:rPr>
      </w:pPr>
      <w:r>
        <w:rPr>
          <w:rFonts w:ascii="David" w:hAnsi="David" w:hint="cs"/>
          <w:rtl/>
        </w:rPr>
        <w:t>7</w:t>
      </w:r>
      <w:r>
        <w:rPr>
          <w:rFonts w:ascii="David" w:hAnsi="David"/>
          <w:rtl/>
        </w:rPr>
        <w:t xml:space="preserve"> חודשי מאסר בפועל שיבוצעו בעבודות שירות בעיריית חדרה רובע מרכז. </w:t>
      </w:r>
    </w:p>
    <w:p w14:paraId="677F1612" w14:textId="77777777" w:rsidR="001A7439" w:rsidRDefault="001A7439" w:rsidP="001A7439">
      <w:pPr>
        <w:spacing w:line="360" w:lineRule="auto"/>
        <w:ind w:left="1080"/>
        <w:contextualSpacing/>
        <w:jc w:val="both"/>
        <w:rPr>
          <w:rFonts w:ascii="Calibri" w:hAnsi="Calibri" w:cs="Arial"/>
        </w:rPr>
      </w:pPr>
      <w:r>
        <w:rPr>
          <w:rFonts w:ascii="David" w:hAnsi="David"/>
          <w:rtl/>
        </w:rPr>
        <w:t>הנאשם יתייצב בתאריך 24.10.22 בשעה 08:00 במשרדי יחידת ברקאי – עבודות שירות – שלוחת צפון – סמוך לבית סוהר מגידו.</w:t>
      </w:r>
      <w:r>
        <w:rPr>
          <w:rFonts w:ascii="Calibri" w:hAnsi="Calibri" w:cs="Arial"/>
          <w:rtl/>
        </w:rPr>
        <w:t xml:space="preserve"> </w:t>
      </w:r>
    </w:p>
    <w:p w14:paraId="117E8C54" w14:textId="77777777" w:rsidR="001A7439" w:rsidRDefault="001A7439" w:rsidP="001A7439">
      <w:pPr>
        <w:spacing w:line="360" w:lineRule="auto"/>
        <w:ind w:left="1080"/>
        <w:contextualSpacing/>
        <w:jc w:val="both"/>
        <w:rPr>
          <w:rFonts w:ascii="Calibri" w:hAnsi="Calibri" w:cs="Arial"/>
          <w:rtl/>
        </w:rPr>
      </w:pPr>
    </w:p>
    <w:p w14:paraId="3EDA398C" w14:textId="77777777" w:rsidR="001A7439" w:rsidRDefault="001A7439" w:rsidP="001A7439">
      <w:pPr>
        <w:numPr>
          <w:ilvl w:val="0"/>
          <w:numId w:val="1"/>
        </w:numPr>
        <w:spacing w:line="360" w:lineRule="auto"/>
        <w:contextualSpacing/>
        <w:jc w:val="both"/>
        <w:rPr>
          <w:rFonts w:ascii="Calibri" w:hAnsi="Calibri" w:cs="Arial"/>
        </w:rPr>
      </w:pPr>
      <w:r>
        <w:rPr>
          <w:rFonts w:ascii="David" w:hAnsi="David"/>
          <w:rtl/>
        </w:rPr>
        <w:t xml:space="preserve">מאסר על תנאי </w:t>
      </w:r>
      <w:r>
        <w:rPr>
          <w:rFonts w:ascii="David" w:hAnsi="David" w:hint="cs"/>
          <w:rtl/>
        </w:rPr>
        <w:t>6</w:t>
      </w:r>
      <w:r>
        <w:rPr>
          <w:rFonts w:ascii="David" w:hAnsi="David"/>
          <w:rtl/>
        </w:rPr>
        <w:t xml:space="preserve"> חודשים שלא יעבור תוך 3 שנים מהיום על בהן הורשע בתיק זה או כל עבירה לפי </w:t>
      </w:r>
      <w:hyperlink r:id="rId51" w:history="1">
        <w:r w:rsidR="0079399C" w:rsidRPr="0079399C">
          <w:rPr>
            <w:rFonts w:ascii="David" w:hAnsi="David"/>
            <w:color w:val="0000FF"/>
            <w:u w:val="single"/>
            <w:rtl/>
          </w:rPr>
          <w:t>פקודת הסמים המסוכנים</w:t>
        </w:r>
      </w:hyperlink>
      <w:r>
        <w:rPr>
          <w:rFonts w:ascii="David" w:hAnsi="David"/>
          <w:rtl/>
        </w:rPr>
        <w:t xml:space="preserve"> מסוג פשע ויורשע בה.</w:t>
      </w:r>
    </w:p>
    <w:p w14:paraId="54DE9131" w14:textId="77777777" w:rsidR="001A7439" w:rsidRPr="00D96250" w:rsidRDefault="001A7439" w:rsidP="001A7439">
      <w:pPr>
        <w:spacing w:line="360" w:lineRule="auto"/>
        <w:ind w:left="1088" w:hanging="720"/>
        <w:jc w:val="both"/>
        <w:rPr>
          <w:rtl/>
        </w:rPr>
      </w:pPr>
    </w:p>
    <w:p w14:paraId="7974DCC3" w14:textId="77777777" w:rsidR="001A7439" w:rsidRDefault="001A7439" w:rsidP="001A7439">
      <w:pPr>
        <w:spacing w:line="360" w:lineRule="auto"/>
        <w:ind w:left="1088" w:hanging="720"/>
        <w:jc w:val="both"/>
        <w:rPr>
          <w:rtl/>
        </w:rPr>
      </w:pPr>
      <w:r>
        <w:rPr>
          <w:rtl/>
        </w:rPr>
        <w:t>3.</w:t>
      </w:r>
      <w:r>
        <w:rPr>
          <w:rtl/>
        </w:rPr>
        <w:tab/>
        <w:t xml:space="preserve">קנס בסך </w:t>
      </w:r>
      <w:r>
        <w:rPr>
          <w:rFonts w:hint="cs"/>
          <w:rtl/>
        </w:rPr>
        <w:t>5</w:t>
      </w:r>
      <w:r>
        <w:rPr>
          <w:rtl/>
        </w:rPr>
        <w:t>,000 ₪.</w:t>
      </w:r>
    </w:p>
    <w:p w14:paraId="13462E7C" w14:textId="77777777" w:rsidR="001A7439" w:rsidRDefault="001A7439" w:rsidP="001A7439">
      <w:pPr>
        <w:pStyle w:val="a9"/>
        <w:spacing w:line="360" w:lineRule="auto"/>
        <w:rPr>
          <w:rFonts w:ascii="David" w:hAnsi="David" w:cs="David"/>
        </w:rPr>
      </w:pPr>
      <w:r>
        <w:rPr>
          <w:rFonts w:ascii="David" w:hAnsi="David" w:cs="David"/>
          <w:rtl/>
        </w:rPr>
        <w:t xml:space="preserve">יש לשלם את הקנס לחשבון המרכז לגביית קנסות, אגרות והוצאות ברשות האכיפה והגבייה, החל מחלוף 3 ימים מרגע מתן גזר הדין ועד ליום </w:t>
      </w:r>
      <w:r>
        <w:rPr>
          <w:rFonts w:ascii="David" w:hAnsi="David" w:cs="David" w:hint="cs"/>
          <w:rtl/>
        </w:rPr>
        <w:t>1/1/23</w:t>
      </w:r>
      <w:r>
        <w:rPr>
          <w:rFonts w:ascii="David" w:hAnsi="David" w:cs="David"/>
          <w:rtl/>
        </w:rPr>
        <w:t xml:space="preserve"> וזאת באחת מהדרכים הבאות:</w:t>
      </w:r>
    </w:p>
    <w:p w14:paraId="06721874" w14:textId="77777777" w:rsidR="001A7439" w:rsidRDefault="001A7439" w:rsidP="001A7439">
      <w:pPr>
        <w:pStyle w:val="a9"/>
        <w:numPr>
          <w:ilvl w:val="0"/>
          <w:numId w:val="2"/>
        </w:numPr>
        <w:spacing w:line="360" w:lineRule="auto"/>
        <w:contextualSpacing w:val="0"/>
        <w:rPr>
          <w:rFonts w:ascii="David" w:hAnsi="David" w:cs="David"/>
        </w:rPr>
      </w:pPr>
      <w:r>
        <w:rPr>
          <w:rFonts w:ascii="David" w:hAnsi="David" w:cs="David"/>
          <w:b/>
          <w:bCs/>
          <w:rtl/>
        </w:rPr>
        <w:t>בכרטיס אשראי</w:t>
      </w:r>
      <w:r>
        <w:rPr>
          <w:rFonts w:ascii="David" w:hAnsi="David" w:cs="David"/>
          <w:rtl/>
        </w:rPr>
        <w:t xml:space="preserve"> – באתר המקוון של רשות האכיפה והגבייה, </w:t>
      </w:r>
      <w:hyperlink r:id="rId52" w:history="1">
        <w:r>
          <w:rPr>
            <w:rStyle w:val="Hyperlink"/>
            <w:rFonts w:ascii="Arial" w:hAnsi="Arial" w:cs="Arial"/>
          </w:rPr>
          <w:t>www.eca.gov.il</w:t>
        </w:r>
      </w:hyperlink>
      <w:r>
        <w:rPr>
          <w:rFonts w:ascii="Arial" w:hAnsi="Arial" w:cs="Arial"/>
        </w:rPr>
        <w:t xml:space="preserve"> </w:t>
      </w:r>
      <w:r w:rsidR="0079399C">
        <w:rPr>
          <w:rFonts w:ascii="David" w:hAnsi="David" w:cs="David"/>
          <w:rtl/>
        </w:rPr>
        <w:t xml:space="preserve"> </w:t>
      </w:r>
      <w:r>
        <w:rPr>
          <w:rFonts w:ascii="David" w:hAnsi="David" w:cs="David"/>
          <w:rtl/>
        </w:rPr>
        <w:t>(ניתן לשלם בפריסה של עד 18 תשלומים בהסדר קרדיט) או חפש בגוגל " תשלום גביית קנסות".</w:t>
      </w:r>
    </w:p>
    <w:p w14:paraId="6220BF9A" w14:textId="77777777" w:rsidR="001A7439" w:rsidRDefault="001A7439" w:rsidP="001A7439">
      <w:pPr>
        <w:pStyle w:val="a9"/>
        <w:numPr>
          <w:ilvl w:val="0"/>
          <w:numId w:val="2"/>
        </w:numPr>
        <w:spacing w:line="360" w:lineRule="auto"/>
        <w:contextualSpacing w:val="0"/>
        <w:rPr>
          <w:rFonts w:ascii="Arial" w:hAnsi="Arial" w:cs="Arial"/>
          <w:b/>
          <w:bCs/>
          <w:rtl/>
        </w:rPr>
      </w:pPr>
      <w:r>
        <w:rPr>
          <w:rFonts w:ascii="David" w:hAnsi="David" w:cs="David"/>
          <w:b/>
          <w:bCs/>
          <w:rtl/>
        </w:rPr>
        <w:t>מוקד שירות טלפוני בשרות עצמי (מרכז גבייה)</w:t>
      </w:r>
      <w:r w:rsidR="0079399C">
        <w:rPr>
          <w:rFonts w:ascii="David" w:hAnsi="David" w:cs="David"/>
          <w:b/>
          <w:bCs/>
          <w:rtl/>
        </w:rPr>
        <w:t xml:space="preserve"> </w:t>
      </w:r>
      <w:r>
        <w:rPr>
          <w:rFonts w:ascii="David" w:hAnsi="David" w:cs="David"/>
          <w:b/>
          <w:bCs/>
          <w:rtl/>
        </w:rPr>
        <w:t xml:space="preserve"> – בטלפון 35592* או בטלפון 073-2055000 (ניתן לפנות לנציגים לקבלת מידע במספרים הללו).</w:t>
      </w:r>
    </w:p>
    <w:p w14:paraId="1D637042" w14:textId="77777777" w:rsidR="001A7439" w:rsidRDefault="001A7439" w:rsidP="001A7439">
      <w:pPr>
        <w:pStyle w:val="a9"/>
        <w:numPr>
          <w:ilvl w:val="0"/>
          <w:numId w:val="2"/>
        </w:numPr>
        <w:spacing w:line="360" w:lineRule="auto"/>
        <w:contextualSpacing w:val="0"/>
        <w:rPr>
          <w:rFonts w:ascii="David" w:hAnsi="David" w:cs="David"/>
          <w:b/>
          <w:bCs/>
          <w:rtl/>
        </w:rPr>
      </w:pPr>
      <w:r>
        <w:rPr>
          <w:rFonts w:ascii="David" w:hAnsi="David" w:cs="David"/>
          <w:b/>
          <w:bCs/>
          <w:rtl/>
        </w:rPr>
        <w:t>במזומן בכל סניף של בנק הדואר</w:t>
      </w:r>
      <w:r>
        <w:rPr>
          <w:rFonts w:ascii="David" w:hAnsi="David" w:cs="David"/>
          <w:rtl/>
        </w:rPr>
        <w:t xml:space="preserve"> – בהצגת תעודת זהות בלבד (אין צורך בשוברי תשלום).</w:t>
      </w:r>
    </w:p>
    <w:p w14:paraId="0AD64A61" w14:textId="77777777" w:rsidR="001A7439" w:rsidRDefault="001A7439" w:rsidP="001A7439">
      <w:pPr>
        <w:spacing w:line="360" w:lineRule="auto"/>
        <w:rPr>
          <w:rFonts w:ascii="David" w:hAnsi="David"/>
          <w:b/>
          <w:bCs/>
          <w:rtl/>
        </w:rPr>
      </w:pPr>
    </w:p>
    <w:p w14:paraId="59F019C4" w14:textId="77777777" w:rsidR="001A7439" w:rsidRDefault="001A7439" w:rsidP="001A7439">
      <w:pPr>
        <w:spacing w:line="360" w:lineRule="auto"/>
        <w:rPr>
          <w:rFonts w:ascii="David" w:hAnsi="David"/>
          <w:b/>
          <w:bCs/>
          <w:rtl/>
        </w:rPr>
      </w:pPr>
      <w:r>
        <w:rPr>
          <w:rFonts w:ascii="David" w:hAnsi="David" w:hint="cs"/>
          <w:b/>
          <w:bCs/>
          <w:rtl/>
        </w:rPr>
        <w:t xml:space="preserve">המזכירות תעביר גזר דין זה למשרדי הממונה על עבודות השירות. </w:t>
      </w:r>
    </w:p>
    <w:p w14:paraId="6B196CAF" w14:textId="77777777" w:rsidR="001A7439" w:rsidRDefault="001A7439" w:rsidP="001A7439">
      <w:pPr>
        <w:spacing w:line="360" w:lineRule="auto"/>
        <w:rPr>
          <w:b/>
          <w:bCs/>
          <w:rtl/>
        </w:rPr>
      </w:pPr>
    </w:p>
    <w:p w14:paraId="496B78C6" w14:textId="77777777" w:rsidR="001A7439" w:rsidRDefault="001A7439" w:rsidP="001A7439">
      <w:pPr>
        <w:spacing w:line="360" w:lineRule="auto"/>
        <w:rPr>
          <w:b/>
          <w:bCs/>
          <w:rtl/>
        </w:rPr>
      </w:pPr>
      <w:r>
        <w:rPr>
          <w:b/>
          <w:bCs/>
          <w:rtl/>
        </w:rPr>
        <w:t>ניתן בזאת צו להשמדת הסמים והציוד לגידולם.</w:t>
      </w:r>
    </w:p>
    <w:p w14:paraId="3B051FDE" w14:textId="77777777" w:rsidR="001A7439" w:rsidRDefault="001A7439" w:rsidP="001A7439">
      <w:pPr>
        <w:spacing w:line="360" w:lineRule="auto"/>
        <w:rPr>
          <w:b/>
          <w:bCs/>
          <w:rtl/>
        </w:rPr>
      </w:pPr>
    </w:p>
    <w:p w14:paraId="4EA45C9E" w14:textId="77777777" w:rsidR="001A7439" w:rsidRDefault="001A7439" w:rsidP="001A7439">
      <w:pPr>
        <w:spacing w:line="360" w:lineRule="auto"/>
        <w:rPr>
          <w:rFonts w:ascii="Calibri" w:hAnsi="Calibri" w:cs="Arial"/>
          <w:sz w:val="22"/>
          <w:szCs w:val="22"/>
          <w:rtl/>
        </w:rPr>
      </w:pPr>
      <w:r>
        <w:rPr>
          <w:b/>
          <w:bCs/>
          <w:rtl/>
        </w:rPr>
        <w:t>זכות ערעור לבית המשפט המחוזי בחיפה תוך 45 ימים מהיום.</w:t>
      </w:r>
      <w:r>
        <w:rPr>
          <w:rtl/>
        </w:rPr>
        <w:t xml:space="preserve">  </w:t>
      </w:r>
    </w:p>
    <w:p w14:paraId="1281F27E" w14:textId="77777777" w:rsidR="001A7439" w:rsidRPr="0079399C" w:rsidRDefault="0079399C" w:rsidP="001A7439">
      <w:pPr>
        <w:spacing w:line="360" w:lineRule="auto"/>
        <w:rPr>
          <w:color w:val="FFFFFF"/>
          <w:sz w:val="2"/>
          <w:szCs w:val="2"/>
          <w:rtl/>
        </w:rPr>
      </w:pPr>
      <w:r w:rsidRPr="0079399C">
        <w:rPr>
          <w:color w:val="FFFFFF"/>
          <w:sz w:val="2"/>
          <w:szCs w:val="2"/>
          <w:rtl/>
        </w:rPr>
        <w:t>5129371</w:t>
      </w:r>
    </w:p>
    <w:p w14:paraId="1E407E21" w14:textId="77777777" w:rsidR="001A7439" w:rsidRPr="0079399C" w:rsidRDefault="0079399C" w:rsidP="001A7439">
      <w:pPr>
        <w:rPr>
          <w:rFonts w:ascii="Arial" w:hAnsi="Arial"/>
          <w:b/>
          <w:bCs/>
          <w:color w:val="FFFFFF"/>
          <w:sz w:val="2"/>
          <w:szCs w:val="2"/>
          <w:rtl/>
        </w:rPr>
      </w:pPr>
      <w:r w:rsidRPr="0079399C">
        <w:rPr>
          <w:rFonts w:ascii="Arial" w:hAnsi="Arial"/>
          <w:b/>
          <w:bCs/>
          <w:color w:val="FFFFFF"/>
          <w:sz w:val="2"/>
          <w:szCs w:val="2"/>
          <w:rtl/>
        </w:rPr>
        <w:t>54678313</w:t>
      </w:r>
    </w:p>
    <w:p w14:paraId="2B336DDD" w14:textId="77777777" w:rsidR="001A7439" w:rsidRPr="000F2247" w:rsidRDefault="001A7439" w:rsidP="001A7439">
      <w:pPr>
        <w:rPr>
          <w:rFonts w:ascii="Arial" w:hAnsi="Arial"/>
          <w:b/>
          <w:bCs/>
          <w:sz w:val="26"/>
          <w:szCs w:val="26"/>
          <w:rtl/>
        </w:rPr>
      </w:pPr>
    </w:p>
    <w:p w14:paraId="6F0A81C3" w14:textId="77777777" w:rsidR="001A7439" w:rsidRPr="000F2247" w:rsidRDefault="0079399C" w:rsidP="001A7439">
      <w:pPr>
        <w:rPr>
          <w:rFonts w:ascii="Arial" w:hAnsi="Arial"/>
          <w:b/>
          <w:bCs/>
          <w:sz w:val="26"/>
          <w:szCs w:val="26"/>
          <w:rtl/>
        </w:rPr>
      </w:pPr>
      <w:bookmarkStart w:id="10" w:name="Nitan"/>
      <w:r>
        <w:rPr>
          <w:rFonts w:ascii="Arial" w:hAnsi="Arial"/>
          <w:b/>
          <w:bCs/>
          <w:sz w:val="26"/>
          <w:szCs w:val="26"/>
          <w:rtl/>
        </w:rPr>
        <w:t xml:space="preserve">ניתן היום,  י"א אלול תשפ"ב, 07 ספטמבר 2022, בנוכחות הצדדים. </w:t>
      </w:r>
      <w:bookmarkEnd w:id="10"/>
    </w:p>
    <w:p w14:paraId="012104D0" w14:textId="77777777" w:rsidR="001A7439" w:rsidRPr="000F2247" w:rsidRDefault="001A7439" w:rsidP="0079399C">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6AC2537C" w14:textId="77777777" w:rsidR="001A7439" w:rsidRPr="000F2247" w:rsidRDefault="001A7439" w:rsidP="001A7439">
      <w:pPr>
        <w:jc w:val="center"/>
        <w:rPr>
          <w:rFonts w:ascii="Arial" w:hAnsi="Arial"/>
          <w:b/>
          <w:bCs/>
          <w:sz w:val="26"/>
          <w:szCs w:val="26"/>
          <w:rtl/>
        </w:rPr>
      </w:pPr>
    </w:p>
    <w:p w14:paraId="3C09B788" w14:textId="77777777" w:rsidR="00BC6B1E" w:rsidRPr="0079399C" w:rsidRDefault="00BC6B1E" w:rsidP="0079399C">
      <w:pPr>
        <w:keepNext/>
        <w:rPr>
          <w:rFonts w:ascii="David" w:hAnsi="David"/>
          <w:color w:val="000000"/>
          <w:sz w:val="22"/>
          <w:szCs w:val="22"/>
          <w:rtl/>
        </w:rPr>
      </w:pPr>
    </w:p>
    <w:p w14:paraId="5BD2A888" w14:textId="77777777" w:rsidR="0079399C" w:rsidRPr="0079399C" w:rsidRDefault="0079399C" w:rsidP="0079399C">
      <w:pPr>
        <w:keepNext/>
        <w:rPr>
          <w:rFonts w:ascii="David" w:hAnsi="David"/>
          <w:color w:val="000000"/>
          <w:sz w:val="22"/>
          <w:szCs w:val="22"/>
          <w:rtl/>
        </w:rPr>
      </w:pPr>
      <w:r w:rsidRPr="0079399C">
        <w:rPr>
          <w:rFonts w:ascii="David" w:hAnsi="David"/>
          <w:color w:val="000000"/>
          <w:sz w:val="22"/>
          <w:szCs w:val="22"/>
          <w:rtl/>
        </w:rPr>
        <w:t>אלכס אחטר 54678313</w:t>
      </w:r>
    </w:p>
    <w:p w14:paraId="3B98583A" w14:textId="77777777" w:rsidR="0079399C" w:rsidRDefault="0079399C" w:rsidP="0079399C">
      <w:r w:rsidRPr="0079399C">
        <w:rPr>
          <w:color w:val="000000"/>
          <w:rtl/>
        </w:rPr>
        <w:t>נוסח מסמך זה כפוף לשינויי ניסוח ועריכה</w:t>
      </w:r>
    </w:p>
    <w:p w14:paraId="5E7D7559" w14:textId="77777777" w:rsidR="0079399C" w:rsidRDefault="0079399C" w:rsidP="0079399C">
      <w:pPr>
        <w:rPr>
          <w:rtl/>
        </w:rPr>
      </w:pPr>
    </w:p>
    <w:p w14:paraId="0E0BADBA" w14:textId="77777777" w:rsidR="0079399C" w:rsidRDefault="0079399C" w:rsidP="0079399C">
      <w:pPr>
        <w:jc w:val="center"/>
        <w:rPr>
          <w:color w:val="0000FF"/>
          <w:u w:val="single"/>
        </w:rPr>
      </w:pPr>
      <w:hyperlink r:id="rId53" w:history="1">
        <w:r>
          <w:rPr>
            <w:color w:val="0000FF"/>
            <w:u w:val="single"/>
            <w:rtl/>
          </w:rPr>
          <w:t>בעניין עריכה ושינויים במסמכי פסיקה, חקיקה ועוד באתר נבו – הקש כאן</w:t>
        </w:r>
      </w:hyperlink>
    </w:p>
    <w:p w14:paraId="71147C9A" w14:textId="77777777" w:rsidR="0079399C" w:rsidRPr="0079399C" w:rsidRDefault="0079399C" w:rsidP="0079399C">
      <w:pPr>
        <w:jc w:val="center"/>
        <w:rPr>
          <w:color w:val="0000FF"/>
          <w:u w:val="single"/>
        </w:rPr>
      </w:pPr>
    </w:p>
    <w:sectPr w:rsidR="0079399C" w:rsidRPr="0079399C" w:rsidSect="0079399C">
      <w:headerReference w:type="even" r:id="rId54"/>
      <w:headerReference w:type="default" r:id="rId55"/>
      <w:footerReference w:type="even" r:id="rId56"/>
      <w:footerReference w:type="default" r:id="rId5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64EEDE" w14:textId="77777777" w:rsidR="00004A59" w:rsidRDefault="00004A59" w:rsidP="0094061F">
      <w:r>
        <w:separator/>
      </w:r>
    </w:p>
  </w:endnote>
  <w:endnote w:type="continuationSeparator" w:id="0">
    <w:p w14:paraId="4012B38A" w14:textId="77777777" w:rsidR="00004A59" w:rsidRDefault="00004A59" w:rsidP="00940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C1191E" w14:textId="77777777" w:rsidR="0079399C" w:rsidRDefault="0079399C" w:rsidP="0079399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DED90E1" w14:textId="77777777" w:rsidR="000C697E" w:rsidRPr="0079399C" w:rsidRDefault="0079399C" w:rsidP="0079399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73DFD" w14:textId="77777777" w:rsidR="0079399C" w:rsidRDefault="0079399C" w:rsidP="0079399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2332C">
      <w:rPr>
        <w:rFonts w:ascii="FrankRuehl" w:hAnsi="FrankRuehl" w:cs="FrankRuehl"/>
        <w:noProof/>
        <w:rtl/>
      </w:rPr>
      <w:t>1</w:t>
    </w:r>
    <w:r>
      <w:rPr>
        <w:rFonts w:ascii="FrankRuehl" w:hAnsi="FrankRuehl" w:cs="FrankRuehl"/>
        <w:rtl/>
      </w:rPr>
      <w:fldChar w:fldCharType="end"/>
    </w:r>
  </w:p>
  <w:p w14:paraId="0321F78B" w14:textId="77777777" w:rsidR="000C697E" w:rsidRPr="0079399C" w:rsidRDefault="0079399C" w:rsidP="0079399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24079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5FA835" w14:textId="77777777" w:rsidR="00004A59" w:rsidRDefault="00004A59" w:rsidP="0094061F">
      <w:r>
        <w:separator/>
      </w:r>
    </w:p>
  </w:footnote>
  <w:footnote w:type="continuationSeparator" w:id="0">
    <w:p w14:paraId="7819AEEE" w14:textId="77777777" w:rsidR="00004A59" w:rsidRDefault="00004A59" w:rsidP="009406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6AD631" w14:textId="77777777" w:rsidR="0079399C" w:rsidRPr="0079399C" w:rsidRDefault="0079399C" w:rsidP="0079399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10140-10-19</w:t>
    </w:r>
    <w:r>
      <w:rPr>
        <w:rFonts w:ascii="David" w:hAnsi="David"/>
        <w:color w:val="000000"/>
        <w:sz w:val="22"/>
        <w:szCs w:val="22"/>
        <w:rtl/>
      </w:rPr>
      <w:tab/>
      <w:t xml:space="preserve"> מדינת ישראל נ' עדנאן ותד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0C4182" w14:textId="77777777" w:rsidR="0079399C" w:rsidRPr="0079399C" w:rsidRDefault="0079399C" w:rsidP="0079399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10140-10-19</w:t>
    </w:r>
    <w:r>
      <w:rPr>
        <w:rFonts w:ascii="David" w:hAnsi="David"/>
        <w:color w:val="000000"/>
        <w:sz w:val="22"/>
        <w:szCs w:val="22"/>
        <w:rtl/>
      </w:rPr>
      <w:tab/>
      <w:t xml:space="preserve"> מדינת ישראל נ' עדנאן ותד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720" w:hanging="360"/>
      </w:pPr>
      <w:rPr>
        <w:rFonts w:ascii="Symbol" w:hAnsi="Symbol" w:hint="default"/>
      </w:rPr>
    </w:lvl>
    <w:lvl w:ilvl="1" w:tplc="D0AE272C">
      <w:start w:val="1"/>
      <w:numFmt w:val="bullet"/>
      <w:lvlText w:val="o"/>
      <w:lvlJc w:val="left"/>
      <w:pPr>
        <w:ind w:left="1440" w:hanging="360"/>
      </w:pPr>
      <w:rPr>
        <w:rFonts w:ascii="Courier New" w:hAnsi="Courier New" w:cs="Courier New" w:hint="default"/>
      </w:rPr>
    </w:lvl>
    <w:lvl w:ilvl="2" w:tplc="4CE8AFEC">
      <w:start w:val="1"/>
      <w:numFmt w:val="bullet"/>
      <w:lvlText w:val=""/>
      <w:lvlJc w:val="left"/>
      <w:pPr>
        <w:ind w:left="2160" w:hanging="360"/>
      </w:pPr>
      <w:rPr>
        <w:rFonts w:ascii="Wingdings" w:hAnsi="Wingdings" w:hint="default"/>
      </w:rPr>
    </w:lvl>
    <w:lvl w:ilvl="3" w:tplc="66DC63D4">
      <w:start w:val="1"/>
      <w:numFmt w:val="bullet"/>
      <w:lvlText w:val=""/>
      <w:lvlJc w:val="left"/>
      <w:pPr>
        <w:ind w:left="2880" w:hanging="360"/>
      </w:pPr>
      <w:rPr>
        <w:rFonts w:ascii="Symbol" w:hAnsi="Symbol" w:hint="default"/>
      </w:rPr>
    </w:lvl>
    <w:lvl w:ilvl="4" w:tplc="39E8D01E">
      <w:start w:val="1"/>
      <w:numFmt w:val="bullet"/>
      <w:lvlText w:val="o"/>
      <w:lvlJc w:val="left"/>
      <w:pPr>
        <w:ind w:left="3600" w:hanging="360"/>
      </w:pPr>
      <w:rPr>
        <w:rFonts w:ascii="Courier New" w:hAnsi="Courier New" w:cs="Courier New" w:hint="default"/>
      </w:rPr>
    </w:lvl>
    <w:lvl w:ilvl="5" w:tplc="A17A33F8">
      <w:start w:val="1"/>
      <w:numFmt w:val="bullet"/>
      <w:lvlText w:val=""/>
      <w:lvlJc w:val="left"/>
      <w:pPr>
        <w:ind w:left="4320" w:hanging="360"/>
      </w:pPr>
      <w:rPr>
        <w:rFonts w:ascii="Wingdings" w:hAnsi="Wingdings" w:hint="default"/>
      </w:rPr>
    </w:lvl>
    <w:lvl w:ilvl="6" w:tplc="32B25C30">
      <w:start w:val="1"/>
      <w:numFmt w:val="bullet"/>
      <w:lvlText w:val=""/>
      <w:lvlJc w:val="left"/>
      <w:pPr>
        <w:ind w:left="5040" w:hanging="360"/>
      </w:pPr>
      <w:rPr>
        <w:rFonts w:ascii="Symbol" w:hAnsi="Symbol" w:hint="default"/>
      </w:rPr>
    </w:lvl>
    <w:lvl w:ilvl="7" w:tplc="117C14FE">
      <w:start w:val="1"/>
      <w:numFmt w:val="bullet"/>
      <w:lvlText w:val="o"/>
      <w:lvlJc w:val="left"/>
      <w:pPr>
        <w:ind w:left="5760" w:hanging="360"/>
      </w:pPr>
      <w:rPr>
        <w:rFonts w:ascii="Courier New" w:hAnsi="Courier New" w:cs="Courier New" w:hint="default"/>
      </w:rPr>
    </w:lvl>
    <w:lvl w:ilvl="8" w:tplc="A12A52C8">
      <w:start w:val="1"/>
      <w:numFmt w:val="bullet"/>
      <w:lvlText w:val=""/>
      <w:lvlJc w:val="left"/>
      <w:pPr>
        <w:ind w:left="6480" w:hanging="360"/>
      </w:pPr>
      <w:rPr>
        <w:rFonts w:ascii="Wingdings" w:hAnsi="Wingdings" w:hint="default"/>
      </w:rPr>
    </w:lvl>
  </w:abstractNum>
  <w:abstractNum w:abstractNumId="1" w15:restartNumberingAfterBreak="0">
    <w:nsid w:val="25F142EC"/>
    <w:multiLevelType w:val="hybridMultilevel"/>
    <w:tmpl w:val="7C28A780"/>
    <w:lvl w:ilvl="0" w:tplc="7FBE17EC">
      <w:start w:val="1"/>
      <w:numFmt w:val="decimal"/>
      <w:lvlText w:val="%1."/>
      <w:lvlJc w:val="left"/>
      <w:pPr>
        <w:ind w:left="1080" w:hanging="720"/>
      </w:pPr>
      <w:rPr>
        <w:rFonts w:cs="David"/>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5863749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80058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A7439"/>
    <w:rsid w:val="00004A59"/>
    <w:rsid w:val="000231BE"/>
    <w:rsid w:val="000C697E"/>
    <w:rsid w:val="001A7439"/>
    <w:rsid w:val="0032332C"/>
    <w:rsid w:val="00416C93"/>
    <w:rsid w:val="004218C1"/>
    <w:rsid w:val="004B2404"/>
    <w:rsid w:val="00547FA3"/>
    <w:rsid w:val="006B615E"/>
    <w:rsid w:val="0079399C"/>
    <w:rsid w:val="0094061F"/>
    <w:rsid w:val="009A4E4C"/>
    <w:rsid w:val="00BC6B1E"/>
    <w:rsid w:val="00BF531D"/>
    <w:rsid w:val="00C073FC"/>
    <w:rsid w:val="00F118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6B89915"/>
  <w15:chartTrackingRefBased/>
  <w15:docId w15:val="{BCCCECD2-17C4-4FAF-8A8F-B93858598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A743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A7439"/>
    <w:pPr>
      <w:tabs>
        <w:tab w:val="center" w:pos="4153"/>
        <w:tab w:val="right" w:pos="8306"/>
      </w:tabs>
    </w:pPr>
  </w:style>
  <w:style w:type="character" w:customStyle="1" w:styleId="a4">
    <w:name w:val="כותרת עליונה תו"/>
    <w:link w:val="a3"/>
    <w:rsid w:val="001A7439"/>
    <w:rPr>
      <w:rFonts w:ascii="Times New Roman" w:eastAsia="Times New Roman" w:hAnsi="Times New Roman" w:cs="David"/>
      <w:sz w:val="24"/>
      <w:szCs w:val="24"/>
    </w:rPr>
  </w:style>
  <w:style w:type="paragraph" w:styleId="a5">
    <w:name w:val="footer"/>
    <w:basedOn w:val="a"/>
    <w:link w:val="a6"/>
    <w:rsid w:val="001A7439"/>
    <w:pPr>
      <w:tabs>
        <w:tab w:val="center" w:pos="4153"/>
        <w:tab w:val="right" w:pos="8306"/>
      </w:tabs>
    </w:pPr>
  </w:style>
  <w:style w:type="character" w:customStyle="1" w:styleId="a6">
    <w:name w:val="כותרת תחתונה תו"/>
    <w:link w:val="a5"/>
    <w:rsid w:val="001A7439"/>
    <w:rPr>
      <w:rFonts w:ascii="Times New Roman" w:eastAsia="Times New Roman" w:hAnsi="Times New Roman" w:cs="David"/>
      <w:sz w:val="24"/>
      <w:szCs w:val="24"/>
    </w:rPr>
  </w:style>
  <w:style w:type="table" w:styleId="a7">
    <w:name w:val="Table Grid"/>
    <w:basedOn w:val="a1"/>
    <w:rsid w:val="001A743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A7439"/>
  </w:style>
  <w:style w:type="character" w:styleId="Hyperlink">
    <w:name w:val="Hyperlink"/>
    <w:rsid w:val="001A7439"/>
    <w:rPr>
      <w:color w:val="0000FF"/>
      <w:u w:val="single"/>
    </w:rPr>
  </w:style>
  <w:style w:type="paragraph" w:customStyle="1" w:styleId="ruller40-p-p">
    <w:name w:val="ruller40-p-p"/>
    <w:basedOn w:val="a"/>
    <w:rsid w:val="001A7439"/>
    <w:pPr>
      <w:overflowPunct w:val="0"/>
      <w:bidi w:val="0"/>
      <w:jc w:val="both"/>
    </w:pPr>
    <w:rPr>
      <w:rFonts w:cs="Times New Roman"/>
      <w:sz w:val="20"/>
      <w:szCs w:val="20"/>
    </w:rPr>
  </w:style>
  <w:style w:type="paragraph" w:customStyle="1" w:styleId="ruller50-p-p">
    <w:name w:val="ruller50-p-p"/>
    <w:basedOn w:val="a"/>
    <w:rsid w:val="001A7439"/>
    <w:pPr>
      <w:overflowPunct w:val="0"/>
      <w:bidi w:val="0"/>
      <w:jc w:val="both"/>
    </w:pPr>
    <w:rPr>
      <w:rFonts w:cs="Times New Roman"/>
      <w:sz w:val="20"/>
      <w:szCs w:val="20"/>
    </w:rPr>
  </w:style>
  <w:style w:type="paragraph" w:customStyle="1" w:styleId="normal-p-p">
    <w:name w:val="normal-p-p"/>
    <w:basedOn w:val="a"/>
    <w:rsid w:val="001A7439"/>
    <w:pPr>
      <w:bidi w:val="0"/>
      <w:spacing w:before="100" w:beforeAutospacing="1" w:after="100" w:afterAutospacing="1"/>
    </w:pPr>
    <w:rPr>
      <w:rFonts w:cs="Times New Roman"/>
      <w:sz w:val="20"/>
      <w:szCs w:val="20"/>
    </w:rPr>
  </w:style>
  <w:style w:type="paragraph" w:customStyle="1" w:styleId="a00">
    <w:name w:val="a0"/>
    <w:basedOn w:val="a"/>
    <w:rsid w:val="001A7439"/>
    <w:pPr>
      <w:bidi w:val="0"/>
      <w:spacing w:before="100" w:beforeAutospacing="1" w:after="100" w:afterAutospacing="1"/>
    </w:pPr>
    <w:rPr>
      <w:rFonts w:cs="Times New Roman"/>
    </w:rPr>
  </w:style>
  <w:style w:type="paragraph" w:customStyle="1" w:styleId="2">
    <w:name w:val="2"/>
    <w:basedOn w:val="a"/>
    <w:rsid w:val="001A7439"/>
    <w:pPr>
      <w:bidi w:val="0"/>
      <w:spacing w:before="100" w:beforeAutospacing="1" w:after="100" w:afterAutospacing="1"/>
    </w:pPr>
    <w:rPr>
      <w:rFonts w:cs="Times New Roman"/>
    </w:rPr>
  </w:style>
  <w:style w:type="paragraph" w:customStyle="1" w:styleId="1">
    <w:name w:val="1"/>
    <w:basedOn w:val="a"/>
    <w:rsid w:val="001A7439"/>
    <w:pPr>
      <w:bidi w:val="0"/>
      <w:spacing w:before="100" w:beforeAutospacing="1" w:after="100" w:afterAutospacing="1"/>
    </w:pPr>
    <w:rPr>
      <w:rFonts w:cs="Times New Roman"/>
    </w:rPr>
  </w:style>
  <w:style w:type="paragraph" w:customStyle="1" w:styleId="ruller40">
    <w:name w:val="ruller40"/>
    <w:basedOn w:val="a"/>
    <w:rsid w:val="001A7439"/>
    <w:pPr>
      <w:bidi w:val="0"/>
      <w:spacing w:before="100" w:beforeAutospacing="1" w:after="100" w:afterAutospacing="1"/>
    </w:pPr>
    <w:rPr>
      <w:rFonts w:cs="Times New Roman"/>
    </w:rPr>
  </w:style>
  <w:style w:type="character" w:customStyle="1" w:styleId="normal-h-h">
    <w:name w:val="normal-h-h"/>
    <w:rsid w:val="001A7439"/>
  </w:style>
  <w:style w:type="character" w:customStyle="1" w:styleId="ruller40-h1-h1">
    <w:name w:val="ruller40-h1-h1"/>
    <w:rsid w:val="001A7439"/>
    <w:rPr>
      <w:spacing w:val="10"/>
      <w:sz w:val="22"/>
      <w:szCs w:val="22"/>
    </w:rPr>
  </w:style>
  <w:style w:type="character" w:customStyle="1" w:styleId="ruller50-p-h1">
    <w:name w:val="ruller50-p-h1"/>
    <w:rsid w:val="001A7439"/>
    <w:rPr>
      <w:rFonts w:ascii="Times New Roman" w:hAnsi="Times New Roman" w:cs="Times New Roman" w:hint="default"/>
      <w:sz w:val="20"/>
      <w:szCs w:val="20"/>
    </w:rPr>
  </w:style>
  <w:style w:type="character" w:customStyle="1" w:styleId="ruller50-h1-h1">
    <w:name w:val="ruller50-h1-h1"/>
    <w:rsid w:val="001A7439"/>
    <w:rPr>
      <w:spacing w:val="10"/>
      <w:sz w:val="22"/>
      <w:szCs w:val="22"/>
    </w:rPr>
  </w:style>
  <w:style w:type="character" w:customStyle="1" w:styleId="hyperlink-h1-h1">
    <w:name w:val="hyperlink-h1-h1"/>
    <w:rsid w:val="001A7439"/>
    <w:rPr>
      <w:color w:val="0000FF"/>
    </w:rPr>
  </w:style>
  <w:style w:type="paragraph" w:styleId="a9">
    <w:name w:val="List Paragraph"/>
    <w:basedOn w:val="a"/>
    <w:qFormat/>
    <w:rsid w:val="001A7439"/>
    <w:pPr>
      <w:ind w:left="720"/>
      <w:contextualSpacing/>
    </w:pPr>
    <w:rPr>
      <w:rFonts w:cs="Times New Roman"/>
    </w:rPr>
  </w:style>
  <w:style w:type="character" w:styleId="aa">
    <w:name w:val="line number"/>
    <w:rsid w:val="001A74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e" TargetMode="External"/><Relationship Id="rId18" Type="http://schemas.openxmlformats.org/officeDocument/2006/relationships/hyperlink" Target="http://www.nevo.co.il/law/4216/7.a.;7.c" TargetMode="External"/><Relationship Id="rId26" Type="http://schemas.openxmlformats.org/officeDocument/2006/relationships/hyperlink" Target="http://www.nevo.co.il/case/26797877" TargetMode="External"/><Relationship Id="rId39" Type="http://schemas.openxmlformats.org/officeDocument/2006/relationships/hyperlink" Target="http://www.nevo.co.il/case/27347635"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3827604" TargetMode="External"/><Relationship Id="rId42" Type="http://schemas.openxmlformats.org/officeDocument/2006/relationships/hyperlink" Target="http://www.nevo.co.il/case/27922147" TargetMode="External"/><Relationship Id="rId47" Type="http://schemas.openxmlformats.org/officeDocument/2006/relationships/hyperlink" Target="http://www.nevo.co.il/case/22695050" TargetMode="External"/><Relationship Id="rId50" Type="http://schemas.openxmlformats.org/officeDocument/2006/relationships/hyperlink" Target="http://www.nevo.co.il/case/17914714" TargetMode="External"/><Relationship Id="rId55"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6" TargetMode="External"/><Relationship Id="rId29" Type="http://schemas.openxmlformats.org/officeDocument/2006/relationships/hyperlink" Target="http://www.nevo.co.il/case/5698919" TargetMode="External"/><Relationship Id="rId11" Type="http://schemas.openxmlformats.org/officeDocument/2006/relationships/hyperlink" Target="http://www.nevo.co.il/law/70301" TargetMode="External"/><Relationship Id="rId24" Type="http://schemas.openxmlformats.org/officeDocument/2006/relationships/hyperlink" Target="http://www.nevo.co.il/law/70301/40e" TargetMode="External"/><Relationship Id="rId32" Type="http://schemas.openxmlformats.org/officeDocument/2006/relationships/hyperlink" Target="http://www.nevo.co.il/case/27536085" TargetMode="External"/><Relationship Id="rId37" Type="http://schemas.openxmlformats.org/officeDocument/2006/relationships/hyperlink" Target="http://www.nevo.co.il/case/21644133" TargetMode="External"/><Relationship Id="rId40" Type="http://schemas.openxmlformats.org/officeDocument/2006/relationships/hyperlink" Target="http://www.nevo.co.il/case/28187752" TargetMode="External"/><Relationship Id="rId45" Type="http://schemas.openxmlformats.org/officeDocument/2006/relationships/hyperlink" Target="http://www.nevo.co.il/case/22961877" TargetMode="External"/><Relationship Id="rId53" Type="http://schemas.openxmlformats.org/officeDocument/2006/relationships/hyperlink" Target="http://www.nevo.co.il/advertisements/nevo-100.doc"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40i" TargetMode="External"/><Relationship Id="rId22" Type="http://schemas.openxmlformats.org/officeDocument/2006/relationships/hyperlink" Target="http://www.nevo.co.il/law/70301/40ja" TargetMode="External"/><Relationship Id="rId27" Type="http://schemas.openxmlformats.org/officeDocument/2006/relationships/hyperlink" Target="http://www.nevo.co.il/case/22841413" TargetMode="External"/><Relationship Id="rId30" Type="http://schemas.openxmlformats.org/officeDocument/2006/relationships/hyperlink" Target="http://www.nevo.co.il/case/23816995" TargetMode="External"/><Relationship Id="rId35" Type="http://schemas.openxmlformats.org/officeDocument/2006/relationships/hyperlink" Target="http://www.nevo.co.il/case/26797877" TargetMode="External"/><Relationship Id="rId43" Type="http://schemas.openxmlformats.org/officeDocument/2006/relationships/hyperlink" Target="http://www.nevo.co.il/case/28226828" TargetMode="External"/><Relationship Id="rId48" Type="http://schemas.openxmlformats.org/officeDocument/2006/relationships/hyperlink" Target="http://www.nevo.co.il/case/27573801" TargetMode="External"/><Relationship Id="rId56" Type="http://schemas.openxmlformats.org/officeDocument/2006/relationships/footer" Target="footer1.xml"/><Relationship Id="rId8" Type="http://schemas.openxmlformats.org/officeDocument/2006/relationships/hyperlink" Target="http://www.nevo.co.il/law/4216/6" TargetMode="External"/><Relationship Id="rId51" Type="http://schemas.openxmlformats.org/officeDocument/2006/relationships/hyperlink" Target="http://www.nevo.co.il/law/4216" TargetMode="External"/><Relationship Id="rId3" Type="http://schemas.openxmlformats.org/officeDocument/2006/relationships/settings" Target="settings.xml"/><Relationship Id="rId12" Type="http://schemas.openxmlformats.org/officeDocument/2006/relationships/hyperlink" Target="http://www.nevo.co.il/law/70301/40d"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6230247" TargetMode="External"/><Relationship Id="rId33" Type="http://schemas.openxmlformats.org/officeDocument/2006/relationships/hyperlink" Target="http://www.nevo.co.il/case/28226828" TargetMode="External"/><Relationship Id="rId38" Type="http://schemas.openxmlformats.org/officeDocument/2006/relationships/hyperlink" Target="http://www.nevo.co.il/case/27279049" TargetMode="External"/><Relationship Id="rId46" Type="http://schemas.openxmlformats.org/officeDocument/2006/relationships/hyperlink" Target="http://www.nevo.co.il/case/26376566" TargetMode="External"/><Relationship Id="rId59" Type="http://schemas.openxmlformats.org/officeDocument/2006/relationships/theme" Target="theme/theme1.xml"/><Relationship Id="rId20" Type="http://schemas.openxmlformats.org/officeDocument/2006/relationships/hyperlink" Target="http://www.nevo.co.il/law/70301/40i" TargetMode="External"/><Relationship Id="rId41" Type="http://schemas.openxmlformats.org/officeDocument/2006/relationships/hyperlink" Target="http://www.nevo.co.il/safrut/book/974"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a" TargetMode="External"/><Relationship Id="rId23" Type="http://schemas.openxmlformats.org/officeDocument/2006/relationships/hyperlink" Target="http://www.nevo.co.il/law/70301/40d" TargetMode="External"/><Relationship Id="rId28" Type="http://schemas.openxmlformats.org/officeDocument/2006/relationships/hyperlink" Target="http://www.nevo.co.il/case/25277147" TargetMode="External"/><Relationship Id="rId36" Type="http://schemas.openxmlformats.org/officeDocument/2006/relationships/hyperlink" Target="http://www.nevo.co.il/case/26991436" TargetMode="External"/><Relationship Id="rId49" Type="http://schemas.openxmlformats.org/officeDocument/2006/relationships/hyperlink" Target="http://www.nevo.co.il/case/5764903" TargetMode="External"/><Relationship Id="rId57" Type="http://schemas.openxmlformats.org/officeDocument/2006/relationships/footer" Target="footer2.xml"/><Relationship Id="rId10" Type="http://schemas.openxmlformats.org/officeDocument/2006/relationships/hyperlink" Target="http://www.nevo.co.il/law/4216/7.c" TargetMode="External"/><Relationship Id="rId31" Type="http://schemas.openxmlformats.org/officeDocument/2006/relationships/hyperlink" Target="http://www.nevo.co.il/law/4216" TargetMode="External"/><Relationship Id="rId44" Type="http://schemas.openxmlformats.org/officeDocument/2006/relationships/hyperlink" Target="http://www.nevo.co.il/case/25202760" TargetMode="External"/><Relationship Id="rId52" Type="http://schemas.openxmlformats.org/officeDocument/2006/relationships/hyperlink" Target="http://www.eca.gov.i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4283</Words>
  <Characters>21419</Characters>
  <Application>Microsoft Office Word</Application>
  <DocSecurity>0</DocSecurity>
  <Lines>178</Lines>
  <Paragraphs>51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25651</CharactersWithSpaces>
  <SharedDoc>false</SharedDoc>
  <HLinks>
    <vt:vector size="288" baseType="variant">
      <vt:variant>
        <vt:i4>393283</vt:i4>
      </vt:variant>
      <vt:variant>
        <vt:i4>141</vt:i4>
      </vt:variant>
      <vt:variant>
        <vt:i4>0</vt:i4>
      </vt:variant>
      <vt:variant>
        <vt:i4>5</vt:i4>
      </vt:variant>
      <vt:variant>
        <vt:lpwstr>http://www.nevo.co.il/advertisements/nevo-100.doc</vt:lpwstr>
      </vt:variant>
      <vt:variant>
        <vt:lpwstr/>
      </vt:variant>
      <vt:variant>
        <vt:i4>7864368</vt:i4>
      </vt:variant>
      <vt:variant>
        <vt:i4>138</vt:i4>
      </vt:variant>
      <vt:variant>
        <vt:i4>0</vt:i4>
      </vt:variant>
      <vt:variant>
        <vt:i4>5</vt:i4>
      </vt:variant>
      <vt:variant>
        <vt:lpwstr>http://www.eca.gov.il/</vt:lpwstr>
      </vt:variant>
      <vt:variant>
        <vt:lpwstr/>
      </vt:variant>
      <vt:variant>
        <vt:i4>8257637</vt:i4>
      </vt:variant>
      <vt:variant>
        <vt:i4>135</vt:i4>
      </vt:variant>
      <vt:variant>
        <vt:i4>0</vt:i4>
      </vt:variant>
      <vt:variant>
        <vt:i4>5</vt:i4>
      </vt:variant>
      <vt:variant>
        <vt:lpwstr>http://www.nevo.co.il/law/4216</vt:lpwstr>
      </vt:variant>
      <vt:variant>
        <vt:lpwstr/>
      </vt:variant>
      <vt:variant>
        <vt:i4>3997813</vt:i4>
      </vt:variant>
      <vt:variant>
        <vt:i4>132</vt:i4>
      </vt:variant>
      <vt:variant>
        <vt:i4>0</vt:i4>
      </vt:variant>
      <vt:variant>
        <vt:i4>5</vt:i4>
      </vt:variant>
      <vt:variant>
        <vt:lpwstr>http://www.nevo.co.il/case/17914714</vt:lpwstr>
      </vt:variant>
      <vt:variant>
        <vt:lpwstr/>
      </vt:variant>
      <vt:variant>
        <vt:i4>3735671</vt:i4>
      </vt:variant>
      <vt:variant>
        <vt:i4>129</vt:i4>
      </vt:variant>
      <vt:variant>
        <vt:i4>0</vt:i4>
      </vt:variant>
      <vt:variant>
        <vt:i4>5</vt:i4>
      </vt:variant>
      <vt:variant>
        <vt:lpwstr>http://www.nevo.co.il/case/5764903</vt:lpwstr>
      </vt:variant>
      <vt:variant>
        <vt:lpwstr/>
      </vt:variant>
      <vt:variant>
        <vt:i4>3407996</vt:i4>
      </vt:variant>
      <vt:variant>
        <vt:i4>126</vt:i4>
      </vt:variant>
      <vt:variant>
        <vt:i4>0</vt:i4>
      </vt:variant>
      <vt:variant>
        <vt:i4>5</vt:i4>
      </vt:variant>
      <vt:variant>
        <vt:lpwstr>http://www.nevo.co.il/case/27573801</vt:lpwstr>
      </vt:variant>
      <vt:variant>
        <vt:lpwstr/>
      </vt:variant>
      <vt:variant>
        <vt:i4>3407999</vt:i4>
      </vt:variant>
      <vt:variant>
        <vt:i4>123</vt:i4>
      </vt:variant>
      <vt:variant>
        <vt:i4>0</vt:i4>
      </vt:variant>
      <vt:variant>
        <vt:i4>5</vt:i4>
      </vt:variant>
      <vt:variant>
        <vt:lpwstr>http://www.nevo.co.il/case/22695050</vt:lpwstr>
      </vt:variant>
      <vt:variant>
        <vt:lpwstr/>
      </vt:variant>
      <vt:variant>
        <vt:i4>3211376</vt:i4>
      </vt:variant>
      <vt:variant>
        <vt:i4>120</vt:i4>
      </vt:variant>
      <vt:variant>
        <vt:i4>0</vt:i4>
      </vt:variant>
      <vt:variant>
        <vt:i4>5</vt:i4>
      </vt:variant>
      <vt:variant>
        <vt:lpwstr>http://www.nevo.co.il/case/26376566</vt:lpwstr>
      </vt:variant>
      <vt:variant>
        <vt:lpwstr/>
      </vt:variant>
      <vt:variant>
        <vt:i4>3997816</vt:i4>
      </vt:variant>
      <vt:variant>
        <vt:i4>117</vt:i4>
      </vt:variant>
      <vt:variant>
        <vt:i4>0</vt:i4>
      </vt:variant>
      <vt:variant>
        <vt:i4>5</vt:i4>
      </vt:variant>
      <vt:variant>
        <vt:lpwstr>http://www.nevo.co.il/case/22961877</vt:lpwstr>
      </vt:variant>
      <vt:variant>
        <vt:lpwstr/>
      </vt:variant>
      <vt:variant>
        <vt:i4>3407990</vt:i4>
      </vt:variant>
      <vt:variant>
        <vt:i4>114</vt:i4>
      </vt:variant>
      <vt:variant>
        <vt:i4>0</vt:i4>
      </vt:variant>
      <vt:variant>
        <vt:i4>5</vt:i4>
      </vt:variant>
      <vt:variant>
        <vt:lpwstr>http://www.nevo.co.il/case/25202760</vt:lpwstr>
      </vt:variant>
      <vt:variant>
        <vt:lpwstr/>
      </vt:variant>
      <vt:variant>
        <vt:i4>3407990</vt:i4>
      </vt:variant>
      <vt:variant>
        <vt:i4>111</vt:i4>
      </vt:variant>
      <vt:variant>
        <vt:i4>0</vt:i4>
      </vt:variant>
      <vt:variant>
        <vt:i4>5</vt:i4>
      </vt:variant>
      <vt:variant>
        <vt:lpwstr>http://www.nevo.co.il/case/28226828</vt:lpwstr>
      </vt:variant>
      <vt:variant>
        <vt:lpwstr/>
      </vt:variant>
      <vt:variant>
        <vt:i4>3997808</vt:i4>
      </vt:variant>
      <vt:variant>
        <vt:i4>108</vt:i4>
      </vt:variant>
      <vt:variant>
        <vt:i4>0</vt:i4>
      </vt:variant>
      <vt:variant>
        <vt:i4>5</vt:i4>
      </vt:variant>
      <vt:variant>
        <vt:lpwstr>http://www.nevo.co.il/case/27922147</vt:lpwstr>
      </vt:variant>
      <vt:variant>
        <vt:lpwstr/>
      </vt:variant>
      <vt:variant>
        <vt:i4>4587529</vt:i4>
      </vt:variant>
      <vt:variant>
        <vt:i4>105</vt:i4>
      </vt:variant>
      <vt:variant>
        <vt:i4>0</vt:i4>
      </vt:variant>
      <vt:variant>
        <vt:i4>5</vt:i4>
      </vt:variant>
      <vt:variant>
        <vt:lpwstr>http://www.nevo.co.il/safrut/book/974</vt:lpwstr>
      </vt:variant>
      <vt:variant>
        <vt:lpwstr/>
      </vt:variant>
      <vt:variant>
        <vt:i4>3211379</vt:i4>
      </vt:variant>
      <vt:variant>
        <vt:i4>102</vt:i4>
      </vt:variant>
      <vt:variant>
        <vt:i4>0</vt:i4>
      </vt:variant>
      <vt:variant>
        <vt:i4>5</vt:i4>
      </vt:variant>
      <vt:variant>
        <vt:lpwstr>http://www.nevo.co.il/case/28187752</vt:lpwstr>
      </vt:variant>
      <vt:variant>
        <vt:lpwstr/>
      </vt:variant>
      <vt:variant>
        <vt:i4>3473521</vt:i4>
      </vt:variant>
      <vt:variant>
        <vt:i4>99</vt:i4>
      </vt:variant>
      <vt:variant>
        <vt:i4>0</vt:i4>
      </vt:variant>
      <vt:variant>
        <vt:i4>5</vt:i4>
      </vt:variant>
      <vt:variant>
        <vt:lpwstr>http://www.nevo.co.il/case/27347635</vt:lpwstr>
      </vt:variant>
      <vt:variant>
        <vt:lpwstr/>
      </vt:variant>
      <vt:variant>
        <vt:i4>3997812</vt:i4>
      </vt:variant>
      <vt:variant>
        <vt:i4>96</vt:i4>
      </vt:variant>
      <vt:variant>
        <vt:i4>0</vt:i4>
      </vt:variant>
      <vt:variant>
        <vt:i4>5</vt:i4>
      </vt:variant>
      <vt:variant>
        <vt:lpwstr>http://www.nevo.co.il/case/27279049</vt:lpwstr>
      </vt:variant>
      <vt:variant>
        <vt:lpwstr/>
      </vt:variant>
      <vt:variant>
        <vt:i4>3342448</vt:i4>
      </vt:variant>
      <vt:variant>
        <vt:i4>93</vt:i4>
      </vt:variant>
      <vt:variant>
        <vt:i4>0</vt:i4>
      </vt:variant>
      <vt:variant>
        <vt:i4>5</vt:i4>
      </vt:variant>
      <vt:variant>
        <vt:lpwstr>http://www.nevo.co.il/case/21644133</vt:lpwstr>
      </vt:variant>
      <vt:variant>
        <vt:lpwstr/>
      </vt:variant>
      <vt:variant>
        <vt:i4>3735679</vt:i4>
      </vt:variant>
      <vt:variant>
        <vt:i4>90</vt:i4>
      </vt:variant>
      <vt:variant>
        <vt:i4>0</vt:i4>
      </vt:variant>
      <vt:variant>
        <vt:i4>5</vt:i4>
      </vt:variant>
      <vt:variant>
        <vt:lpwstr>http://www.nevo.co.il/case/26991436</vt:lpwstr>
      </vt:variant>
      <vt:variant>
        <vt:lpwstr/>
      </vt:variant>
      <vt:variant>
        <vt:i4>3473523</vt:i4>
      </vt:variant>
      <vt:variant>
        <vt:i4>87</vt:i4>
      </vt:variant>
      <vt:variant>
        <vt:i4>0</vt:i4>
      </vt:variant>
      <vt:variant>
        <vt:i4>5</vt:i4>
      </vt:variant>
      <vt:variant>
        <vt:lpwstr>http://www.nevo.co.il/case/26797877</vt:lpwstr>
      </vt:variant>
      <vt:variant>
        <vt:lpwstr/>
      </vt:variant>
      <vt:variant>
        <vt:i4>3997811</vt:i4>
      </vt:variant>
      <vt:variant>
        <vt:i4>84</vt:i4>
      </vt:variant>
      <vt:variant>
        <vt:i4>0</vt:i4>
      </vt:variant>
      <vt:variant>
        <vt:i4>5</vt:i4>
      </vt:variant>
      <vt:variant>
        <vt:lpwstr>http://www.nevo.co.il/case/23827604</vt:lpwstr>
      </vt:variant>
      <vt:variant>
        <vt:lpwstr/>
      </vt:variant>
      <vt:variant>
        <vt:i4>3407990</vt:i4>
      </vt:variant>
      <vt:variant>
        <vt:i4>81</vt:i4>
      </vt:variant>
      <vt:variant>
        <vt:i4>0</vt:i4>
      </vt:variant>
      <vt:variant>
        <vt:i4>5</vt:i4>
      </vt:variant>
      <vt:variant>
        <vt:lpwstr>http://www.nevo.co.il/case/28226828</vt:lpwstr>
      </vt:variant>
      <vt:variant>
        <vt:lpwstr/>
      </vt:variant>
      <vt:variant>
        <vt:i4>3735664</vt:i4>
      </vt:variant>
      <vt:variant>
        <vt:i4>78</vt:i4>
      </vt:variant>
      <vt:variant>
        <vt:i4>0</vt:i4>
      </vt:variant>
      <vt:variant>
        <vt:i4>5</vt:i4>
      </vt:variant>
      <vt:variant>
        <vt:lpwstr>http://www.nevo.co.il/case/27536085</vt:lpwstr>
      </vt:variant>
      <vt:variant>
        <vt:lpwstr/>
      </vt:variant>
      <vt:variant>
        <vt:i4>8257637</vt:i4>
      </vt:variant>
      <vt:variant>
        <vt:i4>75</vt:i4>
      </vt:variant>
      <vt:variant>
        <vt:i4>0</vt:i4>
      </vt:variant>
      <vt:variant>
        <vt:i4>5</vt:i4>
      </vt:variant>
      <vt:variant>
        <vt:lpwstr>http://www.nevo.co.il/law/4216</vt:lpwstr>
      </vt:variant>
      <vt:variant>
        <vt:lpwstr/>
      </vt:variant>
      <vt:variant>
        <vt:i4>3473535</vt:i4>
      </vt:variant>
      <vt:variant>
        <vt:i4>72</vt:i4>
      </vt:variant>
      <vt:variant>
        <vt:i4>0</vt:i4>
      </vt:variant>
      <vt:variant>
        <vt:i4>5</vt:i4>
      </vt:variant>
      <vt:variant>
        <vt:lpwstr>http://www.nevo.co.il/case/23816995</vt:lpwstr>
      </vt:variant>
      <vt:variant>
        <vt:lpwstr/>
      </vt:variant>
      <vt:variant>
        <vt:i4>3932283</vt:i4>
      </vt:variant>
      <vt:variant>
        <vt:i4>69</vt:i4>
      </vt:variant>
      <vt:variant>
        <vt:i4>0</vt:i4>
      </vt:variant>
      <vt:variant>
        <vt:i4>5</vt:i4>
      </vt:variant>
      <vt:variant>
        <vt:lpwstr>http://www.nevo.co.il/case/5698919</vt:lpwstr>
      </vt:variant>
      <vt:variant>
        <vt:lpwstr/>
      </vt:variant>
      <vt:variant>
        <vt:i4>3342455</vt:i4>
      </vt:variant>
      <vt:variant>
        <vt:i4>66</vt:i4>
      </vt:variant>
      <vt:variant>
        <vt:i4>0</vt:i4>
      </vt:variant>
      <vt:variant>
        <vt:i4>5</vt:i4>
      </vt:variant>
      <vt:variant>
        <vt:lpwstr>http://www.nevo.co.il/case/25277147</vt:lpwstr>
      </vt:variant>
      <vt:variant>
        <vt:lpwstr/>
      </vt:variant>
      <vt:variant>
        <vt:i4>3801206</vt:i4>
      </vt:variant>
      <vt:variant>
        <vt:i4>63</vt:i4>
      </vt:variant>
      <vt:variant>
        <vt:i4>0</vt:i4>
      </vt:variant>
      <vt:variant>
        <vt:i4>5</vt:i4>
      </vt:variant>
      <vt:variant>
        <vt:lpwstr>http://www.nevo.co.il/case/22841413</vt:lpwstr>
      </vt:variant>
      <vt:variant>
        <vt:lpwstr/>
      </vt:variant>
      <vt:variant>
        <vt:i4>3473523</vt:i4>
      </vt:variant>
      <vt:variant>
        <vt:i4>60</vt:i4>
      </vt:variant>
      <vt:variant>
        <vt:i4>0</vt:i4>
      </vt:variant>
      <vt:variant>
        <vt:i4>5</vt:i4>
      </vt:variant>
      <vt:variant>
        <vt:lpwstr>http://www.nevo.co.il/case/26797877</vt:lpwstr>
      </vt:variant>
      <vt:variant>
        <vt:lpwstr/>
      </vt:variant>
      <vt:variant>
        <vt:i4>3407987</vt:i4>
      </vt:variant>
      <vt:variant>
        <vt:i4>57</vt:i4>
      </vt:variant>
      <vt:variant>
        <vt:i4>0</vt:i4>
      </vt:variant>
      <vt:variant>
        <vt:i4>5</vt:i4>
      </vt:variant>
      <vt:variant>
        <vt:lpwstr>http://www.nevo.co.il/case/26230247</vt:lpwstr>
      </vt:variant>
      <vt:variant>
        <vt:lpwstr/>
      </vt:variant>
      <vt:variant>
        <vt:i4>6619233</vt:i4>
      </vt:variant>
      <vt:variant>
        <vt:i4>54</vt:i4>
      </vt:variant>
      <vt:variant>
        <vt:i4>0</vt:i4>
      </vt:variant>
      <vt:variant>
        <vt:i4>5</vt:i4>
      </vt:variant>
      <vt:variant>
        <vt:lpwstr>http://www.nevo.co.il/law/70301/40e</vt:lpwstr>
      </vt:variant>
      <vt:variant>
        <vt:lpwstr/>
      </vt:variant>
      <vt:variant>
        <vt:i4>6619233</vt:i4>
      </vt:variant>
      <vt:variant>
        <vt:i4>51</vt:i4>
      </vt:variant>
      <vt:variant>
        <vt:i4>0</vt:i4>
      </vt:variant>
      <vt:variant>
        <vt:i4>5</vt:i4>
      </vt:variant>
      <vt:variant>
        <vt:lpwstr>http://www.nevo.co.il/law/70301/40d</vt:lpwstr>
      </vt:variant>
      <vt:variant>
        <vt:lpwstr/>
      </vt:variant>
      <vt:variant>
        <vt:i4>262155</vt:i4>
      </vt:variant>
      <vt:variant>
        <vt:i4>48</vt:i4>
      </vt:variant>
      <vt:variant>
        <vt:i4>0</vt:i4>
      </vt:variant>
      <vt:variant>
        <vt:i4>5</vt:i4>
      </vt:variant>
      <vt:variant>
        <vt:lpwstr>http://www.nevo.co.il/law/70301/40ja</vt:lpwstr>
      </vt:variant>
      <vt:variant>
        <vt:lpwstr/>
      </vt:variant>
      <vt:variant>
        <vt:i4>7995492</vt:i4>
      </vt:variant>
      <vt:variant>
        <vt:i4>45</vt:i4>
      </vt:variant>
      <vt:variant>
        <vt:i4>0</vt:i4>
      </vt:variant>
      <vt:variant>
        <vt:i4>5</vt:i4>
      </vt:variant>
      <vt:variant>
        <vt:lpwstr>http://www.nevo.co.il/law/70301</vt:lpwstr>
      </vt:variant>
      <vt:variant>
        <vt:lpwstr/>
      </vt:variant>
      <vt:variant>
        <vt:i4>6619233</vt:i4>
      </vt:variant>
      <vt:variant>
        <vt:i4>42</vt:i4>
      </vt:variant>
      <vt:variant>
        <vt:i4>0</vt:i4>
      </vt:variant>
      <vt:variant>
        <vt:i4>5</vt:i4>
      </vt:variant>
      <vt:variant>
        <vt:lpwstr>http://www.nevo.co.il/law/70301/40i</vt:lpwstr>
      </vt:variant>
      <vt:variant>
        <vt:lpwstr/>
      </vt:variant>
      <vt:variant>
        <vt:i4>7995492</vt:i4>
      </vt:variant>
      <vt:variant>
        <vt:i4>39</vt:i4>
      </vt:variant>
      <vt:variant>
        <vt:i4>0</vt:i4>
      </vt:variant>
      <vt:variant>
        <vt:i4>5</vt:i4>
      </vt:variant>
      <vt:variant>
        <vt:lpwstr>http://www.nevo.co.il/law/70301</vt:lpwstr>
      </vt:variant>
      <vt:variant>
        <vt:lpwstr/>
      </vt:variant>
      <vt:variant>
        <vt:i4>3997821</vt:i4>
      </vt:variant>
      <vt:variant>
        <vt:i4>36</vt:i4>
      </vt:variant>
      <vt:variant>
        <vt:i4>0</vt:i4>
      </vt:variant>
      <vt:variant>
        <vt:i4>5</vt:i4>
      </vt:variant>
      <vt:variant>
        <vt:lpwstr>http://www.nevo.co.il/law/4216/7.a.;7.c</vt:lpwstr>
      </vt:variant>
      <vt:variant>
        <vt:lpwstr/>
      </vt:variant>
      <vt:variant>
        <vt:i4>8257637</vt:i4>
      </vt:variant>
      <vt:variant>
        <vt:i4>33</vt:i4>
      </vt:variant>
      <vt:variant>
        <vt:i4>0</vt:i4>
      </vt:variant>
      <vt:variant>
        <vt:i4>5</vt:i4>
      </vt:variant>
      <vt:variant>
        <vt:lpwstr>http://www.nevo.co.il/law/4216</vt:lpwstr>
      </vt:variant>
      <vt:variant>
        <vt:lpwstr/>
      </vt:variant>
      <vt:variant>
        <vt:i4>4718666</vt:i4>
      </vt:variant>
      <vt:variant>
        <vt:i4>30</vt:i4>
      </vt:variant>
      <vt:variant>
        <vt:i4>0</vt:i4>
      </vt:variant>
      <vt:variant>
        <vt:i4>5</vt:i4>
      </vt:variant>
      <vt:variant>
        <vt:lpwstr>http://www.nevo.co.il/law/4216/6</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6619233</vt:i4>
      </vt:variant>
      <vt:variant>
        <vt:i4>24</vt:i4>
      </vt:variant>
      <vt:variant>
        <vt:i4>0</vt:i4>
      </vt:variant>
      <vt:variant>
        <vt:i4>5</vt:i4>
      </vt:variant>
      <vt:variant>
        <vt:lpwstr>http://www.nevo.co.il/law/70301/40i</vt:lpwstr>
      </vt:variant>
      <vt:variant>
        <vt:lpwstr/>
      </vt:variant>
      <vt:variant>
        <vt:i4>6619233</vt:i4>
      </vt:variant>
      <vt:variant>
        <vt:i4>21</vt:i4>
      </vt:variant>
      <vt:variant>
        <vt:i4>0</vt:i4>
      </vt:variant>
      <vt:variant>
        <vt:i4>5</vt:i4>
      </vt:variant>
      <vt:variant>
        <vt:lpwstr>http://www.nevo.co.il/law/70301/40e</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7995492</vt:i4>
      </vt:variant>
      <vt:variant>
        <vt:i4>15</vt:i4>
      </vt:variant>
      <vt:variant>
        <vt:i4>0</vt:i4>
      </vt:variant>
      <vt:variant>
        <vt:i4>5</vt:i4>
      </vt:variant>
      <vt:variant>
        <vt:lpwstr>http://www.nevo.co.il/law/70301</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4718666</vt:i4>
      </vt:variant>
      <vt:variant>
        <vt:i4>6</vt:i4>
      </vt:variant>
      <vt:variant>
        <vt:i4>0</vt:i4>
      </vt:variant>
      <vt:variant>
        <vt:i4>5</vt:i4>
      </vt:variant>
      <vt:variant>
        <vt:lpwstr>http://www.nevo.co.il/law/4216/6</vt:lpwstr>
      </vt:variant>
      <vt:variant>
        <vt:lpwstr/>
      </vt:variant>
      <vt:variant>
        <vt:i4>8257637</vt:i4>
      </vt:variant>
      <vt:variant>
        <vt:i4>3</vt:i4>
      </vt:variant>
      <vt:variant>
        <vt:i4>0</vt:i4>
      </vt:variant>
      <vt:variant>
        <vt:i4>5</vt:i4>
      </vt:variant>
      <vt:variant>
        <vt:lpwstr>http://www.nevo.co.il/law/4216</vt:lpwstr>
      </vt:variant>
      <vt:variant>
        <vt:lpwstr/>
      </vt:variant>
      <vt:variant>
        <vt:i4>4587529</vt:i4>
      </vt:variant>
      <vt:variant>
        <vt:i4>0</vt:i4>
      </vt:variant>
      <vt:variant>
        <vt:i4>0</vt:i4>
      </vt:variant>
      <vt:variant>
        <vt:i4>5</vt:i4>
      </vt:variant>
      <vt:variant>
        <vt:lpwstr>http://www.nevo.co.il/safrut/book/974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2025-04-23T00:18:00Z</dcterms:created>
  <dcterms:modified xsi:type="dcterms:W3CDTF">2025-04-23T00:18:00Z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10140</vt:lpwstr>
  </property>
  <property fmtid="{D5CDD505-2E9C-101B-9397-08002B2CF9AE}" pid="6" name="NEWPARTB">
    <vt:lpwstr>10</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עדנאן ותד</vt:lpwstr>
  </property>
  <property fmtid="{D5CDD505-2E9C-101B-9397-08002B2CF9AE}" pid="10" name="LAWYER">
    <vt:lpwstr>שגיב אמיר;עקל ותד</vt:lpwstr>
  </property>
  <property fmtid="{D5CDD505-2E9C-101B-9397-08002B2CF9AE}" pid="11" name="JUDGE">
    <vt:lpwstr>אלכס אחטר</vt:lpwstr>
  </property>
  <property fmtid="{D5CDD505-2E9C-101B-9397-08002B2CF9AE}" pid="12" name="CITY">
    <vt:lpwstr>חד'</vt:lpwstr>
  </property>
  <property fmtid="{D5CDD505-2E9C-101B-9397-08002B2CF9AE}" pid="13" name="DATE">
    <vt:lpwstr>20220907</vt:lpwstr>
  </property>
  <property fmtid="{D5CDD505-2E9C-101B-9397-08002B2CF9AE}" pid="14" name="TYPE_N_DATE">
    <vt:lpwstr>38020220907</vt:lpwstr>
  </property>
  <property fmtid="{D5CDD505-2E9C-101B-9397-08002B2CF9AE}" pid="15" name="WORDNUMPAGES">
    <vt:lpwstr>13</vt:lpwstr>
  </property>
  <property fmtid="{D5CDD505-2E9C-101B-9397-08002B2CF9AE}" pid="16" name="TYPE_ABS_DATE">
    <vt:lpwstr>380020220907</vt:lpwstr>
  </property>
  <property fmtid="{D5CDD505-2E9C-101B-9397-08002B2CF9AE}" pid="17" name="ISABSTRACT">
    <vt:lpwstr>Y</vt:lpwstr>
  </property>
  <property fmtid="{D5CDD505-2E9C-101B-9397-08002B2CF9AE}" pid="18" name="CASESLISTTMP1">
    <vt:lpwstr>26230247;26797877:2;22841413;25277147;5698919;23816995;27536085;28226828:2;23827604;26991436;21644133;27279049;27347635;28187752;27922147;25202760;22961877;26376566;22695050;27573801;5764903;17914714</vt:lpwstr>
  </property>
  <property fmtid="{D5CDD505-2E9C-101B-9397-08002B2CF9AE}" pid="19" name="BOOKLISTTMP1">
    <vt:lpwstr>974</vt:lpwstr>
  </property>
  <property fmtid="{D5CDD505-2E9C-101B-9397-08002B2CF9AE}" pid="20" name="LAWLISTTMP1">
    <vt:lpwstr>4216/006;007.a;007.c</vt:lpwstr>
  </property>
  <property fmtid="{D5CDD505-2E9C-101B-9397-08002B2CF9AE}" pid="21" name="LAWLISTTMP2">
    <vt:lpwstr>70301/040i;40ja;040d;040e</vt:lpwstr>
  </property>
</Properties>
</file>