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E1B22" w:rsidRPr="0084531B" w14:paraId="2D15C4C7" w14:textId="77777777" w:rsidTr="00F961BD">
        <w:trPr>
          <w:trHeight w:hRule="exact" w:val="418"/>
          <w:jc w:val="center"/>
        </w:trPr>
        <w:tc>
          <w:tcPr>
            <w:tcW w:w="8721" w:type="dxa"/>
            <w:gridSpan w:val="2"/>
          </w:tcPr>
          <w:p w14:paraId="04BBA0D5" w14:textId="77777777" w:rsidR="003E1B22" w:rsidRPr="0084531B" w:rsidRDefault="003E1B22" w:rsidP="00705DBE">
            <w:pPr>
              <w:pStyle w:val="a3"/>
              <w:jc w:val="center"/>
              <w:rPr>
                <w:rFonts w:ascii="Tahoma" w:hAnsi="Tahoma" w:cs="Tahoma"/>
                <w:color w:val="000080"/>
                <w:rtl/>
              </w:rPr>
            </w:pPr>
            <w:bookmarkStart w:id="0" w:name="LastJudge"/>
            <w:r w:rsidRPr="0084531B">
              <w:rPr>
                <w:rFonts w:ascii="Tahoma" w:hAnsi="Tahoma" w:cs="Tahoma"/>
                <w:b/>
                <w:bCs/>
                <w:color w:val="000080"/>
                <w:rtl/>
              </w:rPr>
              <w:t>בית משפט השלום בקריית גת</w:t>
            </w:r>
          </w:p>
        </w:tc>
      </w:tr>
      <w:tr w:rsidR="003E1B22" w:rsidRPr="0084531B" w14:paraId="3E11FF3B" w14:textId="77777777" w:rsidTr="00F961BD">
        <w:trPr>
          <w:trHeight w:val="337"/>
          <w:jc w:val="center"/>
        </w:trPr>
        <w:tc>
          <w:tcPr>
            <w:tcW w:w="5054" w:type="dxa"/>
          </w:tcPr>
          <w:p w14:paraId="372ABF04" w14:textId="77777777" w:rsidR="003E1B22" w:rsidRPr="0084531B" w:rsidRDefault="003E1B22" w:rsidP="00705DBE">
            <w:pPr>
              <w:rPr>
                <w:rFonts w:cs="FrankRuehl"/>
                <w:sz w:val="28"/>
                <w:szCs w:val="28"/>
                <w:rtl/>
              </w:rPr>
            </w:pPr>
            <w:r w:rsidRPr="0084531B">
              <w:rPr>
                <w:rFonts w:cs="FrankRuehl"/>
                <w:sz w:val="28"/>
                <w:szCs w:val="28"/>
                <w:rtl/>
              </w:rPr>
              <w:t>ת"פ</w:t>
            </w:r>
            <w:r w:rsidRPr="0084531B">
              <w:rPr>
                <w:rFonts w:cs="FrankRuehl" w:hint="cs"/>
                <w:sz w:val="28"/>
                <w:szCs w:val="28"/>
                <w:rtl/>
              </w:rPr>
              <w:t xml:space="preserve"> </w:t>
            </w:r>
            <w:hyperlink r:id="rId7" w:history="1">
              <w:r w:rsidR="00747B3E" w:rsidRPr="00747B3E">
                <w:rPr>
                  <w:rFonts w:cs="FrankRuehl"/>
                  <w:color w:val="0000FF"/>
                  <w:sz w:val="28"/>
                  <w:szCs w:val="28"/>
                  <w:u w:val="single"/>
                  <w:rtl/>
                </w:rPr>
                <w:t xml:space="preserve">10215-10-19 </w:t>
              </w:r>
            </w:hyperlink>
            <w:r w:rsidRPr="0084531B">
              <w:rPr>
                <w:rFonts w:cs="FrankRuehl" w:hint="cs"/>
                <w:sz w:val="28"/>
                <w:szCs w:val="28"/>
                <w:rtl/>
              </w:rPr>
              <w:t xml:space="preserve"> </w:t>
            </w:r>
            <w:r w:rsidRPr="0084531B">
              <w:rPr>
                <w:rFonts w:cs="FrankRuehl"/>
                <w:sz w:val="28"/>
                <w:szCs w:val="28"/>
                <w:rtl/>
              </w:rPr>
              <w:t>מדינת ישראל נ' עמר</w:t>
            </w:r>
          </w:p>
          <w:p w14:paraId="7DEEC32F" w14:textId="77777777" w:rsidR="003E1B22" w:rsidRPr="0084531B" w:rsidRDefault="003E1B22" w:rsidP="00705DBE">
            <w:pPr>
              <w:rPr>
                <w:rFonts w:cs="FrankRuehl"/>
                <w:sz w:val="28"/>
                <w:szCs w:val="28"/>
                <w:rtl/>
              </w:rPr>
            </w:pPr>
            <w:r w:rsidRPr="0084531B">
              <w:rPr>
                <w:rFonts w:cs="FrankRuehl"/>
                <w:sz w:val="28"/>
                <w:szCs w:val="28"/>
                <w:rtl/>
              </w:rPr>
              <w:t>ת"פ</w:t>
            </w:r>
            <w:r w:rsidRPr="0084531B">
              <w:rPr>
                <w:rFonts w:cs="FrankRuehl" w:hint="cs"/>
                <w:sz w:val="28"/>
                <w:szCs w:val="28"/>
                <w:rtl/>
              </w:rPr>
              <w:t xml:space="preserve"> </w:t>
            </w:r>
            <w:hyperlink r:id="rId8" w:history="1">
              <w:r w:rsidR="00747B3E" w:rsidRPr="00747B3E">
                <w:rPr>
                  <w:rFonts w:cs="FrankRuehl"/>
                  <w:color w:val="0000FF"/>
                  <w:sz w:val="28"/>
                  <w:szCs w:val="28"/>
                  <w:u w:val="single"/>
                  <w:rtl/>
                </w:rPr>
                <w:t xml:space="preserve">22428-11-18 </w:t>
              </w:r>
            </w:hyperlink>
            <w:r w:rsidRPr="0084531B">
              <w:rPr>
                <w:rFonts w:cs="FrankRuehl" w:hint="cs"/>
                <w:sz w:val="28"/>
                <w:szCs w:val="28"/>
                <w:rtl/>
              </w:rPr>
              <w:t xml:space="preserve"> </w:t>
            </w:r>
            <w:r w:rsidRPr="0084531B">
              <w:rPr>
                <w:rFonts w:cs="FrankRuehl"/>
                <w:sz w:val="28"/>
                <w:szCs w:val="28"/>
                <w:rtl/>
              </w:rPr>
              <w:t>מדינת ישראל נ' עמר</w:t>
            </w:r>
          </w:p>
          <w:p w14:paraId="4BC2CDE5" w14:textId="77777777" w:rsidR="003E1B22" w:rsidRPr="0084531B" w:rsidRDefault="003E1B22" w:rsidP="00705DBE">
            <w:pPr>
              <w:pStyle w:val="a3"/>
              <w:rPr>
                <w:rFonts w:cs="FrankRuehl"/>
                <w:sz w:val="28"/>
                <w:szCs w:val="28"/>
                <w:rtl/>
              </w:rPr>
            </w:pPr>
          </w:p>
        </w:tc>
        <w:tc>
          <w:tcPr>
            <w:tcW w:w="3667" w:type="dxa"/>
          </w:tcPr>
          <w:p w14:paraId="0B61B2B8" w14:textId="77777777" w:rsidR="003E1B22" w:rsidRPr="0084531B" w:rsidRDefault="003E1B22" w:rsidP="00705DBE">
            <w:pPr>
              <w:pStyle w:val="a3"/>
              <w:jc w:val="right"/>
              <w:rPr>
                <w:rFonts w:cs="FrankRuehl"/>
                <w:sz w:val="28"/>
                <w:szCs w:val="28"/>
                <w:rtl/>
              </w:rPr>
            </w:pPr>
          </w:p>
        </w:tc>
      </w:tr>
    </w:tbl>
    <w:p w14:paraId="537951B9" w14:textId="77777777" w:rsidR="003E1B22" w:rsidRPr="0084531B" w:rsidRDefault="003E1B22" w:rsidP="003E1B22">
      <w:pPr>
        <w:pStyle w:val="a3"/>
        <w:rPr>
          <w:rtl/>
        </w:rPr>
      </w:pPr>
      <w:r w:rsidRPr="0084531B">
        <w:rPr>
          <w:rFonts w:hint="cs"/>
          <w:rtl/>
        </w:rPr>
        <w:t xml:space="preserve"> </w:t>
      </w:r>
    </w:p>
    <w:p w14:paraId="7041177F" w14:textId="77777777" w:rsidR="003E1B22" w:rsidRPr="0084531B" w:rsidRDefault="003E1B22" w:rsidP="003E1B22">
      <w:pPr>
        <w:rPr>
          <w:rFonts w:ascii="David" w:hAnsi="David"/>
          <w:sz w:val="28"/>
          <w:szCs w:val="28"/>
          <w:rtl/>
        </w:rPr>
      </w:pPr>
    </w:p>
    <w:p w14:paraId="0C2F558E" w14:textId="77777777" w:rsidR="003E1B22" w:rsidRPr="0084531B" w:rsidRDefault="003E1B22" w:rsidP="003E1B22">
      <w:pPr>
        <w:rPr>
          <w:rFonts w:ascii="David" w:hAnsi="David"/>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1B22" w:rsidRPr="0084531B" w14:paraId="0B747101" w14:textId="77777777" w:rsidTr="003E1B22">
        <w:trPr>
          <w:trHeight w:val="295"/>
          <w:jc w:val="center"/>
        </w:trPr>
        <w:tc>
          <w:tcPr>
            <w:tcW w:w="923" w:type="dxa"/>
            <w:tcBorders>
              <w:top w:val="nil"/>
              <w:left w:val="nil"/>
              <w:bottom w:val="nil"/>
              <w:right w:val="nil"/>
            </w:tcBorders>
            <w:shd w:val="clear" w:color="auto" w:fill="auto"/>
          </w:tcPr>
          <w:p w14:paraId="0EF1EA27" w14:textId="77777777" w:rsidR="003E1B22" w:rsidRPr="0084531B" w:rsidRDefault="003E1B22" w:rsidP="003E1B22">
            <w:pPr>
              <w:jc w:val="both"/>
              <w:rPr>
                <w:rFonts w:ascii="David" w:hAnsi="David"/>
                <w:sz w:val="28"/>
                <w:szCs w:val="28"/>
              </w:rPr>
            </w:pPr>
            <w:r w:rsidRPr="0084531B">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71B08B2B" w14:textId="77777777" w:rsidR="003E1B22" w:rsidRPr="0084531B" w:rsidRDefault="003E1B22" w:rsidP="00705DBE">
            <w:pPr>
              <w:rPr>
                <w:rFonts w:ascii="David" w:hAnsi="David"/>
                <w:b/>
                <w:bCs/>
                <w:sz w:val="28"/>
                <w:szCs w:val="28"/>
                <w:rtl/>
              </w:rPr>
            </w:pPr>
            <w:r w:rsidRPr="0084531B">
              <w:rPr>
                <w:rFonts w:ascii="David" w:hAnsi="David"/>
                <w:b/>
                <w:bCs/>
                <w:sz w:val="28"/>
                <w:szCs w:val="28"/>
                <w:rtl/>
              </w:rPr>
              <w:t>כבוד השופטת  טל לחיאני שהם</w:t>
            </w:r>
          </w:p>
          <w:p w14:paraId="1CD7E8E2" w14:textId="77777777" w:rsidR="003E1B22" w:rsidRPr="0084531B" w:rsidRDefault="003E1B22" w:rsidP="00705DBE">
            <w:pPr>
              <w:rPr>
                <w:rFonts w:ascii="David" w:hAnsi="David"/>
                <w:sz w:val="28"/>
                <w:szCs w:val="28"/>
                <w:rtl/>
              </w:rPr>
            </w:pPr>
          </w:p>
          <w:p w14:paraId="220DEE1C" w14:textId="77777777" w:rsidR="003E1B22" w:rsidRPr="0084531B" w:rsidRDefault="003E1B22" w:rsidP="003E1B22">
            <w:pPr>
              <w:jc w:val="both"/>
              <w:rPr>
                <w:rFonts w:ascii="David" w:hAnsi="David"/>
                <w:sz w:val="28"/>
                <w:szCs w:val="28"/>
              </w:rPr>
            </w:pPr>
          </w:p>
        </w:tc>
      </w:tr>
      <w:tr w:rsidR="003E1B22" w:rsidRPr="0084531B" w14:paraId="0402AF64" w14:textId="77777777" w:rsidTr="003E1B22">
        <w:trPr>
          <w:trHeight w:val="355"/>
          <w:jc w:val="center"/>
        </w:trPr>
        <w:tc>
          <w:tcPr>
            <w:tcW w:w="923" w:type="dxa"/>
            <w:tcBorders>
              <w:top w:val="nil"/>
              <w:left w:val="nil"/>
              <w:bottom w:val="nil"/>
              <w:right w:val="nil"/>
            </w:tcBorders>
            <w:shd w:val="clear" w:color="auto" w:fill="auto"/>
          </w:tcPr>
          <w:p w14:paraId="0D1FFC1F" w14:textId="77777777" w:rsidR="003E1B22" w:rsidRPr="0084531B" w:rsidRDefault="003E1B22" w:rsidP="003E1B22">
            <w:pPr>
              <w:jc w:val="both"/>
              <w:rPr>
                <w:rFonts w:ascii="David" w:hAnsi="David"/>
                <w:sz w:val="28"/>
                <w:szCs w:val="28"/>
              </w:rPr>
            </w:pPr>
            <w:bookmarkStart w:id="1" w:name="FirstAppellant"/>
            <w:r w:rsidRPr="0084531B">
              <w:rPr>
                <w:rFonts w:ascii="David" w:hAnsi="David"/>
                <w:sz w:val="28"/>
                <w:szCs w:val="28"/>
                <w:rtl/>
              </w:rPr>
              <w:t>בעניין:</w:t>
            </w:r>
          </w:p>
        </w:tc>
        <w:tc>
          <w:tcPr>
            <w:tcW w:w="4126" w:type="dxa"/>
            <w:tcBorders>
              <w:top w:val="nil"/>
              <w:left w:val="nil"/>
              <w:bottom w:val="nil"/>
              <w:right w:val="nil"/>
            </w:tcBorders>
            <w:shd w:val="clear" w:color="auto" w:fill="auto"/>
          </w:tcPr>
          <w:p w14:paraId="1F17F30D" w14:textId="77777777" w:rsidR="003E1B22" w:rsidRPr="0084531B" w:rsidRDefault="003E1B22" w:rsidP="00705DBE">
            <w:pPr>
              <w:rPr>
                <w:rFonts w:ascii="David" w:hAnsi="David"/>
                <w:b/>
                <w:bCs/>
                <w:sz w:val="28"/>
                <w:szCs w:val="28"/>
              </w:rPr>
            </w:pPr>
            <w:r w:rsidRPr="0084531B">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74D3FFA1" w14:textId="77777777" w:rsidR="003E1B22" w:rsidRPr="0084531B" w:rsidRDefault="003E1B22" w:rsidP="003E1B22">
            <w:pPr>
              <w:jc w:val="both"/>
              <w:rPr>
                <w:rFonts w:ascii="David" w:hAnsi="David"/>
                <w:sz w:val="28"/>
                <w:szCs w:val="28"/>
              </w:rPr>
            </w:pPr>
          </w:p>
        </w:tc>
      </w:tr>
      <w:bookmarkEnd w:id="1"/>
      <w:tr w:rsidR="003E1B22" w:rsidRPr="0084531B" w14:paraId="65B40BF1" w14:textId="77777777" w:rsidTr="003E1B22">
        <w:trPr>
          <w:trHeight w:val="355"/>
          <w:jc w:val="center"/>
        </w:trPr>
        <w:tc>
          <w:tcPr>
            <w:tcW w:w="923" w:type="dxa"/>
            <w:tcBorders>
              <w:top w:val="nil"/>
              <w:left w:val="nil"/>
              <w:bottom w:val="nil"/>
              <w:right w:val="nil"/>
            </w:tcBorders>
            <w:shd w:val="clear" w:color="auto" w:fill="auto"/>
          </w:tcPr>
          <w:p w14:paraId="760F3204" w14:textId="77777777" w:rsidR="003E1B22" w:rsidRPr="0084531B" w:rsidRDefault="003E1B22" w:rsidP="003E1B22">
            <w:pPr>
              <w:jc w:val="both"/>
              <w:rPr>
                <w:rFonts w:ascii="David" w:hAnsi="David"/>
                <w:sz w:val="28"/>
                <w:szCs w:val="28"/>
                <w:rtl/>
              </w:rPr>
            </w:pPr>
          </w:p>
        </w:tc>
        <w:tc>
          <w:tcPr>
            <w:tcW w:w="4126" w:type="dxa"/>
            <w:tcBorders>
              <w:top w:val="nil"/>
              <w:left w:val="nil"/>
              <w:bottom w:val="nil"/>
              <w:right w:val="nil"/>
            </w:tcBorders>
            <w:shd w:val="clear" w:color="auto" w:fill="auto"/>
          </w:tcPr>
          <w:p w14:paraId="3FFEC77A" w14:textId="77777777" w:rsidR="003E1B22" w:rsidRPr="0084531B" w:rsidRDefault="003E1B22" w:rsidP="003E1B22">
            <w:pPr>
              <w:jc w:val="both"/>
              <w:rPr>
                <w:rFonts w:ascii="David" w:hAnsi="David"/>
                <w:b/>
                <w:bCs/>
                <w:sz w:val="28"/>
                <w:szCs w:val="28"/>
                <w:rtl/>
              </w:rPr>
            </w:pPr>
            <w:r w:rsidRPr="0084531B">
              <w:rPr>
                <w:rFonts w:ascii="David" w:hAnsi="David" w:hint="cs"/>
                <w:b/>
                <w:bCs/>
                <w:sz w:val="28"/>
                <w:szCs w:val="28"/>
                <w:rtl/>
              </w:rPr>
              <w:t xml:space="preserve">באמצעות ב"כ עו"ד </w:t>
            </w:r>
          </w:p>
        </w:tc>
        <w:tc>
          <w:tcPr>
            <w:tcW w:w="3771" w:type="dxa"/>
            <w:tcBorders>
              <w:top w:val="nil"/>
              <w:left w:val="nil"/>
              <w:bottom w:val="nil"/>
              <w:right w:val="nil"/>
            </w:tcBorders>
            <w:shd w:val="clear" w:color="auto" w:fill="auto"/>
          </w:tcPr>
          <w:p w14:paraId="2C376F42" w14:textId="77777777" w:rsidR="003E1B22" w:rsidRPr="0084531B" w:rsidRDefault="003E1B22" w:rsidP="003E1B22">
            <w:pPr>
              <w:jc w:val="right"/>
              <w:rPr>
                <w:rFonts w:ascii="David" w:hAnsi="David"/>
                <w:b/>
                <w:bCs/>
                <w:sz w:val="28"/>
                <w:szCs w:val="28"/>
                <w:rtl/>
              </w:rPr>
            </w:pPr>
            <w:r w:rsidRPr="0084531B">
              <w:rPr>
                <w:rFonts w:ascii="David" w:hAnsi="David"/>
                <w:b/>
                <w:bCs/>
                <w:sz w:val="28"/>
                <w:szCs w:val="28"/>
                <w:rtl/>
              </w:rPr>
              <w:t>המאשימה</w:t>
            </w:r>
          </w:p>
        </w:tc>
      </w:tr>
      <w:tr w:rsidR="003E1B22" w:rsidRPr="0084531B" w14:paraId="5E800593" w14:textId="77777777" w:rsidTr="003E1B22">
        <w:trPr>
          <w:trHeight w:val="355"/>
          <w:jc w:val="center"/>
        </w:trPr>
        <w:tc>
          <w:tcPr>
            <w:tcW w:w="923" w:type="dxa"/>
            <w:tcBorders>
              <w:top w:val="nil"/>
              <w:left w:val="nil"/>
              <w:bottom w:val="nil"/>
              <w:right w:val="nil"/>
            </w:tcBorders>
            <w:shd w:val="clear" w:color="auto" w:fill="auto"/>
          </w:tcPr>
          <w:p w14:paraId="473B1C01" w14:textId="77777777" w:rsidR="003E1B22" w:rsidRPr="0084531B" w:rsidRDefault="003E1B22" w:rsidP="003E1B22">
            <w:pPr>
              <w:jc w:val="both"/>
              <w:rPr>
                <w:rFonts w:ascii="David" w:hAnsi="David"/>
                <w:sz w:val="28"/>
                <w:szCs w:val="28"/>
                <w:rtl/>
              </w:rPr>
            </w:pPr>
            <w:bookmarkStart w:id="2" w:name="FirstLawyer"/>
          </w:p>
        </w:tc>
        <w:tc>
          <w:tcPr>
            <w:tcW w:w="7897" w:type="dxa"/>
            <w:gridSpan w:val="2"/>
            <w:tcBorders>
              <w:top w:val="nil"/>
              <w:left w:val="nil"/>
              <w:bottom w:val="nil"/>
              <w:right w:val="nil"/>
            </w:tcBorders>
            <w:shd w:val="clear" w:color="auto" w:fill="auto"/>
          </w:tcPr>
          <w:p w14:paraId="41AE2B14" w14:textId="77777777" w:rsidR="003E1B22" w:rsidRPr="0084531B" w:rsidRDefault="003E1B22" w:rsidP="003E1B22">
            <w:pPr>
              <w:jc w:val="center"/>
              <w:rPr>
                <w:rFonts w:ascii="David" w:hAnsi="David"/>
                <w:b/>
                <w:bCs/>
                <w:sz w:val="28"/>
                <w:szCs w:val="28"/>
                <w:rtl/>
              </w:rPr>
            </w:pPr>
          </w:p>
          <w:p w14:paraId="51B77A80" w14:textId="77777777" w:rsidR="003E1B22" w:rsidRPr="0084531B" w:rsidRDefault="003E1B22" w:rsidP="003E1B22">
            <w:pPr>
              <w:jc w:val="center"/>
              <w:rPr>
                <w:rFonts w:ascii="David" w:hAnsi="David"/>
                <w:b/>
                <w:bCs/>
                <w:sz w:val="28"/>
                <w:szCs w:val="28"/>
                <w:rtl/>
              </w:rPr>
            </w:pPr>
            <w:r w:rsidRPr="0084531B">
              <w:rPr>
                <w:rFonts w:ascii="David" w:hAnsi="David"/>
                <w:b/>
                <w:bCs/>
                <w:sz w:val="28"/>
                <w:szCs w:val="28"/>
                <w:rtl/>
              </w:rPr>
              <w:t>נגד</w:t>
            </w:r>
          </w:p>
          <w:p w14:paraId="06E37159" w14:textId="77777777" w:rsidR="003E1B22" w:rsidRPr="0084531B" w:rsidRDefault="003E1B22" w:rsidP="003E1B22">
            <w:pPr>
              <w:jc w:val="both"/>
              <w:rPr>
                <w:rFonts w:ascii="David" w:hAnsi="David"/>
                <w:b/>
                <w:bCs/>
                <w:sz w:val="28"/>
                <w:szCs w:val="28"/>
              </w:rPr>
            </w:pPr>
          </w:p>
        </w:tc>
      </w:tr>
      <w:tr w:rsidR="003E1B22" w:rsidRPr="0084531B" w14:paraId="04F597B3" w14:textId="77777777" w:rsidTr="003E1B22">
        <w:trPr>
          <w:trHeight w:val="355"/>
          <w:jc w:val="center"/>
        </w:trPr>
        <w:tc>
          <w:tcPr>
            <w:tcW w:w="923" w:type="dxa"/>
            <w:tcBorders>
              <w:top w:val="nil"/>
              <w:left w:val="nil"/>
              <w:bottom w:val="nil"/>
              <w:right w:val="nil"/>
            </w:tcBorders>
            <w:shd w:val="clear" w:color="auto" w:fill="auto"/>
          </w:tcPr>
          <w:p w14:paraId="7062B29D" w14:textId="77777777" w:rsidR="003E1B22" w:rsidRPr="0084531B" w:rsidRDefault="003E1B22" w:rsidP="00705DBE">
            <w:pPr>
              <w:rPr>
                <w:rFonts w:ascii="David" w:hAnsi="David"/>
                <w:sz w:val="28"/>
                <w:szCs w:val="28"/>
                <w:rtl/>
              </w:rPr>
            </w:pPr>
          </w:p>
        </w:tc>
        <w:tc>
          <w:tcPr>
            <w:tcW w:w="4126" w:type="dxa"/>
            <w:tcBorders>
              <w:top w:val="nil"/>
              <w:left w:val="nil"/>
              <w:bottom w:val="nil"/>
              <w:right w:val="nil"/>
            </w:tcBorders>
            <w:shd w:val="clear" w:color="auto" w:fill="auto"/>
          </w:tcPr>
          <w:p w14:paraId="156B258D" w14:textId="77777777" w:rsidR="003E1B22" w:rsidRPr="0084531B" w:rsidRDefault="003E1B22" w:rsidP="00705DBE">
            <w:pPr>
              <w:rPr>
                <w:rFonts w:ascii="David" w:hAnsi="David"/>
                <w:sz w:val="28"/>
                <w:szCs w:val="28"/>
                <w:rtl/>
              </w:rPr>
            </w:pPr>
            <w:r w:rsidRPr="0084531B">
              <w:rPr>
                <w:rFonts w:ascii="David" w:hAnsi="David"/>
                <w:b/>
                <w:bCs/>
                <w:sz w:val="28"/>
                <w:szCs w:val="28"/>
                <w:rtl/>
              </w:rPr>
              <w:t>דרור עמר</w:t>
            </w:r>
            <w:r w:rsidRPr="0084531B">
              <w:rPr>
                <w:rFonts w:ascii="David" w:hAnsi="David"/>
                <w:b/>
                <w:bCs/>
                <w:sz w:val="28"/>
                <w:szCs w:val="28"/>
                <w:rtl/>
              </w:rPr>
              <w:br/>
              <w:t>באמצעות ב"כ עו"ד אהוד בן יהודה</w:t>
            </w:r>
          </w:p>
        </w:tc>
        <w:tc>
          <w:tcPr>
            <w:tcW w:w="3771" w:type="dxa"/>
            <w:tcBorders>
              <w:top w:val="nil"/>
              <w:left w:val="nil"/>
              <w:bottom w:val="nil"/>
              <w:right w:val="nil"/>
            </w:tcBorders>
            <w:shd w:val="clear" w:color="auto" w:fill="auto"/>
          </w:tcPr>
          <w:p w14:paraId="4A8C5715" w14:textId="77777777" w:rsidR="003E1B22" w:rsidRPr="0084531B" w:rsidRDefault="003E1B22" w:rsidP="003E1B22">
            <w:pPr>
              <w:jc w:val="right"/>
              <w:rPr>
                <w:rFonts w:ascii="David" w:hAnsi="David"/>
                <w:sz w:val="28"/>
                <w:szCs w:val="28"/>
              </w:rPr>
            </w:pPr>
          </w:p>
        </w:tc>
      </w:tr>
      <w:tr w:rsidR="003E1B22" w:rsidRPr="0084531B" w14:paraId="53BE9203" w14:textId="77777777" w:rsidTr="003E1B22">
        <w:trPr>
          <w:trHeight w:val="355"/>
          <w:jc w:val="center"/>
        </w:trPr>
        <w:tc>
          <w:tcPr>
            <w:tcW w:w="923" w:type="dxa"/>
            <w:tcBorders>
              <w:top w:val="nil"/>
              <w:left w:val="nil"/>
              <w:bottom w:val="nil"/>
              <w:right w:val="nil"/>
            </w:tcBorders>
            <w:shd w:val="clear" w:color="auto" w:fill="auto"/>
          </w:tcPr>
          <w:p w14:paraId="5CC9640D" w14:textId="77777777" w:rsidR="003E1B22" w:rsidRPr="0084531B" w:rsidRDefault="003E1B22" w:rsidP="003E1B22">
            <w:pPr>
              <w:jc w:val="both"/>
              <w:rPr>
                <w:rFonts w:ascii="David" w:hAnsi="David"/>
                <w:b/>
                <w:bCs/>
                <w:sz w:val="28"/>
                <w:szCs w:val="28"/>
                <w:rtl/>
              </w:rPr>
            </w:pPr>
          </w:p>
        </w:tc>
        <w:tc>
          <w:tcPr>
            <w:tcW w:w="4126" w:type="dxa"/>
            <w:tcBorders>
              <w:top w:val="nil"/>
              <w:left w:val="nil"/>
              <w:bottom w:val="nil"/>
              <w:right w:val="nil"/>
            </w:tcBorders>
            <w:shd w:val="clear" w:color="auto" w:fill="auto"/>
          </w:tcPr>
          <w:p w14:paraId="35101F24" w14:textId="77777777" w:rsidR="003E1B22" w:rsidRPr="0084531B" w:rsidRDefault="003E1B22" w:rsidP="003E1B22">
            <w:pPr>
              <w:jc w:val="both"/>
              <w:rPr>
                <w:rFonts w:ascii="David" w:hAnsi="David"/>
                <w:b/>
                <w:bCs/>
                <w:sz w:val="28"/>
                <w:szCs w:val="28"/>
                <w:rtl/>
              </w:rPr>
            </w:pPr>
          </w:p>
        </w:tc>
        <w:tc>
          <w:tcPr>
            <w:tcW w:w="3771" w:type="dxa"/>
            <w:tcBorders>
              <w:top w:val="nil"/>
              <w:left w:val="nil"/>
              <w:bottom w:val="nil"/>
              <w:right w:val="nil"/>
            </w:tcBorders>
            <w:shd w:val="clear" w:color="auto" w:fill="auto"/>
          </w:tcPr>
          <w:p w14:paraId="46876871" w14:textId="77777777" w:rsidR="003E1B22" w:rsidRPr="0084531B" w:rsidRDefault="003E1B22" w:rsidP="003E1B22">
            <w:pPr>
              <w:jc w:val="right"/>
              <w:rPr>
                <w:rFonts w:ascii="David" w:hAnsi="David"/>
                <w:b/>
                <w:bCs/>
                <w:sz w:val="28"/>
                <w:szCs w:val="28"/>
              </w:rPr>
            </w:pPr>
            <w:r w:rsidRPr="0084531B">
              <w:rPr>
                <w:rFonts w:ascii="David" w:hAnsi="David"/>
                <w:b/>
                <w:bCs/>
                <w:sz w:val="28"/>
                <w:szCs w:val="28"/>
                <w:rtl/>
              </w:rPr>
              <w:t>הנאשם</w:t>
            </w:r>
          </w:p>
        </w:tc>
      </w:tr>
    </w:tbl>
    <w:p w14:paraId="50F46A8F" w14:textId="77777777" w:rsidR="00F961BD" w:rsidRDefault="00F961BD" w:rsidP="0084531B">
      <w:pPr>
        <w:rPr>
          <w:rFonts w:ascii="David" w:hAnsi="David"/>
          <w:sz w:val="28"/>
          <w:szCs w:val="28"/>
          <w:rtl/>
        </w:rPr>
      </w:pPr>
    </w:p>
    <w:p w14:paraId="4BA8D840" w14:textId="77777777" w:rsidR="00F961BD" w:rsidRPr="00F961BD" w:rsidRDefault="00F961BD" w:rsidP="00F961BD">
      <w:pPr>
        <w:spacing w:after="120" w:line="240" w:lineRule="exact"/>
        <w:ind w:left="283" w:hanging="283"/>
        <w:jc w:val="both"/>
        <w:rPr>
          <w:rFonts w:ascii="FrankRuehl" w:hAnsi="FrankRuehl" w:cs="FrankRuehl"/>
          <w:rtl/>
        </w:rPr>
      </w:pPr>
    </w:p>
    <w:p w14:paraId="277CE319" w14:textId="77777777" w:rsidR="00747B3E" w:rsidRPr="00747B3E" w:rsidRDefault="00747B3E" w:rsidP="00747B3E">
      <w:pPr>
        <w:spacing w:before="120" w:after="120" w:line="240" w:lineRule="exact"/>
        <w:ind w:left="283" w:hanging="283"/>
        <w:jc w:val="both"/>
        <w:rPr>
          <w:rFonts w:ascii="FrankRuehl" w:hAnsi="FrankRuehl" w:cs="FrankRuehl"/>
          <w:rtl/>
        </w:rPr>
      </w:pPr>
    </w:p>
    <w:p w14:paraId="7D20F35F" w14:textId="77777777" w:rsidR="00643C90" w:rsidRDefault="00643C90" w:rsidP="00643C90">
      <w:pPr>
        <w:rPr>
          <w:rFonts w:ascii="David" w:hAnsi="David"/>
          <w:sz w:val="28"/>
          <w:szCs w:val="28"/>
          <w:rtl/>
        </w:rPr>
      </w:pPr>
      <w:bookmarkStart w:id="3" w:name="LawTable"/>
      <w:bookmarkEnd w:id="3"/>
    </w:p>
    <w:p w14:paraId="742573AD" w14:textId="77777777" w:rsidR="00643C90" w:rsidRPr="00643C90" w:rsidRDefault="00643C90" w:rsidP="00643C90">
      <w:pPr>
        <w:spacing w:before="120" w:after="120" w:line="240" w:lineRule="exact"/>
        <w:ind w:left="283" w:hanging="283"/>
        <w:jc w:val="both"/>
        <w:rPr>
          <w:rFonts w:ascii="FrankRuehl" w:hAnsi="FrankRuehl" w:cs="FrankRuehl"/>
          <w:rtl/>
        </w:rPr>
      </w:pPr>
    </w:p>
    <w:p w14:paraId="5BD3B0E7" w14:textId="77777777" w:rsidR="00643C90" w:rsidRPr="00643C90" w:rsidRDefault="00643C90" w:rsidP="00643C90">
      <w:pPr>
        <w:spacing w:before="120" w:after="120" w:line="240" w:lineRule="exact"/>
        <w:ind w:left="283" w:hanging="283"/>
        <w:jc w:val="both"/>
        <w:rPr>
          <w:rFonts w:ascii="FrankRuehl" w:hAnsi="FrankRuehl" w:cs="FrankRuehl"/>
          <w:rtl/>
        </w:rPr>
      </w:pPr>
    </w:p>
    <w:p w14:paraId="63366DE6" w14:textId="77777777" w:rsidR="00643C90" w:rsidRPr="00643C90" w:rsidRDefault="00643C90" w:rsidP="00643C90">
      <w:pPr>
        <w:spacing w:before="120" w:after="120" w:line="240" w:lineRule="exact"/>
        <w:ind w:left="283" w:hanging="283"/>
        <w:jc w:val="both"/>
        <w:rPr>
          <w:rFonts w:ascii="FrankRuehl" w:hAnsi="FrankRuehl" w:cs="FrankRuehl"/>
          <w:rtl/>
        </w:rPr>
      </w:pPr>
      <w:r w:rsidRPr="00643C90">
        <w:rPr>
          <w:rFonts w:ascii="FrankRuehl" w:hAnsi="FrankRuehl" w:cs="FrankRuehl"/>
          <w:rtl/>
        </w:rPr>
        <w:t xml:space="preserve">חקיקה שאוזכרה: </w:t>
      </w:r>
    </w:p>
    <w:p w14:paraId="3A23048B" w14:textId="77777777" w:rsidR="00643C90" w:rsidRPr="00643C90" w:rsidRDefault="00643C90" w:rsidP="00643C90">
      <w:pPr>
        <w:spacing w:before="120" w:after="120" w:line="240" w:lineRule="exact"/>
        <w:ind w:left="283" w:hanging="283"/>
        <w:jc w:val="both"/>
        <w:rPr>
          <w:rFonts w:ascii="FrankRuehl" w:hAnsi="FrankRuehl" w:cs="FrankRuehl"/>
          <w:rtl/>
        </w:rPr>
      </w:pPr>
      <w:hyperlink r:id="rId9" w:history="1">
        <w:r w:rsidRPr="00643C90">
          <w:rPr>
            <w:rFonts w:ascii="FrankRuehl" w:hAnsi="FrankRuehl" w:cs="FrankRuehl"/>
            <w:color w:val="0000FF"/>
            <w:rtl/>
          </w:rPr>
          <w:t>פקודת הסמים המסוכנים [נוסח חדש], תשל"ג-1973</w:t>
        </w:r>
      </w:hyperlink>
      <w:r w:rsidRPr="00643C90">
        <w:rPr>
          <w:rFonts w:ascii="FrankRuehl" w:hAnsi="FrankRuehl" w:cs="FrankRuehl"/>
          <w:rtl/>
        </w:rPr>
        <w:t xml:space="preserve">: סע'  </w:t>
      </w:r>
      <w:hyperlink r:id="rId10" w:history="1">
        <w:r w:rsidRPr="00643C90">
          <w:rPr>
            <w:rFonts w:ascii="FrankRuehl" w:hAnsi="FrankRuehl" w:cs="FrankRuehl"/>
            <w:color w:val="0000FF"/>
            <w:rtl/>
          </w:rPr>
          <w:t>7.א.</w:t>
        </w:r>
      </w:hyperlink>
      <w:r w:rsidRPr="00643C90">
        <w:rPr>
          <w:rFonts w:ascii="FrankRuehl" w:hAnsi="FrankRuehl" w:cs="FrankRuehl"/>
          <w:rtl/>
        </w:rPr>
        <w:t xml:space="preserve">, </w:t>
      </w:r>
      <w:hyperlink r:id="rId11" w:history="1">
        <w:r w:rsidRPr="00643C90">
          <w:rPr>
            <w:rFonts w:ascii="FrankRuehl" w:hAnsi="FrankRuehl" w:cs="FrankRuehl"/>
            <w:color w:val="0000FF"/>
            <w:rtl/>
          </w:rPr>
          <w:t>7.ג</w:t>
        </w:r>
      </w:hyperlink>
    </w:p>
    <w:p w14:paraId="6C72293A" w14:textId="77777777" w:rsidR="00643C90" w:rsidRPr="00643C90" w:rsidRDefault="00643C90" w:rsidP="00643C90">
      <w:pPr>
        <w:spacing w:before="120" w:after="120" w:line="240" w:lineRule="exact"/>
        <w:ind w:left="283" w:hanging="283"/>
        <w:jc w:val="both"/>
        <w:rPr>
          <w:rFonts w:ascii="FrankRuehl" w:hAnsi="FrankRuehl" w:cs="FrankRuehl"/>
          <w:rtl/>
        </w:rPr>
      </w:pPr>
      <w:hyperlink r:id="rId12" w:history="1">
        <w:r w:rsidRPr="00643C90">
          <w:rPr>
            <w:rFonts w:ascii="FrankRuehl" w:hAnsi="FrankRuehl" w:cs="FrankRuehl"/>
            <w:color w:val="0000FF"/>
            <w:rtl/>
          </w:rPr>
          <w:t>חוק העונשין, תשל"ז-1977</w:t>
        </w:r>
      </w:hyperlink>
      <w:r w:rsidRPr="00643C90">
        <w:rPr>
          <w:rFonts w:ascii="FrankRuehl" w:hAnsi="FrankRuehl" w:cs="FrankRuehl"/>
          <w:rtl/>
        </w:rPr>
        <w:t xml:space="preserve">: סע'  </w:t>
      </w:r>
      <w:hyperlink r:id="rId13" w:history="1">
        <w:r w:rsidRPr="00643C90">
          <w:rPr>
            <w:rFonts w:ascii="FrankRuehl" w:hAnsi="FrankRuehl" w:cs="FrankRuehl"/>
            <w:color w:val="0000FF"/>
            <w:rtl/>
          </w:rPr>
          <w:t>40ט</w:t>
        </w:r>
      </w:hyperlink>
      <w:r w:rsidRPr="00643C90">
        <w:rPr>
          <w:rFonts w:ascii="FrankRuehl" w:hAnsi="FrankRuehl" w:cs="FrankRuehl"/>
          <w:rtl/>
        </w:rPr>
        <w:t xml:space="preserve">, </w:t>
      </w:r>
      <w:hyperlink r:id="rId14" w:history="1">
        <w:r w:rsidRPr="00643C90">
          <w:rPr>
            <w:rFonts w:ascii="FrankRuehl" w:hAnsi="FrankRuehl" w:cs="FrankRuehl"/>
            <w:color w:val="0000FF"/>
            <w:rtl/>
          </w:rPr>
          <w:t>192</w:t>
        </w:r>
      </w:hyperlink>
      <w:r w:rsidRPr="00643C90">
        <w:rPr>
          <w:rFonts w:ascii="FrankRuehl" w:hAnsi="FrankRuehl" w:cs="FrankRuehl"/>
          <w:rtl/>
        </w:rPr>
        <w:t xml:space="preserve">, </w:t>
      </w:r>
      <w:hyperlink r:id="rId15" w:history="1">
        <w:r w:rsidRPr="00643C90">
          <w:rPr>
            <w:rFonts w:ascii="FrankRuehl" w:hAnsi="FrankRuehl" w:cs="FrankRuehl"/>
            <w:color w:val="0000FF"/>
            <w:rtl/>
          </w:rPr>
          <w:t>40 יא'</w:t>
        </w:r>
      </w:hyperlink>
      <w:r w:rsidRPr="00643C90">
        <w:rPr>
          <w:rFonts w:ascii="FrankRuehl" w:hAnsi="FrankRuehl" w:cs="FrankRuehl"/>
          <w:rtl/>
        </w:rPr>
        <w:t xml:space="preserve">, </w:t>
      </w:r>
      <w:hyperlink r:id="rId16" w:history="1">
        <w:r w:rsidRPr="00643C90">
          <w:rPr>
            <w:rFonts w:ascii="FrankRuehl" w:hAnsi="FrankRuehl" w:cs="FrankRuehl"/>
            <w:color w:val="0000FF"/>
            <w:rtl/>
          </w:rPr>
          <w:t>40 יג</w:t>
        </w:r>
      </w:hyperlink>
    </w:p>
    <w:p w14:paraId="72A48303" w14:textId="77777777" w:rsidR="00643C90" w:rsidRPr="00643C90" w:rsidRDefault="00643C90" w:rsidP="00643C90">
      <w:pPr>
        <w:rPr>
          <w:rFonts w:ascii="David" w:hAnsi="David"/>
          <w:sz w:val="28"/>
          <w:szCs w:val="28"/>
          <w:rtl/>
        </w:rPr>
      </w:pPr>
      <w:bookmarkStart w:id="4" w:name="LawTable_End"/>
      <w:bookmarkEnd w:id="4"/>
    </w:p>
    <w:p w14:paraId="2C430E7D" w14:textId="77777777" w:rsidR="003E1B22" w:rsidRPr="00747B3E" w:rsidRDefault="003E1B22" w:rsidP="00747B3E">
      <w:pPr>
        <w:rPr>
          <w:rFonts w:ascii="David" w:hAnsi="David"/>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1B22" w:rsidRPr="00D6344F" w14:paraId="3A4FFC50" w14:textId="77777777" w:rsidTr="003E1B22">
        <w:trPr>
          <w:trHeight w:val="355"/>
          <w:jc w:val="center"/>
        </w:trPr>
        <w:tc>
          <w:tcPr>
            <w:tcW w:w="8820" w:type="dxa"/>
            <w:tcBorders>
              <w:top w:val="nil"/>
              <w:left w:val="nil"/>
              <w:bottom w:val="nil"/>
              <w:right w:val="nil"/>
            </w:tcBorders>
            <w:shd w:val="clear" w:color="auto" w:fill="auto"/>
          </w:tcPr>
          <w:p w14:paraId="238FA9C1" w14:textId="77777777" w:rsidR="0084531B" w:rsidRPr="0084531B" w:rsidRDefault="0084531B" w:rsidP="0084531B">
            <w:pPr>
              <w:jc w:val="center"/>
              <w:rPr>
                <w:rFonts w:ascii="David" w:hAnsi="David"/>
                <w:b/>
                <w:bCs/>
                <w:sz w:val="28"/>
                <w:szCs w:val="28"/>
                <w:u w:val="single"/>
                <w:rtl/>
              </w:rPr>
            </w:pPr>
            <w:bookmarkStart w:id="5" w:name="PsakDin" w:colFirst="0" w:colLast="0"/>
            <w:bookmarkEnd w:id="0"/>
            <w:bookmarkEnd w:id="2"/>
            <w:r w:rsidRPr="0084531B">
              <w:rPr>
                <w:rFonts w:ascii="David" w:hAnsi="David"/>
                <w:b/>
                <w:bCs/>
                <w:sz w:val="28"/>
                <w:szCs w:val="28"/>
                <w:u w:val="single"/>
                <w:rtl/>
              </w:rPr>
              <w:t>גזר דין</w:t>
            </w:r>
          </w:p>
          <w:p w14:paraId="59700A82" w14:textId="77777777" w:rsidR="003E1B22" w:rsidRPr="0084531B" w:rsidRDefault="003E1B22" w:rsidP="0084531B">
            <w:pPr>
              <w:jc w:val="center"/>
              <w:rPr>
                <w:rFonts w:ascii="David" w:hAnsi="David"/>
                <w:bCs/>
                <w:sz w:val="28"/>
                <w:szCs w:val="28"/>
                <w:u w:val="single"/>
                <w:rtl/>
              </w:rPr>
            </w:pPr>
          </w:p>
        </w:tc>
      </w:tr>
      <w:bookmarkEnd w:id="5"/>
    </w:tbl>
    <w:p w14:paraId="298F4FCC" w14:textId="77777777" w:rsidR="003E1B22" w:rsidRPr="00D6344F" w:rsidRDefault="003E1B22" w:rsidP="003E1B22">
      <w:pPr>
        <w:rPr>
          <w:rFonts w:ascii="David" w:hAnsi="David"/>
          <w:sz w:val="28"/>
          <w:szCs w:val="28"/>
          <w:rtl/>
        </w:rPr>
      </w:pPr>
    </w:p>
    <w:p w14:paraId="79F50A91" w14:textId="77777777" w:rsidR="003E1B22" w:rsidRPr="00B05847" w:rsidRDefault="003E1B22" w:rsidP="003E1B22">
      <w:pPr>
        <w:rPr>
          <w:rFonts w:ascii="Arial" w:hAnsi="Arial"/>
          <w:rtl/>
        </w:rPr>
      </w:pPr>
      <w:bookmarkStart w:id="6" w:name="ABSTRACT_START"/>
      <w:bookmarkEnd w:id="6"/>
    </w:p>
    <w:p w14:paraId="48A34520" w14:textId="77777777" w:rsidR="003E1B22" w:rsidRPr="002154B1" w:rsidRDefault="003E1B22" w:rsidP="003E1B22">
      <w:pPr>
        <w:spacing w:line="360" w:lineRule="auto"/>
        <w:jc w:val="both"/>
        <w:rPr>
          <w:rFonts w:ascii="David" w:hAnsi="David"/>
        </w:rPr>
      </w:pPr>
      <w:r w:rsidRPr="002154B1">
        <w:rPr>
          <w:rFonts w:ascii="David" w:hAnsi="David"/>
          <w:b/>
          <w:bCs/>
          <w:rtl/>
        </w:rPr>
        <w:t>1</w:t>
      </w:r>
      <w:r w:rsidRPr="002154B1">
        <w:rPr>
          <w:rFonts w:ascii="David" w:hAnsi="David"/>
          <w:rtl/>
        </w:rPr>
        <w:t xml:space="preserve">. הנאשם הורשע בהתאם להודאתו בביצוע עבירת החזקת סמים שלא לצריכה עצמית, עבירה לפי </w:t>
      </w:r>
      <w:r w:rsidRPr="002154B1">
        <w:rPr>
          <w:rFonts w:ascii="David" w:hAnsi="David"/>
          <w:b/>
          <w:bCs/>
          <w:rtl/>
        </w:rPr>
        <w:t xml:space="preserve">סעיף </w:t>
      </w:r>
      <w:hyperlink r:id="rId17" w:history="1">
        <w:r w:rsidR="00F961BD" w:rsidRPr="00F961BD">
          <w:rPr>
            <w:rStyle w:val="Hyperlink"/>
            <w:rFonts w:ascii="David" w:hAnsi="David"/>
            <w:b/>
            <w:bCs/>
            <w:rtl/>
          </w:rPr>
          <w:t>7(א)+(ג)</w:t>
        </w:r>
      </w:hyperlink>
      <w:r w:rsidRPr="002154B1">
        <w:rPr>
          <w:rFonts w:ascii="David" w:hAnsi="David"/>
          <w:b/>
          <w:bCs/>
          <w:rtl/>
        </w:rPr>
        <w:t xml:space="preserve"> רישא ל</w:t>
      </w:r>
      <w:hyperlink r:id="rId18" w:history="1">
        <w:r w:rsidR="0084531B" w:rsidRPr="0084531B">
          <w:rPr>
            <w:rFonts w:ascii="David" w:hAnsi="David"/>
            <w:b/>
            <w:bCs/>
            <w:color w:val="0000FF"/>
            <w:u w:val="single"/>
            <w:rtl/>
          </w:rPr>
          <w:t>פקודת הסמים המסוכנים</w:t>
        </w:r>
      </w:hyperlink>
      <w:r w:rsidRPr="002154B1">
        <w:rPr>
          <w:rFonts w:ascii="David" w:hAnsi="David"/>
          <w:b/>
          <w:bCs/>
          <w:rtl/>
        </w:rPr>
        <w:t xml:space="preserve"> [נוסח חדש], התשל"ג-1973 </w:t>
      </w:r>
      <w:r w:rsidRPr="002154B1">
        <w:rPr>
          <w:rFonts w:ascii="David" w:hAnsi="David"/>
          <w:rtl/>
        </w:rPr>
        <w:t>(להלן:</w:t>
      </w:r>
      <w:r w:rsidRPr="002154B1">
        <w:rPr>
          <w:rFonts w:ascii="David" w:hAnsi="David"/>
          <w:b/>
          <w:bCs/>
          <w:rtl/>
        </w:rPr>
        <w:t xml:space="preserve"> </w:t>
      </w:r>
      <w:r w:rsidRPr="002154B1">
        <w:rPr>
          <w:rFonts w:ascii="David" w:hAnsi="David"/>
          <w:rtl/>
        </w:rPr>
        <w:t>"</w:t>
      </w:r>
      <w:r w:rsidRPr="002154B1">
        <w:rPr>
          <w:rFonts w:ascii="David" w:hAnsi="David"/>
          <w:b/>
          <w:bCs/>
          <w:rtl/>
        </w:rPr>
        <w:t>פקודת הסמים המסוכנים</w:t>
      </w:r>
      <w:r w:rsidRPr="002154B1">
        <w:rPr>
          <w:rFonts w:ascii="David" w:hAnsi="David"/>
          <w:rtl/>
        </w:rPr>
        <w:t>").</w:t>
      </w:r>
    </w:p>
    <w:p w14:paraId="3A9FBE8F" w14:textId="77777777" w:rsidR="003E1B22" w:rsidRPr="002154B1" w:rsidRDefault="003E1B22" w:rsidP="003E1B22">
      <w:pPr>
        <w:spacing w:line="360" w:lineRule="auto"/>
        <w:contextualSpacing/>
        <w:jc w:val="both"/>
        <w:rPr>
          <w:rFonts w:ascii="David" w:hAnsi="David"/>
          <w:rtl/>
        </w:rPr>
      </w:pPr>
      <w:bookmarkStart w:id="7" w:name="ABSTRACT_END"/>
      <w:bookmarkEnd w:id="7"/>
    </w:p>
    <w:p w14:paraId="1D5E36F0" w14:textId="77777777" w:rsidR="003E1B22" w:rsidRPr="002154B1" w:rsidRDefault="003E1B22" w:rsidP="003E1B22">
      <w:pPr>
        <w:spacing w:line="360" w:lineRule="auto"/>
        <w:contextualSpacing/>
        <w:jc w:val="both"/>
        <w:rPr>
          <w:rFonts w:ascii="David" w:hAnsi="David"/>
          <w:rtl/>
        </w:rPr>
      </w:pPr>
      <w:r w:rsidRPr="002154B1">
        <w:rPr>
          <w:rFonts w:ascii="David" w:hAnsi="David"/>
          <w:rtl/>
        </w:rPr>
        <w:t>מעובדות כתב האישום המתוקן עולה כי בתאריך 16/02/19 בשעה 13:00 או בסמוך לכך, בביתו שברחוב בקעת רימון 14/25 באשקלון, החזיק הנאשם בסם מסוכן מסוג קנבוס, ללא היתר או רישיון, במשקלים כמפורט:</w:t>
      </w:r>
    </w:p>
    <w:p w14:paraId="426E5780" w14:textId="77777777" w:rsidR="003E1B22" w:rsidRPr="002154B1" w:rsidRDefault="003E1B22" w:rsidP="003E1B22">
      <w:pPr>
        <w:spacing w:line="360" w:lineRule="auto"/>
        <w:contextualSpacing/>
        <w:jc w:val="both"/>
        <w:rPr>
          <w:rFonts w:ascii="David" w:hAnsi="David"/>
          <w:rtl/>
        </w:rPr>
      </w:pPr>
      <w:r w:rsidRPr="002154B1">
        <w:rPr>
          <w:rFonts w:ascii="David" w:hAnsi="David"/>
          <w:rtl/>
        </w:rPr>
        <w:lastRenderedPageBreak/>
        <w:t xml:space="preserve">א. בשקית שחורה על שולחן בסלון – 150.70 גרם. </w:t>
      </w:r>
    </w:p>
    <w:p w14:paraId="1E1F99D3" w14:textId="77777777" w:rsidR="003E1B22" w:rsidRPr="002154B1" w:rsidRDefault="003E1B22" w:rsidP="003E1B22">
      <w:pPr>
        <w:spacing w:line="360" w:lineRule="auto"/>
        <w:contextualSpacing/>
        <w:jc w:val="both"/>
        <w:rPr>
          <w:rFonts w:ascii="David" w:hAnsi="David"/>
          <w:b/>
          <w:bCs/>
          <w:rtl/>
        </w:rPr>
      </w:pPr>
      <w:r w:rsidRPr="002154B1">
        <w:rPr>
          <w:rFonts w:ascii="David" w:hAnsi="David"/>
          <w:rtl/>
        </w:rPr>
        <w:t xml:space="preserve">ב. בשקית לבנה במגירה במטבח – 49.90 גרם. </w:t>
      </w:r>
    </w:p>
    <w:p w14:paraId="3D5D02B4" w14:textId="77777777" w:rsidR="003E1B22" w:rsidRPr="002154B1" w:rsidRDefault="003E1B22" w:rsidP="003E1B22">
      <w:pPr>
        <w:spacing w:line="360" w:lineRule="auto"/>
        <w:contextualSpacing/>
        <w:jc w:val="both"/>
        <w:rPr>
          <w:rFonts w:ascii="David" w:hAnsi="David"/>
          <w:b/>
          <w:bCs/>
          <w:rtl/>
        </w:rPr>
      </w:pPr>
    </w:p>
    <w:p w14:paraId="343D7F12" w14:textId="77777777" w:rsidR="003E1B22" w:rsidRPr="002154B1" w:rsidRDefault="003E1B22" w:rsidP="003E1B22">
      <w:pPr>
        <w:spacing w:line="360" w:lineRule="auto"/>
        <w:contextualSpacing/>
        <w:jc w:val="both"/>
        <w:rPr>
          <w:rFonts w:ascii="David" w:hAnsi="David"/>
          <w:b/>
          <w:bCs/>
        </w:rPr>
      </w:pPr>
      <w:r w:rsidRPr="002154B1">
        <w:rPr>
          <w:rFonts w:ascii="David" w:hAnsi="David"/>
          <w:b/>
          <w:bCs/>
          <w:rtl/>
        </w:rPr>
        <w:t xml:space="preserve">2. </w:t>
      </w:r>
      <w:r w:rsidRPr="002154B1">
        <w:rPr>
          <w:rFonts w:ascii="David" w:hAnsi="David"/>
          <w:rtl/>
        </w:rPr>
        <w:t>לבקשת הנאשם צורף תיק נוסף,</w:t>
      </w:r>
      <w:r w:rsidRPr="002154B1">
        <w:rPr>
          <w:rFonts w:ascii="David" w:hAnsi="David"/>
          <w:b/>
          <w:bCs/>
          <w:rtl/>
        </w:rPr>
        <w:t xml:space="preserve"> </w:t>
      </w:r>
      <w:hyperlink r:id="rId19" w:history="1">
        <w:r w:rsidR="0084531B" w:rsidRPr="0084531B">
          <w:rPr>
            <w:rFonts w:ascii="David" w:hAnsi="David"/>
            <w:b/>
            <w:bCs/>
            <w:color w:val="0000FF"/>
            <w:u w:val="single"/>
            <w:rtl/>
          </w:rPr>
          <w:t>ת"פ 22428-11-18</w:t>
        </w:r>
      </w:hyperlink>
      <w:r w:rsidRPr="002154B1">
        <w:rPr>
          <w:rFonts w:ascii="David" w:hAnsi="David"/>
          <w:b/>
          <w:bCs/>
          <w:rtl/>
        </w:rPr>
        <w:t xml:space="preserve"> </w:t>
      </w:r>
      <w:r w:rsidRPr="002154B1">
        <w:rPr>
          <w:rFonts w:ascii="David" w:hAnsi="David"/>
          <w:rtl/>
        </w:rPr>
        <w:t>בו</w:t>
      </w:r>
      <w:r w:rsidRPr="002154B1">
        <w:rPr>
          <w:rFonts w:ascii="David" w:hAnsi="David"/>
          <w:b/>
          <w:bCs/>
          <w:rtl/>
        </w:rPr>
        <w:t xml:space="preserve"> </w:t>
      </w:r>
      <w:r w:rsidRPr="002154B1">
        <w:rPr>
          <w:rFonts w:ascii="David" w:hAnsi="David"/>
          <w:rtl/>
        </w:rPr>
        <w:t xml:space="preserve">הורשע בהתאם להודאתו בביצוע עבירת איומים, עבירה לפי </w:t>
      </w:r>
      <w:hyperlink r:id="rId20" w:history="1">
        <w:r w:rsidR="00F961BD" w:rsidRPr="00F961BD">
          <w:rPr>
            <w:rStyle w:val="Hyperlink"/>
            <w:rFonts w:ascii="David" w:hAnsi="David"/>
            <w:b/>
            <w:bCs/>
            <w:rtl/>
          </w:rPr>
          <w:t>סעיף 192</w:t>
        </w:r>
      </w:hyperlink>
      <w:r w:rsidRPr="002154B1">
        <w:rPr>
          <w:rFonts w:ascii="David" w:hAnsi="David"/>
          <w:b/>
          <w:bCs/>
          <w:rtl/>
        </w:rPr>
        <w:t xml:space="preserve"> ל</w:t>
      </w:r>
      <w:hyperlink r:id="rId21" w:history="1">
        <w:r w:rsidR="0084531B" w:rsidRPr="0084531B">
          <w:rPr>
            <w:rFonts w:ascii="David" w:hAnsi="David"/>
            <w:b/>
            <w:bCs/>
            <w:color w:val="0000FF"/>
            <w:u w:val="single"/>
            <w:rtl/>
          </w:rPr>
          <w:t>חוק העונשין</w:t>
        </w:r>
      </w:hyperlink>
      <w:r w:rsidRPr="002154B1">
        <w:rPr>
          <w:rFonts w:ascii="David" w:hAnsi="David"/>
          <w:b/>
          <w:bCs/>
          <w:rtl/>
        </w:rPr>
        <w:t xml:space="preserve">, תשל"ז-1977 </w:t>
      </w:r>
      <w:r w:rsidRPr="002154B1">
        <w:rPr>
          <w:rFonts w:ascii="David" w:hAnsi="David"/>
          <w:rtl/>
        </w:rPr>
        <w:t>(להלן: "</w:t>
      </w:r>
      <w:r w:rsidRPr="002154B1">
        <w:rPr>
          <w:rFonts w:ascii="David" w:hAnsi="David"/>
          <w:b/>
          <w:bCs/>
          <w:rtl/>
        </w:rPr>
        <w:t>חוק העונשין"</w:t>
      </w:r>
      <w:r w:rsidRPr="002154B1">
        <w:rPr>
          <w:rFonts w:ascii="David" w:hAnsi="David"/>
          <w:rtl/>
        </w:rPr>
        <w:t xml:space="preserve">). </w:t>
      </w:r>
    </w:p>
    <w:p w14:paraId="36409A8D" w14:textId="77777777" w:rsidR="003E1B22" w:rsidRPr="002154B1" w:rsidRDefault="003E1B22" w:rsidP="003E1B22">
      <w:pPr>
        <w:spacing w:line="360" w:lineRule="auto"/>
        <w:jc w:val="both"/>
        <w:rPr>
          <w:rFonts w:ascii="David" w:hAnsi="David"/>
          <w:rtl/>
        </w:rPr>
      </w:pPr>
    </w:p>
    <w:p w14:paraId="6775D1DC" w14:textId="77777777" w:rsidR="003E1B22" w:rsidRPr="002154B1" w:rsidRDefault="003E1B22" w:rsidP="003E1B22">
      <w:pPr>
        <w:spacing w:line="360" w:lineRule="auto"/>
        <w:jc w:val="both"/>
        <w:rPr>
          <w:rFonts w:ascii="David" w:hAnsi="David"/>
          <w:rtl/>
        </w:rPr>
      </w:pPr>
      <w:r w:rsidRPr="002154B1">
        <w:rPr>
          <w:rFonts w:ascii="David" w:hAnsi="David"/>
          <w:rtl/>
        </w:rPr>
        <w:t xml:space="preserve">מכתב האישום המתוקן עולה כי ביום 21/05/16 בשעה 01:56 או בסמוך לכך, שהה הנאשם ברחוב בר כוכבא 19 דירה 5 אשקלון. באותה העת, הגיעו למקום צוות שוטרים בשל שיחה למוקד 100 בגין רעש. משהגיעו השוטרים </w:t>
      </w:r>
      <w:r>
        <w:rPr>
          <w:rFonts w:ascii="David" w:hAnsi="David"/>
          <w:rtl/>
        </w:rPr>
        <w:t>למקום</w:t>
      </w:r>
      <w:r w:rsidRPr="002154B1">
        <w:rPr>
          <w:rFonts w:ascii="David" w:hAnsi="David"/>
          <w:rtl/>
        </w:rPr>
        <w:t xml:space="preserve"> הם ביקשו מהנוכחים לפרק את הרמקולים, וביניהם לבין הנוכחים התפתח דין ודברים בהקשר זה.</w:t>
      </w:r>
    </w:p>
    <w:p w14:paraId="2E00DF6E" w14:textId="77777777" w:rsidR="003E1B22" w:rsidRPr="00D6344F" w:rsidRDefault="003E1B22" w:rsidP="003E1B22">
      <w:pPr>
        <w:spacing w:line="360" w:lineRule="auto"/>
        <w:jc w:val="both"/>
        <w:rPr>
          <w:rFonts w:ascii="David" w:hAnsi="David"/>
          <w:b/>
          <w:bCs/>
          <w:rtl/>
        </w:rPr>
      </w:pPr>
      <w:r w:rsidRPr="002154B1">
        <w:rPr>
          <w:rFonts w:ascii="David" w:hAnsi="David"/>
          <w:rtl/>
        </w:rPr>
        <w:t xml:space="preserve">בהמשך למתואר, איים הנאשם על </w:t>
      </w:r>
      <w:r>
        <w:rPr>
          <w:rFonts w:ascii="David" w:hAnsi="David" w:hint="cs"/>
          <w:rtl/>
        </w:rPr>
        <w:t>אחד השוטרים</w:t>
      </w:r>
      <w:r w:rsidRPr="002154B1">
        <w:rPr>
          <w:rFonts w:ascii="David" w:hAnsi="David"/>
          <w:rtl/>
        </w:rPr>
        <w:t xml:space="preserve"> באומרו: </w:t>
      </w:r>
      <w:r w:rsidRPr="00D6344F">
        <w:rPr>
          <w:rFonts w:ascii="David" w:hAnsi="David"/>
          <w:b/>
          <w:bCs/>
          <w:rtl/>
        </w:rPr>
        <w:t xml:space="preserve">"יש לך מזל, פעם ראיתי אותך הולך על רחוב בר כוכבא עם הילדים, רק תיגע בי ואני שובר אותך לחתיכות ומזיין אותך". </w:t>
      </w:r>
    </w:p>
    <w:p w14:paraId="7288581F" w14:textId="77777777" w:rsidR="003E1B22" w:rsidRPr="002154B1" w:rsidRDefault="003E1B22" w:rsidP="003E1B22">
      <w:pPr>
        <w:spacing w:line="360" w:lineRule="auto"/>
        <w:jc w:val="both"/>
        <w:rPr>
          <w:rFonts w:ascii="David" w:hAnsi="David"/>
          <w:b/>
          <w:bCs/>
          <w:u w:val="single"/>
          <w:rtl/>
        </w:rPr>
      </w:pPr>
    </w:p>
    <w:p w14:paraId="73A9A34E" w14:textId="77777777" w:rsidR="003E1B22" w:rsidRPr="002154B1" w:rsidRDefault="003E1B22" w:rsidP="003E1B22">
      <w:pPr>
        <w:spacing w:line="360" w:lineRule="auto"/>
        <w:jc w:val="both"/>
        <w:rPr>
          <w:rFonts w:ascii="David" w:hAnsi="David"/>
          <w:b/>
          <w:bCs/>
          <w:u w:val="single"/>
          <w:rtl/>
        </w:rPr>
      </w:pPr>
      <w:r w:rsidRPr="002154B1">
        <w:rPr>
          <w:rFonts w:ascii="David" w:hAnsi="David"/>
          <w:b/>
          <w:bCs/>
          <w:u w:val="single"/>
          <w:rtl/>
        </w:rPr>
        <w:t>הסדר הטיעון</w:t>
      </w:r>
    </w:p>
    <w:p w14:paraId="4DEAE5E4" w14:textId="77777777" w:rsidR="003E1B22" w:rsidRPr="002154B1" w:rsidRDefault="003E1B22" w:rsidP="003E1B22">
      <w:pPr>
        <w:spacing w:line="360" w:lineRule="auto"/>
        <w:jc w:val="both"/>
        <w:rPr>
          <w:rFonts w:ascii="David" w:hAnsi="David"/>
          <w:rtl/>
        </w:rPr>
      </w:pPr>
      <w:r w:rsidRPr="002154B1">
        <w:rPr>
          <w:rFonts w:ascii="David" w:hAnsi="David"/>
          <w:b/>
          <w:bCs/>
          <w:rtl/>
        </w:rPr>
        <w:t>3</w:t>
      </w:r>
      <w:r w:rsidRPr="002154B1">
        <w:rPr>
          <w:rFonts w:ascii="David" w:hAnsi="David"/>
          <w:rtl/>
        </w:rPr>
        <w:t xml:space="preserve">. ביום 19/12/19 הודה הנאשם במיוחס לו, כאמור, במסגרת הסדר טיעון, והוא הופנה בהסכמת הצדדים לקבלת תסקיר בטרם טיעון לעונש, ונטען כי לאחר קבלת התסקיר ישובו הצדדים להידבר. </w:t>
      </w:r>
    </w:p>
    <w:p w14:paraId="47822DBA" w14:textId="77777777" w:rsidR="003E1B22" w:rsidRPr="002154B1" w:rsidRDefault="003E1B22" w:rsidP="003E1B22">
      <w:pPr>
        <w:spacing w:line="360" w:lineRule="auto"/>
        <w:jc w:val="both"/>
        <w:rPr>
          <w:rFonts w:ascii="David" w:hAnsi="David"/>
          <w:b/>
          <w:bCs/>
          <w:u w:val="single"/>
          <w:rtl/>
        </w:rPr>
      </w:pPr>
    </w:p>
    <w:p w14:paraId="68210080" w14:textId="77777777" w:rsidR="003E1B22" w:rsidRPr="002154B1" w:rsidRDefault="003E1B22" w:rsidP="003E1B22">
      <w:pPr>
        <w:spacing w:line="360" w:lineRule="auto"/>
        <w:jc w:val="both"/>
        <w:rPr>
          <w:rFonts w:ascii="David" w:hAnsi="David"/>
          <w:b/>
          <w:bCs/>
          <w:u w:val="single"/>
        </w:rPr>
      </w:pPr>
      <w:r w:rsidRPr="002154B1">
        <w:rPr>
          <w:rFonts w:ascii="David" w:hAnsi="David"/>
          <w:b/>
          <w:bCs/>
          <w:u w:val="single"/>
          <w:rtl/>
        </w:rPr>
        <w:t>תסקירי שירות המבחן</w:t>
      </w:r>
    </w:p>
    <w:p w14:paraId="551D16B9" w14:textId="77777777" w:rsidR="003E1B22" w:rsidRPr="002154B1" w:rsidRDefault="003E1B22" w:rsidP="003E1B22">
      <w:pPr>
        <w:spacing w:line="360" w:lineRule="auto"/>
        <w:jc w:val="both"/>
        <w:rPr>
          <w:rFonts w:ascii="David" w:hAnsi="David"/>
          <w:rtl/>
        </w:rPr>
      </w:pPr>
      <w:r w:rsidRPr="002154B1">
        <w:rPr>
          <w:rFonts w:ascii="David" w:hAnsi="David"/>
          <w:b/>
          <w:bCs/>
          <w:rtl/>
        </w:rPr>
        <w:t>4</w:t>
      </w:r>
      <w:r w:rsidRPr="002154B1">
        <w:rPr>
          <w:rFonts w:ascii="David" w:hAnsi="David"/>
          <w:rtl/>
        </w:rPr>
        <w:t xml:space="preserve">. מתסקיר שירות המבחן מיום 27/12/20 עלה כי הנאשם בן 27, בעל עבר פלילי, מגיע מרקע משפחתי וכלכלי מורכב, נשוי המצפה ללידת בתו הראשונה, סיים 10 שנות לימוד. </w:t>
      </w:r>
    </w:p>
    <w:p w14:paraId="57FDAA72" w14:textId="77777777" w:rsidR="003E1B22" w:rsidRPr="002154B1" w:rsidRDefault="003E1B22" w:rsidP="003E1B22">
      <w:pPr>
        <w:spacing w:line="360" w:lineRule="auto"/>
        <w:jc w:val="both"/>
        <w:rPr>
          <w:rFonts w:ascii="David" w:hAnsi="David"/>
          <w:rtl/>
        </w:rPr>
      </w:pPr>
    </w:p>
    <w:p w14:paraId="3980BF31" w14:textId="77777777" w:rsidR="003E1B22" w:rsidRDefault="003E1B22" w:rsidP="003E1B22">
      <w:pPr>
        <w:spacing w:line="360" w:lineRule="auto"/>
        <w:jc w:val="both"/>
        <w:rPr>
          <w:rFonts w:ascii="David" w:hAnsi="David"/>
          <w:rtl/>
        </w:rPr>
      </w:pPr>
      <w:r>
        <w:rPr>
          <w:rFonts w:ascii="David" w:hAnsi="David" w:hint="cs"/>
          <w:rtl/>
        </w:rPr>
        <w:t xml:space="preserve">הנאשם כבר מגיל צעיר חבר לחברה שולית ועוברת חוק וניסיון לסייע לו במסגרת שירות מבחן לנוער לא צלח לאחריו הוטל על הנאשם עונש מאסר לריצוי בכלא "אופק". </w:t>
      </w:r>
    </w:p>
    <w:p w14:paraId="1B33843C" w14:textId="77777777" w:rsidR="003E1B22" w:rsidRPr="002154B1" w:rsidRDefault="003E1B22" w:rsidP="003E1B22">
      <w:pPr>
        <w:spacing w:line="360" w:lineRule="auto"/>
        <w:jc w:val="both"/>
        <w:rPr>
          <w:rFonts w:ascii="Calibri" w:hAnsi="Calibri"/>
          <w:rtl/>
        </w:rPr>
      </w:pPr>
      <w:r w:rsidRPr="002154B1">
        <w:rPr>
          <w:rFonts w:ascii="Calibri" w:hAnsi="Calibri" w:hint="eastAsia"/>
          <w:rtl/>
        </w:rPr>
        <w:t>בהמשך</w:t>
      </w:r>
      <w:r w:rsidRPr="002154B1">
        <w:rPr>
          <w:rFonts w:ascii="Calibri" w:hAnsi="Calibri"/>
          <w:rtl/>
        </w:rPr>
        <w:t xml:space="preserve">, </w:t>
      </w:r>
      <w:r w:rsidRPr="002154B1">
        <w:rPr>
          <w:rFonts w:ascii="Calibri" w:hAnsi="Calibri" w:hint="eastAsia"/>
          <w:rtl/>
        </w:rPr>
        <w:t>בשנת</w:t>
      </w:r>
      <w:r w:rsidRPr="002154B1">
        <w:rPr>
          <w:rFonts w:ascii="Calibri" w:hAnsi="Calibri"/>
          <w:rtl/>
        </w:rPr>
        <w:t xml:space="preserve"> 2016, </w:t>
      </w:r>
      <w:r w:rsidRPr="002154B1">
        <w:rPr>
          <w:rFonts w:ascii="Calibri" w:hAnsi="Calibri" w:hint="eastAsia"/>
          <w:rtl/>
        </w:rPr>
        <w:t>הופנה</w:t>
      </w:r>
      <w:r w:rsidRPr="002154B1">
        <w:rPr>
          <w:rFonts w:ascii="Calibri" w:hAnsi="Calibri"/>
          <w:rtl/>
        </w:rPr>
        <w:t xml:space="preserve"> </w:t>
      </w:r>
      <w:r w:rsidRPr="002154B1">
        <w:rPr>
          <w:rFonts w:ascii="Calibri" w:hAnsi="Calibri" w:hint="eastAsia"/>
          <w:rtl/>
        </w:rPr>
        <w:t>לשירות</w:t>
      </w:r>
      <w:r w:rsidRPr="002154B1">
        <w:rPr>
          <w:rFonts w:ascii="Calibri" w:hAnsi="Calibri"/>
          <w:rtl/>
        </w:rPr>
        <w:t xml:space="preserve"> </w:t>
      </w:r>
      <w:r w:rsidRPr="002154B1">
        <w:rPr>
          <w:rFonts w:ascii="Calibri" w:hAnsi="Calibri" w:hint="eastAsia"/>
          <w:rtl/>
        </w:rPr>
        <w:t>המבחן</w:t>
      </w:r>
      <w:r>
        <w:rPr>
          <w:rFonts w:ascii="Calibri" w:hAnsi="Calibri" w:hint="cs"/>
          <w:rtl/>
        </w:rPr>
        <w:t xml:space="preserve"> למבוגרים</w:t>
      </w:r>
      <w:r w:rsidRPr="002154B1">
        <w:rPr>
          <w:rFonts w:ascii="Calibri" w:hAnsi="Calibri"/>
          <w:rtl/>
        </w:rPr>
        <w:t xml:space="preserve"> </w:t>
      </w:r>
      <w:r w:rsidRPr="002154B1">
        <w:rPr>
          <w:rFonts w:ascii="Calibri" w:hAnsi="Calibri" w:hint="eastAsia"/>
          <w:rtl/>
        </w:rPr>
        <w:t>פעמיים</w:t>
      </w:r>
      <w:r w:rsidRPr="002154B1">
        <w:rPr>
          <w:rFonts w:ascii="Calibri" w:hAnsi="Calibri"/>
          <w:rtl/>
        </w:rPr>
        <w:t xml:space="preserve"> </w:t>
      </w:r>
      <w:r w:rsidRPr="002154B1">
        <w:rPr>
          <w:rFonts w:ascii="Calibri" w:hAnsi="Calibri" w:hint="eastAsia"/>
          <w:rtl/>
        </w:rPr>
        <w:t>לעריכת</w:t>
      </w:r>
      <w:r w:rsidRPr="002154B1">
        <w:rPr>
          <w:rFonts w:ascii="Calibri" w:hAnsi="Calibri"/>
          <w:rtl/>
        </w:rPr>
        <w:t xml:space="preserve"> </w:t>
      </w:r>
      <w:r w:rsidRPr="002154B1">
        <w:rPr>
          <w:rFonts w:ascii="Calibri" w:hAnsi="Calibri" w:hint="eastAsia"/>
          <w:rtl/>
        </w:rPr>
        <w:t>תסקירי</w:t>
      </w:r>
      <w:r w:rsidRPr="002154B1">
        <w:rPr>
          <w:rFonts w:ascii="Calibri" w:hAnsi="Calibri"/>
          <w:rtl/>
        </w:rPr>
        <w:t xml:space="preserve"> </w:t>
      </w:r>
      <w:r w:rsidRPr="002154B1">
        <w:rPr>
          <w:rFonts w:ascii="Calibri" w:hAnsi="Calibri" w:hint="eastAsia"/>
          <w:rtl/>
        </w:rPr>
        <w:t>מעצר</w:t>
      </w:r>
      <w:r w:rsidRPr="002154B1">
        <w:rPr>
          <w:rFonts w:ascii="Calibri" w:hAnsi="Calibri"/>
          <w:rtl/>
        </w:rPr>
        <w:t xml:space="preserve">, </w:t>
      </w:r>
      <w:r w:rsidRPr="002154B1">
        <w:rPr>
          <w:rFonts w:ascii="Calibri" w:hAnsi="Calibri" w:hint="eastAsia"/>
          <w:rtl/>
        </w:rPr>
        <w:t>השתלב</w:t>
      </w:r>
      <w:r w:rsidRPr="002154B1">
        <w:rPr>
          <w:rFonts w:ascii="Calibri" w:hAnsi="Calibri"/>
          <w:rtl/>
        </w:rPr>
        <w:t xml:space="preserve"> </w:t>
      </w:r>
      <w:r w:rsidRPr="002154B1">
        <w:rPr>
          <w:rFonts w:ascii="Calibri" w:hAnsi="Calibri" w:hint="eastAsia"/>
          <w:rtl/>
        </w:rPr>
        <w:t>בקבוצה</w:t>
      </w:r>
      <w:r w:rsidRPr="002154B1">
        <w:rPr>
          <w:rFonts w:ascii="Calibri" w:hAnsi="Calibri"/>
          <w:rtl/>
        </w:rPr>
        <w:t xml:space="preserve"> </w:t>
      </w:r>
      <w:r w:rsidRPr="002154B1">
        <w:rPr>
          <w:rFonts w:ascii="Calibri" w:hAnsi="Calibri" w:hint="eastAsia"/>
          <w:rtl/>
        </w:rPr>
        <w:t>והביע</w:t>
      </w:r>
      <w:r w:rsidRPr="002154B1">
        <w:rPr>
          <w:rFonts w:ascii="Calibri" w:hAnsi="Calibri"/>
          <w:rtl/>
        </w:rPr>
        <w:t xml:space="preserve"> </w:t>
      </w:r>
      <w:r w:rsidRPr="002154B1">
        <w:rPr>
          <w:rFonts w:ascii="Calibri" w:hAnsi="Calibri" w:hint="eastAsia"/>
          <w:rtl/>
        </w:rPr>
        <w:t>מוטיבציה</w:t>
      </w:r>
      <w:r w:rsidRPr="002154B1">
        <w:rPr>
          <w:rFonts w:ascii="Calibri" w:hAnsi="Calibri"/>
          <w:rtl/>
        </w:rPr>
        <w:t xml:space="preserve"> </w:t>
      </w:r>
      <w:r w:rsidRPr="002154B1">
        <w:rPr>
          <w:rFonts w:ascii="Calibri" w:hAnsi="Calibri" w:hint="eastAsia"/>
          <w:rtl/>
        </w:rPr>
        <w:t>לעריכת</w:t>
      </w:r>
      <w:r w:rsidRPr="002154B1">
        <w:rPr>
          <w:rFonts w:ascii="Calibri" w:hAnsi="Calibri"/>
          <w:rtl/>
        </w:rPr>
        <w:t xml:space="preserve"> </w:t>
      </w:r>
      <w:r w:rsidRPr="002154B1">
        <w:rPr>
          <w:rFonts w:ascii="Calibri" w:hAnsi="Calibri" w:hint="eastAsia"/>
          <w:rtl/>
        </w:rPr>
        <w:t>שינוי</w:t>
      </w:r>
      <w:r w:rsidRPr="002154B1">
        <w:rPr>
          <w:rFonts w:ascii="Calibri" w:hAnsi="Calibri"/>
          <w:rtl/>
        </w:rPr>
        <w:t xml:space="preserve"> </w:t>
      </w:r>
      <w:r w:rsidRPr="002154B1">
        <w:rPr>
          <w:rFonts w:ascii="Calibri" w:hAnsi="Calibri" w:hint="eastAsia"/>
          <w:rtl/>
        </w:rPr>
        <w:t>בחייו</w:t>
      </w:r>
      <w:r w:rsidRPr="002154B1">
        <w:rPr>
          <w:rFonts w:ascii="Calibri" w:hAnsi="Calibri"/>
          <w:rtl/>
        </w:rPr>
        <w:t xml:space="preserve">, </w:t>
      </w:r>
      <w:r w:rsidRPr="002154B1">
        <w:rPr>
          <w:rFonts w:ascii="Calibri" w:hAnsi="Calibri" w:hint="eastAsia"/>
          <w:rtl/>
        </w:rPr>
        <w:t>אולם</w:t>
      </w:r>
      <w:r w:rsidRPr="002154B1">
        <w:rPr>
          <w:rFonts w:ascii="Calibri" w:hAnsi="Calibri"/>
          <w:rtl/>
        </w:rPr>
        <w:t xml:space="preserve"> </w:t>
      </w:r>
      <w:r w:rsidRPr="002154B1">
        <w:rPr>
          <w:rFonts w:ascii="Calibri" w:hAnsi="Calibri" w:hint="eastAsia"/>
          <w:rtl/>
        </w:rPr>
        <w:t>בתום</w:t>
      </w:r>
      <w:r w:rsidRPr="002154B1">
        <w:rPr>
          <w:rFonts w:ascii="Calibri" w:hAnsi="Calibri"/>
          <w:rtl/>
        </w:rPr>
        <w:t xml:space="preserve"> </w:t>
      </w:r>
      <w:r w:rsidRPr="002154B1">
        <w:rPr>
          <w:rFonts w:ascii="Calibri" w:hAnsi="Calibri" w:hint="eastAsia"/>
          <w:rtl/>
        </w:rPr>
        <w:t>השתתפותו</w:t>
      </w:r>
      <w:r w:rsidRPr="002154B1">
        <w:rPr>
          <w:rFonts w:ascii="Calibri" w:hAnsi="Calibri"/>
          <w:rtl/>
        </w:rPr>
        <w:t xml:space="preserve"> </w:t>
      </w:r>
      <w:r w:rsidRPr="002154B1">
        <w:rPr>
          <w:rFonts w:ascii="Calibri" w:hAnsi="Calibri" w:hint="eastAsia"/>
          <w:rtl/>
        </w:rPr>
        <w:t>בקבוצה</w:t>
      </w:r>
      <w:r w:rsidRPr="002154B1">
        <w:rPr>
          <w:rFonts w:ascii="Calibri" w:hAnsi="Calibri"/>
          <w:rtl/>
        </w:rPr>
        <w:t xml:space="preserve"> – </w:t>
      </w:r>
      <w:r w:rsidRPr="002154B1">
        <w:rPr>
          <w:rFonts w:ascii="Calibri" w:hAnsi="Calibri" w:hint="eastAsia"/>
          <w:rtl/>
        </w:rPr>
        <w:t>לא</w:t>
      </w:r>
      <w:r w:rsidRPr="002154B1">
        <w:rPr>
          <w:rFonts w:ascii="Calibri" w:hAnsi="Calibri"/>
          <w:rtl/>
        </w:rPr>
        <w:t xml:space="preserve"> </w:t>
      </w:r>
      <w:r w:rsidRPr="002154B1">
        <w:rPr>
          <w:rFonts w:ascii="Calibri" w:hAnsi="Calibri" w:hint="eastAsia"/>
          <w:rtl/>
        </w:rPr>
        <w:t>הצליח</w:t>
      </w:r>
      <w:r w:rsidRPr="002154B1">
        <w:rPr>
          <w:rFonts w:ascii="Calibri" w:hAnsi="Calibri"/>
          <w:rtl/>
        </w:rPr>
        <w:t xml:space="preserve"> </w:t>
      </w:r>
      <w:r w:rsidRPr="002154B1">
        <w:rPr>
          <w:rFonts w:ascii="Calibri" w:hAnsi="Calibri" w:hint="eastAsia"/>
          <w:rtl/>
        </w:rPr>
        <w:t>לנתב</w:t>
      </w:r>
      <w:r w:rsidRPr="002154B1">
        <w:rPr>
          <w:rFonts w:ascii="Calibri" w:hAnsi="Calibri"/>
          <w:rtl/>
        </w:rPr>
        <w:t xml:space="preserve"> </w:t>
      </w:r>
      <w:r w:rsidRPr="002154B1">
        <w:rPr>
          <w:rFonts w:ascii="Calibri" w:hAnsi="Calibri" w:hint="eastAsia"/>
          <w:rtl/>
        </w:rPr>
        <w:t>את</w:t>
      </w:r>
      <w:r w:rsidRPr="002154B1">
        <w:rPr>
          <w:rFonts w:ascii="Calibri" w:hAnsi="Calibri"/>
          <w:rtl/>
        </w:rPr>
        <w:t xml:space="preserve"> </w:t>
      </w:r>
      <w:r w:rsidRPr="002154B1">
        <w:rPr>
          <w:rFonts w:ascii="Calibri" w:hAnsi="Calibri" w:hint="eastAsia"/>
          <w:rtl/>
        </w:rPr>
        <w:t>כוחותיו</w:t>
      </w:r>
      <w:r w:rsidRPr="002154B1">
        <w:rPr>
          <w:rFonts w:ascii="Calibri" w:hAnsi="Calibri"/>
          <w:rtl/>
        </w:rPr>
        <w:t xml:space="preserve"> </w:t>
      </w:r>
      <w:r w:rsidRPr="002154B1">
        <w:rPr>
          <w:rFonts w:ascii="Calibri" w:hAnsi="Calibri" w:hint="eastAsia"/>
          <w:rtl/>
        </w:rPr>
        <w:t>להתנהלות</w:t>
      </w:r>
      <w:r w:rsidRPr="002154B1">
        <w:rPr>
          <w:rFonts w:ascii="Calibri" w:hAnsi="Calibri"/>
          <w:rtl/>
        </w:rPr>
        <w:t xml:space="preserve"> </w:t>
      </w:r>
      <w:r w:rsidRPr="002154B1">
        <w:rPr>
          <w:rFonts w:ascii="Calibri" w:hAnsi="Calibri" w:hint="eastAsia"/>
          <w:rtl/>
        </w:rPr>
        <w:t>חיובית</w:t>
      </w:r>
      <w:r w:rsidRPr="002154B1">
        <w:rPr>
          <w:rFonts w:ascii="Calibri" w:hAnsi="Calibri"/>
          <w:rtl/>
        </w:rPr>
        <w:t xml:space="preserve"> </w:t>
      </w:r>
      <w:r w:rsidRPr="002154B1">
        <w:rPr>
          <w:rFonts w:ascii="Calibri" w:hAnsi="Calibri" w:hint="eastAsia"/>
          <w:rtl/>
        </w:rPr>
        <w:t>ומשולבת</w:t>
      </w:r>
      <w:r w:rsidRPr="002154B1">
        <w:rPr>
          <w:rFonts w:ascii="Calibri" w:hAnsi="Calibri"/>
          <w:rtl/>
        </w:rPr>
        <w:t xml:space="preserve"> </w:t>
      </w:r>
      <w:r w:rsidRPr="002154B1">
        <w:rPr>
          <w:rFonts w:ascii="Calibri" w:hAnsi="Calibri" w:hint="eastAsia"/>
          <w:rtl/>
        </w:rPr>
        <w:t>בחברה</w:t>
      </w:r>
      <w:r w:rsidRPr="002154B1">
        <w:rPr>
          <w:rFonts w:ascii="Calibri" w:hAnsi="Calibri"/>
          <w:rtl/>
        </w:rPr>
        <w:t xml:space="preserve">. </w:t>
      </w:r>
    </w:p>
    <w:p w14:paraId="2264A593" w14:textId="77777777" w:rsidR="003E1B22" w:rsidRPr="002154B1" w:rsidRDefault="003E1B22" w:rsidP="003E1B22">
      <w:pPr>
        <w:spacing w:line="360" w:lineRule="auto"/>
        <w:jc w:val="both"/>
        <w:rPr>
          <w:rFonts w:ascii="Calibri" w:hAnsi="Calibri"/>
          <w:rtl/>
        </w:rPr>
      </w:pPr>
    </w:p>
    <w:p w14:paraId="0A30BF96" w14:textId="77777777" w:rsidR="003E1B22" w:rsidRPr="002154B1" w:rsidRDefault="003E1B22" w:rsidP="003E1B22">
      <w:pPr>
        <w:spacing w:line="360" w:lineRule="auto"/>
        <w:jc w:val="both"/>
        <w:rPr>
          <w:rFonts w:ascii="Calibri" w:hAnsi="Calibri"/>
          <w:rtl/>
        </w:rPr>
      </w:pPr>
      <w:r>
        <w:rPr>
          <w:rFonts w:ascii="Calibri" w:hAnsi="Calibri" w:hint="cs"/>
          <w:rtl/>
        </w:rPr>
        <w:t xml:space="preserve">לנאשם רקע של שימוש בסמים אך ציין כי מעוניין להפסיק לעשות שימוש בסם לצורך ההליך המשפטי ואכן 5 מתוך 7 בדיקות שתן שמסר העידו על ניקיון מסם. עם זאת, הנאשם שלל כל נזקקות טיפולית בנושא. </w:t>
      </w:r>
    </w:p>
    <w:p w14:paraId="0B32A667" w14:textId="77777777" w:rsidR="003E1B22" w:rsidRPr="002154B1" w:rsidRDefault="003E1B22" w:rsidP="003E1B22">
      <w:pPr>
        <w:spacing w:line="360" w:lineRule="auto"/>
        <w:jc w:val="both"/>
        <w:rPr>
          <w:rFonts w:ascii="Calibri" w:hAnsi="Calibri"/>
          <w:rtl/>
        </w:rPr>
      </w:pPr>
      <w:r w:rsidRPr="002154B1">
        <w:rPr>
          <w:rFonts w:ascii="Calibri" w:hAnsi="Calibri" w:hint="eastAsia"/>
          <w:rtl/>
        </w:rPr>
        <w:t>עוד</w:t>
      </w:r>
      <w:r w:rsidRPr="002154B1">
        <w:rPr>
          <w:rFonts w:ascii="Calibri" w:hAnsi="Calibri"/>
          <w:rtl/>
        </w:rPr>
        <w:t xml:space="preserve"> </w:t>
      </w:r>
      <w:r w:rsidRPr="002154B1">
        <w:rPr>
          <w:rFonts w:ascii="Calibri" w:hAnsi="Calibri" w:hint="eastAsia"/>
          <w:rtl/>
        </w:rPr>
        <w:t>תאר</w:t>
      </w:r>
      <w:r w:rsidRPr="002154B1">
        <w:rPr>
          <w:rFonts w:ascii="Calibri" w:hAnsi="Calibri"/>
          <w:rtl/>
        </w:rPr>
        <w:t xml:space="preserve"> </w:t>
      </w:r>
      <w:r w:rsidRPr="002154B1">
        <w:rPr>
          <w:rFonts w:ascii="Calibri" w:hAnsi="Calibri" w:hint="eastAsia"/>
          <w:rtl/>
        </w:rPr>
        <w:t>הנאשם</w:t>
      </w:r>
      <w:r w:rsidRPr="002154B1">
        <w:rPr>
          <w:rFonts w:ascii="Calibri" w:hAnsi="Calibri"/>
          <w:rtl/>
        </w:rPr>
        <w:t xml:space="preserve"> </w:t>
      </w:r>
      <w:r w:rsidRPr="002154B1">
        <w:rPr>
          <w:rFonts w:ascii="Calibri" w:hAnsi="Calibri" w:hint="eastAsia"/>
          <w:rtl/>
        </w:rPr>
        <w:t>את</w:t>
      </w:r>
      <w:r w:rsidRPr="002154B1">
        <w:rPr>
          <w:rFonts w:ascii="Calibri" w:hAnsi="Calibri"/>
          <w:rtl/>
        </w:rPr>
        <w:t xml:space="preserve"> </w:t>
      </w:r>
      <w:r w:rsidRPr="002154B1">
        <w:rPr>
          <w:rFonts w:ascii="Calibri" w:hAnsi="Calibri" w:hint="eastAsia"/>
          <w:rtl/>
        </w:rPr>
        <w:t>עצמו</w:t>
      </w:r>
      <w:r w:rsidRPr="002154B1">
        <w:rPr>
          <w:rFonts w:ascii="Calibri" w:hAnsi="Calibri"/>
          <w:rtl/>
        </w:rPr>
        <w:t xml:space="preserve"> </w:t>
      </w:r>
      <w:r w:rsidRPr="002154B1">
        <w:rPr>
          <w:rFonts w:ascii="Calibri" w:hAnsi="Calibri" w:hint="eastAsia"/>
          <w:rtl/>
        </w:rPr>
        <w:t>כאדם</w:t>
      </w:r>
      <w:r w:rsidRPr="002154B1">
        <w:rPr>
          <w:rFonts w:ascii="Calibri" w:hAnsi="Calibri"/>
          <w:rtl/>
        </w:rPr>
        <w:t xml:space="preserve"> </w:t>
      </w:r>
      <w:r w:rsidRPr="002154B1">
        <w:rPr>
          <w:rFonts w:ascii="Calibri" w:hAnsi="Calibri" w:hint="eastAsia"/>
          <w:rtl/>
        </w:rPr>
        <w:t>הנוטה</w:t>
      </w:r>
      <w:r w:rsidRPr="002154B1">
        <w:rPr>
          <w:rFonts w:ascii="Calibri" w:hAnsi="Calibri"/>
          <w:rtl/>
        </w:rPr>
        <w:t xml:space="preserve"> </w:t>
      </w:r>
      <w:r w:rsidRPr="002154B1">
        <w:rPr>
          <w:rFonts w:ascii="Calibri" w:hAnsi="Calibri" w:hint="eastAsia"/>
          <w:rtl/>
        </w:rPr>
        <w:t>להתפרץ</w:t>
      </w:r>
      <w:r w:rsidRPr="002154B1">
        <w:rPr>
          <w:rFonts w:ascii="Calibri" w:hAnsi="Calibri"/>
          <w:rtl/>
        </w:rPr>
        <w:t xml:space="preserve"> </w:t>
      </w:r>
      <w:r w:rsidRPr="002154B1">
        <w:rPr>
          <w:rFonts w:ascii="Calibri" w:hAnsi="Calibri" w:hint="eastAsia"/>
          <w:rtl/>
        </w:rPr>
        <w:t>בכעס</w:t>
      </w:r>
      <w:r w:rsidRPr="002154B1">
        <w:rPr>
          <w:rFonts w:ascii="Calibri" w:hAnsi="Calibri"/>
          <w:rtl/>
        </w:rPr>
        <w:t xml:space="preserve"> </w:t>
      </w:r>
      <w:r w:rsidRPr="002154B1">
        <w:rPr>
          <w:rFonts w:ascii="Calibri" w:hAnsi="Calibri" w:hint="eastAsia"/>
          <w:rtl/>
        </w:rPr>
        <w:t>במהרה</w:t>
      </w:r>
      <w:r w:rsidRPr="002154B1">
        <w:rPr>
          <w:rFonts w:ascii="Calibri" w:hAnsi="Calibri"/>
          <w:rtl/>
        </w:rPr>
        <w:t xml:space="preserve"> </w:t>
      </w:r>
      <w:r w:rsidRPr="002154B1">
        <w:rPr>
          <w:rFonts w:ascii="Calibri" w:hAnsi="Calibri" w:hint="eastAsia"/>
          <w:rtl/>
        </w:rPr>
        <w:t>ומבין</w:t>
      </w:r>
      <w:r w:rsidRPr="002154B1">
        <w:rPr>
          <w:rFonts w:ascii="Calibri" w:hAnsi="Calibri"/>
          <w:rtl/>
        </w:rPr>
        <w:t xml:space="preserve"> </w:t>
      </w:r>
      <w:r w:rsidRPr="002154B1">
        <w:rPr>
          <w:rFonts w:ascii="Calibri" w:hAnsi="Calibri" w:hint="eastAsia"/>
          <w:rtl/>
        </w:rPr>
        <w:t>את</w:t>
      </w:r>
      <w:r w:rsidRPr="002154B1">
        <w:rPr>
          <w:rFonts w:ascii="Calibri" w:hAnsi="Calibri"/>
          <w:rtl/>
        </w:rPr>
        <w:t xml:space="preserve"> </w:t>
      </w:r>
      <w:r w:rsidRPr="002154B1">
        <w:rPr>
          <w:rFonts w:ascii="Calibri" w:hAnsi="Calibri" w:hint="eastAsia"/>
          <w:rtl/>
        </w:rPr>
        <w:t>הצורך</w:t>
      </w:r>
      <w:r w:rsidRPr="002154B1">
        <w:rPr>
          <w:rFonts w:ascii="Calibri" w:hAnsi="Calibri"/>
          <w:rtl/>
        </w:rPr>
        <w:t xml:space="preserve"> </w:t>
      </w:r>
      <w:r w:rsidRPr="002154B1">
        <w:rPr>
          <w:rFonts w:ascii="Calibri" w:hAnsi="Calibri" w:hint="eastAsia"/>
          <w:rtl/>
        </w:rPr>
        <w:t>לפתח</w:t>
      </w:r>
      <w:r w:rsidRPr="002154B1">
        <w:rPr>
          <w:rFonts w:ascii="Calibri" w:hAnsi="Calibri"/>
          <w:rtl/>
        </w:rPr>
        <w:t xml:space="preserve"> </w:t>
      </w:r>
      <w:r w:rsidRPr="002154B1">
        <w:rPr>
          <w:rFonts w:ascii="Calibri" w:hAnsi="Calibri" w:hint="eastAsia"/>
          <w:rtl/>
        </w:rPr>
        <w:t>יכולת</w:t>
      </w:r>
      <w:r w:rsidRPr="002154B1">
        <w:rPr>
          <w:rFonts w:ascii="Calibri" w:hAnsi="Calibri"/>
          <w:rtl/>
        </w:rPr>
        <w:t xml:space="preserve"> </w:t>
      </w:r>
      <w:r w:rsidRPr="002154B1">
        <w:rPr>
          <w:rFonts w:ascii="Calibri" w:hAnsi="Calibri" w:hint="eastAsia"/>
          <w:rtl/>
        </w:rPr>
        <w:t>איפוק</w:t>
      </w:r>
      <w:r w:rsidRPr="002154B1">
        <w:rPr>
          <w:rFonts w:ascii="Calibri" w:hAnsi="Calibri"/>
          <w:rtl/>
        </w:rPr>
        <w:t xml:space="preserve"> </w:t>
      </w:r>
      <w:r w:rsidRPr="002154B1">
        <w:rPr>
          <w:rFonts w:ascii="Calibri" w:hAnsi="Calibri" w:hint="eastAsia"/>
          <w:rtl/>
        </w:rPr>
        <w:t>ושליטה</w:t>
      </w:r>
      <w:r w:rsidRPr="002154B1">
        <w:rPr>
          <w:rFonts w:ascii="Calibri" w:hAnsi="Calibri"/>
          <w:rtl/>
        </w:rPr>
        <w:t xml:space="preserve">, </w:t>
      </w:r>
      <w:r w:rsidRPr="002154B1">
        <w:rPr>
          <w:rFonts w:ascii="Calibri" w:hAnsi="Calibri" w:hint="eastAsia"/>
          <w:rtl/>
        </w:rPr>
        <w:t>אך</w:t>
      </w:r>
      <w:r w:rsidRPr="002154B1">
        <w:rPr>
          <w:rFonts w:ascii="Calibri" w:hAnsi="Calibri"/>
          <w:rtl/>
        </w:rPr>
        <w:t xml:space="preserve"> </w:t>
      </w:r>
      <w:r w:rsidRPr="002154B1">
        <w:rPr>
          <w:rFonts w:ascii="Calibri" w:hAnsi="Calibri" w:hint="eastAsia"/>
          <w:rtl/>
        </w:rPr>
        <w:t>לא</w:t>
      </w:r>
      <w:r w:rsidRPr="002154B1">
        <w:rPr>
          <w:rFonts w:ascii="Calibri" w:hAnsi="Calibri"/>
          <w:rtl/>
        </w:rPr>
        <w:t xml:space="preserve"> </w:t>
      </w:r>
      <w:r w:rsidRPr="002154B1">
        <w:rPr>
          <w:rFonts w:ascii="Calibri" w:hAnsi="Calibri" w:hint="eastAsia"/>
          <w:rtl/>
        </w:rPr>
        <w:t>רואה</w:t>
      </w:r>
      <w:r w:rsidRPr="002154B1">
        <w:rPr>
          <w:rFonts w:ascii="Calibri" w:hAnsi="Calibri"/>
          <w:rtl/>
        </w:rPr>
        <w:t xml:space="preserve"> </w:t>
      </w:r>
      <w:r w:rsidRPr="002154B1">
        <w:rPr>
          <w:rFonts w:ascii="Calibri" w:hAnsi="Calibri" w:hint="eastAsia"/>
          <w:rtl/>
        </w:rPr>
        <w:t>עצמו</w:t>
      </w:r>
      <w:r w:rsidRPr="002154B1">
        <w:rPr>
          <w:rFonts w:ascii="Calibri" w:hAnsi="Calibri"/>
          <w:rtl/>
        </w:rPr>
        <w:t xml:space="preserve"> </w:t>
      </w:r>
      <w:r w:rsidRPr="002154B1">
        <w:rPr>
          <w:rFonts w:ascii="Calibri" w:hAnsi="Calibri" w:hint="eastAsia"/>
          <w:rtl/>
        </w:rPr>
        <w:t>כאדם</w:t>
      </w:r>
      <w:r w:rsidRPr="002154B1">
        <w:rPr>
          <w:rFonts w:ascii="Calibri" w:hAnsi="Calibri"/>
          <w:rtl/>
        </w:rPr>
        <w:t xml:space="preserve"> </w:t>
      </w:r>
      <w:r w:rsidRPr="002154B1">
        <w:rPr>
          <w:rFonts w:ascii="Calibri" w:hAnsi="Calibri" w:hint="eastAsia"/>
          <w:rtl/>
        </w:rPr>
        <w:t>אלים</w:t>
      </w:r>
      <w:r w:rsidRPr="002154B1">
        <w:rPr>
          <w:rFonts w:ascii="Calibri" w:hAnsi="Calibri"/>
          <w:rtl/>
        </w:rPr>
        <w:t xml:space="preserve">. </w:t>
      </w:r>
    </w:p>
    <w:p w14:paraId="312666C8" w14:textId="77777777" w:rsidR="003E1B22" w:rsidRPr="002154B1" w:rsidRDefault="003E1B22" w:rsidP="003E1B22">
      <w:pPr>
        <w:spacing w:line="360" w:lineRule="auto"/>
        <w:jc w:val="both"/>
        <w:rPr>
          <w:rFonts w:ascii="Calibri" w:hAnsi="Calibri"/>
          <w:rtl/>
        </w:rPr>
      </w:pPr>
    </w:p>
    <w:p w14:paraId="2941C453" w14:textId="77777777" w:rsidR="003E1B22" w:rsidRPr="002154B1" w:rsidRDefault="003E1B22" w:rsidP="003E1B22">
      <w:pPr>
        <w:spacing w:line="360" w:lineRule="auto"/>
        <w:jc w:val="both"/>
        <w:rPr>
          <w:rFonts w:ascii="David" w:hAnsi="David"/>
          <w:rtl/>
        </w:rPr>
      </w:pPr>
      <w:r w:rsidRPr="002154B1">
        <w:rPr>
          <w:rFonts w:ascii="Calibri" w:hAnsi="Calibri" w:hint="eastAsia"/>
          <w:rtl/>
        </w:rPr>
        <w:lastRenderedPageBreak/>
        <w:t>בשיחה</w:t>
      </w:r>
      <w:r w:rsidRPr="002154B1">
        <w:rPr>
          <w:rFonts w:ascii="Calibri" w:hAnsi="Calibri"/>
          <w:rtl/>
        </w:rPr>
        <w:t xml:space="preserve"> </w:t>
      </w:r>
      <w:r w:rsidRPr="002154B1">
        <w:rPr>
          <w:rFonts w:ascii="Calibri" w:hAnsi="Calibri" w:hint="eastAsia"/>
          <w:rtl/>
        </w:rPr>
        <w:t>עמו</w:t>
      </w:r>
      <w:r w:rsidRPr="002154B1">
        <w:rPr>
          <w:rFonts w:ascii="Calibri" w:hAnsi="Calibri"/>
          <w:rtl/>
        </w:rPr>
        <w:t xml:space="preserve"> </w:t>
      </w:r>
      <w:r w:rsidRPr="002154B1">
        <w:rPr>
          <w:rFonts w:ascii="Calibri" w:hAnsi="Calibri" w:hint="eastAsia"/>
          <w:rtl/>
        </w:rPr>
        <w:t>הביע</w:t>
      </w:r>
      <w:r w:rsidRPr="002154B1">
        <w:rPr>
          <w:rFonts w:ascii="Calibri" w:hAnsi="Calibri"/>
          <w:rtl/>
        </w:rPr>
        <w:t xml:space="preserve"> </w:t>
      </w:r>
      <w:r w:rsidRPr="002154B1">
        <w:rPr>
          <w:rFonts w:ascii="Calibri" w:hAnsi="Calibri" w:hint="eastAsia"/>
          <w:rtl/>
        </w:rPr>
        <w:t>הנאשם</w:t>
      </w:r>
      <w:r w:rsidRPr="002154B1">
        <w:rPr>
          <w:rFonts w:ascii="Calibri" w:hAnsi="Calibri"/>
          <w:rtl/>
        </w:rPr>
        <w:t xml:space="preserve"> </w:t>
      </w:r>
      <w:r w:rsidRPr="002154B1">
        <w:rPr>
          <w:rFonts w:ascii="Calibri" w:hAnsi="Calibri" w:hint="eastAsia"/>
          <w:rtl/>
        </w:rPr>
        <w:t>רצון</w:t>
      </w:r>
      <w:r w:rsidRPr="002154B1">
        <w:rPr>
          <w:rFonts w:ascii="Calibri" w:hAnsi="Calibri"/>
          <w:rtl/>
        </w:rPr>
        <w:t xml:space="preserve"> </w:t>
      </w:r>
      <w:r w:rsidRPr="002154B1">
        <w:rPr>
          <w:rFonts w:ascii="Calibri" w:hAnsi="Calibri" w:hint="eastAsia"/>
          <w:rtl/>
        </w:rPr>
        <w:t>להשתלב</w:t>
      </w:r>
      <w:r w:rsidRPr="002154B1">
        <w:rPr>
          <w:rFonts w:ascii="Calibri" w:hAnsi="Calibri"/>
          <w:rtl/>
        </w:rPr>
        <w:t xml:space="preserve"> </w:t>
      </w:r>
      <w:r w:rsidRPr="002154B1">
        <w:rPr>
          <w:rFonts w:ascii="Calibri" w:hAnsi="Calibri" w:hint="eastAsia"/>
          <w:rtl/>
        </w:rPr>
        <w:t>בטיפול</w:t>
      </w:r>
      <w:r w:rsidRPr="002154B1">
        <w:rPr>
          <w:rFonts w:ascii="Calibri" w:hAnsi="Calibri"/>
          <w:rtl/>
        </w:rPr>
        <w:t xml:space="preserve">, </w:t>
      </w:r>
      <w:r w:rsidRPr="002154B1">
        <w:rPr>
          <w:rFonts w:ascii="Calibri" w:hAnsi="Calibri" w:hint="eastAsia"/>
          <w:rtl/>
        </w:rPr>
        <w:t>ומשכך</w:t>
      </w:r>
      <w:r w:rsidRPr="002154B1">
        <w:rPr>
          <w:rFonts w:ascii="Calibri" w:hAnsi="Calibri"/>
          <w:rtl/>
        </w:rPr>
        <w:t xml:space="preserve"> </w:t>
      </w:r>
      <w:r w:rsidRPr="002154B1">
        <w:rPr>
          <w:rFonts w:ascii="Calibri" w:hAnsi="Calibri" w:hint="eastAsia"/>
          <w:rtl/>
        </w:rPr>
        <w:t>שולב</w:t>
      </w:r>
      <w:r w:rsidRPr="002154B1">
        <w:rPr>
          <w:rFonts w:ascii="Calibri" w:hAnsi="Calibri"/>
          <w:rtl/>
        </w:rPr>
        <w:t xml:space="preserve"> </w:t>
      </w:r>
      <w:r w:rsidRPr="002154B1">
        <w:rPr>
          <w:rFonts w:ascii="Calibri" w:hAnsi="Calibri" w:hint="eastAsia"/>
          <w:rtl/>
        </w:rPr>
        <w:t>בקבוצת</w:t>
      </w:r>
      <w:r w:rsidRPr="002154B1">
        <w:rPr>
          <w:rFonts w:ascii="Calibri" w:hAnsi="Calibri"/>
          <w:rtl/>
        </w:rPr>
        <w:t xml:space="preserve"> </w:t>
      </w:r>
      <w:r w:rsidRPr="002154B1">
        <w:rPr>
          <w:rFonts w:ascii="Calibri" w:hAnsi="Calibri" w:hint="eastAsia"/>
          <w:rtl/>
        </w:rPr>
        <w:t>הכנה</w:t>
      </w:r>
      <w:r w:rsidRPr="002154B1">
        <w:rPr>
          <w:rFonts w:ascii="Calibri" w:hAnsi="Calibri"/>
          <w:rtl/>
        </w:rPr>
        <w:t xml:space="preserve"> </w:t>
      </w:r>
      <w:r w:rsidRPr="002154B1">
        <w:rPr>
          <w:rFonts w:ascii="Calibri" w:hAnsi="Calibri" w:hint="eastAsia"/>
          <w:rtl/>
        </w:rPr>
        <w:t>לטיפול</w:t>
      </w:r>
      <w:r w:rsidRPr="002154B1">
        <w:rPr>
          <w:rFonts w:ascii="Calibri" w:hAnsi="Calibri"/>
          <w:rtl/>
        </w:rPr>
        <w:t xml:space="preserve"> </w:t>
      </w:r>
      <w:r w:rsidRPr="002154B1">
        <w:rPr>
          <w:rFonts w:ascii="Calibri" w:hAnsi="Calibri" w:hint="eastAsia"/>
          <w:rtl/>
        </w:rPr>
        <w:t>קבוצתי</w:t>
      </w:r>
      <w:r w:rsidRPr="002154B1">
        <w:rPr>
          <w:rFonts w:ascii="Calibri" w:hAnsi="Calibri"/>
          <w:rtl/>
        </w:rPr>
        <w:t xml:space="preserve"> </w:t>
      </w:r>
      <w:r w:rsidRPr="002154B1">
        <w:rPr>
          <w:rFonts w:ascii="Calibri" w:hAnsi="Calibri" w:hint="eastAsia"/>
          <w:rtl/>
        </w:rPr>
        <w:t>והתייצב</w:t>
      </w:r>
      <w:r w:rsidRPr="002154B1">
        <w:rPr>
          <w:rFonts w:ascii="Calibri" w:hAnsi="Calibri"/>
          <w:rtl/>
        </w:rPr>
        <w:t xml:space="preserve"> </w:t>
      </w:r>
      <w:r w:rsidRPr="002154B1">
        <w:rPr>
          <w:rFonts w:ascii="Calibri" w:hAnsi="Calibri" w:hint="eastAsia"/>
          <w:rtl/>
        </w:rPr>
        <w:t>ל</w:t>
      </w:r>
      <w:r w:rsidRPr="002154B1">
        <w:rPr>
          <w:rFonts w:ascii="Calibri" w:hAnsi="Calibri"/>
          <w:rtl/>
        </w:rPr>
        <w:t xml:space="preserve">-2 </w:t>
      </w:r>
      <w:r w:rsidRPr="002154B1">
        <w:rPr>
          <w:rFonts w:ascii="Calibri" w:hAnsi="Calibri" w:hint="eastAsia"/>
          <w:rtl/>
        </w:rPr>
        <w:t>מפגשיה</w:t>
      </w:r>
      <w:r w:rsidRPr="002154B1">
        <w:rPr>
          <w:rFonts w:ascii="Calibri" w:hAnsi="Calibri"/>
          <w:rtl/>
        </w:rPr>
        <w:t xml:space="preserve"> </w:t>
      </w:r>
      <w:r w:rsidRPr="002154B1">
        <w:rPr>
          <w:rFonts w:ascii="Calibri" w:hAnsi="Calibri" w:hint="eastAsia"/>
          <w:rtl/>
        </w:rPr>
        <w:t>הראשונים</w:t>
      </w:r>
      <w:r w:rsidRPr="002154B1">
        <w:rPr>
          <w:rFonts w:ascii="Calibri" w:hAnsi="Calibri"/>
          <w:rtl/>
        </w:rPr>
        <w:t xml:space="preserve">. </w:t>
      </w:r>
      <w:r w:rsidRPr="002154B1">
        <w:rPr>
          <w:rFonts w:ascii="Calibri" w:hAnsi="Calibri" w:hint="eastAsia"/>
          <w:rtl/>
        </w:rPr>
        <w:t>שירות</w:t>
      </w:r>
      <w:r w:rsidRPr="002154B1">
        <w:rPr>
          <w:rFonts w:ascii="Calibri" w:hAnsi="Calibri"/>
          <w:rtl/>
        </w:rPr>
        <w:t xml:space="preserve"> </w:t>
      </w:r>
      <w:r w:rsidRPr="002154B1">
        <w:rPr>
          <w:rFonts w:ascii="Calibri" w:hAnsi="Calibri" w:hint="eastAsia"/>
          <w:rtl/>
        </w:rPr>
        <w:t>המבחן</w:t>
      </w:r>
      <w:r w:rsidRPr="002154B1">
        <w:rPr>
          <w:rFonts w:ascii="Calibri" w:hAnsi="Calibri"/>
          <w:rtl/>
        </w:rPr>
        <w:t xml:space="preserve"> </w:t>
      </w:r>
      <w:r w:rsidRPr="002154B1">
        <w:rPr>
          <w:rFonts w:ascii="Calibri" w:hAnsi="Calibri" w:hint="eastAsia"/>
          <w:rtl/>
        </w:rPr>
        <w:t>התרשם</w:t>
      </w:r>
      <w:r w:rsidRPr="002154B1">
        <w:rPr>
          <w:rFonts w:ascii="Calibri" w:hAnsi="Calibri"/>
          <w:rtl/>
        </w:rPr>
        <w:t xml:space="preserve"> </w:t>
      </w:r>
      <w:r w:rsidRPr="002154B1">
        <w:rPr>
          <w:rFonts w:ascii="Calibri" w:hAnsi="Calibri" w:hint="eastAsia"/>
          <w:rtl/>
        </w:rPr>
        <w:t>בשלב</w:t>
      </w:r>
      <w:r w:rsidRPr="002154B1">
        <w:rPr>
          <w:rFonts w:ascii="Calibri" w:hAnsi="Calibri"/>
          <w:rtl/>
        </w:rPr>
        <w:t xml:space="preserve"> </w:t>
      </w:r>
      <w:r w:rsidRPr="002154B1">
        <w:rPr>
          <w:rFonts w:ascii="Calibri" w:hAnsi="Calibri" w:hint="eastAsia"/>
          <w:rtl/>
        </w:rPr>
        <w:t>זה</w:t>
      </w:r>
      <w:r w:rsidRPr="002154B1">
        <w:rPr>
          <w:rFonts w:ascii="Calibri" w:hAnsi="Calibri"/>
          <w:rtl/>
        </w:rPr>
        <w:t xml:space="preserve"> </w:t>
      </w:r>
      <w:r w:rsidRPr="002154B1">
        <w:rPr>
          <w:rFonts w:ascii="Calibri" w:hAnsi="Calibri" w:hint="eastAsia"/>
          <w:rtl/>
        </w:rPr>
        <w:t>כי</w:t>
      </w:r>
      <w:r w:rsidRPr="002154B1">
        <w:rPr>
          <w:rFonts w:ascii="Calibri" w:hAnsi="Calibri"/>
          <w:rtl/>
        </w:rPr>
        <w:t xml:space="preserve"> </w:t>
      </w:r>
      <w:r w:rsidRPr="002154B1">
        <w:rPr>
          <w:rFonts w:ascii="Calibri" w:hAnsi="Calibri" w:hint="eastAsia"/>
          <w:rtl/>
        </w:rPr>
        <w:t>הנאשם</w:t>
      </w:r>
      <w:r w:rsidRPr="002154B1">
        <w:rPr>
          <w:rFonts w:ascii="Calibri" w:hAnsi="Calibri"/>
          <w:rtl/>
        </w:rPr>
        <w:t xml:space="preserve"> </w:t>
      </w:r>
      <w:r w:rsidRPr="002154B1">
        <w:rPr>
          <w:rFonts w:ascii="Calibri" w:hAnsi="Calibri" w:hint="eastAsia"/>
          <w:rtl/>
        </w:rPr>
        <w:t>החל</w:t>
      </w:r>
      <w:r w:rsidRPr="002154B1">
        <w:rPr>
          <w:rFonts w:ascii="Calibri" w:hAnsi="Calibri"/>
          <w:rtl/>
        </w:rPr>
        <w:t xml:space="preserve"> </w:t>
      </w:r>
      <w:r w:rsidRPr="002154B1">
        <w:rPr>
          <w:rFonts w:ascii="Calibri" w:hAnsi="Calibri" w:hint="eastAsia"/>
          <w:rtl/>
        </w:rPr>
        <w:t>תהליך</w:t>
      </w:r>
      <w:r w:rsidRPr="002154B1">
        <w:rPr>
          <w:rFonts w:ascii="Calibri" w:hAnsi="Calibri"/>
          <w:rtl/>
        </w:rPr>
        <w:t xml:space="preserve"> </w:t>
      </w:r>
      <w:r w:rsidRPr="002154B1">
        <w:rPr>
          <w:rFonts w:ascii="Calibri" w:hAnsi="Calibri" w:hint="eastAsia"/>
          <w:rtl/>
        </w:rPr>
        <w:t>ראשוני</w:t>
      </w:r>
      <w:r w:rsidRPr="002154B1">
        <w:rPr>
          <w:rFonts w:ascii="Calibri" w:hAnsi="Calibri"/>
          <w:rtl/>
        </w:rPr>
        <w:t xml:space="preserve"> </w:t>
      </w:r>
      <w:r w:rsidRPr="002154B1">
        <w:rPr>
          <w:rFonts w:ascii="Calibri" w:hAnsi="Calibri" w:hint="eastAsia"/>
          <w:rtl/>
        </w:rPr>
        <w:t>בלבד</w:t>
      </w:r>
      <w:r w:rsidRPr="002154B1">
        <w:rPr>
          <w:rFonts w:ascii="Calibri" w:hAnsi="Calibri"/>
          <w:rtl/>
        </w:rPr>
        <w:t xml:space="preserve"> </w:t>
      </w:r>
      <w:r w:rsidRPr="002154B1">
        <w:rPr>
          <w:rFonts w:ascii="Calibri" w:hAnsi="Calibri" w:hint="eastAsia"/>
          <w:rtl/>
        </w:rPr>
        <w:t>של</w:t>
      </w:r>
      <w:r w:rsidRPr="002154B1">
        <w:rPr>
          <w:rFonts w:ascii="Calibri" w:hAnsi="Calibri"/>
          <w:rtl/>
        </w:rPr>
        <w:t xml:space="preserve"> </w:t>
      </w:r>
      <w:r w:rsidRPr="002154B1">
        <w:rPr>
          <w:rFonts w:ascii="Calibri" w:hAnsi="Calibri" w:hint="eastAsia"/>
          <w:rtl/>
        </w:rPr>
        <w:t>התבוננות</w:t>
      </w:r>
      <w:r w:rsidRPr="002154B1">
        <w:rPr>
          <w:rFonts w:ascii="Calibri" w:hAnsi="Calibri"/>
          <w:rtl/>
        </w:rPr>
        <w:t xml:space="preserve"> </w:t>
      </w:r>
      <w:r w:rsidRPr="002154B1">
        <w:rPr>
          <w:rFonts w:ascii="Calibri" w:hAnsi="Calibri" w:hint="eastAsia"/>
          <w:rtl/>
        </w:rPr>
        <w:t>בעולמו</w:t>
      </w:r>
      <w:r w:rsidRPr="002154B1">
        <w:rPr>
          <w:rFonts w:ascii="Calibri" w:hAnsi="Calibri"/>
          <w:rtl/>
        </w:rPr>
        <w:t xml:space="preserve"> </w:t>
      </w:r>
      <w:r w:rsidRPr="002154B1">
        <w:rPr>
          <w:rFonts w:ascii="Calibri" w:hAnsi="Calibri" w:hint="eastAsia"/>
          <w:rtl/>
        </w:rPr>
        <w:t>הפנימי</w:t>
      </w:r>
      <w:r w:rsidRPr="002154B1">
        <w:rPr>
          <w:rFonts w:ascii="Calibri" w:hAnsi="Calibri"/>
          <w:rtl/>
        </w:rPr>
        <w:t xml:space="preserve">. </w:t>
      </w:r>
      <w:r w:rsidRPr="002154B1">
        <w:rPr>
          <w:rFonts w:ascii="David" w:hAnsi="David"/>
          <w:rtl/>
        </w:rPr>
        <w:t xml:space="preserve"> </w:t>
      </w:r>
    </w:p>
    <w:p w14:paraId="5B156A6F" w14:textId="77777777" w:rsidR="003E1B22" w:rsidRPr="002154B1" w:rsidRDefault="003E1B22" w:rsidP="003E1B22">
      <w:pPr>
        <w:spacing w:line="360" w:lineRule="auto"/>
        <w:jc w:val="both"/>
        <w:rPr>
          <w:rFonts w:ascii="David" w:hAnsi="David"/>
          <w:rtl/>
        </w:rPr>
      </w:pPr>
    </w:p>
    <w:p w14:paraId="5FA10CB3" w14:textId="77777777" w:rsidR="003E1B22" w:rsidRDefault="003E1B22" w:rsidP="003E1B22">
      <w:pPr>
        <w:spacing w:line="360" w:lineRule="auto"/>
        <w:jc w:val="both"/>
        <w:rPr>
          <w:rFonts w:ascii="David" w:hAnsi="David"/>
          <w:rtl/>
        </w:rPr>
      </w:pPr>
      <w:r w:rsidRPr="002154B1">
        <w:rPr>
          <w:rFonts w:ascii="David" w:hAnsi="David"/>
          <w:rtl/>
        </w:rPr>
        <w:t xml:space="preserve">באשר לעבירת הסמים עליה נותן הנאשם </w:t>
      </w:r>
      <w:r>
        <w:rPr>
          <w:rFonts w:ascii="David" w:hAnsi="David" w:hint="cs"/>
          <w:rtl/>
        </w:rPr>
        <w:t xml:space="preserve">לקח אחריות חלקית ואף הביע עמדות התומכות בשימוש בסם עד כדי הבעת מורת רוח על העמדתו לדין. </w:t>
      </w:r>
    </w:p>
    <w:p w14:paraId="407109D7" w14:textId="77777777" w:rsidR="003E1B22" w:rsidRPr="002154B1" w:rsidRDefault="003E1B22" w:rsidP="003E1B22">
      <w:pPr>
        <w:spacing w:line="360" w:lineRule="auto"/>
        <w:jc w:val="both"/>
        <w:rPr>
          <w:rFonts w:ascii="David" w:hAnsi="David"/>
          <w:rtl/>
        </w:rPr>
      </w:pPr>
      <w:r w:rsidRPr="002154B1">
        <w:rPr>
          <w:rFonts w:ascii="David" w:hAnsi="David"/>
          <w:rtl/>
        </w:rPr>
        <w:t xml:space="preserve">באשר לעבירת האיומים – טען הנאשם כי מבין שהיה צריך לנצור את לשונו, אולם </w:t>
      </w:r>
      <w:r>
        <w:rPr>
          <w:rFonts w:ascii="David" w:hAnsi="David" w:hint="cs"/>
          <w:rtl/>
        </w:rPr>
        <w:t xml:space="preserve">העביר האחריות לשוטר. </w:t>
      </w:r>
    </w:p>
    <w:p w14:paraId="4B935CA3" w14:textId="77777777" w:rsidR="003E1B22" w:rsidRPr="002154B1" w:rsidRDefault="003E1B22" w:rsidP="003E1B22">
      <w:pPr>
        <w:spacing w:line="360" w:lineRule="auto"/>
        <w:jc w:val="both"/>
        <w:rPr>
          <w:rFonts w:ascii="David" w:hAnsi="David"/>
          <w:rtl/>
        </w:rPr>
      </w:pPr>
    </w:p>
    <w:p w14:paraId="6F55C9C1" w14:textId="77777777" w:rsidR="003E1B22" w:rsidRPr="002154B1" w:rsidRDefault="003E1B22" w:rsidP="003E1B22">
      <w:pPr>
        <w:spacing w:line="360" w:lineRule="auto"/>
        <w:jc w:val="both"/>
        <w:rPr>
          <w:rFonts w:ascii="David" w:hAnsi="David"/>
          <w:rtl/>
        </w:rPr>
      </w:pPr>
      <w:r w:rsidRPr="002154B1">
        <w:rPr>
          <w:rFonts w:ascii="David" w:hAnsi="David"/>
          <w:rtl/>
        </w:rPr>
        <w:t xml:space="preserve">לאור המפורט, התרשם שירות המבחן מרמת סיכון גבוהה להישנות ביצוע עבירות, וכי שילוב בטיפול יסייע בהפחתת הסיכון – ועל כן הוצע לנאשם להשתלב בטיפול והוא הסכים לכך. </w:t>
      </w:r>
    </w:p>
    <w:p w14:paraId="4929EA92" w14:textId="77777777" w:rsidR="003E1B22" w:rsidRPr="002154B1" w:rsidRDefault="003E1B22" w:rsidP="003E1B22">
      <w:pPr>
        <w:spacing w:line="360" w:lineRule="auto"/>
        <w:jc w:val="both"/>
        <w:rPr>
          <w:rFonts w:ascii="David" w:hAnsi="David"/>
          <w:rtl/>
        </w:rPr>
      </w:pPr>
    </w:p>
    <w:p w14:paraId="6818CDCF" w14:textId="77777777" w:rsidR="003E1B22" w:rsidRPr="002154B1" w:rsidRDefault="003E1B22" w:rsidP="003E1B22">
      <w:pPr>
        <w:spacing w:line="360" w:lineRule="auto"/>
        <w:jc w:val="both"/>
        <w:rPr>
          <w:rFonts w:ascii="David" w:hAnsi="David"/>
          <w:rtl/>
        </w:rPr>
      </w:pPr>
      <w:r w:rsidRPr="002154B1">
        <w:rPr>
          <w:rFonts w:ascii="David" w:hAnsi="David"/>
          <w:rtl/>
        </w:rPr>
        <w:t xml:space="preserve">לאור האמור, הומלץ להטיל על הנאשם צו מבחן למשך שנה, וזאת לצד מאסר מותנה וצו של"צ למשך 250 שעות.   </w:t>
      </w:r>
    </w:p>
    <w:p w14:paraId="1A9C782F" w14:textId="77777777" w:rsidR="003E1B22" w:rsidRPr="002154B1" w:rsidRDefault="003E1B22" w:rsidP="003E1B22">
      <w:pPr>
        <w:spacing w:line="360" w:lineRule="auto"/>
        <w:jc w:val="both"/>
        <w:rPr>
          <w:rFonts w:ascii="David" w:hAnsi="David"/>
          <w:rtl/>
        </w:rPr>
      </w:pPr>
    </w:p>
    <w:p w14:paraId="7FBB71D2" w14:textId="77777777" w:rsidR="003E1B22" w:rsidRPr="002154B1" w:rsidRDefault="003E1B22" w:rsidP="003E1B22">
      <w:pPr>
        <w:spacing w:line="360" w:lineRule="auto"/>
        <w:jc w:val="both"/>
        <w:rPr>
          <w:rFonts w:ascii="David" w:hAnsi="David"/>
          <w:rtl/>
        </w:rPr>
      </w:pPr>
      <w:r w:rsidRPr="002154B1">
        <w:rPr>
          <w:rFonts w:ascii="David" w:hAnsi="David"/>
          <w:b/>
          <w:bCs/>
          <w:rtl/>
        </w:rPr>
        <w:t xml:space="preserve">5. </w:t>
      </w:r>
      <w:r w:rsidRPr="002154B1">
        <w:rPr>
          <w:rFonts w:ascii="David" w:hAnsi="David"/>
          <w:rtl/>
        </w:rPr>
        <w:t xml:space="preserve">לאחר שנדחו 4 דיונים </w:t>
      </w:r>
      <w:r>
        <w:rPr>
          <w:rFonts w:ascii="David" w:hAnsi="David" w:hint="cs"/>
          <w:rtl/>
        </w:rPr>
        <w:t>מסיבות שונות</w:t>
      </w:r>
      <w:r w:rsidRPr="002154B1">
        <w:rPr>
          <w:rFonts w:ascii="David" w:hAnsi="David"/>
          <w:rtl/>
        </w:rPr>
        <w:t xml:space="preserve"> – הוגש ביום 03/05/21 תסקיר משלים מטעם שירות המבחן</w:t>
      </w:r>
      <w:r>
        <w:rPr>
          <w:rFonts w:ascii="David" w:hAnsi="David" w:hint="cs"/>
          <w:rtl/>
        </w:rPr>
        <w:t>, אף מבלי שהתבקש לעשות כן</w:t>
      </w:r>
      <w:r w:rsidRPr="002154B1">
        <w:rPr>
          <w:rFonts w:ascii="David" w:hAnsi="David"/>
          <w:rtl/>
        </w:rPr>
        <w:t>.</w:t>
      </w:r>
    </w:p>
    <w:p w14:paraId="550A81D2" w14:textId="77777777" w:rsidR="003E1B22" w:rsidRPr="002154B1" w:rsidRDefault="003E1B22" w:rsidP="003E1B22">
      <w:pPr>
        <w:spacing w:line="360" w:lineRule="auto"/>
        <w:jc w:val="both"/>
        <w:rPr>
          <w:rFonts w:ascii="David" w:hAnsi="David"/>
          <w:rtl/>
        </w:rPr>
      </w:pPr>
    </w:p>
    <w:p w14:paraId="0F232AEF" w14:textId="77777777" w:rsidR="003E1B22" w:rsidRPr="002154B1" w:rsidRDefault="003E1B22" w:rsidP="003E1B22">
      <w:pPr>
        <w:spacing w:line="360" w:lineRule="auto"/>
        <w:jc w:val="both"/>
        <w:rPr>
          <w:rFonts w:ascii="David" w:hAnsi="David"/>
          <w:rtl/>
        </w:rPr>
      </w:pPr>
      <w:r w:rsidRPr="002154B1">
        <w:rPr>
          <w:rFonts w:ascii="David" w:hAnsi="David"/>
          <w:rtl/>
        </w:rPr>
        <w:t xml:space="preserve">מתסקיר זה עולה כי הנאשם לא התייצב למפגש הפתיחה של הקבוצה הטיפולית שבה היה אמור להשתלב ביום 30/12/20 ואף לא עדכן לגבי אי הגעתו. כמו כן, לא התייצב למועד נוסף שנקבע עבורו ליום 06/01/21 וטען כי לא התייצב בשל תחושת מבוכה. בהמשך, הופסקה הפעילות הקבוצתית בשל התפשטות נגיף הקורונה, וזו חודשה בחודש אפריל 2021 ונקבע לנאשם מועד נוסף ליום 21/04/21. גם למועד זה לא התייצב הנאשם מבלי לעדכן מראש, ורק לאחר שיצרו עמו קשר טען כי לא הגיע למפגש בשל משבר אישי שעובר, ובהמשך לא התייצב אף למפגש אישי וקבוצתי שנקבעו לו ליום 28/04/21. </w:t>
      </w:r>
    </w:p>
    <w:p w14:paraId="5332DDE7" w14:textId="77777777" w:rsidR="003E1B22" w:rsidRPr="002154B1" w:rsidRDefault="003E1B22" w:rsidP="003E1B22">
      <w:pPr>
        <w:spacing w:line="360" w:lineRule="auto"/>
        <w:jc w:val="both"/>
        <w:rPr>
          <w:rFonts w:ascii="David" w:hAnsi="David"/>
          <w:rtl/>
        </w:rPr>
      </w:pPr>
    </w:p>
    <w:p w14:paraId="6177C0E8" w14:textId="77777777" w:rsidR="003E1B22" w:rsidRPr="002154B1" w:rsidRDefault="003E1B22" w:rsidP="003E1B22">
      <w:pPr>
        <w:spacing w:line="360" w:lineRule="auto"/>
        <w:jc w:val="both"/>
        <w:rPr>
          <w:rFonts w:ascii="David" w:hAnsi="David"/>
          <w:rtl/>
        </w:rPr>
      </w:pPr>
      <w:r w:rsidRPr="002154B1">
        <w:rPr>
          <w:rFonts w:ascii="David" w:hAnsi="David"/>
          <w:rtl/>
        </w:rPr>
        <w:t>עוד דווח כי הנאשם הופנה לראיון במסגרת של"צ על מנת לבחון התאמתו למסגרת, אולם על אף הצהרותיו כי יעשה כן – טרם עשה זאת.</w:t>
      </w:r>
    </w:p>
    <w:p w14:paraId="4A3063E4" w14:textId="77777777" w:rsidR="003E1B22" w:rsidRPr="002154B1" w:rsidRDefault="003E1B22" w:rsidP="003E1B22">
      <w:pPr>
        <w:spacing w:line="360" w:lineRule="auto"/>
        <w:jc w:val="both"/>
        <w:rPr>
          <w:rFonts w:ascii="David" w:hAnsi="David"/>
          <w:rtl/>
        </w:rPr>
      </w:pPr>
    </w:p>
    <w:p w14:paraId="3D74F2FA" w14:textId="77777777" w:rsidR="003E1B22" w:rsidRPr="002154B1" w:rsidRDefault="003E1B22" w:rsidP="003E1B22">
      <w:pPr>
        <w:spacing w:line="360" w:lineRule="auto"/>
        <w:jc w:val="both"/>
        <w:rPr>
          <w:rFonts w:ascii="David" w:hAnsi="David"/>
          <w:rtl/>
        </w:rPr>
      </w:pPr>
      <w:r w:rsidRPr="002154B1">
        <w:rPr>
          <w:rFonts w:ascii="David" w:hAnsi="David"/>
          <w:rtl/>
        </w:rPr>
        <w:t xml:space="preserve">לאור המפורט, נוכח התנהלותו הבעייתית של הנאשם וחוסר שיתוף הפעולה במהלך התקופה החולפת – חזר שירות המבחן מהמלצתו להטלת צווי מבחן ושל"צ, והמליץ להטיל על הנאשם ענישה מחדדת גבולות ומרתיעה. </w:t>
      </w:r>
    </w:p>
    <w:p w14:paraId="4A9A2FCB" w14:textId="77777777" w:rsidR="003E1B22" w:rsidRPr="002154B1" w:rsidRDefault="003E1B22" w:rsidP="003E1B22">
      <w:pPr>
        <w:spacing w:line="360" w:lineRule="auto"/>
        <w:contextualSpacing/>
        <w:jc w:val="both"/>
        <w:rPr>
          <w:rFonts w:ascii="David" w:hAnsi="David"/>
          <w:rtl/>
        </w:rPr>
      </w:pPr>
      <w:r w:rsidRPr="002154B1">
        <w:rPr>
          <w:rFonts w:ascii="David" w:hAnsi="David"/>
          <w:rtl/>
        </w:rPr>
        <w:t xml:space="preserve">    </w:t>
      </w:r>
    </w:p>
    <w:p w14:paraId="182869D2" w14:textId="77777777" w:rsidR="003E1B22" w:rsidRPr="002154B1" w:rsidRDefault="003E1B22" w:rsidP="003E1B22">
      <w:pPr>
        <w:spacing w:line="360" w:lineRule="auto"/>
        <w:contextualSpacing/>
        <w:jc w:val="both"/>
        <w:rPr>
          <w:rFonts w:ascii="David" w:hAnsi="David"/>
          <w:b/>
          <w:rtl/>
        </w:rPr>
      </w:pPr>
      <w:r w:rsidRPr="002154B1">
        <w:rPr>
          <w:rFonts w:ascii="David" w:hAnsi="David"/>
          <w:b/>
          <w:bCs/>
          <w:rtl/>
        </w:rPr>
        <w:t xml:space="preserve">6. </w:t>
      </w:r>
      <w:r w:rsidRPr="002154B1">
        <w:rPr>
          <w:rFonts w:ascii="David" w:hAnsi="David"/>
          <w:b/>
          <w:rtl/>
        </w:rPr>
        <w:t xml:space="preserve">במועד הדיון אשר התקיים לפניי ביום 04/05/21 עתר ב"כ הנאשם לשליחת הנאשם לתסקיר נוסף ולמתן הזדמנות נוספת לשיתוף פעולה מצד הנאשם עם שירות המבחן, וזאת בשים לב למוטיבציה אשר הביע, ליציבות התעסוקתית ולהליך הגירושים אשר עובר, אשר לטענתו הוביל לחוסר שיתוף הפעולה מצד הנאשם עם שירות המבחן. ב"כ המאשימה התנגדה לבקשה, וזאת בשים לב לתוכנו של התסקיר המשלים אשר הוגש. </w:t>
      </w:r>
    </w:p>
    <w:p w14:paraId="6170666B" w14:textId="77777777" w:rsidR="003E1B22" w:rsidRPr="002154B1" w:rsidRDefault="003E1B22" w:rsidP="003E1B22">
      <w:pPr>
        <w:spacing w:line="360" w:lineRule="auto"/>
        <w:contextualSpacing/>
        <w:jc w:val="both"/>
        <w:rPr>
          <w:rFonts w:ascii="David" w:hAnsi="David"/>
          <w:b/>
          <w:rtl/>
        </w:rPr>
      </w:pPr>
    </w:p>
    <w:p w14:paraId="3015FB80"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לאחר שסקרתי בקצרה את שעלה מתסקירי שירות המבחן, ובין היתר את התרשמותו הראשונית של שירות המבחן מתהליך ראשוני בלבד של התבוננות פנימית ומוטיבציה מצד הנאשם, עמדותיו הבעייתיות של הנאשם באשר לשימוש בסמים, לקיחת האחריות החלקית בנוגע לעבירת הסמים והעברת אחריות כלפי השוטר בנוגע לעבירת האיום, הערכת הסיכון בעניינו של הנאשם, היעדר שיתוף הפעולה עם שירות המבחן מזה כחצי שנה ואי התייצבות לדיונים – דחיתי הבקשה.</w:t>
      </w:r>
    </w:p>
    <w:p w14:paraId="565E352A" w14:textId="77777777" w:rsidR="003E1B22" w:rsidRDefault="003E1B22" w:rsidP="003E1B22">
      <w:pPr>
        <w:spacing w:line="360" w:lineRule="auto"/>
        <w:contextualSpacing/>
        <w:jc w:val="both"/>
        <w:rPr>
          <w:rFonts w:ascii="David" w:hAnsi="David"/>
          <w:b/>
          <w:rtl/>
        </w:rPr>
      </w:pPr>
    </w:p>
    <w:p w14:paraId="772A7A06" w14:textId="77777777" w:rsidR="003E1B22" w:rsidRPr="002154B1" w:rsidRDefault="003E1B22" w:rsidP="003E1B22">
      <w:pPr>
        <w:spacing w:line="360" w:lineRule="auto"/>
        <w:contextualSpacing/>
        <w:jc w:val="both"/>
        <w:rPr>
          <w:rFonts w:ascii="David" w:hAnsi="David"/>
          <w:b/>
          <w:rtl/>
        </w:rPr>
      </w:pPr>
    </w:p>
    <w:p w14:paraId="33983C5B" w14:textId="77777777" w:rsidR="003E1B22" w:rsidRPr="002154B1" w:rsidRDefault="003E1B22" w:rsidP="003E1B22">
      <w:pPr>
        <w:spacing w:line="360" w:lineRule="auto"/>
        <w:contextualSpacing/>
        <w:jc w:val="both"/>
        <w:rPr>
          <w:rFonts w:ascii="David" w:hAnsi="David"/>
          <w:b/>
          <w:bCs/>
          <w:u w:val="single"/>
          <w:rtl/>
        </w:rPr>
      </w:pPr>
      <w:r w:rsidRPr="002154B1">
        <w:rPr>
          <w:rFonts w:ascii="David" w:hAnsi="David"/>
          <w:b/>
          <w:bCs/>
          <w:u w:val="single"/>
          <w:rtl/>
        </w:rPr>
        <w:t xml:space="preserve">טיעוני הצדדים </w:t>
      </w:r>
    </w:p>
    <w:p w14:paraId="7250326B" w14:textId="77777777" w:rsidR="003E1B22" w:rsidRPr="002154B1" w:rsidRDefault="003E1B22" w:rsidP="003E1B22">
      <w:pPr>
        <w:spacing w:line="360" w:lineRule="auto"/>
        <w:contextualSpacing/>
        <w:jc w:val="both"/>
        <w:rPr>
          <w:rFonts w:ascii="David" w:hAnsi="David"/>
          <w:b/>
          <w:rtl/>
        </w:rPr>
      </w:pPr>
      <w:r w:rsidRPr="002154B1">
        <w:rPr>
          <w:rFonts w:ascii="David" w:hAnsi="David"/>
          <w:bCs/>
          <w:rtl/>
        </w:rPr>
        <w:t>7</w:t>
      </w:r>
      <w:r w:rsidRPr="002154B1">
        <w:rPr>
          <w:rFonts w:ascii="David" w:hAnsi="David"/>
          <w:b/>
          <w:rtl/>
        </w:rPr>
        <w:t xml:space="preserve">. ב"כ המאשימה טענה כי מתחם העונש ההולם בגין עבירת הסמים אשר ביצע הנאשם נע בין 6-12 חודשי מאסר בפועל. בגין עבירת האיומים </w:t>
      </w:r>
      <w:r>
        <w:rPr>
          <w:rFonts w:ascii="David" w:hAnsi="David" w:hint="cs"/>
          <w:b/>
          <w:rtl/>
        </w:rPr>
        <w:t>טענה</w:t>
      </w:r>
      <w:r w:rsidRPr="002154B1">
        <w:rPr>
          <w:rFonts w:ascii="David" w:hAnsi="David"/>
          <w:b/>
          <w:rtl/>
        </w:rPr>
        <w:t xml:space="preserve"> ב"כ המאשימה למתחם ענישה הנע ב</w:t>
      </w:r>
      <w:r>
        <w:rPr>
          <w:rFonts w:ascii="David" w:hAnsi="David" w:hint="cs"/>
          <w:b/>
          <w:rtl/>
        </w:rPr>
        <w:t xml:space="preserve">ין </w:t>
      </w:r>
      <w:r w:rsidRPr="002154B1">
        <w:rPr>
          <w:rFonts w:ascii="David" w:hAnsi="David"/>
          <w:b/>
          <w:rtl/>
        </w:rPr>
        <w:t>מאסר מותנה למספר חודשי מאסר בפועל לריצוי בדרך של עבודות שירות.</w:t>
      </w:r>
    </w:p>
    <w:p w14:paraId="09AB1807" w14:textId="77777777" w:rsidR="003E1B22" w:rsidRPr="002154B1" w:rsidRDefault="003E1B22" w:rsidP="003E1B22">
      <w:pPr>
        <w:spacing w:line="360" w:lineRule="auto"/>
        <w:contextualSpacing/>
        <w:jc w:val="both"/>
        <w:rPr>
          <w:rFonts w:ascii="David" w:hAnsi="David"/>
          <w:b/>
          <w:rtl/>
        </w:rPr>
      </w:pPr>
    </w:p>
    <w:p w14:paraId="03C5806A"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בטיעוניה הפנתה ב"כ המאשימה לערכים המוגנים אשר נפגעו כתוצאה מביצוע העבירות. באשר לעבירת הסמים טענה כי בשים לב לסוג הסם ולכמותו – הפגיעה בערכים המוגנים היא ברף הבינוני, וטענה כי יש לתת את הדעת אף לשיקול הרתעת הרבים בשים לב לעובדה שאנשים רבים מתייחסים בקלות ראש לביצוע עבירות מסוג זה, כאשר מדובר בסמים הנתפסים כ"קלים".</w:t>
      </w:r>
    </w:p>
    <w:p w14:paraId="4ADC1B01" w14:textId="77777777" w:rsidR="003E1B22" w:rsidRPr="002154B1" w:rsidRDefault="003E1B22" w:rsidP="003E1B22">
      <w:pPr>
        <w:spacing w:line="360" w:lineRule="auto"/>
        <w:contextualSpacing/>
        <w:jc w:val="both"/>
        <w:rPr>
          <w:rFonts w:ascii="David" w:hAnsi="David"/>
          <w:b/>
          <w:rtl/>
        </w:rPr>
      </w:pPr>
    </w:p>
    <w:p w14:paraId="7904CD8D"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בתוככי המתחמים, לאור העובדה כי לא קיימים שיקולי שיקום במקרה זה, בהיעדר תובנה של הנאשם למצבו, בשים לב לעמדותיו ביחס לשימוש בסמים, לקיחת האחריות החלקית, ולקושי בשיתוף הפעולה עם שירות המבחן, אך גם לעובדה כי עברו הפלילי ישן ואיננו בתחום הסמים - עתרה ב"כ המאשימה להטלת ענישה ברף הבינוני-תחתון של המתחמים, לצד מאסר מותנה, קנס, התחייבות ופסילה בפועל ועל תנאי.</w:t>
      </w:r>
    </w:p>
    <w:p w14:paraId="484E9268" w14:textId="77777777" w:rsidR="003E1B22" w:rsidRPr="002154B1" w:rsidRDefault="003E1B22" w:rsidP="003E1B22">
      <w:pPr>
        <w:spacing w:line="360" w:lineRule="auto"/>
        <w:contextualSpacing/>
        <w:jc w:val="both"/>
        <w:rPr>
          <w:rFonts w:ascii="David" w:hAnsi="David"/>
          <w:b/>
          <w:rtl/>
        </w:rPr>
      </w:pPr>
    </w:p>
    <w:p w14:paraId="0953871C"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 xml:space="preserve">ב"כ המאשימה הגישה גיליון רישום פלילי של הנאשם </w:t>
      </w:r>
      <w:r w:rsidRPr="002154B1">
        <w:rPr>
          <w:rFonts w:ascii="David" w:hAnsi="David"/>
          <w:bCs/>
          <w:rtl/>
        </w:rPr>
        <w:t>(ת/1)</w:t>
      </w:r>
      <w:r w:rsidRPr="002154B1">
        <w:rPr>
          <w:rFonts w:ascii="David" w:hAnsi="David"/>
          <w:b/>
          <w:rtl/>
        </w:rPr>
        <w:t xml:space="preserve"> והפנתה לפסיקה כתמיכה לעתירותיה.</w:t>
      </w:r>
    </w:p>
    <w:p w14:paraId="64730327" w14:textId="77777777" w:rsidR="003E1B22" w:rsidRPr="002154B1" w:rsidRDefault="003E1B22" w:rsidP="003E1B22">
      <w:pPr>
        <w:spacing w:line="360" w:lineRule="auto"/>
        <w:contextualSpacing/>
        <w:jc w:val="both"/>
        <w:rPr>
          <w:rFonts w:ascii="David" w:hAnsi="David"/>
          <w:b/>
          <w:rtl/>
        </w:rPr>
      </w:pPr>
    </w:p>
    <w:p w14:paraId="2B4CE209" w14:textId="77777777" w:rsidR="003E1B22" w:rsidRPr="002154B1" w:rsidRDefault="003E1B22" w:rsidP="003E1B22">
      <w:pPr>
        <w:spacing w:line="360" w:lineRule="auto"/>
        <w:contextualSpacing/>
        <w:jc w:val="both"/>
        <w:rPr>
          <w:rFonts w:ascii="David" w:hAnsi="David"/>
          <w:b/>
          <w:rtl/>
        </w:rPr>
      </w:pPr>
      <w:r w:rsidRPr="002154B1">
        <w:rPr>
          <w:rFonts w:ascii="David" w:hAnsi="David"/>
          <w:b/>
          <w:bCs/>
          <w:rtl/>
        </w:rPr>
        <w:t xml:space="preserve">8. </w:t>
      </w:r>
      <w:r w:rsidRPr="002154B1">
        <w:rPr>
          <w:rFonts w:ascii="David" w:hAnsi="David"/>
          <w:b/>
          <w:rtl/>
        </w:rPr>
        <w:t xml:space="preserve">בגין עבירת הסמים עליה נותן הנאשם את הדין עתר ב"כ הנאשם למתחם ענישה הנע בין מאסר מותנה לבין מספר חודשי מאסר בפועל אשר ניתן לרצות בדרך של עבודות שירות, וטען כי בתוככי המתחם יש להטיל על הנאשם ענישה ברף הנמוך ולהסתפק במאסר מותנה לצד ענישה נלווית וקנס. </w:t>
      </w:r>
    </w:p>
    <w:p w14:paraId="3F883834" w14:textId="77777777" w:rsidR="003E1B22" w:rsidRPr="002154B1" w:rsidRDefault="003E1B22" w:rsidP="003E1B22">
      <w:pPr>
        <w:spacing w:line="360" w:lineRule="auto"/>
        <w:contextualSpacing/>
        <w:jc w:val="both"/>
        <w:rPr>
          <w:rFonts w:ascii="David" w:hAnsi="David"/>
          <w:b/>
          <w:rtl/>
        </w:rPr>
      </w:pPr>
    </w:p>
    <w:p w14:paraId="67E100EC"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ב"כ הנאשם הפנה בטיעוניו למדיניותם של מדינות זרות בכל הנוגע להחזקת סמים מסוג קנאביס, וטען כי יש ליתן אף משקל לתפיסה הרווחת לפיה השימוש בסם זה הוא לגיטימי ולכך שקיבל תוקף לשיווק רפואי. כמו כן, הפנה לחלוף הזמן מביצוע העבירות ולכך שממועד ביצוע העבירות לא נפתחו כנגד הנאשם תיקים נוספים.</w:t>
      </w:r>
    </w:p>
    <w:p w14:paraId="3DED5C5D" w14:textId="77777777" w:rsidR="003E1B22" w:rsidRPr="002154B1" w:rsidRDefault="003E1B22" w:rsidP="003E1B22">
      <w:pPr>
        <w:spacing w:line="360" w:lineRule="auto"/>
        <w:contextualSpacing/>
        <w:jc w:val="both"/>
        <w:rPr>
          <w:rFonts w:ascii="David" w:hAnsi="David"/>
          <w:b/>
          <w:rtl/>
        </w:rPr>
      </w:pPr>
    </w:p>
    <w:p w14:paraId="55FD3493"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עוד הפנה ב"כ הנאשם ללקיחת האחריות מצד הנאשם והודאתו, לנסיבות חייו האישיות של הנאשם, וטען כי שליחתו לריצוי מאסר בדרך של עבודות שירות תוציאו ממעגל העבודה.</w:t>
      </w:r>
    </w:p>
    <w:p w14:paraId="6DD6CE9B" w14:textId="77777777" w:rsidR="003E1B22" w:rsidRPr="002154B1" w:rsidRDefault="003E1B22" w:rsidP="003E1B22">
      <w:pPr>
        <w:spacing w:line="360" w:lineRule="auto"/>
        <w:contextualSpacing/>
        <w:jc w:val="both"/>
        <w:rPr>
          <w:rFonts w:ascii="David" w:hAnsi="David"/>
          <w:b/>
          <w:rtl/>
        </w:rPr>
      </w:pPr>
    </w:p>
    <w:p w14:paraId="64C0FD07" w14:textId="77777777" w:rsidR="003E1B22" w:rsidRPr="002154B1" w:rsidRDefault="003E1B22" w:rsidP="003E1B22">
      <w:pPr>
        <w:spacing w:line="360" w:lineRule="auto"/>
        <w:contextualSpacing/>
        <w:jc w:val="both"/>
        <w:rPr>
          <w:rFonts w:ascii="David" w:hAnsi="David"/>
          <w:b/>
          <w:rtl/>
        </w:rPr>
      </w:pPr>
      <w:r w:rsidRPr="002154B1">
        <w:rPr>
          <w:rFonts w:ascii="David" w:hAnsi="David"/>
          <w:b/>
          <w:rtl/>
        </w:rPr>
        <w:t>ב"כ הנאשם הפנה לפסיקה כתמיכה לעתירתו.</w:t>
      </w:r>
    </w:p>
    <w:p w14:paraId="5AB7E4F6" w14:textId="77777777" w:rsidR="003E1B22" w:rsidRDefault="003E1B22" w:rsidP="003E1B22">
      <w:pPr>
        <w:spacing w:line="360" w:lineRule="auto"/>
        <w:contextualSpacing/>
        <w:jc w:val="both"/>
        <w:rPr>
          <w:rFonts w:ascii="David" w:hAnsi="David"/>
          <w:b/>
          <w:rtl/>
        </w:rPr>
      </w:pPr>
    </w:p>
    <w:p w14:paraId="5BD78F07" w14:textId="77777777" w:rsidR="003E1B22" w:rsidRPr="002154B1" w:rsidRDefault="003E1B22" w:rsidP="003E1B22">
      <w:pPr>
        <w:spacing w:line="360" w:lineRule="auto"/>
        <w:contextualSpacing/>
        <w:jc w:val="both"/>
        <w:rPr>
          <w:rFonts w:ascii="David" w:hAnsi="David"/>
          <w:b/>
          <w:rtl/>
        </w:rPr>
      </w:pPr>
    </w:p>
    <w:p w14:paraId="7796DB54" w14:textId="77777777" w:rsidR="003E1B22" w:rsidRPr="002154B1" w:rsidRDefault="003E1B22" w:rsidP="003E1B22">
      <w:pPr>
        <w:spacing w:line="360" w:lineRule="auto"/>
        <w:jc w:val="both"/>
        <w:rPr>
          <w:rFonts w:ascii="David" w:hAnsi="David"/>
          <w:b/>
          <w:bCs/>
          <w:u w:val="single"/>
          <w:rtl/>
        </w:rPr>
      </w:pPr>
      <w:r w:rsidRPr="002154B1">
        <w:rPr>
          <w:rFonts w:ascii="David" w:hAnsi="David"/>
          <w:b/>
          <w:bCs/>
          <w:u w:val="single"/>
          <w:rtl/>
        </w:rPr>
        <w:t>קביעת מתחם העונש ההולם</w:t>
      </w:r>
    </w:p>
    <w:p w14:paraId="716912E9" w14:textId="77777777" w:rsidR="003E1B22" w:rsidRPr="002154B1" w:rsidRDefault="003E1B22" w:rsidP="003E1B22">
      <w:pPr>
        <w:spacing w:line="360" w:lineRule="auto"/>
        <w:jc w:val="both"/>
        <w:rPr>
          <w:rFonts w:ascii="David" w:hAnsi="David"/>
          <w:b/>
          <w:bCs/>
          <w:u w:val="single"/>
          <w:rtl/>
        </w:rPr>
      </w:pPr>
      <w:r w:rsidRPr="002154B1">
        <w:rPr>
          <w:rFonts w:ascii="David" w:hAnsi="David"/>
          <w:b/>
          <w:bCs/>
          <w:rtl/>
        </w:rPr>
        <w:t>9.</w:t>
      </w:r>
      <w:r w:rsidRPr="002154B1">
        <w:rPr>
          <w:rFonts w:ascii="David" w:hAnsi="David"/>
          <w:rtl/>
        </w:rPr>
        <w:t xml:space="preserve"> </w:t>
      </w:r>
      <w:r w:rsidRPr="002154B1">
        <w:rPr>
          <w:rFonts w:ascii="David" w:hAnsi="David"/>
          <w:b/>
          <w:bCs/>
          <w:rtl/>
        </w:rPr>
        <w:t>תיקון 113 ל</w:t>
      </w:r>
      <w:hyperlink r:id="rId22" w:history="1">
        <w:r w:rsidR="0084531B" w:rsidRPr="0084531B">
          <w:rPr>
            <w:rFonts w:ascii="David" w:hAnsi="David"/>
            <w:b/>
            <w:bCs/>
            <w:color w:val="0000FF"/>
            <w:u w:val="single"/>
            <w:rtl/>
          </w:rPr>
          <w:t>חוק העונשין</w:t>
        </w:r>
      </w:hyperlink>
      <w:r w:rsidRPr="002154B1">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ייגזר העונש הראוי בתוככי המתחם שנקבע, </w:t>
      </w:r>
      <w:r>
        <w:rPr>
          <w:rFonts w:ascii="David" w:hAnsi="David" w:hint="cs"/>
          <w:rtl/>
        </w:rPr>
        <w:t xml:space="preserve">ככל שלא נקבע כי יש לחרוג ממנו, </w:t>
      </w:r>
      <w:r w:rsidRPr="002154B1">
        <w:rPr>
          <w:rFonts w:ascii="David" w:hAnsi="David"/>
          <w:rtl/>
        </w:rPr>
        <w:t>בהתחשב בנסיבות שאינן קשורות לביצוע העבירה.</w:t>
      </w:r>
    </w:p>
    <w:p w14:paraId="670755F9" w14:textId="77777777" w:rsidR="003E1B22" w:rsidRPr="002154B1" w:rsidRDefault="003E1B22" w:rsidP="003E1B22">
      <w:pPr>
        <w:spacing w:line="360" w:lineRule="auto"/>
        <w:jc w:val="both"/>
        <w:rPr>
          <w:rFonts w:ascii="David" w:hAnsi="David"/>
        </w:rPr>
      </w:pPr>
    </w:p>
    <w:p w14:paraId="1F7A2FDD" w14:textId="77777777" w:rsidR="003E1B22" w:rsidRPr="002154B1" w:rsidRDefault="003E1B22" w:rsidP="003E1B22">
      <w:pPr>
        <w:spacing w:line="360" w:lineRule="auto"/>
        <w:jc w:val="both"/>
        <w:rPr>
          <w:rFonts w:ascii="David" w:hAnsi="David"/>
          <w:rtl/>
        </w:rPr>
      </w:pPr>
      <w:r w:rsidRPr="002154B1">
        <w:rPr>
          <w:rFonts w:ascii="David" w:hAnsi="David"/>
          <w:b/>
          <w:bCs/>
          <w:rtl/>
        </w:rPr>
        <w:t>10.</w:t>
      </w:r>
      <w:r w:rsidRPr="002154B1">
        <w:rPr>
          <w:rFonts w:ascii="David" w:hAnsi="David"/>
          <w:rtl/>
        </w:rPr>
        <w:t xml:space="preserve"> במקרה זה אין מחלוקת כי מדובר ב</w:t>
      </w:r>
      <w:r w:rsidRPr="002154B1">
        <w:rPr>
          <w:rFonts w:ascii="David" w:hAnsi="David"/>
          <w:b/>
          <w:bCs/>
          <w:rtl/>
        </w:rPr>
        <w:t>שני אירועים</w:t>
      </w:r>
      <w:r>
        <w:rPr>
          <w:rFonts w:ascii="David" w:hAnsi="David"/>
          <w:rtl/>
        </w:rPr>
        <w:t xml:space="preserve"> אשר בגינם יש לקבוע 2 מתחמי ע</w:t>
      </w:r>
      <w:r>
        <w:rPr>
          <w:rFonts w:ascii="David" w:hAnsi="David" w:hint="cs"/>
          <w:rtl/>
        </w:rPr>
        <w:t>נישה</w:t>
      </w:r>
      <w:r w:rsidRPr="002154B1">
        <w:rPr>
          <w:rFonts w:ascii="David" w:hAnsi="David"/>
          <w:rtl/>
        </w:rPr>
        <w:t>.</w:t>
      </w:r>
    </w:p>
    <w:p w14:paraId="2D8AF52C" w14:textId="77777777" w:rsidR="003E1B22" w:rsidRPr="002154B1" w:rsidRDefault="003E1B22" w:rsidP="003E1B22">
      <w:pPr>
        <w:spacing w:line="360" w:lineRule="auto"/>
        <w:jc w:val="both"/>
        <w:rPr>
          <w:rFonts w:ascii="David" w:hAnsi="David"/>
          <w:rtl/>
        </w:rPr>
      </w:pPr>
    </w:p>
    <w:p w14:paraId="46EC6230" w14:textId="77777777" w:rsidR="003E1B22" w:rsidRPr="002154B1" w:rsidRDefault="003E1B22" w:rsidP="003E1B22">
      <w:pPr>
        <w:spacing w:line="360" w:lineRule="auto"/>
        <w:jc w:val="both"/>
        <w:rPr>
          <w:rFonts w:ascii="David" w:hAnsi="David"/>
          <w:rtl/>
        </w:rPr>
      </w:pPr>
      <w:r w:rsidRPr="002154B1">
        <w:rPr>
          <w:rFonts w:ascii="David" w:hAnsi="David"/>
          <w:b/>
          <w:bCs/>
          <w:rtl/>
        </w:rPr>
        <w:t>11.</w:t>
      </w:r>
      <w:r w:rsidRPr="002154B1">
        <w:rPr>
          <w:rFonts w:ascii="David" w:hAnsi="David"/>
          <w:rtl/>
        </w:rPr>
        <w:t xml:space="preserve"> קביעת מתחם העונש ההולם למעשה העבירה נעשית בהתאם ל</w:t>
      </w:r>
      <w:r w:rsidRPr="002154B1">
        <w:rPr>
          <w:rFonts w:ascii="David" w:hAnsi="David"/>
          <w:b/>
          <w:bCs/>
          <w:rtl/>
        </w:rPr>
        <w:t>עקרון ההלימה</w:t>
      </w:r>
      <w:r w:rsidRPr="002154B1">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757FB708" w14:textId="77777777" w:rsidR="003E1B22" w:rsidRPr="002154B1" w:rsidRDefault="003E1B22" w:rsidP="003E1B22">
      <w:pPr>
        <w:spacing w:line="360" w:lineRule="auto"/>
        <w:jc w:val="both"/>
        <w:rPr>
          <w:rFonts w:ascii="David" w:hAnsi="David"/>
          <w:rtl/>
        </w:rPr>
      </w:pPr>
    </w:p>
    <w:p w14:paraId="3F9DA7D1" w14:textId="77777777" w:rsidR="003E1B22" w:rsidRPr="002154B1" w:rsidRDefault="003E1B22" w:rsidP="003E1B22">
      <w:pPr>
        <w:spacing w:line="360" w:lineRule="auto"/>
        <w:jc w:val="both"/>
        <w:rPr>
          <w:rFonts w:ascii="David" w:hAnsi="David"/>
          <w:rtl/>
        </w:rPr>
      </w:pPr>
      <w:r w:rsidRPr="002154B1">
        <w:rPr>
          <w:rFonts w:ascii="David" w:hAnsi="David"/>
          <w:b/>
          <w:bCs/>
          <w:rtl/>
        </w:rPr>
        <w:t>12</w:t>
      </w:r>
      <w:r w:rsidRPr="002154B1">
        <w:rPr>
          <w:rFonts w:ascii="David" w:hAnsi="David"/>
          <w:rtl/>
        </w:rPr>
        <w:t xml:space="preserve">. במקרה דנן, </w:t>
      </w:r>
      <w:r w:rsidRPr="002154B1">
        <w:rPr>
          <w:rFonts w:ascii="David" w:hAnsi="David"/>
          <w:b/>
          <w:bCs/>
          <w:rtl/>
        </w:rPr>
        <w:t xml:space="preserve">הערכים החברתיים </w:t>
      </w:r>
      <w:r w:rsidRPr="002154B1">
        <w:rPr>
          <w:rFonts w:ascii="David" w:hAnsi="David"/>
          <w:rtl/>
        </w:rPr>
        <w:t xml:space="preserve">אשר נפגעו כתוצאה מעבירת </w:t>
      </w:r>
      <w:r w:rsidRPr="002154B1">
        <w:rPr>
          <w:rFonts w:ascii="David" w:hAnsi="David"/>
          <w:b/>
          <w:bCs/>
          <w:rtl/>
        </w:rPr>
        <w:t>הסמים</w:t>
      </w:r>
      <w:r w:rsidRPr="002154B1">
        <w:rPr>
          <w:rFonts w:ascii="David" w:hAnsi="David"/>
          <w:rtl/>
        </w:rPr>
        <w:t xml:space="preserve"> עליה נותן הנאשם את הדין הם ההגנה על שלום הציבור, בריאותו ובטחונו מפני הנזקים הישירים והעקיפים הנגרמים כתוצאה מהפצה ושימוש בסמים.</w:t>
      </w:r>
    </w:p>
    <w:p w14:paraId="1E3BC4C9" w14:textId="77777777" w:rsidR="003E1B22" w:rsidRPr="002154B1" w:rsidRDefault="003E1B22" w:rsidP="003E1B22">
      <w:pPr>
        <w:spacing w:line="360" w:lineRule="auto"/>
        <w:jc w:val="both"/>
        <w:rPr>
          <w:rFonts w:ascii="David" w:hAnsi="David"/>
          <w:rtl/>
        </w:rPr>
      </w:pPr>
    </w:p>
    <w:p w14:paraId="75F90DE9" w14:textId="77777777" w:rsidR="003E1B22" w:rsidRPr="002154B1" w:rsidRDefault="003E1B22" w:rsidP="003E1B22">
      <w:pPr>
        <w:spacing w:line="360" w:lineRule="auto"/>
        <w:jc w:val="both"/>
        <w:rPr>
          <w:rFonts w:ascii="David" w:hAnsi="David"/>
          <w:rtl/>
        </w:rPr>
      </w:pPr>
      <w:r w:rsidRPr="002154B1">
        <w:rPr>
          <w:rFonts w:ascii="David" w:hAnsi="David"/>
          <w:rtl/>
        </w:rPr>
        <w:t>כבר נכתב רבות על חומרת עבירות הסמים, וב</w:t>
      </w:r>
      <w:hyperlink r:id="rId23" w:history="1">
        <w:r w:rsidR="0084531B" w:rsidRPr="0084531B">
          <w:rPr>
            <w:rFonts w:ascii="David" w:hAnsi="David"/>
            <w:b/>
            <w:bCs/>
            <w:color w:val="0000FF"/>
            <w:u w:val="single"/>
            <w:rtl/>
          </w:rPr>
          <w:t>ע"פ 8988/16</w:t>
        </w:r>
      </w:hyperlink>
      <w:r w:rsidRPr="002154B1">
        <w:rPr>
          <w:rFonts w:ascii="David" w:hAnsi="David"/>
          <w:b/>
          <w:bCs/>
          <w:rtl/>
        </w:rPr>
        <w:t xml:space="preserve"> בן סימון נגד מדינת ישראל (08/03/17) </w:t>
      </w:r>
      <w:r w:rsidRPr="002154B1">
        <w:rPr>
          <w:rFonts w:ascii="David" w:hAnsi="David"/>
          <w:rtl/>
        </w:rPr>
        <w:t xml:space="preserve">קבע כב' השופט ג'ובראן כי: </w:t>
      </w:r>
      <w:r w:rsidRPr="002154B1">
        <w:rPr>
          <w:rFonts w:ascii="David" w:hAnsi="David"/>
          <w:b/>
          <w:bCs/>
          <w:noProof/>
          <w:rtl/>
        </w:rPr>
        <w:t>"ההלכה בעניין עבירות סמים קובעת כי נוכח חומרתן הרבה של אותן העבירות יש להתמודד מולן באמצעות ענישה משמעותית ומרתיעה ... יש לבכר את שיקולי ההרתעה על השיקולים האישיים בעבירות מסוג זה ... וכי יש חשיבות בענישה כלכלית בעבירות סמים שעיקרן הוא בצע כסף".</w:t>
      </w:r>
    </w:p>
    <w:p w14:paraId="6E979B01" w14:textId="77777777" w:rsidR="003E1B22" w:rsidRPr="002154B1" w:rsidRDefault="003E1B22" w:rsidP="003E1B22">
      <w:pPr>
        <w:spacing w:line="360" w:lineRule="auto"/>
        <w:contextualSpacing/>
        <w:jc w:val="both"/>
        <w:rPr>
          <w:rFonts w:ascii="David" w:hAnsi="David"/>
        </w:rPr>
      </w:pPr>
    </w:p>
    <w:p w14:paraId="49225CD7"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13</w:t>
      </w:r>
      <w:r w:rsidRPr="002154B1">
        <w:rPr>
          <w:rFonts w:ascii="David" w:hAnsi="David"/>
          <w:rtl/>
        </w:rPr>
        <w:t xml:space="preserve">. בחינת </w:t>
      </w:r>
      <w:r w:rsidRPr="002154B1">
        <w:rPr>
          <w:rFonts w:ascii="David" w:hAnsi="David"/>
          <w:b/>
          <w:bCs/>
          <w:rtl/>
        </w:rPr>
        <w:t>מידת הפגיעה בערכים המוגנים</w:t>
      </w:r>
      <w:r w:rsidRPr="002154B1">
        <w:rPr>
          <w:rFonts w:ascii="David" w:hAnsi="David"/>
          <w:rtl/>
        </w:rPr>
        <w:t xml:space="preserve"> בגין עבירת </w:t>
      </w:r>
      <w:r w:rsidRPr="002154B1">
        <w:rPr>
          <w:rFonts w:ascii="David" w:hAnsi="David"/>
          <w:b/>
          <w:bCs/>
          <w:rtl/>
        </w:rPr>
        <w:t>הסמים</w:t>
      </w:r>
      <w:r w:rsidRPr="002154B1">
        <w:rPr>
          <w:rFonts w:ascii="David" w:hAnsi="David"/>
          <w:rtl/>
        </w:rPr>
        <w:t xml:space="preserve"> מובילה למסקנה כי הפגיעה בערך המוגן היא ברף הבינוני, וזאת בשים לב לסוג הסם וכמותו.</w:t>
      </w:r>
    </w:p>
    <w:p w14:paraId="4650781A" w14:textId="77777777" w:rsidR="003E1B22" w:rsidRPr="002154B1" w:rsidRDefault="003E1B22" w:rsidP="003E1B22">
      <w:pPr>
        <w:spacing w:line="360" w:lineRule="auto"/>
        <w:contextualSpacing/>
        <w:jc w:val="both"/>
        <w:rPr>
          <w:rFonts w:ascii="David" w:hAnsi="David"/>
          <w:rtl/>
        </w:rPr>
      </w:pPr>
    </w:p>
    <w:p w14:paraId="181C48AD"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14</w:t>
      </w:r>
      <w:r w:rsidRPr="002154B1">
        <w:rPr>
          <w:rFonts w:ascii="David" w:hAnsi="David"/>
          <w:rtl/>
        </w:rPr>
        <w:t>. במקרה דנן, ה</w:t>
      </w:r>
      <w:r w:rsidRPr="002154B1">
        <w:rPr>
          <w:rFonts w:ascii="David" w:hAnsi="David"/>
          <w:b/>
          <w:bCs/>
          <w:rtl/>
        </w:rPr>
        <w:t>ערכים החברתיים</w:t>
      </w:r>
      <w:r w:rsidRPr="002154B1">
        <w:rPr>
          <w:rFonts w:ascii="David" w:hAnsi="David"/>
          <w:rtl/>
        </w:rPr>
        <w:t xml:space="preserve"> אשר נפגעו כתוצאה מביצוע עבירת </w:t>
      </w:r>
      <w:r w:rsidRPr="002154B1">
        <w:rPr>
          <w:rFonts w:ascii="David" w:hAnsi="David"/>
          <w:b/>
          <w:bCs/>
          <w:rtl/>
        </w:rPr>
        <w:t>האיומים</w:t>
      </w:r>
      <w:r w:rsidRPr="002154B1">
        <w:rPr>
          <w:rFonts w:ascii="David" w:hAnsi="David"/>
          <w:rtl/>
        </w:rPr>
        <w:t xml:space="preserve"> הם השמירה על שלוותו, בטחונו וחירות פעולתו של הפרט, וזאת ביתר שאת בעניינם של עובדי ציבור בעת מילוי תפקידם. </w:t>
      </w:r>
    </w:p>
    <w:p w14:paraId="101CD66A" w14:textId="77777777" w:rsidR="003E1B22" w:rsidRPr="002154B1" w:rsidRDefault="003E1B22" w:rsidP="003E1B22">
      <w:pPr>
        <w:spacing w:line="360" w:lineRule="auto"/>
        <w:rPr>
          <w:rFonts w:ascii="David" w:hAnsi="David"/>
          <w:rtl/>
        </w:rPr>
      </w:pPr>
    </w:p>
    <w:p w14:paraId="3D5A5183" w14:textId="77777777" w:rsidR="003E1B22" w:rsidRPr="002154B1" w:rsidRDefault="003E1B22" w:rsidP="003E1B22">
      <w:pPr>
        <w:spacing w:line="360" w:lineRule="auto"/>
        <w:jc w:val="both"/>
        <w:rPr>
          <w:rFonts w:ascii="David" w:hAnsi="David"/>
          <w:rtl/>
        </w:rPr>
      </w:pPr>
      <w:r w:rsidRPr="002154B1">
        <w:rPr>
          <w:rFonts w:ascii="David" w:hAnsi="David"/>
          <w:rtl/>
        </w:rPr>
        <w:t>יפים לעניין זה דברי כב' הש' בייניש ב</w:t>
      </w:r>
      <w:hyperlink r:id="rId24" w:history="1">
        <w:r w:rsidR="0084531B" w:rsidRPr="0084531B">
          <w:rPr>
            <w:rFonts w:ascii="David" w:hAnsi="David"/>
            <w:b/>
            <w:bCs/>
            <w:color w:val="0000FF"/>
            <w:u w:val="single"/>
            <w:rtl/>
          </w:rPr>
          <w:t>רע"פ 2038/04</w:t>
        </w:r>
      </w:hyperlink>
      <w:r w:rsidRPr="002154B1">
        <w:rPr>
          <w:rFonts w:ascii="David" w:hAnsi="David"/>
          <w:b/>
          <w:bCs/>
          <w:rtl/>
        </w:rPr>
        <w:t xml:space="preserve"> לם נגד מדינת ישראל, פ"ד ס(4) 96, 105 (2006):</w:t>
      </w:r>
    </w:p>
    <w:p w14:paraId="4CF5E07C" w14:textId="77777777" w:rsidR="003E1B22" w:rsidRPr="002154B1" w:rsidRDefault="003E1B22" w:rsidP="003E1B22">
      <w:pPr>
        <w:spacing w:line="360" w:lineRule="auto"/>
        <w:ind w:left="340" w:right="340"/>
        <w:jc w:val="both"/>
        <w:rPr>
          <w:rFonts w:ascii="David" w:hAnsi="David"/>
          <w:b/>
          <w:bCs/>
          <w:rtl/>
        </w:rPr>
      </w:pPr>
      <w:r w:rsidRPr="002154B1">
        <w:rPr>
          <w:rFonts w:ascii="David" w:hAnsi="David"/>
          <w:b/>
          <w:bCs/>
          <w:rtl/>
        </w:rPr>
        <w:t>"האיום הוא אפוא ביטוי שהמשפט מטיל עליו מגבלות תוך פגיעה בחופש הביטוי, וזאת כדי להגן על ערכים אחרים ובהם שלוות נפשו, ביטחונו וחירות פעולתו של הפרט. האיום מסכן את חירות פעולתו של הפרט שכן פעמים רבות כרוך האיום גם בציפייה להתנהגות מסויימת מצד המאויים שהמאיים מבקש להשיג באמצעות השמעת האיום".</w:t>
      </w:r>
    </w:p>
    <w:p w14:paraId="0FB1E358" w14:textId="77777777" w:rsidR="003E1B22" w:rsidRPr="002154B1" w:rsidRDefault="003E1B22" w:rsidP="003E1B22">
      <w:pPr>
        <w:spacing w:line="360" w:lineRule="auto"/>
        <w:contextualSpacing/>
        <w:jc w:val="both"/>
        <w:rPr>
          <w:rFonts w:ascii="David" w:hAnsi="David"/>
          <w:rtl/>
        </w:rPr>
      </w:pPr>
    </w:p>
    <w:p w14:paraId="366B68D5"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15</w:t>
      </w:r>
      <w:r w:rsidRPr="002154B1">
        <w:rPr>
          <w:rFonts w:ascii="David" w:hAnsi="David"/>
          <w:rtl/>
        </w:rPr>
        <w:t xml:space="preserve">. בחינת </w:t>
      </w:r>
      <w:r w:rsidRPr="002154B1">
        <w:rPr>
          <w:rFonts w:ascii="David" w:hAnsi="David"/>
          <w:b/>
          <w:bCs/>
          <w:rtl/>
        </w:rPr>
        <w:t>מידת הפגיעה בערכים המוגנים</w:t>
      </w:r>
      <w:r w:rsidRPr="002154B1">
        <w:rPr>
          <w:rFonts w:ascii="David" w:hAnsi="David"/>
          <w:rtl/>
        </w:rPr>
        <w:t xml:space="preserve"> בגין עבירת </w:t>
      </w:r>
      <w:r w:rsidRPr="002154B1">
        <w:rPr>
          <w:rFonts w:ascii="David" w:hAnsi="David"/>
          <w:b/>
          <w:bCs/>
          <w:rtl/>
        </w:rPr>
        <w:t>האיומים</w:t>
      </w:r>
      <w:r w:rsidRPr="002154B1">
        <w:rPr>
          <w:rFonts w:ascii="David" w:hAnsi="David"/>
          <w:rtl/>
        </w:rPr>
        <w:t xml:space="preserve"> מובילה למסקנה כי הפגיעה בערך המוגן היא ברף הבינוני, וזאת בשים לב לכך שמדובר באירוע יחיד, לתוכן האיום ולהיות המאוים שוטר בעת מילוי תפקידו.</w:t>
      </w:r>
    </w:p>
    <w:p w14:paraId="51A18041" w14:textId="77777777" w:rsidR="003E1B22" w:rsidRPr="002154B1" w:rsidRDefault="003E1B22" w:rsidP="003E1B22">
      <w:pPr>
        <w:spacing w:line="360" w:lineRule="auto"/>
        <w:contextualSpacing/>
        <w:jc w:val="both"/>
        <w:rPr>
          <w:rFonts w:ascii="David" w:hAnsi="David"/>
          <w:rtl/>
        </w:rPr>
      </w:pPr>
    </w:p>
    <w:p w14:paraId="3BC22564"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16</w:t>
      </w:r>
      <w:r w:rsidRPr="002154B1">
        <w:rPr>
          <w:rFonts w:ascii="David" w:hAnsi="David"/>
          <w:rtl/>
        </w:rPr>
        <w:t xml:space="preserve">. בחינת </w:t>
      </w:r>
      <w:r w:rsidRPr="002154B1">
        <w:rPr>
          <w:rFonts w:ascii="David" w:hAnsi="David"/>
          <w:b/>
          <w:bCs/>
          <w:rtl/>
        </w:rPr>
        <w:t xml:space="preserve">מדיניות הענישה הנוהגת </w:t>
      </w:r>
      <w:r w:rsidRPr="002154B1">
        <w:rPr>
          <w:rFonts w:ascii="David" w:hAnsi="David"/>
          <w:rtl/>
        </w:rPr>
        <w:t xml:space="preserve">בגין </w:t>
      </w:r>
      <w:r w:rsidRPr="002154B1">
        <w:rPr>
          <w:rFonts w:ascii="David" w:hAnsi="David"/>
          <w:b/>
          <w:bCs/>
          <w:rtl/>
        </w:rPr>
        <w:t>עבירת הסמים</w:t>
      </w:r>
      <w:r w:rsidRPr="002154B1">
        <w:rPr>
          <w:rFonts w:ascii="David" w:hAnsi="David"/>
          <w:rtl/>
        </w:rPr>
        <w:t xml:space="preserve"> אשר ביצע הנאשם</w:t>
      </w:r>
      <w:r w:rsidRPr="002154B1">
        <w:rPr>
          <w:rFonts w:ascii="David" w:hAnsi="David"/>
          <w:b/>
          <w:bCs/>
          <w:rtl/>
        </w:rPr>
        <w:t xml:space="preserve"> </w:t>
      </w:r>
      <w:r w:rsidRPr="002154B1">
        <w:rPr>
          <w:rFonts w:ascii="David" w:hAnsi="David"/>
          <w:rtl/>
        </w:rPr>
        <w:t>מעלה כי במקרים דומים הוטלו על נאשמים עונשים כמפורט להלן:</w:t>
      </w:r>
    </w:p>
    <w:p w14:paraId="222136C3" w14:textId="77777777" w:rsidR="003E1B22" w:rsidRPr="002154B1" w:rsidRDefault="003E1B22" w:rsidP="003E1B22">
      <w:pPr>
        <w:numPr>
          <w:ilvl w:val="0"/>
          <w:numId w:val="1"/>
        </w:numPr>
        <w:spacing w:line="360" w:lineRule="auto"/>
        <w:ind w:left="340" w:hanging="340"/>
        <w:contextualSpacing/>
        <w:jc w:val="both"/>
        <w:rPr>
          <w:rFonts w:ascii="David" w:hAnsi="David"/>
        </w:rPr>
      </w:pPr>
      <w:r w:rsidRPr="002154B1">
        <w:rPr>
          <w:rFonts w:ascii="David" w:hAnsi="David"/>
          <w:rtl/>
        </w:rPr>
        <w:t>ב</w:t>
      </w:r>
      <w:hyperlink r:id="rId25" w:history="1">
        <w:r w:rsidR="0084531B" w:rsidRPr="0084531B">
          <w:rPr>
            <w:rFonts w:ascii="David" w:hAnsi="David"/>
            <w:b/>
            <w:bCs/>
            <w:color w:val="0000FF"/>
            <w:u w:val="single"/>
            <w:rtl/>
          </w:rPr>
          <w:t>רע"פ 10423/09</w:t>
        </w:r>
      </w:hyperlink>
      <w:r w:rsidRPr="002154B1">
        <w:rPr>
          <w:rFonts w:ascii="David" w:hAnsi="David"/>
          <w:b/>
          <w:bCs/>
          <w:rtl/>
        </w:rPr>
        <w:t xml:space="preserve"> שורר נגד מדינת ישראל (26/04/10) </w:t>
      </w:r>
      <w:r w:rsidRPr="002154B1">
        <w:rPr>
          <w:rFonts w:ascii="David" w:hAnsi="David"/>
          <w:rtl/>
        </w:rPr>
        <w:t>בית המשפט העליון אישר עונש של 6 חודשי עבודות שירות בגין ביצוע עבירה של החזקת כ-500 גרם קנבוס שלא לצריכה עצמית על אף המלצת תסקיר שירות המבחן לבטל ההרשעה. עוד הוטלו על הנאשם מאסר מותנה, קנס בסך 2,500 ₪ והתחייבות.</w:t>
      </w:r>
    </w:p>
    <w:p w14:paraId="6F3E8A9D" w14:textId="77777777" w:rsidR="003E1B22" w:rsidRPr="002154B1" w:rsidRDefault="003E1B22" w:rsidP="003E1B22">
      <w:pPr>
        <w:numPr>
          <w:ilvl w:val="0"/>
          <w:numId w:val="1"/>
        </w:numPr>
        <w:spacing w:line="360" w:lineRule="auto"/>
        <w:ind w:left="340" w:hanging="340"/>
        <w:contextualSpacing/>
        <w:jc w:val="both"/>
        <w:rPr>
          <w:rFonts w:ascii="David" w:hAnsi="David"/>
        </w:rPr>
      </w:pPr>
      <w:r w:rsidRPr="002154B1">
        <w:rPr>
          <w:rtl/>
        </w:rPr>
        <w:t>ב</w:t>
      </w:r>
      <w:hyperlink r:id="rId26" w:history="1">
        <w:r w:rsidR="0084531B" w:rsidRPr="0084531B">
          <w:rPr>
            <w:b/>
            <w:bCs/>
            <w:color w:val="0000FF"/>
            <w:u w:val="single"/>
            <w:rtl/>
          </w:rPr>
          <w:t>רע"פ 2590/10</w:t>
        </w:r>
      </w:hyperlink>
      <w:r w:rsidRPr="002154B1">
        <w:rPr>
          <w:b/>
          <w:bCs/>
          <w:rtl/>
        </w:rPr>
        <w:t xml:space="preserve"> שגיא נגד מדינת ישראל</w:t>
      </w:r>
      <w:r w:rsidRPr="002154B1">
        <w:rPr>
          <w:rtl/>
        </w:rPr>
        <w:t xml:space="preserve"> </w:t>
      </w:r>
      <w:r w:rsidRPr="002154B1">
        <w:rPr>
          <w:b/>
          <w:bCs/>
          <w:rtl/>
        </w:rPr>
        <w:t>(08/04/10)</w:t>
      </w:r>
      <w:r w:rsidRPr="002154B1">
        <w:rPr>
          <w:rtl/>
        </w:rPr>
        <w:t>, אליו הפנתה ב"כ המאשימה, אישר בית המשפט העליון את פסק דינו של בית המשפט המחוזי, אשר דחה ערעור על פסק דינו של בית משפט השלום בטבריה שהטיל על הנאשם, בגין עבירת החזקת סמים מסוכנים מסוג קנבוס שלא לצריכה עצמית במשקל כולל של כ-270 גרם ובהחזקת כלים להכנת סם או לצריכתו - 6 חודשי מאסר לריצוי בדרך של עבודות שירות, מאסרים מותנים, פסילה למשך 12 חודשים, צו מבחן למשך 24 חודשים וקנס בסך 3,000 ₪.</w:t>
      </w:r>
    </w:p>
    <w:p w14:paraId="4D589694" w14:textId="77777777" w:rsidR="003E1B22" w:rsidRPr="002154B1" w:rsidRDefault="003E1B22" w:rsidP="003E1B22">
      <w:pPr>
        <w:numPr>
          <w:ilvl w:val="0"/>
          <w:numId w:val="1"/>
        </w:numPr>
        <w:spacing w:line="360" w:lineRule="auto"/>
        <w:ind w:left="340" w:hanging="340"/>
        <w:contextualSpacing/>
        <w:jc w:val="both"/>
        <w:rPr>
          <w:rFonts w:ascii="David" w:hAnsi="David"/>
        </w:rPr>
      </w:pPr>
      <w:r w:rsidRPr="002154B1">
        <w:rPr>
          <w:rFonts w:ascii="David" w:hAnsi="David"/>
          <w:rtl/>
        </w:rPr>
        <w:t>ב</w:t>
      </w:r>
      <w:hyperlink r:id="rId27" w:history="1">
        <w:r w:rsidR="0084531B" w:rsidRPr="0084531B">
          <w:rPr>
            <w:rFonts w:ascii="David" w:hAnsi="David"/>
            <w:b/>
            <w:bCs/>
            <w:color w:val="0000FF"/>
            <w:u w:val="single"/>
            <w:rtl/>
          </w:rPr>
          <w:t>עפ"ג (חי') 63945-07-18</w:t>
        </w:r>
      </w:hyperlink>
      <w:r w:rsidRPr="002154B1">
        <w:rPr>
          <w:b/>
          <w:bCs/>
          <w:rtl/>
        </w:rPr>
        <w:t xml:space="preserve"> מדינת ישראל נגד אזריאל (08/11/18)</w:t>
      </w:r>
      <w:r w:rsidRPr="002154B1">
        <w:rPr>
          <w:rtl/>
        </w:rPr>
        <w:t xml:space="preserve"> קיבל בית המשפט את ערעורה של המאשימה, בעניינו של נאשם אשר הורשע בהתאם להודאתו בביצוע עבירת החזקת סמים מסוכנים שלא לצריכה עצמית. בית משפט השלום הטיל על הנאשם, אשר החזיק סם מסוכן מסוג קאנביס במשקל 758 גרם נטו שלא לצריכתו האישית, בין היתר, 9 ימי מאסר בניכוי ימי מאסרו. יש לציין כי זאת לאחר שבבדיקת שתן שמסר הנאשם אצל הממונה על עבודות השירות נמצאו שרידי סם ומשכך קבע הממונה כי הנאשם לא מתאים לרצות מאסר בדרך של עבודות שירות. בית המשפט המחוזי קבע כי מתחם הענישה בגין החזקת סמים שלא לשימוש עצמי במשקל של מאות גרמים צריך לעמוד על בין מספר חודשי מאסר שניתן לרצותם בעבודות שירות ועד ל-12 חודשי מאסר בפועל. לאחר ששקל כלל השיקולים הרלוונטיים בעניינו של הנאשם, הטיל בית המשפט המחוזי על הנאשם, בין היתר, 5 חודשי מאסר בפועל לריצוי מאחורי סורג ובריח. </w:t>
      </w:r>
    </w:p>
    <w:p w14:paraId="5A959B2F" w14:textId="77777777" w:rsidR="003E1B22" w:rsidRPr="002154B1" w:rsidRDefault="003E1B22" w:rsidP="003E1B22">
      <w:pPr>
        <w:numPr>
          <w:ilvl w:val="0"/>
          <w:numId w:val="1"/>
        </w:numPr>
        <w:spacing w:line="360" w:lineRule="auto"/>
        <w:ind w:left="340" w:hanging="340"/>
        <w:contextualSpacing/>
        <w:jc w:val="both"/>
        <w:rPr>
          <w:rFonts w:ascii="David" w:hAnsi="David"/>
        </w:rPr>
      </w:pPr>
      <w:r w:rsidRPr="002154B1">
        <w:rPr>
          <w:rtl/>
        </w:rPr>
        <w:t>ב</w:t>
      </w:r>
      <w:hyperlink r:id="rId28" w:history="1">
        <w:r w:rsidR="0084531B" w:rsidRPr="0084531B">
          <w:rPr>
            <w:b/>
            <w:bCs/>
            <w:color w:val="0000FF"/>
            <w:u w:val="single"/>
            <w:rtl/>
          </w:rPr>
          <w:t>ת"פ (רמ') 33125-01-14</w:t>
        </w:r>
      </w:hyperlink>
      <w:r w:rsidRPr="002154B1">
        <w:rPr>
          <w:b/>
          <w:bCs/>
          <w:rtl/>
        </w:rPr>
        <w:t xml:space="preserve"> מדינת ישראל נגד אבו לבן ואח' (15/01/15) </w:t>
      </w:r>
      <w:r w:rsidRPr="002154B1">
        <w:rPr>
          <w:rtl/>
        </w:rPr>
        <w:t xml:space="preserve">קבע בית המשפט כי מתחם הענישה בגין עבירת החזקת סמים מסוג חשיש וקנבוס, שלא לצריכה עצמית, במשקל של כ-94 גרם, הוא בין 4 חודשי מאסר שיכול וירוצו בעבודות שירות לבין 18 חודשי מאסר בפועל, וגזר על הנאשם, בין היתר, 8 חודשי מאסר בפועל. </w:t>
      </w:r>
    </w:p>
    <w:p w14:paraId="386F37BC" w14:textId="77777777" w:rsidR="003E1B22" w:rsidRPr="002154B1" w:rsidRDefault="003E1B22" w:rsidP="003E1B22">
      <w:pPr>
        <w:numPr>
          <w:ilvl w:val="0"/>
          <w:numId w:val="1"/>
        </w:numPr>
        <w:spacing w:line="360" w:lineRule="auto"/>
        <w:ind w:left="340" w:hanging="340"/>
        <w:contextualSpacing/>
        <w:jc w:val="both"/>
        <w:rPr>
          <w:rtl/>
        </w:rPr>
      </w:pPr>
      <w:r w:rsidRPr="002154B1">
        <w:rPr>
          <w:rtl/>
        </w:rPr>
        <w:t>ב</w:t>
      </w:r>
      <w:hyperlink r:id="rId29" w:history="1">
        <w:r w:rsidR="0084531B" w:rsidRPr="0084531B">
          <w:rPr>
            <w:b/>
            <w:bCs/>
            <w:color w:val="0000FF"/>
            <w:u w:val="single"/>
            <w:rtl/>
          </w:rPr>
          <w:t>ת"פ (ת"א) 54653-07-12</w:t>
        </w:r>
      </w:hyperlink>
      <w:r w:rsidRPr="002154B1">
        <w:rPr>
          <w:b/>
          <w:bCs/>
          <w:rtl/>
        </w:rPr>
        <w:t xml:space="preserve"> מדינת ישראל נגד נאביאן (24/02/14) </w:t>
      </w:r>
      <w:r w:rsidRPr="002154B1">
        <w:rPr>
          <w:rtl/>
        </w:rPr>
        <w:t>קבע בית המשפט כי מתחם הענישה בגין עבירת החזקת סמים מסוג חשיש, שלא לצריכה עצמית, במשקל של כ-500 גרם נטו, הוא בין מספר חודשי מאסר שיכול וירוצו בעבודות שירות לבין 12 חודשי מאסר בפועל.</w:t>
      </w:r>
    </w:p>
    <w:p w14:paraId="1DBA0316" w14:textId="77777777" w:rsidR="003E1B22" w:rsidRPr="002154B1" w:rsidRDefault="003E1B22" w:rsidP="003E1B22">
      <w:pPr>
        <w:spacing w:line="360" w:lineRule="auto"/>
        <w:contextualSpacing/>
        <w:jc w:val="both"/>
        <w:rPr>
          <w:rtl/>
        </w:rPr>
      </w:pPr>
    </w:p>
    <w:p w14:paraId="04152A07" w14:textId="77777777" w:rsidR="003E1B22" w:rsidRPr="002154B1" w:rsidRDefault="003E1B22" w:rsidP="003E1B22">
      <w:pPr>
        <w:spacing w:line="360" w:lineRule="auto"/>
        <w:contextualSpacing/>
        <w:jc w:val="both"/>
        <w:rPr>
          <w:rFonts w:ascii="David" w:hAnsi="David"/>
        </w:rPr>
      </w:pPr>
      <w:r w:rsidRPr="002154B1">
        <w:rPr>
          <w:b/>
          <w:bCs/>
          <w:rtl/>
        </w:rPr>
        <w:t>17</w:t>
      </w:r>
      <w:r w:rsidRPr="002154B1">
        <w:rPr>
          <w:rtl/>
        </w:rPr>
        <w:t xml:space="preserve">. במסגרת </w:t>
      </w:r>
      <w:r w:rsidRPr="002154B1">
        <w:rPr>
          <w:b/>
          <w:bCs/>
          <w:rtl/>
        </w:rPr>
        <w:t>הנסיבות הקשורות בביצוע העבירה</w:t>
      </w:r>
      <w:r w:rsidRPr="002154B1">
        <w:rPr>
          <w:rtl/>
        </w:rPr>
        <w:t xml:space="preserve"> (</w:t>
      </w:r>
      <w:hyperlink r:id="rId30" w:history="1">
        <w:r w:rsidR="00F961BD" w:rsidRPr="00F961BD">
          <w:rPr>
            <w:rStyle w:val="Hyperlink"/>
            <w:b/>
            <w:bCs/>
            <w:rtl/>
          </w:rPr>
          <w:t>סעיף 40ט</w:t>
        </w:r>
      </w:hyperlink>
      <w:r w:rsidRPr="002154B1">
        <w:rPr>
          <w:b/>
          <w:bCs/>
          <w:rtl/>
        </w:rPr>
        <w:t xml:space="preserve"> לחוק</w:t>
      </w:r>
      <w:r w:rsidRPr="002154B1">
        <w:rPr>
          <w:rtl/>
        </w:rPr>
        <w:t xml:space="preserve">) יש לתת את הדעת להיות הנאשם מבצע יחיד ולנזק אשר היה צפוי להיגרם </w:t>
      </w:r>
      <w:r>
        <w:rPr>
          <w:rFonts w:hint="cs"/>
          <w:rtl/>
        </w:rPr>
        <w:t xml:space="preserve">ככל והסם היה מופץ שהרי הוחזק שלא לשימוש עצמי. </w:t>
      </w:r>
    </w:p>
    <w:p w14:paraId="3AFA0983" w14:textId="77777777" w:rsidR="003E1B22" w:rsidRPr="002154B1" w:rsidRDefault="003E1B22" w:rsidP="003E1B22">
      <w:pPr>
        <w:spacing w:line="360" w:lineRule="auto"/>
        <w:jc w:val="both"/>
        <w:rPr>
          <w:rFonts w:ascii="David" w:hAnsi="David"/>
        </w:rPr>
      </w:pPr>
    </w:p>
    <w:p w14:paraId="254BBE8F"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18</w:t>
      </w:r>
      <w:r w:rsidRPr="002154B1">
        <w:rPr>
          <w:rFonts w:ascii="David" w:hAnsi="David"/>
          <w:rtl/>
        </w:rPr>
        <w:t>. בהתאם לתיקון 113 ל</w:t>
      </w:r>
      <w:hyperlink r:id="rId31" w:history="1">
        <w:r w:rsidR="0084531B" w:rsidRPr="0084531B">
          <w:rPr>
            <w:rFonts w:ascii="David" w:hAnsi="David"/>
            <w:color w:val="0000FF"/>
            <w:u w:val="single"/>
            <w:rtl/>
          </w:rPr>
          <w:t>חוק העונשין</w:t>
        </w:r>
      </w:hyperlink>
      <w:r w:rsidRPr="002154B1">
        <w:rPr>
          <w:rFonts w:ascii="David" w:hAnsi="David"/>
          <w:rtl/>
        </w:rPr>
        <w:t xml:space="preserve"> (</w:t>
      </w:r>
      <w:r w:rsidRPr="002154B1">
        <w:rPr>
          <w:rFonts w:ascii="David" w:hAnsi="David"/>
          <w:b/>
          <w:bCs/>
          <w:rtl/>
        </w:rPr>
        <w:t xml:space="preserve">סעיף </w:t>
      </w:r>
      <w:hyperlink r:id="rId32" w:history="1">
        <w:r w:rsidR="00F961BD" w:rsidRPr="00F961BD">
          <w:rPr>
            <w:rStyle w:val="Hyperlink"/>
            <w:rFonts w:ascii="David" w:hAnsi="David"/>
            <w:b/>
            <w:bCs/>
            <w:rtl/>
          </w:rPr>
          <w:t>40 יג</w:t>
        </w:r>
      </w:hyperlink>
      <w:r w:rsidRPr="002154B1">
        <w:rPr>
          <w:rFonts w:ascii="David" w:hAnsi="David"/>
          <w:rtl/>
        </w:rPr>
        <w:t xml:space="preserve">) מצאתי כי </w:t>
      </w:r>
      <w:r w:rsidRPr="002154B1">
        <w:rPr>
          <w:rFonts w:ascii="David" w:hAnsi="David"/>
          <w:b/>
          <w:bCs/>
          <w:rtl/>
        </w:rPr>
        <w:t>מתחם העונש ההולם</w:t>
      </w:r>
      <w:r w:rsidRPr="002154B1">
        <w:rPr>
          <w:rFonts w:ascii="David" w:hAnsi="David"/>
          <w:rtl/>
        </w:rPr>
        <w:t xml:space="preserve"> בגין </w:t>
      </w:r>
      <w:r w:rsidRPr="008D1DDB">
        <w:rPr>
          <w:rFonts w:ascii="David" w:hAnsi="David"/>
          <w:b/>
          <w:bCs/>
          <w:rtl/>
        </w:rPr>
        <w:t>עבירת הסמים</w:t>
      </w:r>
      <w:r w:rsidRPr="002154B1">
        <w:rPr>
          <w:rFonts w:ascii="David" w:hAnsi="David"/>
          <w:rtl/>
        </w:rPr>
        <w:t xml:space="preserve"> שביצע הנאשם הוא בין </w:t>
      </w:r>
      <w:r w:rsidRPr="002154B1">
        <w:rPr>
          <w:rtl/>
        </w:rPr>
        <w:t>מספר חודשי מאסר בפועל שיכול וירוצו בעבודות שירות לבין 12 חודשי מאסר בפועל.</w:t>
      </w:r>
    </w:p>
    <w:p w14:paraId="65DA30DD" w14:textId="77777777" w:rsidR="003E1B22" w:rsidRPr="002154B1" w:rsidRDefault="003E1B22" w:rsidP="003E1B22">
      <w:pPr>
        <w:spacing w:line="360" w:lineRule="auto"/>
        <w:contextualSpacing/>
        <w:jc w:val="both"/>
        <w:rPr>
          <w:rFonts w:ascii="David" w:hAnsi="David"/>
          <w:rtl/>
        </w:rPr>
      </w:pPr>
    </w:p>
    <w:p w14:paraId="7E9181F9"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19</w:t>
      </w:r>
      <w:r w:rsidRPr="002154B1">
        <w:rPr>
          <w:rFonts w:ascii="David" w:hAnsi="David"/>
          <w:rtl/>
        </w:rPr>
        <w:t xml:space="preserve">. </w:t>
      </w:r>
      <w:r w:rsidRPr="002154B1">
        <w:rPr>
          <w:rtl/>
        </w:rPr>
        <w:t>אציין כי גם ב</w:t>
      </w:r>
      <w:hyperlink r:id="rId33" w:history="1">
        <w:r w:rsidR="0084531B" w:rsidRPr="0084531B">
          <w:rPr>
            <w:b/>
            <w:bCs/>
            <w:color w:val="0000FF"/>
            <w:u w:val="single"/>
            <w:rtl/>
          </w:rPr>
          <w:t>ת"פ 29899-12-18</w:t>
        </w:r>
      </w:hyperlink>
      <w:r w:rsidRPr="002154B1">
        <w:rPr>
          <w:b/>
          <w:bCs/>
          <w:rtl/>
        </w:rPr>
        <w:t xml:space="preserve"> מדינת ישראל נגד בניסתי (30/06/19),</w:t>
      </w:r>
      <w:r w:rsidRPr="002154B1">
        <w:rPr>
          <w:rtl/>
        </w:rPr>
        <w:t xml:space="preserve"> אליו ה</w:t>
      </w:r>
      <w:r>
        <w:rPr>
          <w:rFonts w:hint="cs"/>
          <w:rtl/>
        </w:rPr>
        <w:t>תייחס</w:t>
      </w:r>
      <w:r w:rsidRPr="002154B1">
        <w:rPr>
          <w:rtl/>
        </w:rPr>
        <w:t xml:space="preserve"> ב"כ הנאשם, קבעתי מתחם עונש דומה, ומטעמי שיקום רחבים חרגתי ממתחם הענישה והסתפקתי בהטלת חודש מאסר בפועל לריצוי בעבודות שירות. מקרה זה שונה בנסיבותיו האישיות של הנאשם מהנאשם העומד לפניי היום, ואף הפסיקה בו איננה תואמת או מבססת את עתירת ב"כ הנאשם היום. </w:t>
      </w:r>
    </w:p>
    <w:p w14:paraId="2F3418AE" w14:textId="77777777" w:rsidR="003E1B22" w:rsidRPr="002154B1" w:rsidRDefault="003E1B22" w:rsidP="003E1B22">
      <w:pPr>
        <w:spacing w:line="360" w:lineRule="auto"/>
        <w:contextualSpacing/>
        <w:jc w:val="both"/>
        <w:rPr>
          <w:rFonts w:ascii="David" w:hAnsi="David"/>
          <w:rtl/>
        </w:rPr>
      </w:pPr>
    </w:p>
    <w:p w14:paraId="7CA3A259" w14:textId="77777777" w:rsidR="003E1B22" w:rsidRPr="002154B1" w:rsidRDefault="003E1B22" w:rsidP="003E1B22">
      <w:pPr>
        <w:spacing w:line="360" w:lineRule="auto"/>
        <w:contextualSpacing/>
        <w:jc w:val="both"/>
        <w:rPr>
          <w:rFonts w:ascii="David" w:hAnsi="David"/>
          <w:rtl/>
        </w:rPr>
      </w:pPr>
      <w:r w:rsidRPr="002154B1">
        <w:rPr>
          <w:rFonts w:ascii="David" w:hAnsi="David"/>
          <w:rtl/>
        </w:rPr>
        <w:t>באשר לטענת ב"כ הנאשם כי יש להתחשב באופן משמעותי לקולה בתפיסה הרווחת לפיה החזקת סמים מסוג קנאביס היא לגיטימית, יפים הדברים שנאמרו ב</w:t>
      </w:r>
      <w:hyperlink r:id="rId34" w:history="1">
        <w:r w:rsidR="0084531B" w:rsidRPr="0084531B">
          <w:rPr>
            <w:rFonts w:ascii="David" w:hAnsi="David"/>
            <w:b/>
            <w:bCs/>
            <w:color w:val="0000FF"/>
            <w:u w:val="single"/>
            <w:rtl/>
          </w:rPr>
          <w:t>ע"פ 2596/18</w:t>
        </w:r>
      </w:hyperlink>
      <w:r w:rsidRPr="002154B1">
        <w:rPr>
          <w:rFonts w:ascii="David" w:hAnsi="David"/>
          <w:b/>
          <w:bCs/>
          <w:rtl/>
        </w:rPr>
        <w:t xml:space="preserve"> זנזורי נגד מדינת ישראל (12/08/18), </w:t>
      </w:r>
      <w:r w:rsidRPr="002154B1">
        <w:rPr>
          <w:rFonts w:ascii="David" w:hAnsi="David"/>
          <w:rtl/>
        </w:rPr>
        <w:t xml:space="preserve">אשר אומנם נכתבו במסגרת תיק שעסק בעבירות סחר, אך רלוונטיים לעניין טענה זו: </w:t>
      </w:r>
    </w:p>
    <w:p w14:paraId="2C983A0D" w14:textId="77777777" w:rsidR="003E1B22" w:rsidRPr="002154B1" w:rsidRDefault="003E1B22" w:rsidP="003E1B22">
      <w:pPr>
        <w:spacing w:line="360" w:lineRule="auto"/>
        <w:ind w:left="340" w:right="340"/>
        <w:contextualSpacing/>
        <w:jc w:val="both"/>
        <w:rPr>
          <w:rFonts w:ascii="David" w:hAnsi="David"/>
          <w:rtl/>
        </w:rPr>
      </w:pPr>
      <w:r w:rsidRPr="002154B1">
        <w:rPr>
          <w:rFonts w:ascii="David" w:hAnsi="David"/>
          <w:b/>
          <w:bCs/>
          <w:rtl/>
        </w:rPr>
        <w:t>"</w:t>
      </w:r>
      <w:r w:rsidRPr="002154B1">
        <w:rPr>
          <w:rFonts w:ascii="Century" w:hAnsi="Century" w:hint="eastAsia"/>
          <w:b/>
          <w:bCs/>
          <w:rtl/>
        </w:rPr>
        <w:t>ריבוי</w:t>
      </w:r>
      <w:r w:rsidRPr="002154B1">
        <w:rPr>
          <w:rFonts w:ascii="Century" w:hAnsi="Century"/>
          <w:b/>
          <w:bCs/>
          <w:rtl/>
        </w:rPr>
        <w:t xml:space="preserve"> </w:t>
      </w:r>
      <w:r w:rsidRPr="002154B1">
        <w:rPr>
          <w:rFonts w:ascii="Century" w:hAnsi="Century" w:hint="eastAsia"/>
          <w:b/>
          <w:bCs/>
          <w:rtl/>
        </w:rPr>
        <w:t>המקרים</w:t>
      </w:r>
      <w:r w:rsidRPr="002154B1">
        <w:rPr>
          <w:rFonts w:ascii="Century" w:hAnsi="Century"/>
          <w:b/>
          <w:bCs/>
          <w:rtl/>
        </w:rPr>
        <w:t xml:space="preserve"> </w:t>
      </w:r>
      <w:r w:rsidRPr="002154B1">
        <w:rPr>
          <w:rFonts w:ascii="Century" w:hAnsi="Century" w:hint="eastAsia"/>
          <w:b/>
          <w:bCs/>
          <w:rtl/>
        </w:rPr>
        <w:t>המובאים</w:t>
      </w:r>
      <w:r w:rsidRPr="002154B1">
        <w:rPr>
          <w:rFonts w:ascii="Century" w:hAnsi="Century"/>
          <w:b/>
          <w:bCs/>
          <w:rtl/>
        </w:rPr>
        <w:t xml:space="preserve"> </w:t>
      </w:r>
      <w:r w:rsidRPr="002154B1">
        <w:rPr>
          <w:rFonts w:ascii="Century" w:hAnsi="Century" w:hint="eastAsia"/>
          <w:b/>
          <w:bCs/>
          <w:rtl/>
        </w:rPr>
        <w:t>לפנינו</w:t>
      </w:r>
      <w:r w:rsidRPr="002154B1">
        <w:rPr>
          <w:rFonts w:ascii="Century" w:hAnsi="Century"/>
          <w:b/>
          <w:bCs/>
          <w:rtl/>
        </w:rPr>
        <w:t xml:space="preserve"> </w:t>
      </w:r>
      <w:r w:rsidRPr="002154B1">
        <w:rPr>
          <w:rFonts w:ascii="Century" w:hAnsi="Century" w:hint="eastAsia"/>
          <w:b/>
          <w:bCs/>
          <w:rtl/>
        </w:rPr>
        <w:t>בעת</w:t>
      </w:r>
      <w:r w:rsidRPr="002154B1">
        <w:rPr>
          <w:rFonts w:ascii="Century" w:hAnsi="Century"/>
          <w:b/>
          <w:bCs/>
          <w:rtl/>
        </w:rPr>
        <w:t xml:space="preserve"> </w:t>
      </w:r>
      <w:r w:rsidRPr="002154B1">
        <w:rPr>
          <w:rFonts w:ascii="Century" w:hAnsi="Century" w:hint="eastAsia"/>
          <w:b/>
          <w:bCs/>
          <w:rtl/>
        </w:rPr>
        <w:t>האחרונה</w:t>
      </w:r>
      <w:r w:rsidRPr="002154B1">
        <w:rPr>
          <w:rFonts w:ascii="Century" w:hAnsi="Century"/>
          <w:b/>
          <w:bCs/>
          <w:rtl/>
        </w:rPr>
        <w:t xml:space="preserve"> – </w:t>
      </w:r>
      <w:r w:rsidRPr="002154B1">
        <w:rPr>
          <w:rFonts w:ascii="Century" w:hAnsi="Century" w:hint="eastAsia"/>
          <w:b/>
          <w:bCs/>
          <w:rtl/>
        </w:rPr>
        <w:t>של</w:t>
      </w:r>
      <w:r w:rsidRPr="002154B1">
        <w:rPr>
          <w:rFonts w:ascii="Century" w:hAnsi="Century"/>
          <w:b/>
          <w:bCs/>
          <w:rtl/>
        </w:rPr>
        <w:t xml:space="preserve"> </w:t>
      </w:r>
      <w:r w:rsidRPr="002154B1">
        <w:rPr>
          <w:rFonts w:ascii="Century" w:hAnsi="Century" w:hint="eastAsia"/>
          <w:b/>
          <w:bCs/>
          <w:rtl/>
        </w:rPr>
        <w:t>גידול</w:t>
      </w:r>
      <w:r w:rsidRPr="002154B1">
        <w:rPr>
          <w:rFonts w:ascii="Century" w:hAnsi="Century"/>
          <w:b/>
          <w:bCs/>
          <w:rtl/>
        </w:rPr>
        <w:t xml:space="preserve">, </w:t>
      </w:r>
      <w:r w:rsidRPr="002154B1">
        <w:rPr>
          <w:rFonts w:ascii="Century" w:hAnsi="Century" w:hint="eastAsia"/>
          <w:b/>
          <w:bCs/>
          <w:rtl/>
        </w:rPr>
        <w:t>ייצור</w:t>
      </w:r>
      <w:r w:rsidRPr="002154B1">
        <w:rPr>
          <w:rFonts w:ascii="Century" w:hAnsi="Century"/>
          <w:b/>
          <w:bCs/>
          <w:rtl/>
        </w:rPr>
        <w:t xml:space="preserve"> </w:t>
      </w:r>
      <w:r w:rsidRPr="002154B1">
        <w:rPr>
          <w:rFonts w:ascii="Century" w:hAnsi="Century" w:hint="eastAsia"/>
          <w:b/>
          <w:bCs/>
          <w:rtl/>
        </w:rPr>
        <w:t>והפקת</w:t>
      </w:r>
      <w:r w:rsidRPr="002154B1">
        <w:rPr>
          <w:rFonts w:ascii="Century" w:hAnsi="Century"/>
          <w:b/>
          <w:bCs/>
          <w:rtl/>
        </w:rPr>
        <w:t xml:space="preserve"> </w:t>
      </w:r>
      <w:r w:rsidRPr="002154B1">
        <w:rPr>
          <w:rFonts w:ascii="Century" w:hAnsi="Century" w:hint="eastAsia"/>
          <w:b/>
          <w:bCs/>
          <w:rtl/>
        </w:rPr>
        <w:t>קנבוס</w:t>
      </w:r>
      <w:r w:rsidRPr="002154B1">
        <w:rPr>
          <w:rFonts w:ascii="Century" w:hAnsi="Century"/>
          <w:b/>
          <w:bCs/>
          <w:rtl/>
        </w:rPr>
        <w:t xml:space="preserve"> </w:t>
      </w:r>
      <w:r w:rsidRPr="002154B1">
        <w:rPr>
          <w:rFonts w:ascii="Century" w:hAnsi="Century" w:hint="eastAsia"/>
          <w:b/>
          <w:bCs/>
          <w:rtl/>
        </w:rPr>
        <w:t>לשם</w:t>
      </w:r>
      <w:r w:rsidRPr="002154B1">
        <w:rPr>
          <w:rFonts w:ascii="Century" w:hAnsi="Century"/>
          <w:b/>
          <w:bCs/>
          <w:rtl/>
        </w:rPr>
        <w:t xml:space="preserve"> </w:t>
      </w:r>
      <w:r w:rsidRPr="002154B1">
        <w:rPr>
          <w:rFonts w:ascii="Century" w:hAnsi="Century" w:hint="eastAsia"/>
          <w:b/>
          <w:bCs/>
          <w:rtl/>
        </w:rPr>
        <w:t>הפצה</w:t>
      </w:r>
      <w:r w:rsidRPr="002154B1">
        <w:rPr>
          <w:rFonts w:ascii="Century" w:hAnsi="Century"/>
          <w:b/>
          <w:bCs/>
          <w:rtl/>
        </w:rPr>
        <w:t xml:space="preserve"> </w:t>
      </w:r>
      <w:r w:rsidRPr="002154B1">
        <w:rPr>
          <w:rFonts w:ascii="Century" w:hAnsi="Century" w:hint="eastAsia"/>
          <w:b/>
          <w:bCs/>
          <w:rtl/>
        </w:rPr>
        <w:t>ומכירה</w:t>
      </w:r>
      <w:r w:rsidRPr="002154B1">
        <w:rPr>
          <w:rFonts w:ascii="Century" w:hAnsi="Century"/>
          <w:b/>
          <w:bCs/>
          <w:rtl/>
        </w:rPr>
        <w:t xml:space="preserve">, </w:t>
      </w:r>
      <w:r w:rsidRPr="002154B1">
        <w:rPr>
          <w:rFonts w:ascii="Century" w:hAnsi="Century" w:hint="eastAsia"/>
          <w:b/>
          <w:bCs/>
          <w:rtl/>
        </w:rPr>
        <w:t>כמו</w:t>
      </w:r>
      <w:r w:rsidRPr="002154B1">
        <w:rPr>
          <w:rFonts w:ascii="Century" w:hAnsi="Century"/>
          <w:b/>
          <w:bCs/>
          <w:rtl/>
        </w:rPr>
        <w:t xml:space="preserve"> </w:t>
      </w:r>
      <w:r w:rsidRPr="002154B1">
        <w:rPr>
          <w:rFonts w:ascii="Century" w:hAnsi="Century" w:hint="eastAsia"/>
          <w:b/>
          <w:bCs/>
          <w:rtl/>
        </w:rPr>
        <w:t>גם</w:t>
      </w:r>
      <w:r w:rsidRPr="002154B1">
        <w:rPr>
          <w:rFonts w:ascii="Century" w:hAnsi="Century"/>
          <w:b/>
          <w:bCs/>
          <w:rtl/>
        </w:rPr>
        <w:t xml:space="preserve"> </w:t>
      </w:r>
      <w:r w:rsidRPr="002154B1">
        <w:rPr>
          <w:rFonts w:ascii="Century" w:hAnsi="Century" w:hint="eastAsia"/>
          <w:b/>
          <w:bCs/>
          <w:rtl/>
        </w:rPr>
        <w:t>הפצה</w:t>
      </w:r>
      <w:r w:rsidRPr="002154B1">
        <w:rPr>
          <w:rFonts w:ascii="Century" w:hAnsi="Century"/>
          <w:b/>
          <w:bCs/>
          <w:rtl/>
        </w:rPr>
        <w:t xml:space="preserve"> </w:t>
      </w:r>
      <w:r w:rsidRPr="002154B1">
        <w:rPr>
          <w:rFonts w:ascii="Century" w:hAnsi="Century" w:hint="eastAsia"/>
          <w:b/>
          <w:bCs/>
          <w:rtl/>
        </w:rPr>
        <w:t>ומכירה</w:t>
      </w:r>
      <w:r w:rsidRPr="002154B1">
        <w:rPr>
          <w:rFonts w:ascii="Century" w:hAnsi="Century"/>
          <w:b/>
          <w:bCs/>
          <w:rtl/>
        </w:rPr>
        <w:t xml:space="preserve"> </w:t>
      </w:r>
      <w:r w:rsidRPr="002154B1">
        <w:rPr>
          <w:rFonts w:ascii="Century" w:hAnsi="Century" w:hint="eastAsia"/>
          <w:b/>
          <w:bCs/>
          <w:rtl/>
        </w:rPr>
        <w:t>של</w:t>
      </w:r>
      <w:r w:rsidRPr="002154B1">
        <w:rPr>
          <w:rFonts w:ascii="Century" w:hAnsi="Century"/>
          <w:b/>
          <w:bCs/>
          <w:rtl/>
        </w:rPr>
        <w:t xml:space="preserve"> </w:t>
      </w:r>
      <w:r w:rsidRPr="002154B1">
        <w:rPr>
          <w:rFonts w:ascii="Century" w:hAnsi="Century" w:hint="eastAsia"/>
          <w:b/>
          <w:bCs/>
          <w:rtl/>
        </w:rPr>
        <w:t>קנבוס</w:t>
      </w:r>
      <w:r w:rsidRPr="002154B1">
        <w:rPr>
          <w:rFonts w:ascii="Century" w:hAnsi="Century"/>
          <w:b/>
          <w:bCs/>
          <w:rtl/>
        </w:rPr>
        <w:t xml:space="preserve"> </w:t>
      </w:r>
      <w:r w:rsidRPr="002154B1">
        <w:rPr>
          <w:rFonts w:ascii="Century" w:hAnsi="Century" w:hint="eastAsia"/>
          <w:b/>
          <w:bCs/>
          <w:rtl/>
        </w:rPr>
        <w:t>תוך</w:t>
      </w:r>
      <w:r w:rsidRPr="002154B1">
        <w:rPr>
          <w:rFonts w:ascii="Century" w:hAnsi="Century"/>
          <w:b/>
          <w:bCs/>
          <w:rtl/>
        </w:rPr>
        <w:t xml:space="preserve"> </w:t>
      </w:r>
      <w:r w:rsidRPr="002154B1">
        <w:rPr>
          <w:rFonts w:ascii="Century" w:hAnsi="Century" w:hint="eastAsia"/>
          <w:b/>
          <w:bCs/>
          <w:rtl/>
        </w:rPr>
        <w:t>שימוש</w:t>
      </w:r>
      <w:r w:rsidRPr="002154B1">
        <w:rPr>
          <w:rFonts w:ascii="Century" w:hAnsi="Century"/>
          <w:b/>
          <w:bCs/>
          <w:rtl/>
        </w:rPr>
        <w:t xml:space="preserve"> </w:t>
      </w:r>
      <w:r w:rsidRPr="002154B1">
        <w:rPr>
          <w:rFonts w:ascii="Century" w:hAnsi="Century" w:hint="eastAsia"/>
          <w:b/>
          <w:bCs/>
          <w:rtl/>
        </w:rPr>
        <w:t>באפליקציית</w:t>
      </w:r>
      <w:r w:rsidRPr="002154B1">
        <w:rPr>
          <w:rFonts w:ascii="Century" w:hAnsi="Century"/>
          <w:b/>
          <w:bCs/>
          <w:rtl/>
        </w:rPr>
        <w:t xml:space="preserve"> </w:t>
      </w:r>
      <w:r w:rsidRPr="002154B1">
        <w:rPr>
          <w:rFonts w:ascii="Century" w:hAnsi="Century" w:hint="eastAsia"/>
          <w:b/>
          <w:bCs/>
          <w:rtl/>
        </w:rPr>
        <w:t>ה</w:t>
      </w:r>
      <w:r w:rsidRPr="002154B1">
        <w:rPr>
          <w:rFonts w:ascii="Century" w:hAnsi="Century"/>
          <w:b/>
          <w:bCs/>
          <w:rtl/>
        </w:rPr>
        <w:t>'</w:t>
      </w:r>
      <w:r w:rsidRPr="002154B1">
        <w:rPr>
          <w:rFonts w:ascii="Century" w:hAnsi="Century" w:hint="eastAsia"/>
          <w:b/>
          <w:bCs/>
          <w:rtl/>
        </w:rPr>
        <w:t>טלגראס</w:t>
      </w:r>
      <w:r w:rsidRPr="002154B1">
        <w:rPr>
          <w:rFonts w:ascii="Century" w:hAnsi="Century"/>
          <w:b/>
          <w:bCs/>
          <w:rtl/>
        </w:rPr>
        <w:t xml:space="preserve">', </w:t>
      </w:r>
      <w:r w:rsidRPr="002154B1">
        <w:rPr>
          <w:rFonts w:ascii="Century" w:hAnsi="Century" w:hint="eastAsia"/>
          <w:b/>
          <w:bCs/>
          <w:rtl/>
        </w:rPr>
        <w:t>מעוררים</w:t>
      </w:r>
      <w:r w:rsidRPr="002154B1">
        <w:rPr>
          <w:rFonts w:ascii="Century" w:hAnsi="Century"/>
          <w:b/>
          <w:bCs/>
          <w:rtl/>
        </w:rPr>
        <w:t xml:space="preserve"> </w:t>
      </w:r>
      <w:r w:rsidRPr="002154B1">
        <w:rPr>
          <w:rFonts w:ascii="Century" w:hAnsi="Century" w:hint="eastAsia"/>
          <w:b/>
          <w:bCs/>
          <w:rtl/>
        </w:rPr>
        <w:t>את</w:t>
      </w:r>
      <w:r w:rsidRPr="002154B1">
        <w:rPr>
          <w:rFonts w:ascii="Century" w:hAnsi="Century"/>
          <w:b/>
          <w:bCs/>
          <w:rtl/>
        </w:rPr>
        <w:t xml:space="preserve"> </w:t>
      </w:r>
      <w:r w:rsidRPr="002154B1">
        <w:rPr>
          <w:rFonts w:ascii="Century" w:hAnsi="Century" w:hint="eastAsia"/>
          <w:b/>
          <w:bCs/>
          <w:rtl/>
        </w:rPr>
        <w:t>התחושה</w:t>
      </w:r>
      <w:r w:rsidRPr="002154B1">
        <w:rPr>
          <w:rFonts w:ascii="Century" w:hAnsi="Century"/>
          <w:b/>
          <w:bCs/>
          <w:rtl/>
        </w:rPr>
        <w:t xml:space="preserve">, </w:t>
      </w:r>
      <w:r w:rsidRPr="002154B1">
        <w:rPr>
          <w:rFonts w:ascii="Century" w:hAnsi="Century" w:hint="eastAsia"/>
          <w:b/>
          <w:bCs/>
          <w:rtl/>
        </w:rPr>
        <w:t>הגם</w:t>
      </w:r>
      <w:r w:rsidRPr="002154B1">
        <w:rPr>
          <w:rFonts w:ascii="Century" w:hAnsi="Century"/>
          <w:b/>
          <w:bCs/>
          <w:rtl/>
        </w:rPr>
        <w:t xml:space="preserve"> </w:t>
      </w:r>
      <w:r w:rsidRPr="002154B1">
        <w:rPr>
          <w:rFonts w:ascii="Century" w:hAnsi="Century" w:hint="eastAsia"/>
          <w:b/>
          <w:bCs/>
          <w:rtl/>
        </w:rPr>
        <w:t>שאינה</w:t>
      </w:r>
      <w:r w:rsidRPr="002154B1">
        <w:rPr>
          <w:rFonts w:ascii="Century" w:hAnsi="Century"/>
          <w:b/>
          <w:bCs/>
          <w:rtl/>
        </w:rPr>
        <w:t xml:space="preserve"> </w:t>
      </w:r>
      <w:r w:rsidRPr="002154B1">
        <w:rPr>
          <w:rFonts w:ascii="Century" w:hAnsi="Century" w:hint="eastAsia"/>
          <w:b/>
          <w:bCs/>
          <w:rtl/>
        </w:rPr>
        <w:t>מגובה</w:t>
      </w:r>
      <w:r w:rsidRPr="002154B1">
        <w:rPr>
          <w:rFonts w:ascii="Century" w:hAnsi="Century"/>
          <w:b/>
          <w:bCs/>
          <w:rtl/>
        </w:rPr>
        <w:t xml:space="preserve"> </w:t>
      </w:r>
      <w:r w:rsidRPr="002154B1">
        <w:rPr>
          <w:rFonts w:ascii="Century" w:hAnsi="Century" w:hint="eastAsia"/>
          <w:b/>
          <w:bCs/>
          <w:rtl/>
        </w:rPr>
        <w:t>בסטטיסטיקה</w:t>
      </w:r>
      <w:r w:rsidRPr="002154B1">
        <w:rPr>
          <w:rFonts w:ascii="Century" w:hAnsi="Century"/>
          <w:b/>
          <w:bCs/>
          <w:rtl/>
        </w:rPr>
        <w:t xml:space="preserve"> </w:t>
      </w:r>
      <w:r w:rsidRPr="002154B1">
        <w:rPr>
          <w:rFonts w:ascii="Century" w:hAnsi="Century" w:hint="eastAsia"/>
          <w:b/>
          <w:bCs/>
          <w:rtl/>
        </w:rPr>
        <w:t>או</w:t>
      </w:r>
      <w:r w:rsidRPr="002154B1">
        <w:rPr>
          <w:rFonts w:ascii="Century" w:hAnsi="Century"/>
          <w:b/>
          <w:bCs/>
          <w:rtl/>
        </w:rPr>
        <w:t xml:space="preserve"> </w:t>
      </w:r>
      <w:r w:rsidRPr="002154B1">
        <w:rPr>
          <w:rFonts w:ascii="Century" w:hAnsi="Century" w:hint="eastAsia"/>
          <w:b/>
          <w:bCs/>
          <w:rtl/>
        </w:rPr>
        <w:t>במחקר</w:t>
      </w:r>
      <w:r w:rsidRPr="002154B1">
        <w:rPr>
          <w:rFonts w:ascii="Century" w:hAnsi="Century"/>
          <w:b/>
          <w:bCs/>
          <w:rtl/>
        </w:rPr>
        <w:t xml:space="preserve"> </w:t>
      </w:r>
      <w:r w:rsidRPr="002154B1">
        <w:rPr>
          <w:rFonts w:ascii="Century" w:hAnsi="Century" w:hint="eastAsia"/>
          <w:b/>
          <w:bCs/>
          <w:rtl/>
        </w:rPr>
        <w:t>אמפירי</w:t>
      </w:r>
      <w:r w:rsidRPr="002154B1">
        <w:rPr>
          <w:rFonts w:ascii="Century" w:hAnsi="Century"/>
          <w:b/>
          <w:bCs/>
          <w:rtl/>
        </w:rPr>
        <w:t xml:space="preserve">, </w:t>
      </w:r>
      <w:r w:rsidRPr="002154B1">
        <w:rPr>
          <w:rFonts w:ascii="Century" w:hAnsi="Century" w:hint="eastAsia"/>
          <w:b/>
          <w:bCs/>
          <w:rtl/>
        </w:rPr>
        <w:t>כי</w:t>
      </w:r>
      <w:r w:rsidRPr="002154B1">
        <w:rPr>
          <w:rFonts w:ascii="Century" w:hAnsi="Century"/>
          <w:b/>
          <w:bCs/>
          <w:rtl/>
        </w:rPr>
        <w:t xml:space="preserve"> </w:t>
      </w:r>
      <w:r w:rsidRPr="002154B1">
        <w:rPr>
          <w:rFonts w:ascii="Century" w:hAnsi="Century" w:hint="eastAsia"/>
          <w:b/>
          <w:bCs/>
          <w:rtl/>
        </w:rPr>
        <w:t>המדיניות</w:t>
      </w:r>
      <w:r w:rsidRPr="002154B1">
        <w:rPr>
          <w:rFonts w:ascii="Century" w:hAnsi="Century"/>
          <w:b/>
          <w:bCs/>
          <w:rtl/>
        </w:rPr>
        <w:t xml:space="preserve"> </w:t>
      </w:r>
      <w:r w:rsidRPr="002154B1">
        <w:rPr>
          <w:rFonts w:ascii="Century" w:hAnsi="Century" w:hint="eastAsia"/>
          <w:b/>
          <w:bCs/>
          <w:rtl/>
        </w:rPr>
        <w:t>שבאה</w:t>
      </w:r>
      <w:r w:rsidRPr="002154B1">
        <w:rPr>
          <w:rFonts w:ascii="Century" w:hAnsi="Century"/>
          <w:b/>
          <w:bCs/>
          <w:rtl/>
        </w:rPr>
        <w:t xml:space="preserve"> </w:t>
      </w:r>
      <w:r w:rsidRPr="002154B1">
        <w:rPr>
          <w:rFonts w:ascii="Century" w:hAnsi="Century" w:hint="eastAsia"/>
          <w:b/>
          <w:bCs/>
          <w:rtl/>
        </w:rPr>
        <w:t>לידי</w:t>
      </w:r>
      <w:r w:rsidRPr="002154B1">
        <w:rPr>
          <w:rFonts w:ascii="Century" w:hAnsi="Century"/>
          <w:b/>
          <w:bCs/>
          <w:rtl/>
        </w:rPr>
        <w:t xml:space="preserve"> </w:t>
      </w:r>
      <w:r w:rsidRPr="002154B1">
        <w:rPr>
          <w:rFonts w:ascii="Century" w:hAnsi="Century" w:hint="eastAsia"/>
          <w:b/>
          <w:bCs/>
          <w:rtl/>
        </w:rPr>
        <w:t>ביטוי</w:t>
      </w:r>
      <w:r w:rsidRPr="002154B1">
        <w:rPr>
          <w:rFonts w:ascii="Century" w:hAnsi="Century"/>
          <w:b/>
          <w:bCs/>
          <w:rtl/>
        </w:rPr>
        <w:t xml:space="preserve"> </w:t>
      </w:r>
      <w:r w:rsidRPr="002154B1">
        <w:rPr>
          <w:rFonts w:ascii="Century" w:hAnsi="Century" w:hint="eastAsia"/>
          <w:b/>
          <w:bCs/>
          <w:rtl/>
        </w:rPr>
        <w:t>בחוק</w:t>
      </w:r>
      <w:r w:rsidRPr="002154B1">
        <w:rPr>
          <w:rFonts w:ascii="Century" w:hAnsi="Century"/>
          <w:b/>
          <w:bCs/>
          <w:rtl/>
        </w:rPr>
        <w:t xml:space="preserve"> </w:t>
      </w:r>
      <w:r w:rsidRPr="002154B1">
        <w:rPr>
          <w:rFonts w:ascii="Century" w:hAnsi="Century" w:hint="eastAsia"/>
          <w:b/>
          <w:bCs/>
          <w:rtl/>
        </w:rPr>
        <w:t>הסמים</w:t>
      </w:r>
      <w:r w:rsidRPr="002154B1">
        <w:rPr>
          <w:rFonts w:ascii="Century" w:hAnsi="Century"/>
          <w:b/>
          <w:bCs/>
          <w:rtl/>
        </w:rPr>
        <w:t xml:space="preserve"> </w:t>
      </w:r>
      <w:r w:rsidRPr="002154B1">
        <w:rPr>
          <w:rFonts w:ascii="Century" w:hAnsi="Century" w:hint="eastAsia"/>
          <w:b/>
          <w:bCs/>
          <w:rtl/>
        </w:rPr>
        <w:t>המסוכנים</w:t>
      </w:r>
      <w:r w:rsidRPr="002154B1">
        <w:rPr>
          <w:rFonts w:ascii="Century" w:hAnsi="Century"/>
          <w:b/>
          <w:bCs/>
          <w:rtl/>
        </w:rPr>
        <w:t xml:space="preserve"> (</w:t>
      </w:r>
      <w:r w:rsidRPr="002154B1">
        <w:rPr>
          <w:rFonts w:ascii="Century" w:hAnsi="Century" w:hint="eastAsia"/>
          <w:b/>
          <w:bCs/>
          <w:rtl/>
        </w:rPr>
        <w:t>עבירת</w:t>
      </w:r>
      <w:r w:rsidRPr="002154B1">
        <w:rPr>
          <w:rFonts w:ascii="Century" w:hAnsi="Century"/>
          <w:b/>
          <w:bCs/>
          <w:rtl/>
        </w:rPr>
        <w:t xml:space="preserve"> </w:t>
      </w:r>
      <w:r w:rsidRPr="002154B1">
        <w:rPr>
          <w:rFonts w:ascii="Century" w:hAnsi="Century" w:hint="eastAsia"/>
          <w:b/>
          <w:bCs/>
          <w:rtl/>
        </w:rPr>
        <w:t>קנס</w:t>
      </w:r>
      <w:r w:rsidRPr="002154B1">
        <w:rPr>
          <w:rFonts w:ascii="Century" w:hAnsi="Century"/>
          <w:b/>
          <w:bCs/>
          <w:rtl/>
        </w:rPr>
        <w:t xml:space="preserve"> </w:t>
      </w:r>
      <w:r w:rsidRPr="002154B1">
        <w:rPr>
          <w:rFonts w:ascii="Century" w:hAnsi="Century" w:hint="eastAsia"/>
          <w:b/>
          <w:bCs/>
          <w:rtl/>
        </w:rPr>
        <w:t>מיוחדת</w:t>
      </w:r>
      <w:r w:rsidRPr="002154B1">
        <w:rPr>
          <w:rFonts w:ascii="Century" w:hAnsi="Century"/>
          <w:b/>
          <w:bCs/>
          <w:rtl/>
        </w:rPr>
        <w:t xml:space="preserve"> – </w:t>
      </w:r>
      <w:r w:rsidRPr="002154B1">
        <w:rPr>
          <w:rFonts w:ascii="Century" w:hAnsi="Century" w:hint="eastAsia"/>
          <w:b/>
          <w:bCs/>
          <w:rtl/>
        </w:rPr>
        <w:t>הוראת</w:t>
      </w:r>
      <w:r w:rsidRPr="002154B1">
        <w:rPr>
          <w:rFonts w:ascii="Century" w:hAnsi="Century"/>
          <w:b/>
          <w:bCs/>
          <w:rtl/>
        </w:rPr>
        <w:t xml:space="preserve"> </w:t>
      </w:r>
      <w:r w:rsidRPr="002154B1">
        <w:rPr>
          <w:rFonts w:ascii="Century" w:hAnsi="Century" w:hint="eastAsia"/>
          <w:b/>
          <w:bCs/>
          <w:rtl/>
        </w:rPr>
        <w:t>שעה</w:t>
      </w:r>
      <w:r w:rsidRPr="002154B1">
        <w:rPr>
          <w:rFonts w:ascii="Century" w:hAnsi="Century"/>
          <w:b/>
          <w:bCs/>
          <w:rtl/>
        </w:rPr>
        <w:t xml:space="preserve">), </w:t>
      </w:r>
      <w:r w:rsidRPr="002154B1">
        <w:rPr>
          <w:rFonts w:ascii="Century" w:hAnsi="Century" w:hint="eastAsia"/>
          <w:b/>
          <w:bCs/>
          <w:rtl/>
        </w:rPr>
        <w:t>התשע</w:t>
      </w:r>
      <w:r w:rsidRPr="002154B1">
        <w:rPr>
          <w:rFonts w:ascii="Century" w:hAnsi="Century"/>
          <w:b/>
          <w:bCs/>
          <w:rtl/>
        </w:rPr>
        <w:t>"</w:t>
      </w:r>
      <w:r w:rsidRPr="002154B1">
        <w:rPr>
          <w:rFonts w:ascii="Century" w:hAnsi="Century" w:hint="eastAsia"/>
          <w:b/>
          <w:bCs/>
          <w:rtl/>
        </w:rPr>
        <w:t>ח</w:t>
      </w:r>
      <w:r w:rsidRPr="002154B1">
        <w:rPr>
          <w:rFonts w:ascii="Century" w:hAnsi="Century"/>
          <w:b/>
          <w:bCs/>
          <w:rtl/>
        </w:rPr>
        <w:t>-2018 (</w:t>
      </w:r>
      <w:r w:rsidRPr="002154B1">
        <w:rPr>
          <w:rFonts w:ascii="Century" w:hAnsi="Century" w:hint="eastAsia"/>
          <w:b/>
          <w:bCs/>
          <w:rtl/>
        </w:rPr>
        <w:t>שתחולתו</w:t>
      </w:r>
      <w:r w:rsidRPr="002154B1">
        <w:rPr>
          <w:rFonts w:ascii="Century" w:hAnsi="Century"/>
          <w:b/>
          <w:bCs/>
          <w:rtl/>
        </w:rPr>
        <w:t xml:space="preserve"> </w:t>
      </w:r>
      <w:r w:rsidRPr="002154B1">
        <w:rPr>
          <w:rFonts w:ascii="Century" w:hAnsi="Century" w:hint="eastAsia"/>
          <w:b/>
          <w:bCs/>
          <w:rtl/>
        </w:rPr>
        <w:t>ביום</w:t>
      </w:r>
      <w:r w:rsidRPr="002154B1">
        <w:rPr>
          <w:rFonts w:ascii="Century" w:hAnsi="Century"/>
          <w:b/>
          <w:bCs/>
          <w:rtl/>
        </w:rPr>
        <w:t xml:space="preserve"> 1.4.2019) – </w:t>
      </w:r>
      <w:r w:rsidRPr="002154B1">
        <w:rPr>
          <w:rFonts w:ascii="Century" w:hAnsi="Century" w:hint="eastAsia"/>
          <w:b/>
          <w:bCs/>
          <w:rtl/>
        </w:rPr>
        <w:t>זלגה</w:t>
      </w:r>
      <w:r w:rsidRPr="002154B1">
        <w:rPr>
          <w:rFonts w:ascii="Century" w:hAnsi="Century"/>
          <w:b/>
          <w:bCs/>
          <w:rtl/>
        </w:rPr>
        <w:t xml:space="preserve"> </w:t>
      </w:r>
      <w:r w:rsidRPr="002154B1">
        <w:rPr>
          <w:rFonts w:ascii="Century" w:hAnsi="Century" w:hint="eastAsia"/>
          <w:b/>
          <w:bCs/>
          <w:rtl/>
        </w:rPr>
        <w:t>שלא</w:t>
      </w:r>
      <w:r w:rsidRPr="002154B1">
        <w:rPr>
          <w:rFonts w:ascii="Century" w:hAnsi="Century"/>
          <w:b/>
          <w:bCs/>
          <w:rtl/>
        </w:rPr>
        <w:t xml:space="preserve"> </w:t>
      </w:r>
      <w:r w:rsidRPr="002154B1">
        <w:rPr>
          <w:rFonts w:ascii="Century" w:hAnsi="Century" w:hint="eastAsia"/>
          <w:b/>
          <w:bCs/>
          <w:rtl/>
        </w:rPr>
        <w:t>בטובתה</w:t>
      </w:r>
      <w:r w:rsidRPr="002154B1">
        <w:rPr>
          <w:rFonts w:ascii="Century" w:hAnsi="Century"/>
          <w:b/>
          <w:bCs/>
          <w:rtl/>
        </w:rPr>
        <w:t xml:space="preserve"> </w:t>
      </w:r>
      <w:r w:rsidRPr="002154B1">
        <w:rPr>
          <w:rFonts w:ascii="Century" w:hAnsi="Century" w:hint="eastAsia"/>
          <w:b/>
          <w:bCs/>
          <w:rtl/>
        </w:rPr>
        <w:t>למחוזות</w:t>
      </w:r>
      <w:r w:rsidRPr="002154B1">
        <w:rPr>
          <w:rFonts w:ascii="Century" w:hAnsi="Century"/>
          <w:b/>
          <w:bCs/>
          <w:rtl/>
        </w:rPr>
        <w:t xml:space="preserve"> </w:t>
      </w:r>
      <w:r w:rsidRPr="002154B1">
        <w:rPr>
          <w:rFonts w:ascii="Century" w:hAnsi="Century" w:hint="eastAsia"/>
          <w:b/>
          <w:bCs/>
          <w:rtl/>
        </w:rPr>
        <w:t>אחרים</w:t>
      </w:r>
      <w:r w:rsidRPr="002154B1">
        <w:rPr>
          <w:rFonts w:ascii="Century" w:hAnsi="Century"/>
          <w:b/>
          <w:bCs/>
          <w:rtl/>
        </w:rPr>
        <w:t xml:space="preserve">. </w:t>
      </w:r>
      <w:r w:rsidRPr="002154B1">
        <w:rPr>
          <w:rFonts w:ascii="Calibri" w:hAnsi="Calibri" w:hint="eastAsia"/>
          <w:b/>
          <w:bCs/>
          <w:rtl/>
        </w:rPr>
        <w:t>צרכנים</w:t>
      </w:r>
      <w:r w:rsidRPr="002154B1">
        <w:rPr>
          <w:rFonts w:ascii="Calibri" w:hAnsi="Calibri"/>
          <w:b/>
          <w:bCs/>
          <w:rtl/>
        </w:rPr>
        <w:t xml:space="preserve"> </w:t>
      </w:r>
      <w:r w:rsidRPr="002154B1">
        <w:rPr>
          <w:rFonts w:ascii="Calibri" w:hAnsi="Calibri" w:hint="eastAsia"/>
          <w:b/>
          <w:bCs/>
          <w:rtl/>
        </w:rPr>
        <w:t>ומשתמשים</w:t>
      </w:r>
      <w:r w:rsidRPr="002154B1">
        <w:rPr>
          <w:rFonts w:ascii="Calibri" w:hAnsi="Calibri"/>
          <w:b/>
          <w:bCs/>
          <w:rtl/>
        </w:rPr>
        <w:t xml:space="preserve"> </w:t>
      </w:r>
      <w:r w:rsidRPr="002154B1">
        <w:rPr>
          <w:rFonts w:ascii="Calibri" w:hAnsi="Calibri" w:hint="eastAsia"/>
          <w:b/>
          <w:bCs/>
          <w:rtl/>
        </w:rPr>
        <w:t>ואנשים</w:t>
      </w:r>
      <w:r w:rsidRPr="002154B1">
        <w:rPr>
          <w:rFonts w:ascii="Calibri" w:hAnsi="Calibri"/>
          <w:b/>
          <w:bCs/>
          <w:rtl/>
        </w:rPr>
        <w:t xml:space="preserve"> </w:t>
      </w:r>
      <w:r w:rsidRPr="002154B1">
        <w:rPr>
          <w:rFonts w:ascii="Calibri" w:hAnsi="Calibri" w:hint="eastAsia"/>
          <w:b/>
          <w:bCs/>
          <w:rtl/>
        </w:rPr>
        <w:t>נורמטיביים</w:t>
      </w:r>
      <w:r w:rsidRPr="002154B1">
        <w:rPr>
          <w:rFonts w:ascii="Calibri" w:hAnsi="Calibri"/>
          <w:b/>
          <w:bCs/>
          <w:rtl/>
        </w:rPr>
        <w:t xml:space="preserve">, </w:t>
      </w:r>
      <w:r w:rsidRPr="002154B1">
        <w:rPr>
          <w:rFonts w:ascii="Calibri" w:hAnsi="Calibri" w:hint="eastAsia"/>
          <w:b/>
          <w:bCs/>
          <w:rtl/>
        </w:rPr>
        <w:t>שבעבר</w:t>
      </w:r>
      <w:r w:rsidRPr="002154B1">
        <w:rPr>
          <w:rFonts w:ascii="Calibri" w:hAnsi="Calibri"/>
          <w:b/>
          <w:bCs/>
          <w:rtl/>
        </w:rPr>
        <w:t xml:space="preserve"> </w:t>
      </w:r>
      <w:r w:rsidRPr="002154B1">
        <w:rPr>
          <w:rFonts w:ascii="Calibri" w:hAnsi="Calibri" w:hint="eastAsia"/>
          <w:b/>
          <w:bCs/>
          <w:rtl/>
        </w:rPr>
        <w:t>לא</w:t>
      </w:r>
      <w:r w:rsidRPr="002154B1">
        <w:rPr>
          <w:rFonts w:ascii="Calibri" w:hAnsi="Calibri"/>
          <w:b/>
          <w:bCs/>
          <w:rtl/>
        </w:rPr>
        <w:t xml:space="preserve"> </w:t>
      </w:r>
      <w:r w:rsidRPr="002154B1">
        <w:rPr>
          <w:rFonts w:ascii="Calibri" w:hAnsi="Calibri" w:hint="eastAsia"/>
          <w:b/>
          <w:bCs/>
          <w:rtl/>
        </w:rPr>
        <w:t>היו</w:t>
      </w:r>
      <w:r w:rsidRPr="002154B1">
        <w:rPr>
          <w:rFonts w:ascii="Calibri" w:hAnsi="Calibri"/>
          <w:b/>
          <w:bCs/>
          <w:rtl/>
        </w:rPr>
        <w:t xml:space="preserve"> </w:t>
      </w:r>
      <w:r w:rsidRPr="002154B1">
        <w:rPr>
          <w:rFonts w:ascii="Calibri" w:hAnsi="Calibri" w:hint="eastAsia"/>
          <w:b/>
          <w:bCs/>
          <w:rtl/>
        </w:rPr>
        <w:t>נכונים</w:t>
      </w:r>
      <w:r w:rsidRPr="002154B1">
        <w:rPr>
          <w:rFonts w:ascii="Calibri" w:hAnsi="Calibri"/>
          <w:b/>
          <w:bCs/>
          <w:rtl/>
        </w:rPr>
        <w:t xml:space="preserve"> </w:t>
      </w:r>
      <w:r w:rsidRPr="002154B1">
        <w:rPr>
          <w:rFonts w:ascii="Calibri" w:hAnsi="Calibri" w:hint="eastAsia"/>
          <w:b/>
          <w:bCs/>
          <w:rtl/>
        </w:rPr>
        <w:t>ליטול</w:t>
      </w:r>
      <w:r w:rsidRPr="002154B1">
        <w:rPr>
          <w:rFonts w:ascii="Calibri" w:hAnsi="Calibri"/>
          <w:b/>
          <w:bCs/>
          <w:rtl/>
        </w:rPr>
        <w:t xml:space="preserve"> </w:t>
      </w:r>
      <w:r w:rsidRPr="002154B1">
        <w:rPr>
          <w:rFonts w:ascii="Calibri" w:hAnsi="Calibri" w:hint="eastAsia"/>
          <w:b/>
          <w:bCs/>
          <w:rtl/>
        </w:rPr>
        <w:t>על</w:t>
      </w:r>
      <w:r w:rsidRPr="002154B1">
        <w:rPr>
          <w:rFonts w:ascii="Calibri" w:hAnsi="Calibri"/>
          <w:b/>
          <w:bCs/>
          <w:rtl/>
        </w:rPr>
        <w:t xml:space="preserve"> </w:t>
      </w:r>
      <w:r w:rsidRPr="002154B1">
        <w:rPr>
          <w:rFonts w:ascii="Calibri" w:hAnsi="Calibri" w:hint="eastAsia"/>
          <w:b/>
          <w:bCs/>
          <w:rtl/>
        </w:rPr>
        <w:t>עצמם</w:t>
      </w:r>
      <w:r w:rsidRPr="002154B1">
        <w:rPr>
          <w:rFonts w:ascii="Calibri" w:hAnsi="Calibri"/>
          <w:b/>
          <w:bCs/>
          <w:rtl/>
        </w:rPr>
        <w:t xml:space="preserve"> </w:t>
      </w:r>
      <w:r w:rsidRPr="002154B1">
        <w:rPr>
          <w:rFonts w:ascii="Calibri" w:hAnsi="Calibri" w:hint="eastAsia"/>
          <w:b/>
          <w:bCs/>
          <w:rtl/>
        </w:rPr>
        <w:t>סיכון</w:t>
      </w:r>
      <w:r w:rsidRPr="002154B1">
        <w:rPr>
          <w:rFonts w:ascii="Calibri" w:hAnsi="Calibri"/>
          <w:b/>
          <w:bCs/>
          <w:rtl/>
        </w:rPr>
        <w:t xml:space="preserve"> </w:t>
      </w:r>
      <w:r w:rsidRPr="002154B1">
        <w:rPr>
          <w:rFonts w:ascii="Calibri" w:hAnsi="Calibri" w:hint="eastAsia"/>
          <w:b/>
          <w:bCs/>
          <w:rtl/>
        </w:rPr>
        <w:t>להסתבך</w:t>
      </w:r>
      <w:r w:rsidRPr="002154B1">
        <w:rPr>
          <w:rFonts w:ascii="Calibri" w:hAnsi="Calibri"/>
          <w:b/>
          <w:bCs/>
          <w:rtl/>
        </w:rPr>
        <w:t xml:space="preserve"> </w:t>
      </w:r>
      <w:r w:rsidRPr="002154B1">
        <w:rPr>
          <w:rFonts w:ascii="Calibri" w:hAnsi="Calibri" w:hint="eastAsia"/>
          <w:b/>
          <w:bCs/>
          <w:rtl/>
        </w:rPr>
        <w:t>בעולם</w:t>
      </w:r>
      <w:r w:rsidRPr="002154B1">
        <w:rPr>
          <w:rFonts w:ascii="Calibri" w:hAnsi="Calibri"/>
          <w:b/>
          <w:bCs/>
          <w:rtl/>
        </w:rPr>
        <w:t xml:space="preserve"> </w:t>
      </w:r>
      <w:r w:rsidRPr="002154B1">
        <w:rPr>
          <w:rFonts w:ascii="Calibri" w:hAnsi="Calibri" w:hint="eastAsia"/>
          <w:b/>
          <w:bCs/>
          <w:rtl/>
        </w:rPr>
        <w:t>הפלילי</w:t>
      </w:r>
      <w:r w:rsidRPr="002154B1">
        <w:rPr>
          <w:rFonts w:ascii="Calibri" w:hAnsi="Calibri"/>
          <w:b/>
          <w:bCs/>
          <w:rtl/>
        </w:rPr>
        <w:t xml:space="preserve">, </w:t>
      </w:r>
      <w:r w:rsidRPr="002154B1">
        <w:rPr>
          <w:rFonts w:ascii="Century" w:hAnsi="Century" w:hint="eastAsia"/>
          <w:b/>
          <w:bCs/>
          <w:rtl/>
        </w:rPr>
        <w:t>נכונים</w:t>
      </w:r>
      <w:r w:rsidRPr="002154B1">
        <w:rPr>
          <w:rFonts w:ascii="Century" w:hAnsi="Century"/>
          <w:b/>
          <w:bCs/>
          <w:rtl/>
        </w:rPr>
        <w:t xml:space="preserve"> </w:t>
      </w:r>
      <w:r w:rsidRPr="002154B1">
        <w:rPr>
          <w:rFonts w:ascii="Century" w:hAnsi="Century" w:hint="eastAsia"/>
          <w:b/>
          <w:bCs/>
          <w:rtl/>
        </w:rPr>
        <w:t>כיום</w:t>
      </w:r>
      <w:r w:rsidRPr="002154B1">
        <w:rPr>
          <w:rFonts w:ascii="Century" w:hAnsi="Century"/>
          <w:b/>
          <w:bCs/>
          <w:rtl/>
        </w:rPr>
        <w:t xml:space="preserve"> </w:t>
      </w:r>
      <w:r w:rsidRPr="002154B1">
        <w:rPr>
          <w:rFonts w:ascii="Century" w:hAnsi="Century" w:hint="eastAsia"/>
          <w:b/>
          <w:bCs/>
          <w:rtl/>
        </w:rPr>
        <w:t>לילך</w:t>
      </w:r>
      <w:r w:rsidRPr="002154B1">
        <w:rPr>
          <w:rFonts w:ascii="Century" w:hAnsi="Century"/>
          <w:b/>
          <w:bCs/>
          <w:rtl/>
        </w:rPr>
        <w:t xml:space="preserve"> </w:t>
      </w:r>
      <w:r w:rsidRPr="002154B1">
        <w:rPr>
          <w:rFonts w:ascii="Century" w:hAnsi="Century" w:hint="eastAsia"/>
          <w:b/>
          <w:bCs/>
          <w:rtl/>
        </w:rPr>
        <w:t>צעד</w:t>
      </w:r>
      <w:r w:rsidRPr="002154B1">
        <w:rPr>
          <w:rFonts w:ascii="Century" w:hAnsi="Century"/>
          <w:b/>
          <w:bCs/>
          <w:rtl/>
        </w:rPr>
        <w:t xml:space="preserve"> </w:t>
      </w:r>
      <w:r w:rsidRPr="002154B1">
        <w:rPr>
          <w:rFonts w:ascii="Century" w:hAnsi="Century" w:hint="eastAsia"/>
          <w:b/>
          <w:bCs/>
          <w:rtl/>
        </w:rPr>
        <w:t>נוסף</w:t>
      </w:r>
      <w:r w:rsidRPr="002154B1">
        <w:rPr>
          <w:rFonts w:ascii="Century" w:hAnsi="Century"/>
          <w:b/>
          <w:bCs/>
          <w:rtl/>
        </w:rPr>
        <w:t xml:space="preserve"> </w:t>
      </w:r>
      <w:r w:rsidRPr="002154B1">
        <w:rPr>
          <w:rFonts w:ascii="Century" w:hAnsi="Century" w:hint="eastAsia"/>
          <w:b/>
          <w:bCs/>
          <w:rtl/>
        </w:rPr>
        <w:t>ולהפוך</w:t>
      </w:r>
      <w:r w:rsidRPr="002154B1">
        <w:rPr>
          <w:rFonts w:ascii="Century" w:hAnsi="Century"/>
          <w:b/>
          <w:bCs/>
          <w:rtl/>
        </w:rPr>
        <w:t xml:space="preserve"> </w:t>
      </w:r>
      <w:r w:rsidRPr="002154B1">
        <w:rPr>
          <w:rFonts w:ascii="Century" w:hAnsi="Century" w:hint="eastAsia"/>
          <w:b/>
          <w:bCs/>
          <w:rtl/>
        </w:rPr>
        <w:t>למגדלים</w:t>
      </w:r>
      <w:r w:rsidRPr="002154B1">
        <w:rPr>
          <w:rFonts w:ascii="Century" w:hAnsi="Century"/>
          <w:b/>
          <w:bCs/>
          <w:rtl/>
        </w:rPr>
        <w:t xml:space="preserve"> </w:t>
      </w:r>
      <w:r w:rsidRPr="002154B1">
        <w:rPr>
          <w:rFonts w:ascii="Century" w:hAnsi="Century" w:hint="eastAsia"/>
          <w:b/>
          <w:bCs/>
          <w:rtl/>
        </w:rPr>
        <w:t>ולסוחרים</w:t>
      </w:r>
      <w:r w:rsidRPr="002154B1">
        <w:rPr>
          <w:rFonts w:ascii="Century" w:hAnsi="Century"/>
          <w:b/>
          <w:bCs/>
          <w:rtl/>
        </w:rPr>
        <w:t xml:space="preserve"> </w:t>
      </w:r>
      <w:r w:rsidRPr="002154B1">
        <w:rPr>
          <w:rFonts w:ascii="Century" w:hAnsi="Century" w:hint="eastAsia"/>
          <w:b/>
          <w:bCs/>
          <w:rtl/>
        </w:rPr>
        <w:t>בסם</w:t>
      </w:r>
      <w:r w:rsidRPr="002154B1">
        <w:rPr>
          <w:rFonts w:ascii="Century" w:hAnsi="Century"/>
          <w:b/>
          <w:bCs/>
          <w:rtl/>
        </w:rPr>
        <w:t xml:space="preserve">. </w:t>
      </w:r>
      <w:r w:rsidRPr="002154B1">
        <w:rPr>
          <w:rFonts w:ascii="Century" w:hAnsi="Century" w:hint="eastAsia"/>
          <w:b/>
          <w:bCs/>
          <w:rtl/>
        </w:rPr>
        <w:t>זאת</w:t>
      </w:r>
      <w:r w:rsidRPr="002154B1">
        <w:rPr>
          <w:rFonts w:ascii="Century" w:hAnsi="Century"/>
          <w:b/>
          <w:bCs/>
          <w:rtl/>
        </w:rPr>
        <w:t xml:space="preserve">, </w:t>
      </w:r>
      <w:r w:rsidRPr="002154B1">
        <w:rPr>
          <w:rFonts w:ascii="Century" w:hAnsi="Century" w:hint="eastAsia"/>
          <w:b/>
          <w:bCs/>
          <w:rtl/>
        </w:rPr>
        <w:t>מתוך</w:t>
      </w:r>
      <w:r w:rsidRPr="002154B1">
        <w:rPr>
          <w:rFonts w:ascii="Century" w:hAnsi="Century"/>
          <w:b/>
          <w:bCs/>
          <w:rtl/>
        </w:rPr>
        <w:t xml:space="preserve"> </w:t>
      </w:r>
      <w:r w:rsidRPr="002154B1">
        <w:rPr>
          <w:rFonts w:ascii="Century" w:hAnsi="Century" w:hint="eastAsia"/>
          <w:b/>
          <w:bCs/>
          <w:rtl/>
        </w:rPr>
        <w:t>תפיסה</w:t>
      </w:r>
      <w:r w:rsidRPr="002154B1">
        <w:rPr>
          <w:rFonts w:ascii="Century" w:hAnsi="Century"/>
          <w:b/>
          <w:bCs/>
          <w:rtl/>
        </w:rPr>
        <w:t xml:space="preserve"> </w:t>
      </w:r>
      <w:r w:rsidRPr="002154B1">
        <w:rPr>
          <w:rFonts w:ascii="Century" w:hAnsi="Century" w:hint="eastAsia"/>
          <w:b/>
          <w:bCs/>
          <w:rtl/>
        </w:rPr>
        <w:t>שגויה</w:t>
      </w:r>
      <w:r w:rsidRPr="002154B1">
        <w:rPr>
          <w:rFonts w:ascii="Century" w:hAnsi="Century"/>
          <w:b/>
          <w:bCs/>
          <w:rtl/>
        </w:rPr>
        <w:t xml:space="preserve"> </w:t>
      </w:r>
      <w:r w:rsidRPr="002154B1">
        <w:rPr>
          <w:rFonts w:ascii="Century" w:hAnsi="Century" w:hint="eastAsia"/>
          <w:b/>
          <w:bCs/>
          <w:rtl/>
        </w:rPr>
        <w:t>כי</w:t>
      </w:r>
      <w:r w:rsidRPr="002154B1">
        <w:rPr>
          <w:rFonts w:ascii="Century" w:hAnsi="Century"/>
          <w:b/>
          <w:bCs/>
          <w:rtl/>
        </w:rPr>
        <w:t xml:space="preserve"> </w:t>
      </w:r>
      <w:r w:rsidRPr="002154B1">
        <w:rPr>
          <w:rFonts w:ascii="Century" w:hAnsi="Century" w:hint="eastAsia"/>
          <w:b/>
          <w:bCs/>
          <w:rtl/>
        </w:rPr>
        <w:t>מדובר</w:t>
      </w:r>
      <w:r w:rsidRPr="002154B1">
        <w:rPr>
          <w:rFonts w:ascii="Century" w:hAnsi="Century"/>
          <w:b/>
          <w:bCs/>
          <w:rtl/>
        </w:rPr>
        <w:t xml:space="preserve"> </w:t>
      </w:r>
      <w:r w:rsidRPr="002154B1">
        <w:rPr>
          <w:rFonts w:ascii="Century" w:hAnsi="Century" w:hint="eastAsia"/>
          <w:b/>
          <w:bCs/>
          <w:rtl/>
        </w:rPr>
        <w:t>ב</w:t>
      </w:r>
      <w:r w:rsidRPr="002154B1">
        <w:rPr>
          <w:rFonts w:ascii="Century" w:hAnsi="Century"/>
          <w:b/>
          <w:bCs/>
          <w:rtl/>
        </w:rPr>
        <w:t>"</w:t>
      </w:r>
      <w:r w:rsidRPr="002154B1">
        <w:rPr>
          <w:rFonts w:ascii="Century" w:hAnsi="Century" w:hint="eastAsia"/>
          <w:b/>
          <w:bCs/>
          <w:rtl/>
        </w:rPr>
        <w:t>סמים</w:t>
      </w:r>
      <w:r w:rsidRPr="002154B1">
        <w:rPr>
          <w:rFonts w:ascii="Century" w:hAnsi="Century"/>
          <w:b/>
          <w:bCs/>
          <w:rtl/>
        </w:rPr>
        <w:t xml:space="preserve"> </w:t>
      </w:r>
      <w:r w:rsidRPr="002154B1">
        <w:rPr>
          <w:rFonts w:ascii="Century" w:hAnsi="Century" w:hint="eastAsia"/>
          <w:b/>
          <w:bCs/>
          <w:rtl/>
        </w:rPr>
        <w:t>קלים</w:t>
      </w:r>
      <w:r w:rsidRPr="002154B1">
        <w:rPr>
          <w:rFonts w:ascii="Century" w:hAnsi="Century"/>
          <w:b/>
          <w:bCs/>
          <w:rtl/>
        </w:rPr>
        <w:t xml:space="preserve">", </w:t>
      </w:r>
      <w:r w:rsidRPr="002154B1">
        <w:rPr>
          <w:rFonts w:ascii="Century" w:hAnsi="Century" w:hint="eastAsia"/>
          <w:b/>
          <w:bCs/>
          <w:rtl/>
        </w:rPr>
        <w:t>ובהינתן</w:t>
      </w:r>
      <w:r w:rsidRPr="002154B1">
        <w:rPr>
          <w:rFonts w:ascii="Century" w:hAnsi="Century"/>
          <w:b/>
          <w:bCs/>
          <w:rtl/>
        </w:rPr>
        <w:t xml:space="preserve"> </w:t>
      </w:r>
      <w:r w:rsidRPr="002154B1">
        <w:rPr>
          <w:rFonts w:ascii="Century" w:hAnsi="Century" w:hint="eastAsia"/>
          <w:b/>
          <w:bCs/>
          <w:rtl/>
        </w:rPr>
        <w:t>הטכנולוגיה</w:t>
      </w:r>
      <w:r w:rsidRPr="002154B1">
        <w:rPr>
          <w:rFonts w:ascii="Century" w:hAnsi="Century"/>
          <w:b/>
          <w:bCs/>
          <w:rtl/>
        </w:rPr>
        <w:t xml:space="preserve"> </w:t>
      </w:r>
      <w:r w:rsidRPr="002154B1">
        <w:rPr>
          <w:rFonts w:ascii="Century" w:hAnsi="Century" w:hint="eastAsia"/>
          <w:b/>
          <w:bCs/>
          <w:rtl/>
        </w:rPr>
        <w:t>המאפשרת</w:t>
      </w:r>
      <w:r w:rsidRPr="002154B1">
        <w:rPr>
          <w:rFonts w:ascii="Century" w:hAnsi="Century"/>
          <w:b/>
          <w:bCs/>
          <w:rtl/>
        </w:rPr>
        <w:t xml:space="preserve"> </w:t>
      </w:r>
      <w:r w:rsidRPr="002154B1">
        <w:rPr>
          <w:rFonts w:ascii="Century" w:hAnsi="Century" w:hint="eastAsia"/>
          <w:b/>
          <w:bCs/>
          <w:rtl/>
        </w:rPr>
        <w:t>מכירה</w:t>
      </w:r>
      <w:r w:rsidRPr="002154B1">
        <w:rPr>
          <w:rFonts w:ascii="Century" w:hAnsi="Century"/>
          <w:b/>
          <w:bCs/>
          <w:rtl/>
        </w:rPr>
        <w:t xml:space="preserve"> </w:t>
      </w:r>
      <w:r w:rsidRPr="002154B1">
        <w:rPr>
          <w:rFonts w:ascii="Century" w:hAnsi="Century" w:hint="eastAsia"/>
          <w:b/>
          <w:bCs/>
          <w:rtl/>
        </w:rPr>
        <w:t>והפצה</w:t>
      </w:r>
      <w:r w:rsidRPr="002154B1">
        <w:rPr>
          <w:rFonts w:ascii="Century" w:hAnsi="Century"/>
          <w:b/>
          <w:bCs/>
          <w:rtl/>
        </w:rPr>
        <w:t xml:space="preserve"> </w:t>
      </w:r>
      <w:r w:rsidRPr="002154B1">
        <w:rPr>
          <w:rFonts w:ascii="Century" w:hAnsi="Century" w:hint="eastAsia"/>
          <w:b/>
          <w:bCs/>
          <w:rtl/>
        </w:rPr>
        <w:t>קלה</w:t>
      </w:r>
      <w:r w:rsidRPr="002154B1">
        <w:rPr>
          <w:rFonts w:ascii="Century" w:hAnsi="Century"/>
          <w:b/>
          <w:bCs/>
          <w:rtl/>
        </w:rPr>
        <w:t xml:space="preserve"> </w:t>
      </w:r>
      <w:r w:rsidRPr="002154B1">
        <w:rPr>
          <w:rFonts w:ascii="Century" w:hAnsi="Century" w:hint="eastAsia"/>
          <w:b/>
          <w:bCs/>
          <w:rtl/>
        </w:rPr>
        <w:t>ו</w:t>
      </w:r>
      <w:r w:rsidRPr="002154B1">
        <w:rPr>
          <w:rFonts w:ascii="Century" w:hAnsi="Century"/>
          <w:b/>
          <w:bCs/>
          <w:rtl/>
        </w:rPr>
        <w:t>"</w:t>
      </w:r>
      <w:r w:rsidRPr="002154B1">
        <w:rPr>
          <w:rFonts w:ascii="Century" w:hAnsi="Century" w:hint="eastAsia"/>
          <w:b/>
          <w:bCs/>
          <w:rtl/>
        </w:rPr>
        <w:t>סטרילית</w:t>
      </w:r>
      <w:r w:rsidRPr="002154B1">
        <w:rPr>
          <w:rFonts w:ascii="Century" w:hAnsi="Century"/>
          <w:b/>
          <w:bCs/>
          <w:rtl/>
        </w:rPr>
        <w:t xml:space="preserve">" </w:t>
      </w:r>
      <w:r w:rsidRPr="002154B1">
        <w:rPr>
          <w:rFonts w:ascii="Century" w:hAnsi="Century" w:hint="eastAsia"/>
          <w:b/>
          <w:bCs/>
          <w:rtl/>
        </w:rPr>
        <w:t>של</w:t>
      </w:r>
      <w:r w:rsidRPr="002154B1">
        <w:rPr>
          <w:rFonts w:ascii="Century" w:hAnsi="Century"/>
          <w:b/>
          <w:bCs/>
          <w:rtl/>
        </w:rPr>
        <w:t xml:space="preserve"> </w:t>
      </w:r>
      <w:r w:rsidRPr="002154B1">
        <w:rPr>
          <w:rFonts w:ascii="Century" w:hAnsi="Century" w:hint="eastAsia"/>
          <w:b/>
          <w:bCs/>
          <w:rtl/>
        </w:rPr>
        <w:t>סמים</w:t>
      </w:r>
      <w:r w:rsidRPr="002154B1">
        <w:rPr>
          <w:rFonts w:ascii="Century" w:hAnsi="Century"/>
          <w:b/>
          <w:bCs/>
          <w:rtl/>
        </w:rPr>
        <w:t xml:space="preserve">. </w:t>
      </w:r>
      <w:r w:rsidRPr="002154B1">
        <w:rPr>
          <w:rFonts w:ascii="Century" w:hAnsi="Century" w:hint="eastAsia"/>
          <w:b/>
          <w:bCs/>
          <w:rtl/>
        </w:rPr>
        <w:t>ברם</w:t>
      </w:r>
      <w:r w:rsidRPr="002154B1">
        <w:rPr>
          <w:rFonts w:ascii="Century" w:hAnsi="Century"/>
          <w:b/>
          <w:bCs/>
          <w:rtl/>
        </w:rPr>
        <w:t xml:space="preserve">, </w:t>
      </w:r>
      <w:r w:rsidRPr="002154B1">
        <w:rPr>
          <w:rFonts w:ascii="Century" w:hAnsi="Century" w:hint="eastAsia"/>
          <w:b/>
          <w:bCs/>
          <w:rtl/>
        </w:rPr>
        <w:t>סחר</w:t>
      </w:r>
      <w:r w:rsidRPr="002154B1">
        <w:rPr>
          <w:rFonts w:ascii="Century" w:hAnsi="Century"/>
          <w:b/>
          <w:bCs/>
          <w:rtl/>
        </w:rPr>
        <w:t xml:space="preserve"> </w:t>
      </w:r>
      <w:r w:rsidRPr="002154B1">
        <w:rPr>
          <w:rFonts w:ascii="Century" w:hAnsi="Century" w:hint="eastAsia"/>
          <w:b/>
          <w:bCs/>
          <w:rtl/>
        </w:rPr>
        <w:t>בסמים</w:t>
      </w:r>
      <w:r w:rsidRPr="002154B1">
        <w:rPr>
          <w:rFonts w:ascii="Century" w:hAnsi="Century"/>
          <w:b/>
          <w:bCs/>
          <w:rtl/>
        </w:rPr>
        <w:t xml:space="preserve"> </w:t>
      </w:r>
      <w:r w:rsidRPr="002154B1">
        <w:rPr>
          <w:rFonts w:ascii="Century" w:hAnsi="Century" w:hint="eastAsia"/>
          <w:b/>
          <w:bCs/>
          <w:rtl/>
        </w:rPr>
        <w:t>הוא</w:t>
      </w:r>
      <w:r w:rsidRPr="002154B1">
        <w:rPr>
          <w:rFonts w:ascii="Century" w:hAnsi="Century"/>
          <w:b/>
          <w:bCs/>
          <w:rtl/>
        </w:rPr>
        <w:t xml:space="preserve"> </w:t>
      </w:r>
      <w:r w:rsidRPr="002154B1">
        <w:rPr>
          <w:rFonts w:ascii="Century" w:hAnsi="Century" w:hint="eastAsia"/>
          <w:b/>
          <w:bCs/>
          <w:rtl/>
        </w:rPr>
        <w:t>סחר</w:t>
      </w:r>
      <w:r w:rsidRPr="002154B1">
        <w:rPr>
          <w:rFonts w:ascii="Century" w:hAnsi="Century"/>
          <w:b/>
          <w:bCs/>
          <w:rtl/>
        </w:rPr>
        <w:t xml:space="preserve"> </w:t>
      </w:r>
      <w:r w:rsidRPr="002154B1">
        <w:rPr>
          <w:rFonts w:ascii="Century" w:hAnsi="Century" w:hint="eastAsia"/>
          <w:b/>
          <w:bCs/>
          <w:rtl/>
        </w:rPr>
        <w:t>בסמים</w:t>
      </w:r>
      <w:r w:rsidRPr="002154B1">
        <w:rPr>
          <w:rFonts w:ascii="Century" w:hAnsi="Century"/>
          <w:b/>
          <w:bCs/>
          <w:rtl/>
        </w:rPr>
        <w:t xml:space="preserve">. </w:t>
      </w:r>
      <w:r w:rsidRPr="002154B1">
        <w:rPr>
          <w:rFonts w:ascii="Century" w:hAnsi="Century" w:hint="eastAsia"/>
          <w:b/>
          <w:bCs/>
          <w:rtl/>
        </w:rPr>
        <w:t>ידע</w:t>
      </w:r>
      <w:r w:rsidRPr="002154B1">
        <w:rPr>
          <w:rFonts w:ascii="Century" w:hAnsi="Century"/>
          <w:b/>
          <w:bCs/>
          <w:rtl/>
        </w:rPr>
        <w:t xml:space="preserve"> </w:t>
      </w:r>
      <w:r w:rsidRPr="002154B1">
        <w:rPr>
          <w:rFonts w:ascii="Century" w:hAnsi="Century" w:hint="eastAsia"/>
          <w:b/>
          <w:bCs/>
          <w:rtl/>
        </w:rPr>
        <w:t>כל</w:t>
      </w:r>
      <w:r w:rsidRPr="002154B1">
        <w:rPr>
          <w:rFonts w:ascii="Century" w:hAnsi="Century"/>
          <w:b/>
          <w:bCs/>
          <w:rtl/>
        </w:rPr>
        <w:t xml:space="preserve"> </w:t>
      </w:r>
      <w:r w:rsidRPr="002154B1">
        <w:rPr>
          <w:rFonts w:ascii="Century" w:hAnsi="Century" w:hint="eastAsia"/>
          <w:b/>
          <w:bCs/>
          <w:rtl/>
        </w:rPr>
        <w:t>מי</w:t>
      </w:r>
      <w:r w:rsidRPr="002154B1">
        <w:rPr>
          <w:rFonts w:ascii="Century" w:hAnsi="Century"/>
          <w:b/>
          <w:bCs/>
          <w:rtl/>
        </w:rPr>
        <w:t xml:space="preserve"> </w:t>
      </w:r>
      <w:r w:rsidRPr="002154B1">
        <w:rPr>
          <w:rFonts w:ascii="Century" w:hAnsi="Century" w:hint="eastAsia"/>
          <w:b/>
          <w:bCs/>
          <w:rtl/>
        </w:rPr>
        <w:t>שמהרהר</w:t>
      </w:r>
      <w:r w:rsidRPr="002154B1">
        <w:rPr>
          <w:rFonts w:ascii="Century" w:hAnsi="Century"/>
          <w:b/>
          <w:bCs/>
          <w:rtl/>
        </w:rPr>
        <w:t xml:space="preserve"> </w:t>
      </w:r>
      <w:r w:rsidRPr="002154B1">
        <w:rPr>
          <w:rFonts w:ascii="Century" w:hAnsi="Century" w:hint="eastAsia"/>
          <w:b/>
          <w:bCs/>
          <w:rtl/>
        </w:rPr>
        <w:t>בדרכים</w:t>
      </w:r>
      <w:r w:rsidRPr="002154B1">
        <w:rPr>
          <w:rFonts w:ascii="Century" w:hAnsi="Century"/>
          <w:b/>
          <w:bCs/>
          <w:rtl/>
        </w:rPr>
        <w:t xml:space="preserve"> </w:t>
      </w:r>
      <w:r w:rsidRPr="002154B1">
        <w:rPr>
          <w:rFonts w:ascii="Century" w:hAnsi="Century" w:hint="eastAsia"/>
          <w:b/>
          <w:bCs/>
          <w:rtl/>
        </w:rPr>
        <w:t>לעשיית</w:t>
      </w:r>
      <w:r w:rsidRPr="002154B1">
        <w:rPr>
          <w:rFonts w:ascii="Century" w:hAnsi="Century"/>
          <w:b/>
          <w:bCs/>
          <w:rtl/>
        </w:rPr>
        <w:t xml:space="preserve"> </w:t>
      </w:r>
      <w:r w:rsidRPr="002154B1">
        <w:rPr>
          <w:rFonts w:ascii="Century" w:hAnsi="Century" w:hint="eastAsia"/>
          <w:b/>
          <w:bCs/>
          <w:rtl/>
        </w:rPr>
        <w:t>כסף</w:t>
      </w:r>
      <w:r w:rsidRPr="002154B1">
        <w:rPr>
          <w:rFonts w:ascii="Century" w:hAnsi="Century"/>
          <w:b/>
          <w:bCs/>
          <w:rtl/>
        </w:rPr>
        <w:t xml:space="preserve"> </w:t>
      </w:r>
      <w:r w:rsidRPr="002154B1">
        <w:rPr>
          <w:rFonts w:ascii="Century" w:hAnsi="Century" w:hint="eastAsia"/>
          <w:b/>
          <w:bCs/>
          <w:rtl/>
        </w:rPr>
        <w:t>קל</w:t>
      </w:r>
      <w:r w:rsidRPr="002154B1">
        <w:rPr>
          <w:rFonts w:ascii="Century" w:hAnsi="Century"/>
          <w:b/>
          <w:bCs/>
          <w:rtl/>
        </w:rPr>
        <w:t xml:space="preserve">, </w:t>
      </w:r>
      <w:r w:rsidRPr="002154B1">
        <w:rPr>
          <w:rFonts w:ascii="Century" w:hAnsi="Century" w:hint="eastAsia"/>
          <w:b/>
          <w:bCs/>
          <w:rtl/>
        </w:rPr>
        <w:t>כי</w:t>
      </w:r>
      <w:r w:rsidRPr="002154B1">
        <w:rPr>
          <w:rFonts w:ascii="Century" w:hAnsi="Century"/>
          <w:b/>
          <w:bCs/>
          <w:rtl/>
        </w:rPr>
        <w:t xml:space="preserve"> </w:t>
      </w:r>
      <w:r w:rsidRPr="002154B1">
        <w:rPr>
          <w:rFonts w:ascii="Century" w:hAnsi="Century" w:hint="eastAsia"/>
          <w:b/>
          <w:bCs/>
          <w:rtl/>
        </w:rPr>
        <w:t>מדיניות</w:t>
      </w:r>
      <w:r w:rsidRPr="002154B1">
        <w:rPr>
          <w:rFonts w:ascii="Century" w:hAnsi="Century"/>
          <w:b/>
          <w:bCs/>
          <w:rtl/>
        </w:rPr>
        <w:t xml:space="preserve"> </w:t>
      </w:r>
      <w:r w:rsidRPr="002154B1">
        <w:rPr>
          <w:rFonts w:ascii="Century" w:hAnsi="Century" w:hint="eastAsia"/>
          <w:b/>
          <w:bCs/>
          <w:rtl/>
        </w:rPr>
        <w:t>הענישה</w:t>
      </w:r>
      <w:r w:rsidRPr="002154B1">
        <w:rPr>
          <w:rFonts w:ascii="Century" w:hAnsi="Century"/>
          <w:b/>
          <w:bCs/>
          <w:rtl/>
        </w:rPr>
        <w:t xml:space="preserve"> </w:t>
      </w:r>
      <w:r w:rsidRPr="002154B1">
        <w:rPr>
          <w:rFonts w:ascii="Century" w:hAnsi="Century" w:hint="eastAsia"/>
          <w:b/>
          <w:bCs/>
          <w:rtl/>
        </w:rPr>
        <w:t>לא</w:t>
      </w:r>
      <w:r w:rsidRPr="002154B1">
        <w:rPr>
          <w:rFonts w:ascii="Century" w:hAnsi="Century"/>
          <w:b/>
          <w:bCs/>
          <w:rtl/>
        </w:rPr>
        <w:t xml:space="preserve"> </w:t>
      </w:r>
      <w:r w:rsidRPr="002154B1">
        <w:rPr>
          <w:rFonts w:ascii="Century" w:hAnsi="Century" w:hint="eastAsia"/>
          <w:b/>
          <w:bCs/>
          <w:rtl/>
        </w:rPr>
        <w:t>השתנתה</w:t>
      </w:r>
      <w:r w:rsidRPr="002154B1">
        <w:rPr>
          <w:rFonts w:ascii="Century" w:hAnsi="Century"/>
          <w:b/>
          <w:bCs/>
          <w:rtl/>
        </w:rPr>
        <w:t xml:space="preserve"> </w:t>
      </w:r>
      <w:r w:rsidRPr="002154B1">
        <w:rPr>
          <w:rFonts w:ascii="Century" w:hAnsi="Century" w:hint="eastAsia"/>
          <w:b/>
          <w:bCs/>
          <w:rtl/>
        </w:rPr>
        <w:t>ובית</w:t>
      </w:r>
      <w:r w:rsidRPr="002154B1">
        <w:rPr>
          <w:rFonts w:ascii="Century" w:hAnsi="Century"/>
          <w:b/>
          <w:bCs/>
          <w:rtl/>
        </w:rPr>
        <w:t xml:space="preserve"> </w:t>
      </w:r>
      <w:r w:rsidRPr="002154B1">
        <w:rPr>
          <w:rFonts w:ascii="Century" w:hAnsi="Century" w:hint="eastAsia"/>
          <w:b/>
          <w:bCs/>
          <w:rtl/>
        </w:rPr>
        <w:t>המשפט</w:t>
      </w:r>
      <w:r w:rsidRPr="002154B1">
        <w:rPr>
          <w:rFonts w:ascii="Century" w:hAnsi="Century"/>
          <w:b/>
          <w:bCs/>
          <w:rtl/>
        </w:rPr>
        <w:t xml:space="preserve"> </w:t>
      </w:r>
      <w:r w:rsidRPr="002154B1">
        <w:rPr>
          <w:rFonts w:ascii="Century" w:hAnsi="Century" w:hint="eastAsia"/>
          <w:b/>
          <w:bCs/>
          <w:rtl/>
        </w:rPr>
        <w:t>רואה</w:t>
      </w:r>
      <w:r w:rsidRPr="002154B1">
        <w:rPr>
          <w:rFonts w:ascii="Century" w:hAnsi="Century"/>
          <w:b/>
          <w:bCs/>
          <w:rtl/>
        </w:rPr>
        <w:t xml:space="preserve"> </w:t>
      </w:r>
      <w:r w:rsidRPr="002154B1">
        <w:rPr>
          <w:rFonts w:ascii="Century" w:hAnsi="Century" w:hint="eastAsia"/>
          <w:b/>
          <w:bCs/>
          <w:rtl/>
        </w:rPr>
        <w:t>בחומרה</w:t>
      </w:r>
      <w:r w:rsidRPr="002154B1">
        <w:rPr>
          <w:rFonts w:ascii="Century" w:hAnsi="Century"/>
          <w:b/>
          <w:bCs/>
          <w:rtl/>
        </w:rPr>
        <w:t xml:space="preserve"> </w:t>
      </w:r>
      <w:r w:rsidRPr="002154B1">
        <w:rPr>
          <w:rFonts w:ascii="Century" w:hAnsi="Century" w:hint="eastAsia"/>
          <w:b/>
          <w:bCs/>
          <w:rtl/>
        </w:rPr>
        <w:t>עבירות</w:t>
      </w:r>
      <w:r w:rsidRPr="002154B1">
        <w:rPr>
          <w:rFonts w:ascii="Century" w:hAnsi="Century"/>
          <w:b/>
          <w:bCs/>
          <w:rtl/>
        </w:rPr>
        <w:t xml:space="preserve"> </w:t>
      </w:r>
      <w:r w:rsidRPr="002154B1">
        <w:rPr>
          <w:rFonts w:ascii="Century" w:hAnsi="Century" w:hint="eastAsia"/>
          <w:b/>
          <w:bCs/>
          <w:rtl/>
        </w:rPr>
        <w:t>של</w:t>
      </w:r>
      <w:r w:rsidRPr="002154B1">
        <w:rPr>
          <w:rFonts w:ascii="Century" w:hAnsi="Century"/>
          <w:b/>
          <w:bCs/>
          <w:rtl/>
        </w:rPr>
        <w:t xml:space="preserve"> </w:t>
      </w:r>
      <w:r w:rsidRPr="002154B1">
        <w:rPr>
          <w:rFonts w:ascii="Century" w:hAnsi="Century" w:hint="eastAsia"/>
          <w:b/>
          <w:bCs/>
          <w:rtl/>
        </w:rPr>
        <w:t>סחר</w:t>
      </w:r>
      <w:r w:rsidRPr="002154B1">
        <w:rPr>
          <w:rFonts w:ascii="Century" w:hAnsi="Century"/>
          <w:b/>
          <w:bCs/>
          <w:rtl/>
        </w:rPr>
        <w:t xml:space="preserve"> </w:t>
      </w:r>
      <w:r w:rsidRPr="002154B1">
        <w:rPr>
          <w:rFonts w:ascii="Century" w:hAnsi="Century" w:hint="eastAsia"/>
          <w:b/>
          <w:bCs/>
          <w:rtl/>
        </w:rPr>
        <w:t>והפצה</w:t>
      </w:r>
      <w:r w:rsidRPr="002154B1">
        <w:rPr>
          <w:rFonts w:ascii="Century" w:hAnsi="Century"/>
          <w:b/>
          <w:bCs/>
          <w:rtl/>
        </w:rPr>
        <w:t xml:space="preserve"> </w:t>
      </w:r>
      <w:r w:rsidRPr="002154B1">
        <w:rPr>
          <w:rFonts w:ascii="Century" w:hAnsi="Century" w:hint="eastAsia"/>
          <w:b/>
          <w:bCs/>
          <w:rtl/>
        </w:rPr>
        <w:t>של</w:t>
      </w:r>
      <w:r w:rsidRPr="002154B1">
        <w:rPr>
          <w:rFonts w:ascii="Century" w:hAnsi="Century"/>
          <w:b/>
          <w:bCs/>
          <w:rtl/>
        </w:rPr>
        <w:t xml:space="preserve"> </w:t>
      </w:r>
      <w:r w:rsidRPr="002154B1">
        <w:rPr>
          <w:rFonts w:ascii="Century" w:hAnsi="Century" w:hint="eastAsia"/>
          <w:b/>
          <w:bCs/>
          <w:rtl/>
        </w:rPr>
        <w:t>סמים</w:t>
      </w:r>
      <w:r w:rsidRPr="002154B1">
        <w:rPr>
          <w:rFonts w:ascii="Century" w:hAnsi="Century"/>
          <w:b/>
          <w:bCs/>
          <w:rtl/>
        </w:rPr>
        <w:t xml:space="preserve"> </w:t>
      </w:r>
      <w:r w:rsidRPr="002154B1">
        <w:rPr>
          <w:rFonts w:ascii="Century" w:hAnsi="Century" w:hint="eastAsia"/>
          <w:b/>
          <w:bCs/>
          <w:rtl/>
        </w:rPr>
        <w:t>מסוכנים</w:t>
      </w:r>
      <w:r w:rsidRPr="002154B1">
        <w:rPr>
          <w:rFonts w:ascii="Century" w:hAnsi="Century"/>
          <w:b/>
          <w:bCs/>
          <w:rtl/>
        </w:rPr>
        <w:t xml:space="preserve">, </w:t>
      </w:r>
      <w:r w:rsidRPr="002154B1">
        <w:rPr>
          <w:rFonts w:ascii="Century" w:hAnsi="Century" w:hint="eastAsia"/>
          <w:b/>
          <w:bCs/>
          <w:rtl/>
        </w:rPr>
        <w:t>גם</w:t>
      </w:r>
      <w:r w:rsidRPr="002154B1">
        <w:rPr>
          <w:rFonts w:ascii="Century" w:hAnsi="Century"/>
          <w:b/>
          <w:bCs/>
          <w:rtl/>
        </w:rPr>
        <w:t xml:space="preserve"> </w:t>
      </w:r>
      <w:r w:rsidRPr="002154B1">
        <w:rPr>
          <w:rFonts w:ascii="Century" w:hAnsi="Century" w:hint="eastAsia"/>
          <w:b/>
          <w:bCs/>
          <w:rtl/>
        </w:rPr>
        <w:t>סמים</w:t>
      </w:r>
      <w:r w:rsidRPr="002154B1">
        <w:rPr>
          <w:rFonts w:ascii="Century" w:hAnsi="Century"/>
          <w:b/>
          <w:bCs/>
          <w:rtl/>
        </w:rPr>
        <w:t xml:space="preserve"> "</w:t>
      </w:r>
      <w:r w:rsidRPr="002154B1">
        <w:rPr>
          <w:rFonts w:ascii="Century" w:hAnsi="Century" w:hint="eastAsia"/>
          <w:b/>
          <w:bCs/>
          <w:rtl/>
        </w:rPr>
        <w:t>קלים</w:t>
      </w:r>
      <w:r w:rsidRPr="002154B1">
        <w:rPr>
          <w:rFonts w:ascii="Century" w:hAnsi="Century"/>
          <w:b/>
          <w:bCs/>
          <w:rtl/>
        </w:rPr>
        <w:t xml:space="preserve">", </w:t>
      </w:r>
      <w:r w:rsidRPr="002154B1">
        <w:rPr>
          <w:rFonts w:ascii="Century" w:hAnsi="Century" w:hint="eastAsia"/>
          <w:b/>
          <w:bCs/>
          <w:rtl/>
        </w:rPr>
        <w:t>תוך</w:t>
      </w:r>
      <w:r w:rsidRPr="002154B1">
        <w:rPr>
          <w:rFonts w:ascii="Century" w:hAnsi="Century"/>
          <w:b/>
          <w:bCs/>
          <w:rtl/>
        </w:rPr>
        <w:t xml:space="preserve"> </w:t>
      </w:r>
      <w:r w:rsidRPr="002154B1">
        <w:rPr>
          <w:rFonts w:ascii="Century" w:hAnsi="Century" w:hint="eastAsia"/>
          <w:b/>
          <w:bCs/>
          <w:rtl/>
        </w:rPr>
        <w:t>הטלת</w:t>
      </w:r>
      <w:r w:rsidRPr="002154B1">
        <w:rPr>
          <w:rFonts w:ascii="Century" w:hAnsi="Century"/>
          <w:b/>
          <w:bCs/>
          <w:rtl/>
        </w:rPr>
        <w:t xml:space="preserve"> </w:t>
      </w:r>
      <w:r w:rsidRPr="002154B1">
        <w:rPr>
          <w:rFonts w:ascii="Century" w:hAnsi="Century" w:hint="eastAsia"/>
          <w:b/>
          <w:bCs/>
          <w:rtl/>
        </w:rPr>
        <w:t>ענישה</w:t>
      </w:r>
      <w:r w:rsidRPr="002154B1">
        <w:rPr>
          <w:rFonts w:ascii="Century" w:hAnsi="Century"/>
          <w:b/>
          <w:bCs/>
          <w:rtl/>
        </w:rPr>
        <w:t xml:space="preserve"> </w:t>
      </w:r>
      <w:r w:rsidRPr="002154B1">
        <w:rPr>
          <w:rFonts w:ascii="Century" w:hAnsi="Century" w:hint="eastAsia"/>
          <w:b/>
          <w:bCs/>
          <w:rtl/>
        </w:rPr>
        <w:t>משמעותית</w:t>
      </w:r>
      <w:r w:rsidRPr="002154B1">
        <w:rPr>
          <w:rFonts w:ascii="Century" w:hAnsi="Century"/>
          <w:b/>
          <w:bCs/>
          <w:rtl/>
        </w:rPr>
        <w:t xml:space="preserve"> </w:t>
      </w:r>
      <w:r w:rsidRPr="002154B1">
        <w:rPr>
          <w:rFonts w:ascii="Century" w:hAnsi="Century" w:hint="eastAsia"/>
          <w:b/>
          <w:bCs/>
          <w:rtl/>
        </w:rPr>
        <w:t>ומרתיעה</w:t>
      </w:r>
      <w:r w:rsidRPr="002154B1">
        <w:rPr>
          <w:rFonts w:ascii="Century" w:hAnsi="Century"/>
          <w:b/>
          <w:bCs/>
          <w:rtl/>
        </w:rPr>
        <w:t xml:space="preserve">. </w:t>
      </w:r>
      <w:r w:rsidRPr="002154B1">
        <w:rPr>
          <w:rFonts w:ascii="Century" w:hAnsi="Century" w:hint="eastAsia"/>
          <w:b/>
          <w:bCs/>
          <w:rtl/>
        </w:rPr>
        <w:t>צרכנים</w:t>
      </w:r>
      <w:r w:rsidRPr="002154B1">
        <w:rPr>
          <w:rFonts w:ascii="Century" w:hAnsi="Century"/>
          <w:b/>
          <w:bCs/>
          <w:rtl/>
        </w:rPr>
        <w:t xml:space="preserve"> </w:t>
      </w:r>
      <w:r w:rsidRPr="002154B1">
        <w:rPr>
          <w:rFonts w:ascii="Century" w:hAnsi="Century" w:hint="eastAsia"/>
          <w:b/>
          <w:bCs/>
          <w:rtl/>
        </w:rPr>
        <w:t>ומשתמשים</w:t>
      </w:r>
      <w:r w:rsidRPr="002154B1">
        <w:rPr>
          <w:rFonts w:ascii="Century" w:hAnsi="Century"/>
          <w:b/>
          <w:bCs/>
          <w:rtl/>
        </w:rPr>
        <w:t xml:space="preserve"> – </w:t>
      </w:r>
      <w:r w:rsidRPr="002154B1">
        <w:rPr>
          <w:rFonts w:ascii="Century" w:hAnsi="Century" w:hint="eastAsia"/>
          <w:b/>
          <w:bCs/>
          <w:rtl/>
        </w:rPr>
        <w:t>ראו</w:t>
      </w:r>
      <w:r w:rsidRPr="002154B1">
        <w:rPr>
          <w:rFonts w:ascii="Century" w:hAnsi="Century"/>
          <w:b/>
          <w:bCs/>
          <w:rtl/>
        </w:rPr>
        <w:t xml:space="preserve"> </w:t>
      </w:r>
      <w:r w:rsidRPr="002154B1">
        <w:rPr>
          <w:rFonts w:ascii="Century" w:hAnsi="Century" w:hint="eastAsia"/>
          <w:b/>
          <w:bCs/>
          <w:rtl/>
        </w:rPr>
        <w:t>הוזהרתם</w:t>
      </w:r>
      <w:r w:rsidRPr="002154B1">
        <w:rPr>
          <w:rFonts w:ascii="Century" w:hAnsi="Century"/>
          <w:b/>
          <w:bCs/>
          <w:rtl/>
        </w:rPr>
        <w:t xml:space="preserve">". </w:t>
      </w:r>
    </w:p>
    <w:p w14:paraId="66F7D92A" w14:textId="77777777" w:rsidR="003E1B22" w:rsidRPr="002154B1" w:rsidRDefault="003E1B22" w:rsidP="003E1B22">
      <w:pPr>
        <w:spacing w:line="360" w:lineRule="auto"/>
        <w:rPr>
          <w:rFonts w:ascii="David" w:hAnsi="David"/>
          <w:rtl/>
        </w:rPr>
      </w:pPr>
    </w:p>
    <w:p w14:paraId="4D53154C" w14:textId="77777777" w:rsidR="003E1B22" w:rsidRDefault="003E1B22" w:rsidP="003E1B22">
      <w:pPr>
        <w:spacing w:line="360" w:lineRule="auto"/>
        <w:rPr>
          <w:rFonts w:ascii="David" w:hAnsi="David"/>
          <w:rtl/>
        </w:rPr>
      </w:pPr>
      <w:r w:rsidRPr="002154B1">
        <w:rPr>
          <w:rFonts w:ascii="David" w:hAnsi="David"/>
          <w:rtl/>
        </w:rPr>
        <w:t xml:space="preserve">לאור המפורט, אני דוחה הטענה. </w:t>
      </w:r>
    </w:p>
    <w:p w14:paraId="0764D3D0" w14:textId="77777777" w:rsidR="003E1B22" w:rsidRDefault="003E1B22" w:rsidP="003E1B22">
      <w:pPr>
        <w:spacing w:line="360" w:lineRule="auto"/>
        <w:rPr>
          <w:rFonts w:ascii="David" w:hAnsi="David"/>
          <w:rtl/>
        </w:rPr>
      </w:pPr>
      <w:r>
        <w:rPr>
          <w:rFonts w:ascii="David" w:hAnsi="David" w:hint="cs"/>
          <w:rtl/>
        </w:rPr>
        <w:t xml:space="preserve">לאור קביעת המחוקק כי מדובר בעבירה פלילית ועמדת בתי המשפט, טוב היה עושה הסנגור לו זנח טענה זו. </w:t>
      </w:r>
    </w:p>
    <w:p w14:paraId="421E85D0" w14:textId="77777777" w:rsidR="003E1B22" w:rsidRPr="002154B1" w:rsidRDefault="003E1B22" w:rsidP="003E1B22">
      <w:pPr>
        <w:spacing w:line="360" w:lineRule="auto"/>
        <w:jc w:val="both"/>
        <w:rPr>
          <w:rFonts w:ascii="David" w:hAnsi="David"/>
          <w:rtl/>
        </w:rPr>
      </w:pPr>
      <w:r w:rsidRPr="002154B1">
        <w:rPr>
          <w:rFonts w:ascii="David" w:hAnsi="David"/>
          <w:rtl/>
        </w:rPr>
        <w:t xml:space="preserve">החוק ברור ומחייב כל אדם, ואין כל רלוונטיות לתפיסתו האישית של אדם זה או אחר או חלקים מסוימים בחברה לעניין הגדרת חומר מסוים כסם מסוכן יותר או פחות, או מתן לגיטימיות לשימוש בו לצרכים כאלה ואחרים, ובוודאי שלא כאשר אין מדובר בעבירת החזקה לשימוש עצמי. </w:t>
      </w:r>
    </w:p>
    <w:p w14:paraId="28005FB2" w14:textId="77777777" w:rsidR="003E1B22" w:rsidRPr="002154B1" w:rsidRDefault="003E1B22" w:rsidP="003E1B22">
      <w:pPr>
        <w:spacing w:line="360" w:lineRule="auto"/>
        <w:jc w:val="both"/>
        <w:rPr>
          <w:rFonts w:ascii="David" w:hAnsi="David"/>
          <w:rtl/>
        </w:rPr>
      </w:pPr>
    </w:p>
    <w:p w14:paraId="3163EF0E" w14:textId="77777777" w:rsidR="003E1B22" w:rsidRPr="002154B1" w:rsidRDefault="003E1B22" w:rsidP="003E1B22">
      <w:pPr>
        <w:spacing w:line="360" w:lineRule="auto"/>
        <w:jc w:val="both"/>
        <w:rPr>
          <w:rFonts w:ascii="David" w:hAnsi="David"/>
          <w:rtl/>
        </w:rPr>
      </w:pPr>
      <w:r w:rsidRPr="002154B1">
        <w:rPr>
          <w:rFonts w:ascii="David" w:hAnsi="David"/>
          <w:rtl/>
        </w:rPr>
        <w:t>עם זאת, ברי כי סוג הסם ומשקלו, כמפורט לעיל, הם שעמדו בבסיס השיקולים בקביעת מתחם העונש ההולם, וזאת בדומה לקביעת כב' השופט גרוסקופף ב</w:t>
      </w:r>
      <w:hyperlink r:id="rId35" w:history="1">
        <w:r w:rsidR="0084531B" w:rsidRPr="0084531B">
          <w:rPr>
            <w:rFonts w:ascii="David" w:hAnsi="David"/>
            <w:b/>
            <w:bCs/>
            <w:color w:val="0000FF"/>
            <w:u w:val="single"/>
            <w:rtl/>
          </w:rPr>
          <w:t>בש"פ 8640/20</w:t>
        </w:r>
      </w:hyperlink>
      <w:r w:rsidRPr="002154B1">
        <w:rPr>
          <w:rFonts w:ascii="David" w:hAnsi="David"/>
          <w:b/>
          <w:bCs/>
          <w:rtl/>
        </w:rPr>
        <w:t xml:space="preserve"> אבו קרינאת נגד מדינת ישראל (23/12/20), </w:t>
      </w:r>
      <w:r w:rsidRPr="002154B1">
        <w:rPr>
          <w:rFonts w:ascii="David" w:hAnsi="David"/>
          <w:rtl/>
        </w:rPr>
        <w:t>אליו הפנה ב"כ הנאשם, לפיה יש משמעות לסוג הסם לעניין סוגיית המעצר.</w:t>
      </w:r>
    </w:p>
    <w:p w14:paraId="61D6B92F" w14:textId="77777777" w:rsidR="003E1B22" w:rsidRPr="002154B1" w:rsidRDefault="003E1B22" w:rsidP="003E1B22">
      <w:pPr>
        <w:spacing w:line="360" w:lineRule="auto"/>
        <w:jc w:val="both"/>
        <w:rPr>
          <w:rFonts w:ascii="David" w:hAnsi="David"/>
          <w:rtl/>
        </w:rPr>
      </w:pPr>
    </w:p>
    <w:p w14:paraId="058B3CC2" w14:textId="77777777" w:rsidR="003E1B22" w:rsidRPr="002154B1" w:rsidRDefault="003E1B22" w:rsidP="003E1B22">
      <w:pPr>
        <w:spacing w:line="360" w:lineRule="auto"/>
        <w:jc w:val="both"/>
        <w:rPr>
          <w:rFonts w:ascii="David" w:hAnsi="David"/>
          <w:rtl/>
        </w:rPr>
      </w:pPr>
      <w:r w:rsidRPr="002154B1">
        <w:rPr>
          <w:rFonts w:ascii="David" w:hAnsi="David"/>
          <w:b/>
          <w:bCs/>
          <w:rtl/>
        </w:rPr>
        <w:t>20. בחינת מדיניות הענישה הנוהגת</w:t>
      </w:r>
      <w:r w:rsidRPr="002154B1">
        <w:rPr>
          <w:rFonts w:ascii="David" w:hAnsi="David"/>
          <w:rtl/>
        </w:rPr>
        <w:t xml:space="preserve"> בגין</w:t>
      </w:r>
      <w:r w:rsidRPr="003722CB">
        <w:rPr>
          <w:rFonts w:ascii="David" w:hAnsi="David"/>
          <w:b/>
          <w:bCs/>
          <w:rtl/>
        </w:rPr>
        <w:t xml:space="preserve"> עבירת האיומים</w:t>
      </w:r>
      <w:r w:rsidRPr="002154B1">
        <w:rPr>
          <w:rFonts w:ascii="David" w:hAnsi="David"/>
          <w:rtl/>
        </w:rPr>
        <w:t xml:space="preserve"> מעלה כי במקרים דומים הוטלו על נאשמים עונשים כמפורט להלן:</w:t>
      </w:r>
    </w:p>
    <w:p w14:paraId="49A69B8B" w14:textId="77777777" w:rsidR="003E1B22" w:rsidRPr="002154B1" w:rsidRDefault="003E1B22" w:rsidP="003E1B22">
      <w:pPr>
        <w:spacing w:line="360" w:lineRule="auto"/>
        <w:ind w:left="340"/>
        <w:jc w:val="both"/>
        <w:rPr>
          <w:rFonts w:ascii="David" w:hAnsi="David"/>
        </w:rPr>
      </w:pPr>
      <w:r w:rsidRPr="002154B1">
        <w:rPr>
          <w:rFonts w:ascii="David" w:hAnsi="David"/>
          <w:b/>
          <w:bCs/>
          <w:rtl/>
        </w:rPr>
        <w:t>א</w:t>
      </w:r>
      <w:r w:rsidRPr="002154B1">
        <w:rPr>
          <w:rFonts w:ascii="David" w:hAnsi="David"/>
          <w:rtl/>
        </w:rPr>
        <w:t>. ב</w:t>
      </w:r>
      <w:hyperlink r:id="rId36" w:history="1">
        <w:r w:rsidR="0084531B" w:rsidRPr="0084531B">
          <w:rPr>
            <w:rFonts w:ascii="David" w:hAnsi="David"/>
            <w:b/>
            <w:bCs/>
            <w:color w:val="0000FF"/>
            <w:u w:val="single"/>
            <w:rtl/>
          </w:rPr>
          <w:t>רע"פ 4719/13</w:t>
        </w:r>
      </w:hyperlink>
      <w:r w:rsidRPr="002154B1">
        <w:rPr>
          <w:rFonts w:ascii="David" w:hAnsi="David"/>
          <w:b/>
          <w:bCs/>
          <w:rtl/>
        </w:rPr>
        <w:t xml:space="preserve"> צוקרמן נגד מדינת ישראל (07/12/13) </w:t>
      </w:r>
      <w:r w:rsidRPr="002154B1">
        <w:rPr>
          <w:rFonts w:ascii="David" w:hAnsi="David"/>
          <w:rtl/>
        </w:rPr>
        <w:t xml:space="preserve">דחה בית המשפט העליון בקשת רשות ערעור על חומרת העונש. הנאשם הורשע בבית משפט השלום, לאחר שמיעת ראיות, בביצוע עבירה של איומים. בית המשפט קבע כי מתחם העונש ההולם נע בין מאסר על תנאי לבין 5 חודשי מאסר בפועל, והשית על הנאשם 4 חודשי מאסר, כאשר 3 חודשים מתוכם ירוצו בחופף למאסר על תנאי בן 7 חודשים שהופעל, לצד ענישה נלווית. בית המשפט העליון קבע כי העונש אשר הוטל על הנאשם לא סוטה ממדיניות הענישה הנוהגת. </w:t>
      </w:r>
    </w:p>
    <w:p w14:paraId="17A9FEC3" w14:textId="77777777" w:rsidR="003E1B22" w:rsidRPr="002154B1" w:rsidRDefault="003E1B22" w:rsidP="003E1B22">
      <w:pPr>
        <w:spacing w:line="360" w:lineRule="auto"/>
        <w:ind w:left="340"/>
        <w:jc w:val="both"/>
        <w:rPr>
          <w:rFonts w:ascii="David" w:hAnsi="David"/>
          <w:rtl/>
        </w:rPr>
      </w:pPr>
      <w:r>
        <w:rPr>
          <w:rFonts w:ascii="David" w:hAnsi="David" w:hint="cs"/>
          <w:b/>
          <w:bCs/>
          <w:rtl/>
        </w:rPr>
        <w:t>ב</w:t>
      </w:r>
      <w:r w:rsidRPr="002154B1">
        <w:rPr>
          <w:rFonts w:ascii="David" w:hAnsi="David"/>
          <w:rtl/>
        </w:rPr>
        <w:t>. ב</w:t>
      </w:r>
      <w:r w:rsidRPr="002154B1">
        <w:rPr>
          <w:rFonts w:ascii="David" w:hAnsi="David"/>
          <w:b/>
          <w:bCs/>
          <w:rtl/>
        </w:rPr>
        <w:t xml:space="preserve">עפ"ג (מרכז) </w:t>
      </w:r>
      <w:hyperlink r:id="rId37" w:history="1">
        <w:r w:rsidR="00747B3E" w:rsidRPr="00747B3E">
          <w:rPr>
            <w:rFonts w:ascii="David" w:hAnsi="David"/>
            <w:b/>
            <w:bCs/>
            <w:color w:val="0000FF"/>
            <w:u w:val="single"/>
            <w:rtl/>
          </w:rPr>
          <w:t xml:space="preserve">30868-08-13 </w:t>
        </w:r>
      </w:hyperlink>
      <w:r w:rsidRPr="002154B1">
        <w:rPr>
          <w:rFonts w:ascii="David" w:hAnsi="David"/>
          <w:b/>
          <w:bCs/>
          <w:rtl/>
        </w:rPr>
        <w:t xml:space="preserve"> חג'אג' נגד מדינת ישראל 06/10/14) </w:t>
      </w:r>
      <w:r w:rsidRPr="002154B1">
        <w:rPr>
          <w:rFonts w:ascii="David" w:hAnsi="David"/>
          <w:rtl/>
        </w:rPr>
        <w:t>קיבל בית המשפט המחוזי בחלקו את ערעור הנאשם. הנאשם הורשע בבית משפט השלום, על פי הודאתו, בביצוע עבירת איומים. בית המשפט קבע מתחם עונש הולם הנע בין מאסר מותנה לבין מספר חודשי מאסר בפועל, לצד ענישה נלווית, וגזר על הנאשם 4 חודשי מאסר בפועל, שירוצו במצטבר ל-5 חודשי מאסר על תנאי שהופעל. בית המשפט המחוזי קיבל את הערעור בחלקו, כך שעונש המאסר ירוצה בעבודות שירות.</w:t>
      </w:r>
    </w:p>
    <w:p w14:paraId="6F9F3B74" w14:textId="77777777" w:rsidR="003E1B22" w:rsidRPr="002154B1" w:rsidRDefault="003E1B22" w:rsidP="003E1B22">
      <w:pPr>
        <w:spacing w:line="360" w:lineRule="auto"/>
        <w:ind w:left="340"/>
        <w:jc w:val="both"/>
        <w:rPr>
          <w:rFonts w:ascii="David" w:hAnsi="David"/>
          <w:rtl/>
        </w:rPr>
      </w:pPr>
      <w:r>
        <w:rPr>
          <w:rFonts w:ascii="David" w:hAnsi="David" w:hint="cs"/>
          <w:b/>
          <w:bCs/>
          <w:rtl/>
        </w:rPr>
        <w:t>ג</w:t>
      </w:r>
      <w:r w:rsidRPr="002154B1">
        <w:rPr>
          <w:rFonts w:ascii="David" w:hAnsi="David"/>
          <w:rtl/>
        </w:rPr>
        <w:t xml:space="preserve">. </w:t>
      </w:r>
      <w:hyperlink r:id="rId38" w:history="1">
        <w:r w:rsidR="0084531B" w:rsidRPr="0084531B">
          <w:rPr>
            <w:rFonts w:ascii="David" w:hAnsi="David"/>
            <w:b/>
            <w:bCs/>
            <w:color w:val="0000FF"/>
            <w:u w:val="single"/>
            <w:rtl/>
          </w:rPr>
          <w:t>ת"פ (ראשל"צ) 55683-05-13</w:t>
        </w:r>
      </w:hyperlink>
      <w:r w:rsidRPr="002154B1">
        <w:rPr>
          <w:rFonts w:ascii="David" w:hAnsi="David"/>
          <w:b/>
          <w:bCs/>
          <w:rtl/>
        </w:rPr>
        <w:t xml:space="preserve"> מדינת ישראל נגד פלוני (01/01/15)</w:t>
      </w:r>
      <w:r w:rsidRPr="002154B1">
        <w:rPr>
          <w:rFonts w:ascii="David" w:hAnsi="David"/>
          <w:rtl/>
        </w:rPr>
        <w:t xml:space="preserve"> בית המשפט קבע כי מתחם העונש ההולם בגין ביצוע עבירת איומים נע בין מאסר על תנאי ל-6 חודשי מאסר בפועל, והטיל על נאשם 4 חודשי מאסר בפועל לריצוי בדרך של עבודות שירות כולל הפעלת מאסר על תנאי. </w:t>
      </w:r>
    </w:p>
    <w:p w14:paraId="4AB8CF52" w14:textId="77777777" w:rsidR="003E1B22" w:rsidRPr="002154B1" w:rsidRDefault="003E1B22" w:rsidP="003E1B22">
      <w:pPr>
        <w:spacing w:line="360" w:lineRule="auto"/>
        <w:jc w:val="both"/>
        <w:rPr>
          <w:rFonts w:ascii="David" w:hAnsi="David"/>
        </w:rPr>
      </w:pPr>
    </w:p>
    <w:p w14:paraId="2EF65222" w14:textId="77777777" w:rsidR="003E1B22" w:rsidRPr="002154B1" w:rsidRDefault="003E1B22" w:rsidP="003E1B22">
      <w:pPr>
        <w:spacing w:line="360" w:lineRule="auto"/>
        <w:jc w:val="both"/>
        <w:rPr>
          <w:rFonts w:ascii="David" w:hAnsi="David"/>
          <w:rtl/>
        </w:rPr>
      </w:pPr>
      <w:r w:rsidRPr="002154B1">
        <w:rPr>
          <w:rFonts w:ascii="David" w:hAnsi="David"/>
          <w:b/>
          <w:bCs/>
          <w:rtl/>
        </w:rPr>
        <w:t>21</w:t>
      </w:r>
      <w:r w:rsidRPr="002154B1">
        <w:rPr>
          <w:rFonts w:ascii="David" w:hAnsi="David"/>
          <w:rtl/>
        </w:rPr>
        <w:t xml:space="preserve">. במסגרת הנסיבות הקשורות בביצוע העבירה </w:t>
      </w:r>
      <w:r w:rsidRPr="002154B1">
        <w:rPr>
          <w:rFonts w:ascii="David" w:hAnsi="David"/>
          <w:b/>
          <w:bCs/>
          <w:rtl/>
        </w:rPr>
        <w:t xml:space="preserve">(סעיף </w:t>
      </w:r>
      <w:hyperlink r:id="rId39" w:history="1">
        <w:r w:rsidR="00F961BD" w:rsidRPr="00F961BD">
          <w:rPr>
            <w:rStyle w:val="Hyperlink"/>
            <w:rFonts w:ascii="David" w:hAnsi="David"/>
            <w:b/>
            <w:bCs/>
            <w:rtl/>
          </w:rPr>
          <w:t>40 ט'</w:t>
        </w:r>
      </w:hyperlink>
      <w:r w:rsidRPr="002154B1">
        <w:rPr>
          <w:rFonts w:ascii="David" w:hAnsi="David"/>
          <w:b/>
          <w:bCs/>
          <w:rtl/>
        </w:rPr>
        <w:t xml:space="preserve"> לחוק) </w:t>
      </w:r>
      <w:r w:rsidRPr="002154B1">
        <w:rPr>
          <w:rFonts w:ascii="David" w:hAnsi="David"/>
          <w:rtl/>
        </w:rPr>
        <w:t>יש לתת את הדעת לכך שלא קדם תכנון לאירוע ולהיות הנאשם מבצע יחיד</w:t>
      </w:r>
      <w:r>
        <w:rPr>
          <w:rFonts w:ascii="David" w:hAnsi="David" w:hint="cs"/>
          <w:rtl/>
        </w:rPr>
        <w:t xml:space="preserve"> כמו גם לתוכן האיום שהופנה לא רק כלפי השוטר אלא אף כלפי ילדיו</w:t>
      </w:r>
      <w:r w:rsidRPr="002154B1">
        <w:rPr>
          <w:rFonts w:ascii="David" w:hAnsi="David"/>
          <w:rtl/>
        </w:rPr>
        <w:t>.</w:t>
      </w:r>
    </w:p>
    <w:p w14:paraId="3AB9B7EC" w14:textId="77777777" w:rsidR="003E1B22" w:rsidRPr="002154B1" w:rsidRDefault="003E1B22" w:rsidP="003E1B22">
      <w:pPr>
        <w:spacing w:line="360" w:lineRule="auto"/>
        <w:jc w:val="both"/>
        <w:rPr>
          <w:rFonts w:ascii="David" w:hAnsi="David"/>
          <w:rtl/>
        </w:rPr>
      </w:pPr>
    </w:p>
    <w:p w14:paraId="01D19CD9" w14:textId="77777777" w:rsidR="003E1B22" w:rsidRPr="002154B1" w:rsidRDefault="003E1B22" w:rsidP="003E1B22">
      <w:pPr>
        <w:spacing w:line="360" w:lineRule="auto"/>
        <w:jc w:val="both"/>
        <w:rPr>
          <w:rFonts w:ascii="David" w:hAnsi="David"/>
          <w:rtl/>
        </w:rPr>
      </w:pPr>
      <w:r w:rsidRPr="002154B1">
        <w:rPr>
          <w:rFonts w:ascii="David" w:hAnsi="David"/>
          <w:b/>
          <w:bCs/>
          <w:rtl/>
        </w:rPr>
        <w:t>22</w:t>
      </w:r>
      <w:r w:rsidRPr="002154B1">
        <w:rPr>
          <w:rFonts w:ascii="David" w:hAnsi="David"/>
          <w:rtl/>
        </w:rPr>
        <w:t>. בהתאם ל</w:t>
      </w:r>
      <w:r w:rsidRPr="002154B1">
        <w:rPr>
          <w:rFonts w:ascii="David" w:hAnsi="David"/>
          <w:b/>
          <w:bCs/>
          <w:rtl/>
        </w:rPr>
        <w:t>תיקון 113 ל</w:t>
      </w:r>
      <w:hyperlink r:id="rId40" w:history="1">
        <w:r w:rsidR="0084531B" w:rsidRPr="0084531B">
          <w:rPr>
            <w:rFonts w:ascii="David" w:hAnsi="David"/>
            <w:b/>
            <w:bCs/>
            <w:color w:val="0000FF"/>
            <w:u w:val="single"/>
            <w:rtl/>
          </w:rPr>
          <w:t>חוק העונשין</w:t>
        </w:r>
      </w:hyperlink>
      <w:r w:rsidRPr="002154B1">
        <w:rPr>
          <w:rFonts w:ascii="David" w:hAnsi="David"/>
          <w:b/>
          <w:bCs/>
          <w:rtl/>
        </w:rPr>
        <w:t xml:space="preserve"> (סעיף </w:t>
      </w:r>
      <w:hyperlink r:id="rId41" w:history="1">
        <w:r w:rsidR="00F961BD" w:rsidRPr="00F961BD">
          <w:rPr>
            <w:rStyle w:val="Hyperlink"/>
            <w:rFonts w:ascii="David" w:hAnsi="David"/>
            <w:b/>
            <w:bCs/>
            <w:rtl/>
          </w:rPr>
          <w:t>40 יג'</w:t>
        </w:r>
      </w:hyperlink>
      <w:r w:rsidRPr="002154B1">
        <w:rPr>
          <w:rFonts w:ascii="David" w:hAnsi="David"/>
          <w:b/>
          <w:bCs/>
          <w:rtl/>
        </w:rPr>
        <w:t>)</w:t>
      </w:r>
      <w:r w:rsidRPr="002154B1">
        <w:rPr>
          <w:rFonts w:ascii="David" w:hAnsi="David"/>
          <w:rtl/>
        </w:rPr>
        <w:t xml:space="preserve">, מצאתי כי </w:t>
      </w:r>
      <w:r w:rsidRPr="002154B1">
        <w:rPr>
          <w:rFonts w:ascii="David" w:hAnsi="David"/>
          <w:b/>
          <w:bCs/>
          <w:rtl/>
        </w:rPr>
        <w:t>מתחם העונש ההולם</w:t>
      </w:r>
      <w:r>
        <w:rPr>
          <w:rFonts w:ascii="David" w:hAnsi="David" w:hint="cs"/>
          <w:b/>
          <w:bCs/>
          <w:rtl/>
        </w:rPr>
        <w:t xml:space="preserve"> בעניין עבירת האיום</w:t>
      </w:r>
      <w:r w:rsidRPr="002154B1">
        <w:rPr>
          <w:rFonts w:ascii="David" w:hAnsi="David"/>
          <w:rtl/>
        </w:rPr>
        <w:t xml:space="preserve"> נע בין מאסר על תנאי ועד מספר חודשי מאסר בפועל </w:t>
      </w:r>
      <w:r>
        <w:rPr>
          <w:rFonts w:ascii="David" w:hAnsi="David" w:hint="cs"/>
          <w:rtl/>
        </w:rPr>
        <w:t>.</w:t>
      </w:r>
      <w:r w:rsidRPr="002154B1">
        <w:rPr>
          <w:rFonts w:ascii="David" w:hAnsi="David"/>
          <w:rtl/>
        </w:rPr>
        <w:t xml:space="preserve"> </w:t>
      </w:r>
    </w:p>
    <w:p w14:paraId="617AE894" w14:textId="77777777" w:rsidR="003E1B22" w:rsidRPr="002154B1" w:rsidRDefault="003E1B22" w:rsidP="003E1B22">
      <w:pPr>
        <w:spacing w:line="360" w:lineRule="auto"/>
        <w:contextualSpacing/>
        <w:jc w:val="both"/>
        <w:rPr>
          <w:rFonts w:ascii="David" w:hAnsi="David"/>
          <w:rtl/>
        </w:rPr>
      </w:pPr>
    </w:p>
    <w:p w14:paraId="43395501" w14:textId="77777777" w:rsidR="003E1B22" w:rsidRPr="002154B1" w:rsidRDefault="003E1B22" w:rsidP="003E1B22">
      <w:pPr>
        <w:spacing w:line="360" w:lineRule="auto"/>
        <w:contextualSpacing/>
        <w:jc w:val="both"/>
        <w:rPr>
          <w:rFonts w:ascii="David" w:hAnsi="David"/>
          <w:rtl/>
        </w:rPr>
      </w:pPr>
      <w:r w:rsidRPr="002154B1">
        <w:rPr>
          <w:rFonts w:ascii="David" w:hAnsi="David"/>
          <w:b/>
          <w:bCs/>
          <w:rtl/>
        </w:rPr>
        <w:t>23</w:t>
      </w:r>
      <w:r w:rsidRPr="002154B1">
        <w:rPr>
          <w:rFonts w:ascii="David" w:hAnsi="David"/>
          <w:rtl/>
        </w:rPr>
        <w:t xml:space="preserve">. במקרה דנן, לא קיימים שיקולים המצדיקים </w:t>
      </w:r>
      <w:r w:rsidRPr="002154B1">
        <w:rPr>
          <w:rFonts w:ascii="David" w:hAnsi="David"/>
          <w:b/>
          <w:bCs/>
          <w:rtl/>
        </w:rPr>
        <w:t>סטייה מהמתחם</w:t>
      </w:r>
      <w:r w:rsidRPr="002154B1">
        <w:rPr>
          <w:rFonts w:ascii="David" w:hAnsi="David"/>
          <w:rtl/>
        </w:rPr>
        <w:t xml:space="preserve"> לחומרה או לקולה. </w:t>
      </w:r>
    </w:p>
    <w:p w14:paraId="097ECCAD" w14:textId="77777777" w:rsidR="003E1B22" w:rsidRPr="002154B1" w:rsidRDefault="003E1B22" w:rsidP="003E1B22">
      <w:pPr>
        <w:spacing w:line="360" w:lineRule="auto"/>
        <w:jc w:val="both"/>
        <w:rPr>
          <w:rFonts w:ascii="David" w:hAnsi="David"/>
          <w:rtl/>
        </w:rPr>
      </w:pPr>
    </w:p>
    <w:p w14:paraId="607EBCFF" w14:textId="77777777" w:rsidR="003E1B22" w:rsidRPr="002154B1" w:rsidRDefault="003E1B22" w:rsidP="003E1B22">
      <w:pPr>
        <w:spacing w:line="360" w:lineRule="auto"/>
        <w:rPr>
          <w:rFonts w:ascii="David" w:hAnsi="David"/>
          <w:b/>
          <w:bCs/>
          <w:u w:val="single"/>
          <w:rtl/>
        </w:rPr>
      </w:pPr>
      <w:r w:rsidRPr="002154B1">
        <w:rPr>
          <w:rFonts w:ascii="David" w:hAnsi="David"/>
          <w:b/>
          <w:bCs/>
          <w:u w:val="single"/>
          <w:rtl/>
        </w:rPr>
        <w:t>העונש המתאים לנאשם בגדרי מתחם העונש ההולם</w:t>
      </w:r>
    </w:p>
    <w:p w14:paraId="79256CA8" w14:textId="77777777" w:rsidR="003E1B22" w:rsidRPr="002154B1" w:rsidRDefault="003E1B22" w:rsidP="003E1B22">
      <w:pPr>
        <w:spacing w:line="360" w:lineRule="auto"/>
        <w:jc w:val="both"/>
        <w:rPr>
          <w:rFonts w:ascii="David" w:hAnsi="David"/>
          <w:rtl/>
        </w:rPr>
      </w:pPr>
      <w:r w:rsidRPr="002154B1">
        <w:rPr>
          <w:rFonts w:ascii="David" w:hAnsi="David"/>
          <w:b/>
          <w:bCs/>
          <w:rtl/>
        </w:rPr>
        <w:t>24.</w:t>
      </w:r>
      <w:r w:rsidRPr="002154B1">
        <w:rPr>
          <w:rFonts w:ascii="David" w:hAnsi="David"/>
          <w:rtl/>
        </w:rPr>
        <w:t xml:space="preserve"> בגזירת העונש המתאים לנאשם, בגדרי מתחם העונש ההולם, יש להתחשב בנסיבות שאינן קשורות בביצוע העבירה (</w:t>
      </w:r>
      <w:r w:rsidRPr="002154B1">
        <w:rPr>
          <w:rFonts w:ascii="David" w:hAnsi="David"/>
          <w:b/>
          <w:bCs/>
          <w:rtl/>
        </w:rPr>
        <w:t xml:space="preserve">סעיף </w:t>
      </w:r>
      <w:hyperlink r:id="rId42" w:history="1">
        <w:r w:rsidR="00F961BD" w:rsidRPr="00F961BD">
          <w:rPr>
            <w:rStyle w:val="Hyperlink"/>
            <w:rFonts w:ascii="David" w:hAnsi="David"/>
            <w:b/>
            <w:bCs/>
            <w:rtl/>
          </w:rPr>
          <w:t>40 יא'</w:t>
        </w:r>
      </w:hyperlink>
      <w:r w:rsidRPr="002154B1">
        <w:rPr>
          <w:rFonts w:ascii="David" w:hAnsi="David"/>
          <w:b/>
          <w:bCs/>
          <w:rtl/>
        </w:rPr>
        <w:t>)</w:t>
      </w:r>
      <w:r w:rsidRPr="002154B1">
        <w:rPr>
          <w:rFonts w:ascii="David" w:hAnsi="David"/>
          <w:rtl/>
        </w:rPr>
        <w:t xml:space="preserve">. </w:t>
      </w:r>
    </w:p>
    <w:p w14:paraId="2BC66A0F" w14:textId="77777777" w:rsidR="003E1B22" w:rsidRPr="002154B1" w:rsidRDefault="003E1B22" w:rsidP="003E1B22">
      <w:pPr>
        <w:spacing w:line="360" w:lineRule="auto"/>
        <w:jc w:val="both"/>
        <w:rPr>
          <w:rFonts w:ascii="David" w:hAnsi="David"/>
          <w:rtl/>
        </w:rPr>
      </w:pPr>
    </w:p>
    <w:p w14:paraId="75DF9331" w14:textId="77777777" w:rsidR="003E1B22" w:rsidRPr="002154B1" w:rsidRDefault="003E1B22" w:rsidP="003E1B22">
      <w:pPr>
        <w:spacing w:line="360" w:lineRule="auto"/>
        <w:jc w:val="both"/>
        <w:rPr>
          <w:rFonts w:ascii="David" w:hAnsi="David"/>
          <w:rtl/>
        </w:rPr>
      </w:pPr>
      <w:r w:rsidRPr="002154B1">
        <w:rPr>
          <w:rFonts w:ascii="David" w:hAnsi="David"/>
          <w:rtl/>
        </w:rPr>
        <w:t>במסגרת זו מן הראוי לתת את הדעת לשיקולים הבאים -</w:t>
      </w:r>
    </w:p>
    <w:p w14:paraId="1D1EC586" w14:textId="77777777" w:rsidR="003E1B22" w:rsidRPr="002154B1" w:rsidRDefault="003E1B22" w:rsidP="003E1B22">
      <w:pPr>
        <w:numPr>
          <w:ilvl w:val="0"/>
          <w:numId w:val="2"/>
        </w:numPr>
        <w:spacing w:line="360" w:lineRule="auto"/>
        <w:ind w:left="419" w:hanging="357"/>
        <w:contextualSpacing/>
        <w:jc w:val="both"/>
        <w:rPr>
          <w:rFonts w:ascii="David" w:hAnsi="David"/>
          <w:b/>
          <w:bCs/>
          <w:rtl/>
        </w:rPr>
      </w:pPr>
      <w:r w:rsidRPr="002154B1">
        <w:rPr>
          <w:rFonts w:ascii="David" w:hAnsi="David"/>
          <w:b/>
          <w:bCs/>
          <w:rtl/>
        </w:rPr>
        <w:t>הפגיעה של העונש בנאשם ובמשפחתו</w:t>
      </w:r>
      <w:r w:rsidRPr="002154B1">
        <w:rPr>
          <w:rFonts w:ascii="David" w:hAnsi="David"/>
          <w:rtl/>
        </w:rPr>
        <w:t>– אין ספק כי הטלת מאסר בפועל על הנאשם, ולו לריצוי בדרך של עבודות שירות, תפגע בפרנסת הנאשם ומשפחתו.</w:t>
      </w:r>
    </w:p>
    <w:p w14:paraId="408C6FEF" w14:textId="77777777" w:rsidR="003E1B22" w:rsidRPr="003722CB" w:rsidRDefault="003E1B22" w:rsidP="003E1B22">
      <w:pPr>
        <w:numPr>
          <w:ilvl w:val="0"/>
          <w:numId w:val="2"/>
        </w:numPr>
        <w:spacing w:line="360" w:lineRule="auto"/>
        <w:contextualSpacing/>
        <w:jc w:val="both"/>
        <w:rPr>
          <w:rFonts w:ascii="David" w:hAnsi="David"/>
        </w:rPr>
      </w:pPr>
      <w:r w:rsidRPr="002154B1">
        <w:rPr>
          <w:rFonts w:ascii="David" w:hAnsi="David"/>
          <w:b/>
          <w:bCs/>
          <w:rtl/>
        </w:rPr>
        <w:t xml:space="preserve">נטילת האחריות של הנאשם על מעשיו וחזרתו למוטב או מאמציו לחזור למוטב </w:t>
      </w:r>
      <w:r w:rsidRPr="002154B1">
        <w:rPr>
          <w:rFonts w:ascii="David" w:hAnsi="David"/>
          <w:rtl/>
        </w:rPr>
        <w:t xml:space="preserve">– במקרה זה, כמפורט לעיל, הנאשם </w:t>
      </w:r>
      <w:r>
        <w:rPr>
          <w:rFonts w:ascii="David" w:hAnsi="David" w:hint="cs"/>
          <w:rtl/>
        </w:rPr>
        <w:t xml:space="preserve"> אומנם הודה בביצוע העבירות אך ה</w:t>
      </w:r>
      <w:r w:rsidRPr="002154B1">
        <w:rPr>
          <w:rFonts w:ascii="David" w:hAnsi="David"/>
          <w:rtl/>
        </w:rPr>
        <w:t xml:space="preserve">ביע עמדות בעייתיות ביחס לשימוש בסמים, </w:t>
      </w:r>
      <w:r>
        <w:rPr>
          <w:rFonts w:ascii="David" w:hAnsi="David" w:hint="cs"/>
          <w:rtl/>
        </w:rPr>
        <w:t>ו</w:t>
      </w:r>
      <w:r w:rsidRPr="002154B1">
        <w:rPr>
          <w:rFonts w:ascii="David" w:hAnsi="David"/>
          <w:rtl/>
        </w:rPr>
        <w:t>לקח אחריות חלקית בנוגע לעבירת הסמים</w:t>
      </w:r>
      <w:r>
        <w:rPr>
          <w:rFonts w:ascii="David" w:hAnsi="David" w:hint="cs"/>
          <w:rtl/>
        </w:rPr>
        <w:t>. כמו כן בעבירת האיום</w:t>
      </w:r>
      <w:r>
        <w:rPr>
          <w:rFonts w:ascii="David" w:hAnsi="David"/>
          <w:rtl/>
        </w:rPr>
        <w:t xml:space="preserve"> העביר </w:t>
      </w:r>
      <w:r>
        <w:rPr>
          <w:rFonts w:ascii="David" w:hAnsi="David" w:hint="cs"/>
          <w:rtl/>
        </w:rPr>
        <w:t>ה</w:t>
      </w:r>
      <w:r>
        <w:rPr>
          <w:rFonts w:ascii="David" w:hAnsi="David"/>
          <w:rtl/>
        </w:rPr>
        <w:t xml:space="preserve">אחריות </w:t>
      </w:r>
      <w:r>
        <w:rPr>
          <w:rFonts w:ascii="David" w:hAnsi="David" w:hint="cs"/>
          <w:rtl/>
        </w:rPr>
        <w:t xml:space="preserve">לכתפי </w:t>
      </w:r>
      <w:r>
        <w:rPr>
          <w:rFonts w:ascii="David" w:hAnsi="David"/>
          <w:rtl/>
        </w:rPr>
        <w:t>השוטר</w:t>
      </w:r>
      <w:r>
        <w:rPr>
          <w:rFonts w:ascii="David" w:hAnsi="David" w:hint="cs"/>
          <w:rtl/>
        </w:rPr>
        <w:t>.</w:t>
      </w:r>
      <w:r w:rsidRPr="002154B1">
        <w:rPr>
          <w:rFonts w:ascii="David" w:hAnsi="David"/>
          <w:rtl/>
        </w:rPr>
        <w:t xml:space="preserve"> </w:t>
      </w:r>
      <w:r>
        <w:rPr>
          <w:rFonts w:ascii="David" w:hAnsi="David" w:hint="cs"/>
          <w:rtl/>
        </w:rPr>
        <w:t>שירות המבחן העריך כי קיים סיכון גבוה להישנות עבירות. משנמנע הנאשם לשתף פעולה עם הליך טיפולי, הערכת סיכון זו ממשיכה לחול</w:t>
      </w:r>
      <w:r w:rsidRPr="003722CB">
        <w:rPr>
          <w:rFonts w:ascii="David" w:hAnsi="David"/>
          <w:rtl/>
        </w:rPr>
        <w:t xml:space="preserve">. </w:t>
      </w:r>
    </w:p>
    <w:p w14:paraId="66AEFDE3" w14:textId="77777777" w:rsidR="003E1B22" w:rsidRPr="002154B1" w:rsidRDefault="003E1B22" w:rsidP="003E1B22">
      <w:pPr>
        <w:numPr>
          <w:ilvl w:val="0"/>
          <w:numId w:val="2"/>
        </w:numPr>
        <w:spacing w:line="360" w:lineRule="auto"/>
        <w:ind w:left="419" w:hanging="357"/>
        <w:contextualSpacing/>
        <w:jc w:val="both"/>
        <w:rPr>
          <w:rFonts w:ascii="David" w:hAnsi="David"/>
          <w:b/>
          <w:bCs/>
        </w:rPr>
      </w:pPr>
      <w:r w:rsidRPr="002154B1">
        <w:rPr>
          <w:rFonts w:ascii="David" w:hAnsi="David"/>
          <w:b/>
          <w:bCs/>
          <w:rtl/>
        </w:rPr>
        <w:t xml:space="preserve">חלוף הזמן – </w:t>
      </w:r>
      <w:r w:rsidRPr="002154B1">
        <w:rPr>
          <w:rFonts w:ascii="David" w:hAnsi="David"/>
          <w:rtl/>
        </w:rPr>
        <w:t>עבירת האיומים בוצעה בשנת 2016, אולם יש לציין כי מחודש דצמבר 2018, כחודש לאחר הגשת כתב האישום, לא התייצב הנאשם לדיונים אשר התקיימו בעניינו, אלא אך לאחר שהובא בצו הבאה, ובפועל החל להתייצב לדיונים רק בחודש אוקטובר 2019.</w:t>
      </w:r>
      <w:r w:rsidRPr="002154B1">
        <w:rPr>
          <w:rFonts w:ascii="David" w:hAnsi="David"/>
          <w:b/>
          <w:bCs/>
          <w:rtl/>
        </w:rPr>
        <w:t xml:space="preserve"> </w:t>
      </w:r>
    </w:p>
    <w:p w14:paraId="624ED40A" w14:textId="77777777" w:rsidR="003E1B22" w:rsidRPr="002154B1" w:rsidRDefault="003E1B22" w:rsidP="003E1B22">
      <w:pPr>
        <w:numPr>
          <w:ilvl w:val="0"/>
          <w:numId w:val="2"/>
        </w:numPr>
        <w:spacing w:line="360" w:lineRule="auto"/>
        <w:ind w:left="419" w:hanging="357"/>
        <w:contextualSpacing/>
        <w:jc w:val="both"/>
        <w:rPr>
          <w:rFonts w:ascii="David" w:hAnsi="David"/>
          <w:b/>
          <w:bCs/>
        </w:rPr>
      </w:pPr>
      <w:r w:rsidRPr="002154B1">
        <w:rPr>
          <w:rFonts w:ascii="David" w:hAnsi="David"/>
          <w:b/>
          <w:bCs/>
          <w:rtl/>
        </w:rPr>
        <w:t>עברו הפלילי של הנאשם או העדרו</w:t>
      </w:r>
      <w:r w:rsidRPr="002154B1">
        <w:rPr>
          <w:rFonts w:ascii="David" w:hAnsi="David"/>
          <w:rtl/>
        </w:rPr>
        <w:t xml:space="preserve"> – מ</w:t>
      </w:r>
      <w:r w:rsidRPr="002154B1">
        <w:rPr>
          <w:rFonts w:ascii="David" w:hAnsi="David"/>
          <w:b/>
          <w:bCs/>
          <w:rtl/>
        </w:rPr>
        <w:t xml:space="preserve">ת/1 </w:t>
      </w:r>
      <w:r w:rsidRPr="002154B1">
        <w:rPr>
          <w:rFonts w:ascii="David" w:hAnsi="David"/>
          <w:rtl/>
        </w:rPr>
        <w:t xml:space="preserve">עולה כי </w:t>
      </w:r>
      <w:r>
        <w:rPr>
          <w:rFonts w:ascii="David" w:hAnsi="David" w:hint="cs"/>
          <w:rtl/>
        </w:rPr>
        <w:t xml:space="preserve">לנאשם עבר פלילי מכביד בגין ביצוע עבירות רכוש ואלימות והוא אף ריצה עונשי מאסרים ממושכים מאחורי סורג ובריח אשר לא הרתיעו אותו מלשוב ולבצע עבירות. </w:t>
      </w:r>
    </w:p>
    <w:p w14:paraId="05297707" w14:textId="77777777" w:rsidR="003E1B22" w:rsidRPr="002154B1" w:rsidRDefault="003E1B22" w:rsidP="003E1B22">
      <w:pPr>
        <w:spacing w:line="360" w:lineRule="auto"/>
        <w:contextualSpacing/>
        <w:jc w:val="both"/>
        <w:rPr>
          <w:rFonts w:ascii="David" w:hAnsi="David"/>
          <w:rtl/>
        </w:rPr>
      </w:pPr>
      <w:r w:rsidRPr="002154B1">
        <w:rPr>
          <w:rFonts w:ascii="David" w:hAnsi="David"/>
          <w:rtl/>
        </w:rPr>
        <w:t xml:space="preserve">   </w:t>
      </w:r>
    </w:p>
    <w:p w14:paraId="22C7F088" w14:textId="77777777" w:rsidR="003E1B22" w:rsidRPr="002154B1" w:rsidRDefault="003E1B22" w:rsidP="003E1B22">
      <w:pPr>
        <w:spacing w:line="360" w:lineRule="auto"/>
        <w:jc w:val="both"/>
        <w:rPr>
          <w:rFonts w:ascii="David" w:hAnsi="David"/>
          <w:rtl/>
        </w:rPr>
      </w:pPr>
      <w:r w:rsidRPr="002154B1">
        <w:rPr>
          <w:rFonts w:ascii="David" w:hAnsi="David"/>
          <w:b/>
          <w:bCs/>
          <w:rtl/>
        </w:rPr>
        <w:t>25</w:t>
      </w:r>
      <w:r w:rsidRPr="002154B1">
        <w:rPr>
          <w:rFonts w:ascii="David" w:hAnsi="David"/>
          <w:rtl/>
        </w:rPr>
        <w:t xml:space="preserve">. באיזון בין השיקולים השונים, כאשר לקחתי בחשבון את חוסר שיתוף הפעולה של הנאשם עם ההליך הטיפולי על אף הצהרתו כי מעוניין בהליך זה, לצד עברו הפלילי </w:t>
      </w:r>
      <w:r>
        <w:rPr>
          <w:rFonts w:ascii="David" w:hAnsi="David" w:hint="cs"/>
          <w:rtl/>
        </w:rPr>
        <w:t>המכביד</w:t>
      </w:r>
      <w:r w:rsidRPr="002154B1">
        <w:rPr>
          <w:rFonts w:ascii="David" w:hAnsi="David"/>
          <w:rtl/>
        </w:rPr>
        <w:t xml:space="preserve">, אל מול נסיבותיו האישיות של הנאשם, שוכנעתי כי יש לגזור על הנאשם עונש ברף הבינוני של המתחמים. </w:t>
      </w:r>
    </w:p>
    <w:p w14:paraId="6B635297" w14:textId="77777777" w:rsidR="003E1B22" w:rsidRPr="002154B1" w:rsidRDefault="003E1B22" w:rsidP="003E1B22">
      <w:pPr>
        <w:spacing w:line="360" w:lineRule="auto"/>
        <w:jc w:val="both"/>
        <w:rPr>
          <w:rFonts w:ascii="David" w:hAnsi="David"/>
          <w:rtl/>
        </w:rPr>
      </w:pPr>
    </w:p>
    <w:p w14:paraId="5C646C1B" w14:textId="77777777" w:rsidR="003E1B22" w:rsidRPr="002154B1" w:rsidRDefault="003E1B22" w:rsidP="003E1B22">
      <w:pPr>
        <w:spacing w:line="360" w:lineRule="auto"/>
        <w:jc w:val="both"/>
        <w:rPr>
          <w:rFonts w:ascii="David" w:hAnsi="David"/>
          <w:rtl/>
        </w:rPr>
      </w:pPr>
      <w:r w:rsidRPr="002154B1">
        <w:rPr>
          <w:rFonts w:ascii="David" w:hAnsi="David"/>
          <w:b/>
          <w:bCs/>
          <w:rtl/>
        </w:rPr>
        <w:t>26</w:t>
      </w:r>
      <w:r w:rsidRPr="002154B1">
        <w:rPr>
          <w:rFonts w:ascii="David" w:hAnsi="David"/>
          <w:rtl/>
        </w:rPr>
        <w:t xml:space="preserve">. </w:t>
      </w:r>
      <w:r w:rsidRPr="002154B1">
        <w:rPr>
          <w:rFonts w:ascii="David" w:hAnsi="David"/>
          <w:b/>
          <w:bCs/>
          <w:rtl/>
        </w:rPr>
        <w:t>אשר על כן, אני גוזרת על הנאשם את העונשים הבאים:</w:t>
      </w:r>
    </w:p>
    <w:p w14:paraId="13942E63" w14:textId="77777777" w:rsidR="003E1B22" w:rsidRPr="002154B1" w:rsidRDefault="003E1B22" w:rsidP="003E1B22">
      <w:pPr>
        <w:numPr>
          <w:ilvl w:val="0"/>
          <w:numId w:val="3"/>
        </w:numPr>
        <w:spacing w:line="360" w:lineRule="auto"/>
        <w:jc w:val="both"/>
        <w:rPr>
          <w:rFonts w:ascii="David" w:hAnsi="David"/>
          <w:b/>
          <w:bCs/>
        </w:rPr>
      </w:pPr>
      <w:r>
        <w:rPr>
          <w:rFonts w:ascii="David" w:hAnsi="David" w:hint="cs"/>
          <w:rtl/>
        </w:rPr>
        <w:t>7</w:t>
      </w:r>
      <w:r w:rsidRPr="002154B1">
        <w:rPr>
          <w:rFonts w:ascii="David" w:hAnsi="David"/>
          <w:rtl/>
        </w:rPr>
        <w:t xml:space="preserve"> חודשי מאסר בפועל לריצוי בדרך של עבודות שירות.</w:t>
      </w:r>
      <w:r w:rsidRPr="002154B1">
        <w:rPr>
          <w:rFonts w:ascii="David" w:hAnsi="David"/>
          <w:b/>
          <w:bCs/>
          <w:rtl/>
        </w:rPr>
        <w:t xml:space="preserve"> </w:t>
      </w:r>
    </w:p>
    <w:p w14:paraId="36C458FE" w14:textId="77777777" w:rsidR="003E1B22" w:rsidRPr="002154B1" w:rsidRDefault="003E1B22" w:rsidP="003E1B22">
      <w:pPr>
        <w:spacing w:line="360" w:lineRule="auto"/>
        <w:ind w:left="720"/>
        <w:rPr>
          <w:rFonts w:ascii="David" w:hAnsi="David"/>
          <w:rtl/>
        </w:rPr>
      </w:pPr>
      <w:r w:rsidRPr="002154B1">
        <w:rPr>
          <w:rFonts w:ascii="David" w:hAnsi="David"/>
          <w:rtl/>
        </w:rPr>
        <w:t xml:space="preserve">הנאשם יתייצב לריצוי עונשו ביום </w:t>
      </w:r>
      <w:r>
        <w:rPr>
          <w:rFonts w:ascii="David" w:hAnsi="David" w:hint="cs"/>
          <w:rtl/>
        </w:rPr>
        <w:t>29/08/21</w:t>
      </w:r>
      <w:r w:rsidRPr="002154B1">
        <w:rPr>
          <w:rFonts w:ascii="David" w:hAnsi="David"/>
          <w:rtl/>
        </w:rPr>
        <w:t xml:space="preserve"> עד השעה 08:00 במשרדי הממונה בבאר שבע. </w:t>
      </w:r>
    </w:p>
    <w:p w14:paraId="2596D7A0" w14:textId="77777777" w:rsidR="003E1B22" w:rsidRPr="002154B1" w:rsidRDefault="003E1B22" w:rsidP="003E1B22">
      <w:pPr>
        <w:spacing w:line="360" w:lineRule="auto"/>
        <w:ind w:left="720"/>
        <w:jc w:val="both"/>
        <w:rPr>
          <w:rFonts w:ascii="David" w:hAnsi="David"/>
          <w:rtl/>
        </w:rPr>
      </w:pPr>
      <w:r w:rsidRPr="002154B1">
        <w:rPr>
          <w:rFonts w:ascii="David" w:hAnsi="David"/>
          <w:rtl/>
        </w:rPr>
        <w:t xml:space="preserve">מובהר לנאשם כי עליו לעמוד בכל תנאי הממונה שאם לא כן תרוצה יתרת המאסר מאחורי סורג ובריח. </w:t>
      </w:r>
    </w:p>
    <w:p w14:paraId="26DAD651" w14:textId="77777777" w:rsidR="003E1B22" w:rsidRDefault="003E1B22" w:rsidP="003E1B22">
      <w:pPr>
        <w:spacing w:line="360" w:lineRule="auto"/>
        <w:ind w:left="720"/>
        <w:jc w:val="both"/>
        <w:rPr>
          <w:rFonts w:ascii="David" w:hAnsi="David"/>
          <w:rtl/>
        </w:rPr>
      </w:pPr>
      <w:r w:rsidRPr="002154B1">
        <w:rPr>
          <w:rFonts w:ascii="David" w:hAnsi="David"/>
          <w:rtl/>
        </w:rPr>
        <w:t>במידת הצורך, ימסור הנאשם בדיקת שתן לגילוי סמים.</w:t>
      </w:r>
    </w:p>
    <w:p w14:paraId="345C95F4" w14:textId="77777777" w:rsidR="003E1B22" w:rsidRPr="002154B1" w:rsidRDefault="003E1B22" w:rsidP="003E1B22">
      <w:pPr>
        <w:spacing w:line="360" w:lineRule="auto"/>
        <w:ind w:left="720"/>
        <w:jc w:val="both"/>
        <w:rPr>
          <w:rFonts w:ascii="David" w:hAnsi="David"/>
        </w:rPr>
      </w:pPr>
    </w:p>
    <w:p w14:paraId="5EF171C7" w14:textId="77777777" w:rsidR="003E1B22" w:rsidRDefault="003E1B22" w:rsidP="003E1B22">
      <w:pPr>
        <w:numPr>
          <w:ilvl w:val="0"/>
          <w:numId w:val="3"/>
        </w:numPr>
        <w:spacing w:line="360" w:lineRule="auto"/>
        <w:jc w:val="both"/>
        <w:rPr>
          <w:rFonts w:ascii="David" w:hAnsi="David"/>
          <w:b/>
          <w:bCs/>
        </w:rPr>
      </w:pPr>
      <w:r>
        <w:rPr>
          <w:rFonts w:ascii="David" w:hAnsi="David" w:hint="cs"/>
          <w:rtl/>
        </w:rPr>
        <w:t>5</w:t>
      </w:r>
      <w:r w:rsidRPr="002154B1">
        <w:rPr>
          <w:rFonts w:ascii="David" w:hAnsi="David"/>
          <w:rtl/>
        </w:rPr>
        <w:t xml:space="preserve"> חודשי מאסר על תנאי למשך 3 שנים מהיום שלא יעבור שוב עבירה מסוג פשע לפי </w:t>
      </w:r>
      <w:hyperlink r:id="rId43" w:history="1">
        <w:r w:rsidR="0084531B" w:rsidRPr="0084531B">
          <w:rPr>
            <w:rFonts w:ascii="David" w:hAnsi="David"/>
            <w:b/>
            <w:bCs/>
            <w:color w:val="0000FF"/>
            <w:u w:val="single"/>
            <w:rtl/>
          </w:rPr>
          <w:t>פקודת הסמים המסוכנים</w:t>
        </w:r>
      </w:hyperlink>
      <w:r w:rsidRPr="002154B1">
        <w:rPr>
          <w:rFonts w:ascii="David" w:hAnsi="David"/>
          <w:b/>
          <w:bCs/>
          <w:rtl/>
        </w:rPr>
        <w:t xml:space="preserve">. </w:t>
      </w:r>
    </w:p>
    <w:p w14:paraId="6FA6CBB6" w14:textId="77777777" w:rsidR="003E1B22" w:rsidRPr="00AA35FB" w:rsidRDefault="003E1B22" w:rsidP="003E1B22">
      <w:pPr>
        <w:spacing w:line="360" w:lineRule="auto"/>
        <w:ind w:left="720"/>
        <w:jc w:val="both"/>
        <w:rPr>
          <w:rFonts w:ascii="David" w:hAnsi="David"/>
          <w:b/>
          <w:bCs/>
        </w:rPr>
      </w:pPr>
    </w:p>
    <w:p w14:paraId="6CE1FEF3" w14:textId="77777777" w:rsidR="003E1B22" w:rsidRPr="00AA35FB" w:rsidRDefault="003E1B22" w:rsidP="003E1B22">
      <w:pPr>
        <w:numPr>
          <w:ilvl w:val="0"/>
          <w:numId w:val="3"/>
        </w:numPr>
        <w:spacing w:line="360" w:lineRule="auto"/>
        <w:jc w:val="both"/>
        <w:rPr>
          <w:rFonts w:ascii="David" w:hAnsi="David"/>
        </w:rPr>
      </w:pPr>
      <w:r w:rsidRPr="002154B1">
        <w:rPr>
          <w:rFonts w:ascii="David" w:hAnsi="David"/>
          <w:rtl/>
        </w:rPr>
        <w:t xml:space="preserve">3 חודשי מאסר על תנאי למשך 3 שנים מהיום שלא יעבור שוב עבירת לפי </w:t>
      </w:r>
      <w:hyperlink r:id="rId44" w:history="1">
        <w:r w:rsidR="00F961BD" w:rsidRPr="00F961BD">
          <w:rPr>
            <w:rStyle w:val="Hyperlink"/>
            <w:rFonts w:ascii="David" w:hAnsi="David"/>
            <w:b/>
            <w:bCs/>
            <w:rtl/>
          </w:rPr>
          <w:t>סעיף 192</w:t>
        </w:r>
      </w:hyperlink>
      <w:r w:rsidRPr="002154B1">
        <w:rPr>
          <w:rFonts w:ascii="David" w:hAnsi="David"/>
          <w:b/>
          <w:bCs/>
          <w:rtl/>
        </w:rPr>
        <w:t xml:space="preserve"> ל</w:t>
      </w:r>
      <w:hyperlink r:id="rId45" w:history="1">
        <w:r w:rsidR="0084531B" w:rsidRPr="0084531B">
          <w:rPr>
            <w:rFonts w:ascii="David" w:hAnsi="David"/>
            <w:b/>
            <w:bCs/>
            <w:color w:val="0000FF"/>
            <w:u w:val="single"/>
            <w:rtl/>
          </w:rPr>
          <w:t>חוק העונשין</w:t>
        </w:r>
      </w:hyperlink>
      <w:r>
        <w:rPr>
          <w:rFonts w:ascii="David" w:hAnsi="David" w:hint="cs"/>
          <w:b/>
          <w:bCs/>
          <w:rtl/>
        </w:rPr>
        <w:t xml:space="preserve"> ו/או עבירה מסוג עוון לפי </w:t>
      </w:r>
      <w:hyperlink r:id="rId46" w:history="1">
        <w:r w:rsidR="0084531B" w:rsidRPr="0084531B">
          <w:rPr>
            <w:rFonts w:ascii="David" w:hAnsi="David"/>
            <w:b/>
            <w:bCs/>
            <w:color w:val="0000FF"/>
            <w:u w:val="single"/>
            <w:rtl/>
          </w:rPr>
          <w:t>פקודת הסמים המסוכנים</w:t>
        </w:r>
      </w:hyperlink>
      <w:r w:rsidRPr="002154B1">
        <w:rPr>
          <w:rFonts w:ascii="David" w:hAnsi="David"/>
          <w:b/>
          <w:bCs/>
          <w:rtl/>
        </w:rPr>
        <w:t xml:space="preserve">.  </w:t>
      </w:r>
    </w:p>
    <w:p w14:paraId="34FE979B" w14:textId="77777777" w:rsidR="003E1B22" w:rsidRPr="002154B1" w:rsidRDefault="003E1B22" w:rsidP="003E1B22">
      <w:pPr>
        <w:spacing w:line="360" w:lineRule="auto"/>
        <w:ind w:left="720"/>
        <w:jc w:val="both"/>
        <w:rPr>
          <w:rFonts w:ascii="David" w:hAnsi="David"/>
        </w:rPr>
      </w:pPr>
    </w:p>
    <w:p w14:paraId="260ADB5E" w14:textId="77777777" w:rsidR="003E1B22" w:rsidRPr="002154B1" w:rsidRDefault="003E1B22" w:rsidP="003E1B22">
      <w:pPr>
        <w:numPr>
          <w:ilvl w:val="0"/>
          <w:numId w:val="3"/>
        </w:numPr>
        <w:spacing w:line="360" w:lineRule="auto"/>
        <w:rPr>
          <w:rFonts w:ascii="David" w:hAnsi="David"/>
          <w:rtl/>
        </w:rPr>
      </w:pPr>
      <w:r w:rsidRPr="002154B1">
        <w:rPr>
          <w:rFonts w:ascii="David" w:hAnsi="David"/>
          <w:rtl/>
        </w:rPr>
        <w:t>הנאשם ישלם קנס בסך 3,000 ₪</w:t>
      </w:r>
      <w:r>
        <w:rPr>
          <w:rFonts w:ascii="David" w:hAnsi="David" w:hint="cs"/>
          <w:rtl/>
        </w:rPr>
        <w:t xml:space="preserve"> או 15 ימי מאסר תמורת הקנס</w:t>
      </w:r>
      <w:r w:rsidRPr="002154B1">
        <w:rPr>
          <w:rFonts w:ascii="David" w:hAnsi="David"/>
          <w:rtl/>
        </w:rPr>
        <w:t>.</w:t>
      </w:r>
    </w:p>
    <w:p w14:paraId="098E789F" w14:textId="77777777" w:rsidR="003E1B22" w:rsidRDefault="003E1B22" w:rsidP="003E1B22">
      <w:pPr>
        <w:spacing w:line="360" w:lineRule="auto"/>
        <w:ind w:left="720"/>
        <w:rPr>
          <w:rFonts w:ascii="David" w:hAnsi="David"/>
          <w:rtl/>
        </w:rPr>
      </w:pPr>
      <w:r w:rsidRPr="002154B1">
        <w:rPr>
          <w:rFonts w:ascii="David" w:hAnsi="David"/>
          <w:rtl/>
        </w:rPr>
        <w:t xml:space="preserve">הקנס </w:t>
      </w:r>
      <w:r>
        <w:rPr>
          <w:rFonts w:ascii="David" w:hAnsi="David"/>
          <w:rtl/>
        </w:rPr>
        <w:t>ישולם ב-6 תשלומים שווים ורצופים</w:t>
      </w:r>
      <w:r>
        <w:rPr>
          <w:rFonts w:ascii="David" w:hAnsi="David" w:hint="cs"/>
          <w:rtl/>
        </w:rPr>
        <w:t xml:space="preserve">, </w:t>
      </w:r>
      <w:r w:rsidRPr="002154B1">
        <w:rPr>
          <w:rFonts w:ascii="David" w:hAnsi="David"/>
          <w:rtl/>
        </w:rPr>
        <w:t>תשלום ראשון בתוך 30 יום.</w:t>
      </w:r>
    </w:p>
    <w:p w14:paraId="39B62C93" w14:textId="77777777" w:rsidR="003E1B22" w:rsidRPr="002154B1" w:rsidRDefault="003E1B22" w:rsidP="003E1B22">
      <w:pPr>
        <w:spacing w:line="360" w:lineRule="auto"/>
        <w:ind w:left="720"/>
        <w:rPr>
          <w:rFonts w:ascii="David" w:hAnsi="David"/>
        </w:rPr>
      </w:pPr>
    </w:p>
    <w:p w14:paraId="1CD8E1D1" w14:textId="77777777" w:rsidR="003E1B22" w:rsidRDefault="003E1B22" w:rsidP="003E1B22">
      <w:pPr>
        <w:numPr>
          <w:ilvl w:val="0"/>
          <w:numId w:val="3"/>
        </w:numPr>
        <w:spacing w:line="360" w:lineRule="auto"/>
        <w:jc w:val="both"/>
        <w:rPr>
          <w:rFonts w:ascii="David" w:hAnsi="David"/>
          <w:b/>
          <w:bCs/>
        </w:rPr>
      </w:pPr>
      <w:r w:rsidRPr="002154B1">
        <w:rPr>
          <w:rFonts w:ascii="David" w:hAnsi="David"/>
          <w:rtl/>
        </w:rPr>
        <w:t xml:space="preserve">התחייבות כספית על סך 3,000 ₪ להימנע במשך 3 שנים מהיום מביצוע עבירת פשע לפי </w:t>
      </w:r>
      <w:hyperlink r:id="rId47" w:history="1">
        <w:r w:rsidR="0084531B" w:rsidRPr="0084531B">
          <w:rPr>
            <w:rFonts w:ascii="David" w:hAnsi="David"/>
            <w:b/>
            <w:bCs/>
            <w:color w:val="0000FF"/>
            <w:u w:val="single"/>
            <w:rtl/>
          </w:rPr>
          <w:t>פקודת הסמים המסוכנים</w:t>
        </w:r>
      </w:hyperlink>
      <w:r w:rsidRPr="002154B1">
        <w:rPr>
          <w:rFonts w:ascii="David" w:hAnsi="David"/>
          <w:b/>
          <w:bCs/>
          <w:rtl/>
        </w:rPr>
        <w:t xml:space="preserve"> ו</w:t>
      </w:r>
      <w:r>
        <w:rPr>
          <w:rFonts w:ascii="David" w:hAnsi="David" w:hint="cs"/>
          <w:b/>
          <w:bCs/>
          <w:rtl/>
        </w:rPr>
        <w:t xml:space="preserve">/או </w:t>
      </w:r>
      <w:r w:rsidRPr="002154B1">
        <w:rPr>
          <w:rFonts w:ascii="David" w:hAnsi="David"/>
          <w:b/>
          <w:bCs/>
          <w:rtl/>
        </w:rPr>
        <w:t xml:space="preserve">עבירה לפי </w:t>
      </w:r>
      <w:hyperlink r:id="rId48" w:history="1">
        <w:r w:rsidR="00F961BD" w:rsidRPr="00F961BD">
          <w:rPr>
            <w:rStyle w:val="Hyperlink"/>
            <w:rFonts w:ascii="David" w:hAnsi="David"/>
            <w:b/>
            <w:bCs/>
            <w:rtl/>
          </w:rPr>
          <w:t>סעיף 192</w:t>
        </w:r>
      </w:hyperlink>
      <w:r w:rsidRPr="002154B1">
        <w:rPr>
          <w:rFonts w:ascii="David" w:hAnsi="David"/>
          <w:b/>
          <w:bCs/>
          <w:rtl/>
        </w:rPr>
        <w:t xml:space="preserve"> ל</w:t>
      </w:r>
      <w:hyperlink r:id="rId49" w:history="1">
        <w:r w:rsidR="0084531B" w:rsidRPr="0084531B">
          <w:rPr>
            <w:rFonts w:ascii="David" w:hAnsi="David"/>
            <w:b/>
            <w:bCs/>
            <w:color w:val="0000FF"/>
            <w:u w:val="single"/>
            <w:rtl/>
          </w:rPr>
          <w:t>חוק העונשין</w:t>
        </w:r>
      </w:hyperlink>
      <w:r w:rsidRPr="002154B1">
        <w:rPr>
          <w:rFonts w:ascii="David" w:hAnsi="David"/>
          <w:b/>
          <w:bCs/>
          <w:rtl/>
        </w:rPr>
        <w:t>.</w:t>
      </w:r>
    </w:p>
    <w:p w14:paraId="475BBD4E" w14:textId="77777777" w:rsidR="003E1B22" w:rsidRPr="002154B1" w:rsidRDefault="003E1B22" w:rsidP="003E1B22">
      <w:pPr>
        <w:spacing w:line="360" w:lineRule="auto"/>
        <w:jc w:val="both"/>
        <w:rPr>
          <w:rFonts w:ascii="David" w:hAnsi="David"/>
          <w:rtl/>
        </w:rPr>
      </w:pPr>
    </w:p>
    <w:p w14:paraId="257A43E3" w14:textId="77777777" w:rsidR="003E1B22" w:rsidRPr="002154B1" w:rsidRDefault="003E1B22" w:rsidP="003E1B22">
      <w:pPr>
        <w:numPr>
          <w:ilvl w:val="0"/>
          <w:numId w:val="3"/>
        </w:numPr>
        <w:spacing w:line="360" w:lineRule="auto"/>
        <w:jc w:val="both"/>
        <w:rPr>
          <w:rFonts w:ascii="David" w:hAnsi="David"/>
          <w:b/>
          <w:bCs/>
        </w:rPr>
      </w:pPr>
      <w:r w:rsidRPr="002154B1">
        <w:rPr>
          <w:rFonts w:ascii="David" w:hAnsi="David"/>
          <w:rtl/>
        </w:rPr>
        <w:t xml:space="preserve">6 חודשי פסילה על-תנאי מלקבל או מלהחזיק רישיון נהיגה, לבל יעבור הנאשם כל עבירה לפי </w:t>
      </w:r>
      <w:hyperlink r:id="rId50" w:history="1">
        <w:r w:rsidR="0084531B" w:rsidRPr="0084531B">
          <w:rPr>
            <w:rFonts w:ascii="David" w:hAnsi="David"/>
            <w:b/>
            <w:bCs/>
            <w:color w:val="0000FF"/>
            <w:u w:val="single"/>
            <w:rtl/>
          </w:rPr>
          <w:t>פקודת הסמים המסוכנים</w:t>
        </w:r>
      </w:hyperlink>
      <w:r w:rsidRPr="002154B1">
        <w:rPr>
          <w:rFonts w:ascii="David" w:hAnsi="David"/>
          <w:rtl/>
        </w:rPr>
        <w:t>, במשך 3 שנים מהיום.</w:t>
      </w:r>
    </w:p>
    <w:p w14:paraId="5E8B1A2E" w14:textId="77777777" w:rsidR="003E1B22" w:rsidRPr="00AA35FB" w:rsidRDefault="003E1B22" w:rsidP="003E1B22">
      <w:pPr>
        <w:spacing w:line="360" w:lineRule="auto"/>
        <w:jc w:val="both"/>
        <w:rPr>
          <w:rFonts w:ascii="David" w:hAnsi="David"/>
          <w:rtl/>
        </w:rPr>
      </w:pPr>
    </w:p>
    <w:p w14:paraId="197831D4" w14:textId="77777777" w:rsidR="003E1B22" w:rsidRPr="002154B1" w:rsidRDefault="003E1B22" w:rsidP="003E1B22">
      <w:pPr>
        <w:spacing w:line="360" w:lineRule="auto"/>
        <w:jc w:val="both"/>
        <w:rPr>
          <w:rFonts w:ascii="David" w:hAnsi="David"/>
          <w:b/>
          <w:bCs/>
          <w:rtl/>
        </w:rPr>
      </w:pPr>
      <w:r w:rsidRPr="002154B1">
        <w:rPr>
          <w:rFonts w:ascii="David" w:hAnsi="David"/>
          <w:b/>
          <w:bCs/>
          <w:rtl/>
        </w:rPr>
        <w:t>הסם יושמד.</w:t>
      </w:r>
    </w:p>
    <w:p w14:paraId="331C40B2" w14:textId="77777777" w:rsidR="003E1B22" w:rsidRPr="002154B1" w:rsidRDefault="003E1B22" w:rsidP="003E1B22">
      <w:pPr>
        <w:spacing w:line="360" w:lineRule="auto"/>
        <w:jc w:val="both"/>
        <w:rPr>
          <w:rFonts w:ascii="David" w:hAnsi="David"/>
          <w:b/>
          <w:bCs/>
          <w:rtl/>
        </w:rPr>
      </w:pPr>
    </w:p>
    <w:p w14:paraId="5DEACCB8" w14:textId="77777777" w:rsidR="003E1B22" w:rsidRPr="002154B1" w:rsidRDefault="003E1B22" w:rsidP="003E1B22">
      <w:pPr>
        <w:spacing w:line="360" w:lineRule="auto"/>
        <w:jc w:val="both"/>
        <w:rPr>
          <w:rFonts w:ascii="David" w:hAnsi="David"/>
          <w:b/>
          <w:bCs/>
          <w:sz w:val="28"/>
          <w:szCs w:val="28"/>
          <w:u w:val="single"/>
        </w:rPr>
      </w:pPr>
      <w:r w:rsidRPr="002154B1">
        <w:rPr>
          <w:rFonts w:ascii="David" w:hAnsi="David"/>
          <w:b/>
          <w:bCs/>
          <w:rtl/>
        </w:rPr>
        <w:t>זכות ערעור  כחוק.</w:t>
      </w:r>
    </w:p>
    <w:p w14:paraId="13BCA9CE" w14:textId="77777777" w:rsidR="003E1B22" w:rsidRPr="00B05847" w:rsidRDefault="003E1B22" w:rsidP="003E1B22">
      <w:pPr>
        <w:rPr>
          <w:rtl/>
        </w:rPr>
      </w:pPr>
    </w:p>
    <w:p w14:paraId="47CAFA15" w14:textId="77777777" w:rsidR="003E1B22" w:rsidRPr="0084531B" w:rsidRDefault="0084531B" w:rsidP="003E1B22">
      <w:pPr>
        <w:rPr>
          <w:color w:val="FFFFFF"/>
          <w:sz w:val="2"/>
          <w:szCs w:val="2"/>
          <w:rtl/>
        </w:rPr>
      </w:pPr>
      <w:r w:rsidRPr="0084531B">
        <w:rPr>
          <w:color w:val="FFFFFF"/>
          <w:sz w:val="2"/>
          <w:szCs w:val="2"/>
          <w:rtl/>
        </w:rPr>
        <w:t>5129371</w:t>
      </w:r>
    </w:p>
    <w:p w14:paraId="50E8E4F3" w14:textId="77777777" w:rsidR="003E1B22" w:rsidRPr="0061068B" w:rsidRDefault="0084531B" w:rsidP="003E1B22">
      <w:pPr>
        <w:rPr>
          <w:rFonts w:cs="FrankRuehl"/>
          <w:sz w:val="28"/>
          <w:szCs w:val="28"/>
          <w:rtl/>
        </w:rPr>
      </w:pPr>
      <w:bookmarkStart w:id="8" w:name="Nitan"/>
      <w:r w:rsidRPr="0084531B">
        <w:rPr>
          <w:b/>
          <w:bCs/>
          <w:color w:val="FFFFFF"/>
          <w:sz w:val="2"/>
          <w:szCs w:val="2"/>
          <w:rtl/>
        </w:rPr>
        <w:t>54678313</w:t>
      </w:r>
      <w:r>
        <w:rPr>
          <w:b/>
          <w:bCs/>
          <w:rtl/>
        </w:rPr>
        <w:t xml:space="preserve">ניתנה והודעה היום ה' אב תשפ"א, 14/07/2021 במעמד הנוכחים. </w:t>
      </w:r>
      <w:bookmarkEnd w:id="8"/>
    </w:p>
    <w:p w14:paraId="11A418A5" w14:textId="77777777" w:rsidR="003E1B22" w:rsidRDefault="003E1B22" w:rsidP="0084531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F5227AA" w14:textId="77777777" w:rsidR="003E1B22" w:rsidRDefault="003E1B22" w:rsidP="003E1B22">
      <w:pPr>
        <w:jc w:val="center"/>
        <w:rPr>
          <w:rFonts w:ascii="Arial" w:hAnsi="Arial" w:cs="FrankRuehl"/>
          <w:sz w:val="28"/>
          <w:szCs w:val="28"/>
          <w:rtl/>
        </w:rPr>
      </w:pPr>
    </w:p>
    <w:p w14:paraId="6DC887A9" w14:textId="77777777" w:rsidR="003E1B22" w:rsidRDefault="003E1B22" w:rsidP="003E1B22">
      <w:pPr>
        <w:rPr>
          <w:rFonts w:cs="FrankRuehl"/>
          <w:sz w:val="28"/>
          <w:szCs w:val="28"/>
          <w:rtl/>
        </w:rPr>
      </w:pPr>
    </w:p>
    <w:p w14:paraId="4109559B" w14:textId="77777777" w:rsidR="003E1B22" w:rsidRPr="00F961BD" w:rsidRDefault="00F961BD" w:rsidP="003E1B22">
      <w:pPr>
        <w:pStyle w:val="a3"/>
        <w:jc w:val="center"/>
        <w:rPr>
          <w:color w:val="FFFFFF"/>
          <w:sz w:val="2"/>
          <w:szCs w:val="2"/>
          <w:rtl/>
        </w:rPr>
      </w:pPr>
      <w:r w:rsidRPr="00F961BD">
        <w:rPr>
          <w:color w:val="FFFFFF"/>
          <w:sz w:val="2"/>
          <w:szCs w:val="2"/>
          <w:rtl/>
        </w:rPr>
        <w:t>5129371</w:t>
      </w:r>
    </w:p>
    <w:p w14:paraId="1E25F4DA" w14:textId="77777777" w:rsidR="004D129D" w:rsidRPr="00F961BD" w:rsidRDefault="00F961BD" w:rsidP="0084531B">
      <w:pPr>
        <w:keepNext/>
        <w:rPr>
          <w:rFonts w:ascii="David" w:hAnsi="David"/>
          <w:color w:val="FFFFFF"/>
          <w:sz w:val="2"/>
          <w:szCs w:val="2"/>
          <w:rtl/>
        </w:rPr>
      </w:pPr>
      <w:r w:rsidRPr="00F961BD">
        <w:rPr>
          <w:rFonts w:ascii="David" w:hAnsi="David"/>
          <w:color w:val="FFFFFF"/>
          <w:sz w:val="2"/>
          <w:szCs w:val="2"/>
          <w:rtl/>
        </w:rPr>
        <w:t>54678313</w:t>
      </w:r>
    </w:p>
    <w:p w14:paraId="312F04FF" w14:textId="77777777" w:rsidR="0084531B" w:rsidRDefault="0084531B" w:rsidP="0084531B">
      <w:pPr>
        <w:rPr>
          <w:rtl/>
        </w:rPr>
      </w:pPr>
    </w:p>
    <w:p w14:paraId="73DF6E25" w14:textId="77777777" w:rsidR="0084531B" w:rsidRDefault="0084531B" w:rsidP="0084531B">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5D917488" w14:textId="77777777" w:rsidR="00F961BD" w:rsidRPr="00F961BD" w:rsidRDefault="00F961BD" w:rsidP="00F961BD">
      <w:pPr>
        <w:keepNext/>
        <w:rPr>
          <w:rFonts w:ascii="David" w:hAnsi="David"/>
          <w:color w:val="000000"/>
          <w:sz w:val="22"/>
          <w:szCs w:val="22"/>
          <w:rtl/>
        </w:rPr>
      </w:pPr>
    </w:p>
    <w:p w14:paraId="30305F3F" w14:textId="77777777" w:rsidR="00F961BD" w:rsidRPr="00F961BD" w:rsidRDefault="00F961BD" w:rsidP="00F961BD">
      <w:pPr>
        <w:keepNext/>
        <w:rPr>
          <w:rFonts w:ascii="David" w:hAnsi="David"/>
          <w:color w:val="000000"/>
          <w:sz w:val="22"/>
          <w:szCs w:val="22"/>
          <w:rtl/>
        </w:rPr>
      </w:pPr>
      <w:r w:rsidRPr="00F961BD">
        <w:rPr>
          <w:rFonts w:ascii="David" w:hAnsi="David"/>
          <w:color w:val="000000"/>
          <w:sz w:val="22"/>
          <w:szCs w:val="22"/>
          <w:rtl/>
        </w:rPr>
        <w:t>טל לחיאני שהם 54678313-/</w:t>
      </w:r>
    </w:p>
    <w:p w14:paraId="4AC2C58F" w14:textId="77777777" w:rsidR="0084531B" w:rsidRPr="0084531B" w:rsidRDefault="00F961BD" w:rsidP="00F961BD">
      <w:pPr>
        <w:rPr>
          <w:color w:val="0000FF"/>
          <w:u w:val="single"/>
        </w:rPr>
      </w:pPr>
      <w:r w:rsidRPr="00F961BD">
        <w:rPr>
          <w:color w:val="000000"/>
          <w:u w:val="single"/>
          <w:rtl/>
        </w:rPr>
        <w:t>נוסח מסמך זה כפוף לשינויי ניסוח ועריכה</w:t>
      </w:r>
    </w:p>
    <w:sectPr w:rsidR="0084531B" w:rsidRPr="0084531B" w:rsidSect="00F961BD">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C6E92" w14:textId="77777777" w:rsidR="00D37E39" w:rsidRDefault="00D37E39" w:rsidP="00392A58">
      <w:r>
        <w:separator/>
      </w:r>
    </w:p>
  </w:endnote>
  <w:endnote w:type="continuationSeparator" w:id="0">
    <w:p w14:paraId="7C3F3E82" w14:textId="77777777" w:rsidR="00D37E39" w:rsidRDefault="00D37E39" w:rsidP="00392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892B1" w14:textId="77777777" w:rsidR="00F961BD" w:rsidRDefault="00F961BD" w:rsidP="00F961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406079" w14:textId="77777777" w:rsidR="00705DBE" w:rsidRPr="00F961BD" w:rsidRDefault="00F961BD" w:rsidP="00F961BD">
    <w:pPr>
      <w:pStyle w:val="a5"/>
      <w:pBdr>
        <w:top w:val="single" w:sz="4" w:space="1" w:color="auto"/>
        <w:between w:val="single" w:sz="4" w:space="0" w:color="auto"/>
      </w:pBdr>
      <w:spacing w:after="60"/>
      <w:jc w:val="center"/>
      <w:rPr>
        <w:rFonts w:ascii="FrankRuehl" w:hAnsi="FrankRuehl" w:cs="FrankRuehl"/>
        <w:color w:val="000000"/>
      </w:rPr>
    </w:pPr>
    <w:r w:rsidRPr="00F961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1B52" w14:textId="77777777" w:rsidR="00F961BD" w:rsidRDefault="00F961BD" w:rsidP="00F961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95EFE">
      <w:rPr>
        <w:rFonts w:ascii="FrankRuehl" w:hAnsi="FrankRuehl" w:cs="FrankRuehl"/>
        <w:noProof/>
        <w:rtl/>
      </w:rPr>
      <w:t>1</w:t>
    </w:r>
    <w:r>
      <w:rPr>
        <w:rFonts w:ascii="FrankRuehl" w:hAnsi="FrankRuehl" w:cs="FrankRuehl"/>
        <w:rtl/>
      </w:rPr>
      <w:fldChar w:fldCharType="end"/>
    </w:r>
  </w:p>
  <w:p w14:paraId="6195E404" w14:textId="77777777" w:rsidR="00705DBE" w:rsidRPr="00F961BD" w:rsidRDefault="00F961BD" w:rsidP="00F961BD">
    <w:pPr>
      <w:pStyle w:val="a5"/>
      <w:pBdr>
        <w:top w:val="single" w:sz="4" w:space="1" w:color="auto"/>
        <w:between w:val="single" w:sz="4" w:space="0" w:color="auto"/>
      </w:pBdr>
      <w:spacing w:after="60"/>
      <w:jc w:val="center"/>
      <w:rPr>
        <w:rFonts w:ascii="FrankRuehl" w:hAnsi="FrankRuehl" w:cs="FrankRuehl"/>
        <w:color w:val="000000"/>
      </w:rPr>
    </w:pPr>
    <w:r w:rsidRPr="00F961BD">
      <w:rPr>
        <w:rFonts w:ascii="FrankRuehl" w:hAnsi="FrankRuehl" w:cs="FrankRuehl"/>
        <w:color w:val="000000"/>
      </w:rPr>
      <w:pict w14:anchorId="673A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54FD6" w14:textId="77777777" w:rsidR="00D37E39" w:rsidRDefault="00D37E39" w:rsidP="00392A58">
      <w:r>
        <w:separator/>
      </w:r>
    </w:p>
  </w:footnote>
  <w:footnote w:type="continuationSeparator" w:id="0">
    <w:p w14:paraId="3BE86654" w14:textId="77777777" w:rsidR="00D37E39" w:rsidRDefault="00D37E39" w:rsidP="00392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ABE7F" w14:textId="77777777" w:rsidR="0084531B" w:rsidRPr="00F961BD" w:rsidRDefault="00F961BD" w:rsidP="00F961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10215-10-19</w:t>
    </w:r>
    <w:r>
      <w:rPr>
        <w:rFonts w:ascii="David" w:hAnsi="David"/>
        <w:color w:val="000000"/>
        <w:sz w:val="22"/>
        <w:szCs w:val="22"/>
        <w:rtl/>
      </w:rPr>
      <w:tab/>
      <w:t xml:space="preserve"> מדינת ישראל נ' דרור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9C9CB" w14:textId="77777777" w:rsidR="0084531B" w:rsidRPr="00F961BD" w:rsidRDefault="00F961BD" w:rsidP="00F961B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10215-10-19</w:t>
    </w:r>
    <w:r>
      <w:rPr>
        <w:rFonts w:ascii="David" w:hAnsi="David"/>
        <w:color w:val="000000"/>
        <w:sz w:val="22"/>
        <w:szCs w:val="22"/>
        <w:rtl/>
      </w:rPr>
      <w:tab/>
      <w:t xml:space="preserve"> מדינת ישראל נ' דרור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67CDB"/>
    <w:multiLevelType w:val="hybridMultilevel"/>
    <w:tmpl w:val="8C10E592"/>
    <w:lvl w:ilvl="0" w:tplc="B380DEDC">
      <w:start w:val="1"/>
      <w:numFmt w:val="hebrew1"/>
      <w:lvlText w:val="%1."/>
      <w:lvlJc w:val="left"/>
      <w:pPr>
        <w:ind w:left="420" w:hanging="360"/>
      </w:pPr>
      <w:rPr>
        <w:rFonts w:cs="David"/>
        <w:b/>
        <w:bCs/>
      </w:rPr>
    </w:lvl>
    <w:lvl w:ilvl="1" w:tplc="04090019">
      <w:start w:val="1"/>
      <w:numFmt w:val="lowerLetter"/>
      <w:lvlText w:val="%2."/>
      <w:lvlJc w:val="left"/>
      <w:pPr>
        <w:ind w:left="1140" w:hanging="360"/>
      </w:pPr>
      <w:rPr>
        <w:rFonts w:cs="Times New Roman"/>
      </w:rPr>
    </w:lvl>
    <w:lvl w:ilvl="2" w:tplc="0409001B">
      <w:start w:val="1"/>
      <w:numFmt w:val="lowerRoman"/>
      <w:lvlText w:val="%3."/>
      <w:lvlJc w:val="right"/>
      <w:pPr>
        <w:ind w:left="1860" w:hanging="180"/>
      </w:pPr>
      <w:rPr>
        <w:rFonts w:cs="Times New Roman"/>
      </w:rPr>
    </w:lvl>
    <w:lvl w:ilvl="3" w:tplc="0409000F">
      <w:start w:val="1"/>
      <w:numFmt w:val="decimal"/>
      <w:lvlText w:val="%4."/>
      <w:lvlJc w:val="left"/>
      <w:pPr>
        <w:ind w:left="2580" w:hanging="360"/>
      </w:pPr>
      <w:rPr>
        <w:rFonts w:cs="Times New Roman"/>
      </w:rPr>
    </w:lvl>
    <w:lvl w:ilvl="4" w:tplc="04090019">
      <w:start w:val="1"/>
      <w:numFmt w:val="lowerLetter"/>
      <w:lvlText w:val="%5."/>
      <w:lvlJc w:val="left"/>
      <w:pPr>
        <w:ind w:left="3300" w:hanging="360"/>
      </w:pPr>
      <w:rPr>
        <w:rFonts w:cs="Times New Roman"/>
      </w:rPr>
    </w:lvl>
    <w:lvl w:ilvl="5" w:tplc="0409001B">
      <w:start w:val="1"/>
      <w:numFmt w:val="lowerRoman"/>
      <w:lvlText w:val="%6."/>
      <w:lvlJc w:val="right"/>
      <w:pPr>
        <w:ind w:left="4020" w:hanging="180"/>
      </w:pPr>
      <w:rPr>
        <w:rFonts w:cs="Times New Roman"/>
      </w:rPr>
    </w:lvl>
    <w:lvl w:ilvl="6" w:tplc="0409000F">
      <w:start w:val="1"/>
      <w:numFmt w:val="decimal"/>
      <w:lvlText w:val="%7."/>
      <w:lvlJc w:val="left"/>
      <w:pPr>
        <w:ind w:left="4740" w:hanging="360"/>
      </w:pPr>
      <w:rPr>
        <w:rFonts w:cs="Times New Roman"/>
      </w:rPr>
    </w:lvl>
    <w:lvl w:ilvl="7" w:tplc="04090019">
      <w:start w:val="1"/>
      <w:numFmt w:val="lowerLetter"/>
      <w:lvlText w:val="%8."/>
      <w:lvlJc w:val="left"/>
      <w:pPr>
        <w:ind w:left="5460" w:hanging="360"/>
      </w:pPr>
      <w:rPr>
        <w:rFonts w:cs="Times New Roman"/>
      </w:rPr>
    </w:lvl>
    <w:lvl w:ilvl="8" w:tplc="0409001B">
      <w:start w:val="1"/>
      <w:numFmt w:val="lowerRoman"/>
      <w:lvlText w:val="%9."/>
      <w:lvlJc w:val="right"/>
      <w:pPr>
        <w:ind w:left="6180" w:hanging="180"/>
      </w:pPr>
      <w:rPr>
        <w:rFonts w:cs="Times New Roman"/>
      </w:rPr>
    </w:lvl>
  </w:abstractNum>
  <w:abstractNum w:abstractNumId="1" w15:restartNumberingAfterBreak="0">
    <w:nsid w:val="2F8C5838"/>
    <w:multiLevelType w:val="hybridMultilevel"/>
    <w:tmpl w:val="23ACC0BE"/>
    <w:lvl w:ilvl="0" w:tplc="E7D21300">
      <w:start w:val="1"/>
      <w:numFmt w:val="hebrew1"/>
      <w:lvlText w:val="%1."/>
      <w:lvlJc w:val="left"/>
      <w:pPr>
        <w:ind w:left="720" w:hanging="360"/>
      </w:pPr>
      <w:rPr>
        <w:rFonts w:ascii="David" w:hAnsi="David" w:cs="David"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45317BB"/>
    <w:multiLevelType w:val="hybridMultilevel"/>
    <w:tmpl w:val="4894D10C"/>
    <w:lvl w:ilvl="0" w:tplc="B992A51C">
      <w:start w:val="1"/>
      <w:numFmt w:val="decimal"/>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65355861">
    <w:abstractNumId w:val="1"/>
  </w:num>
  <w:num w:numId="2" w16cid:durableId="204953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8024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1B22"/>
    <w:rsid w:val="00065F23"/>
    <w:rsid w:val="001B5A3B"/>
    <w:rsid w:val="00392A58"/>
    <w:rsid w:val="003E1B22"/>
    <w:rsid w:val="00495EFE"/>
    <w:rsid w:val="004D129D"/>
    <w:rsid w:val="00643C90"/>
    <w:rsid w:val="00705DBE"/>
    <w:rsid w:val="00747B3E"/>
    <w:rsid w:val="0084531B"/>
    <w:rsid w:val="008C14CF"/>
    <w:rsid w:val="009D2F64"/>
    <w:rsid w:val="00A12B34"/>
    <w:rsid w:val="00B1452B"/>
    <w:rsid w:val="00D37E39"/>
    <w:rsid w:val="00F96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E4D94C"/>
  <w15:chartTrackingRefBased/>
  <w15:docId w15:val="{5EF3F222-D442-4913-94DC-170A4180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1B2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E1B22"/>
    <w:pPr>
      <w:tabs>
        <w:tab w:val="center" w:pos="4153"/>
        <w:tab w:val="right" w:pos="8306"/>
      </w:tabs>
    </w:pPr>
  </w:style>
  <w:style w:type="character" w:customStyle="1" w:styleId="a4">
    <w:name w:val="כותרת עליונה תו"/>
    <w:link w:val="a3"/>
    <w:rsid w:val="003E1B22"/>
    <w:rPr>
      <w:rFonts w:ascii="Times New Roman" w:eastAsia="Times New Roman" w:hAnsi="Times New Roman" w:cs="David"/>
      <w:sz w:val="24"/>
      <w:szCs w:val="24"/>
    </w:rPr>
  </w:style>
  <w:style w:type="paragraph" w:styleId="a5">
    <w:name w:val="footer"/>
    <w:basedOn w:val="a"/>
    <w:link w:val="a6"/>
    <w:rsid w:val="003E1B22"/>
    <w:pPr>
      <w:tabs>
        <w:tab w:val="center" w:pos="4153"/>
        <w:tab w:val="right" w:pos="8306"/>
      </w:tabs>
    </w:pPr>
  </w:style>
  <w:style w:type="character" w:customStyle="1" w:styleId="a6">
    <w:name w:val="כותרת תחתונה תו"/>
    <w:link w:val="a5"/>
    <w:rsid w:val="003E1B22"/>
    <w:rPr>
      <w:rFonts w:ascii="Times New Roman" w:eastAsia="Times New Roman" w:hAnsi="Times New Roman" w:cs="David"/>
      <w:sz w:val="24"/>
      <w:szCs w:val="24"/>
    </w:rPr>
  </w:style>
  <w:style w:type="table" w:styleId="a7">
    <w:name w:val="Table Grid"/>
    <w:basedOn w:val="a1"/>
    <w:rsid w:val="003E1B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E1B22"/>
  </w:style>
  <w:style w:type="character" w:styleId="Hyperlink">
    <w:name w:val="Hyperlink"/>
    <w:rsid w:val="008453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844852"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3827604"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law/4216"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case/26089042"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3879052"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5808394" TargetMode="External"/><Relationship Id="rId32" Type="http://schemas.openxmlformats.org/officeDocument/2006/relationships/hyperlink" Target="http://www.nevo.co.il/law/70301/40jc" TargetMode="External"/><Relationship Id="rId37" Type="http://schemas.openxmlformats.org/officeDocument/2006/relationships/hyperlink" Target="http://www.nevo.co.il/case/7961220"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5132499"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4417058" TargetMode="External"/><Relationship Id="rId30" Type="http://schemas.openxmlformats.org/officeDocument/2006/relationships/hyperlink" Target="http://www.nevo.co.il/law/70301/40i" TargetMode="External"/><Relationship Id="rId35" Type="http://schemas.openxmlformats.org/officeDocument/2006/relationships/hyperlink" Target="http://www.nevo.co.il/case/27229615"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192" TargetMode="External"/><Relationship Id="rId56" Type="http://schemas.openxmlformats.org/officeDocument/2006/relationships/fontTable" Target="fontTable.xml"/><Relationship Id="rId8" Type="http://schemas.openxmlformats.org/officeDocument/2006/relationships/hyperlink" Target="http://www.nevo.co.il/case/25132499"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6169989" TargetMode="External"/><Relationship Id="rId33" Type="http://schemas.openxmlformats.org/officeDocument/2006/relationships/hyperlink" Target="http://www.nevo.co.il/case/25227233" TargetMode="External"/><Relationship Id="rId38" Type="http://schemas.openxmlformats.org/officeDocument/2006/relationships/hyperlink" Target="http://www.nevo.co.il/case/7023104"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192" TargetMode="External"/><Relationship Id="rId41" Type="http://schemas.openxmlformats.org/officeDocument/2006/relationships/hyperlink" Target="http://www.nevo.co.il/law/70301/40jc"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1644133" TargetMode="External"/><Relationship Id="rId28" Type="http://schemas.openxmlformats.org/officeDocument/2006/relationships/hyperlink" Target="http://www.nevo.co.il/case/11252981" TargetMode="External"/><Relationship Id="rId36" Type="http://schemas.openxmlformats.org/officeDocument/2006/relationships/hyperlink" Target="http://www.nevo.co.il/case/7715118"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4216/7.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9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3294</Words>
  <Characters>16471</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19726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8257637</vt:i4>
      </vt:variant>
      <vt:variant>
        <vt:i4>120</vt:i4>
      </vt:variant>
      <vt:variant>
        <vt:i4>0</vt:i4>
      </vt:variant>
      <vt:variant>
        <vt:i4>5</vt:i4>
      </vt:variant>
      <vt:variant>
        <vt:lpwstr>http://www.nevo.co.il/law/4216</vt:lpwstr>
      </vt:variant>
      <vt:variant>
        <vt:lpwstr/>
      </vt:variant>
      <vt:variant>
        <vt:i4>8257637</vt:i4>
      </vt:variant>
      <vt:variant>
        <vt:i4>117</vt:i4>
      </vt:variant>
      <vt:variant>
        <vt:i4>0</vt:i4>
      </vt:variant>
      <vt:variant>
        <vt:i4>5</vt:i4>
      </vt:variant>
      <vt:variant>
        <vt:lpwstr>http://www.nevo.co.il/law/4216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8257637</vt:i4>
      </vt:variant>
      <vt:variant>
        <vt:i4>108</vt:i4>
      </vt:variant>
      <vt:variant>
        <vt:i4>0</vt:i4>
      </vt:variant>
      <vt:variant>
        <vt:i4>5</vt:i4>
      </vt:variant>
      <vt:variant>
        <vt:lpwstr>http://www.nevo.co.il/law/4216</vt:lpwstr>
      </vt:variant>
      <vt:variant>
        <vt:lpwstr/>
      </vt:variant>
      <vt:variant>
        <vt:i4>262155</vt:i4>
      </vt:variant>
      <vt:variant>
        <vt:i4>105</vt:i4>
      </vt:variant>
      <vt:variant>
        <vt:i4>0</vt:i4>
      </vt:variant>
      <vt:variant>
        <vt:i4>5</vt:i4>
      </vt:variant>
      <vt:variant>
        <vt:lpwstr>http://www.nevo.co.il/law/70301/40ja</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3145847</vt:i4>
      </vt:variant>
      <vt:variant>
        <vt:i4>93</vt:i4>
      </vt:variant>
      <vt:variant>
        <vt:i4>0</vt:i4>
      </vt:variant>
      <vt:variant>
        <vt:i4>5</vt:i4>
      </vt:variant>
      <vt:variant>
        <vt:lpwstr>http://www.nevo.co.il/case/7023104</vt:lpwstr>
      </vt:variant>
      <vt:variant>
        <vt:lpwstr/>
      </vt:variant>
      <vt:variant>
        <vt:i4>3342462</vt:i4>
      </vt:variant>
      <vt:variant>
        <vt:i4>90</vt:i4>
      </vt:variant>
      <vt:variant>
        <vt:i4>0</vt:i4>
      </vt:variant>
      <vt:variant>
        <vt:i4>5</vt:i4>
      </vt:variant>
      <vt:variant>
        <vt:lpwstr>http://www.nevo.co.il/case/7961220</vt:lpwstr>
      </vt:variant>
      <vt:variant>
        <vt:lpwstr/>
      </vt:variant>
      <vt:variant>
        <vt:i4>4128887</vt:i4>
      </vt:variant>
      <vt:variant>
        <vt:i4>87</vt:i4>
      </vt:variant>
      <vt:variant>
        <vt:i4>0</vt:i4>
      </vt:variant>
      <vt:variant>
        <vt:i4>5</vt:i4>
      </vt:variant>
      <vt:variant>
        <vt:lpwstr>http://www.nevo.co.il/case/7715118</vt:lpwstr>
      </vt:variant>
      <vt:variant>
        <vt:lpwstr/>
      </vt:variant>
      <vt:variant>
        <vt:i4>3670135</vt:i4>
      </vt:variant>
      <vt:variant>
        <vt:i4>84</vt:i4>
      </vt:variant>
      <vt:variant>
        <vt:i4>0</vt:i4>
      </vt:variant>
      <vt:variant>
        <vt:i4>5</vt:i4>
      </vt:variant>
      <vt:variant>
        <vt:lpwstr>http://www.nevo.co.il/case/27229615</vt:lpwstr>
      </vt:variant>
      <vt:variant>
        <vt:lpwstr/>
      </vt:variant>
      <vt:variant>
        <vt:i4>3997811</vt:i4>
      </vt:variant>
      <vt:variant>
        <vt:i4>81</vt:i4>
      </vt:variant>
      <vt:variant>
        <vt:i4>0</vt:i4>
      </vt:variant>
      <vt:variant>
        <vt:i4>5</vt:i4>
      </vt:variant>
      <vt:variant>
        <vt:lpwstr>http://www.nevo.co.il/case/23827604</vt:lpwstr>
      </vt:variant>
      <vt:variant>
        <vt:lpwstr/>
      </vt:variant>
      <vt:variant>
        <vt:i4>3407985</vt:i4>
      </vt:variant>
      <vt:variant>
        <vt:i4>78</vt:i4>
      </vt:variant>
      <vt:variant>
        <vt:i4>0</vt:i4>
      </vt:variant>
      <vt:variant>
        <vt:i4>5</vt:i4>
      </vt:variant>
      <vt:variant>
        <vt:lpwstr>http://www.nevo.co.il/case/25227233</vt:lpwstr>
      </vt:variant>
      <vt:variant>
        <vt:lpwstr/>
      </vt:variant>
      <vt:variant>
        <vt:i4>393227</vt:i4>
      </vt:variant>
      <vt:variant>
        <vt:i4>75</vt:i4>
      </vt:variant>
      <vt:variant>
        <vt:i4>0</vt:i4>
      </vt:variant>
      <vt:variant>
        <vt:i4>5</vt:i4>
      </vt:variant>
      <vt:variant>
        <vt:lpwstr>http://www.nevo.co.il/law/70301/40jc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3539056</vt:i4>
      </vt:variant>
      <vt:variant>
        <vt:i4>66</vt:i4>
      </vt:variant>
      <vt:variant>
        <vt:i4>0</vt:i4>
      </vt:variant>
      <vt:variant>
        <vt:i4>5</vt:i4>
      </vt:variant>
      <vt:variant>
        <vt:lpwstr>http://www.nevo.co.il/case/3879052</vt:lpwstr>
      </vt:variant>
      <vt:variant>
        <vt:lpwstr/>
      </vt:variant>
      <vt:variant>
        <vt:i4>3735673</vt:i4>
      </vt:variant>
      <vt:variant>
        <vt:i4>63</vt:i4>
      </vt:variant>
      <vt:variant>
        <vt:i4>0</vt:i4>
      </vt:variant>
      <vt:variant>
        <vt:i4>5</vt:i4>
      </vt:variant>
      <vt:variant>
        <vt:lpwstr>http://www.nevo.co.il/case/11252981</vt:lpwstr>
      </vt:variant>
      <vt:variant>
        <vt:lpwstr/>
      </vt:variant>
      <vt:variant>
        <vt:i4>3407985</vt:i4>
      </vt:variant>
      <vt:variant>
        <vt:i4>60</vt:i4>
      </vt:variant>
      <vt:variant>
        <vt:i4>0</vt:i4>
      </vt:variant>
      <vt:variant>
        <vt:i4>5</vt:i4>
      </vt:variant>
      <vt:variant>
        <vt:lpwstr>http://www.nevo.co.il/case/24417058</vt:lpwstr>
      </vt:variant>
      <vt:variant>
        <vt:lpwstr/>
      </vt:variant>
      <vt:variant>
        <vt:i4>3866749</vt:i4>
      </vt:variant>
      <vt:variant>
        <vt:i4>57</vt:i4>
      </vt:variant>
      <vt:variant>
        <vt:i4>0</vt:i4>
      </vt:variant>
      <vt:variant>
        <vt:i4>5</vt:i4>
      </vt:variant>
      <vt:variant>
        <vt:lpwstr>http://www.nevo.co.il/case/5844852</vt:lpwstr>
      </vt:variant>
      <vt:variant>
        <vt:lpwstr/>
      </vt:variant>
      <vt:variant>
        <vt:i4>3145844</vt:i4>
      </vt:variant>
      <vt:variant>
        <vt:i4>54</vt:i4>
      </vt:variant>
      <vt:variant>
        <vt:i4>0</vt:i4>
      </vt:variant>
      <vt:variant>
        <vt:i4>5</vt:i4>
      </vt:variant>
      <vt:variant>
        <vt:lpwstr>http://www.nevo.co.il/case/6169989</vt:lpwstr>
      </vt:variant>
      <vt:variant>
        <vt:lpwstr/>
      </vt:variant>
      <vt:variant>
        <vt:i4>3276925</vt:i4>
      </vt:variant>
      <vt:variant>
        <vt:i4>51</vt:i4>
      </vt:variant>
      <vt:variant>
        <vt:i4>0</vt:i4>
      </vt:variant>
      <vt:variant>
        <vt:i4>5</vt:i4>
      </vt:variant>
      <vt:variant>
        <vt:lpwstr>http://www.nevo.co.il/case/5808394</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3670134</vt:i4>
      </vt:variant>
      <vt:variant>
        <vt:i4>36</vt:i4>
      </vt:variant>
      <vt:variant>
        <vt:i4>0</vt:i4>
      </vt:variant>
      <vt:variant>
        <vt:i4>5</vt:i4>
      </vt:variant>
      <vt:variant>
        <vt:lpwstr>http://www.nevo.co.il/case/25132499</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3670134</vt:i4>
      </vt:variant>
      <vt:variant>
        <vt:i4>3</vt:i4>
      </vt:variant>
      <vt:variant>
        <vt:i4>0</vt:i4>
      </vt:variant>
      <vt:variant>
        <vt:i4>5</vt:i4>
      </vt:variant>
      <vt:variant>
        <vt:lpwstr>http://www.nevo.co.il/case/25132499</vt:lpwstr>
      </vt:variant>
      <vt:variant>
        <vt:lpwstr/>
      </vt:variant>
      <vt:variant>
        <vt:i4>4128890</vt:i4>
      </vt:variant>
      <vt:variant>
        <vt:i4>0</vt:i4>
      </vt:variant>
      <vt:variant>
        <vt:i4>0</vt:i4>
      </vt:variant>
      <vt:variant>
        <vt:i4>5</vt:i4>
      </vt:variant>
      <vt:variant>
        <vt:lpwstr>http://www.nevo.co.il/case/26089042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10215;22428</vt:lpwstr>
  </property>
  <property fmtid="{D5CDD505-2E9C-101B-9397-08002B2CF9AE}" pid="6" name="NEWPARTB">
    <vt:lpwstr>10;11</vt:lpwstr>
  </property>
  <property fmtid="{D5CDD505-2E9C-101B-9397-08002B2CF9AE}" pid="7" name="NEWPARTC">
    <vt:lpwstr>19;18</vt:lpwstr>
  </property>
  <property fmtid="{D5CDD505-2E9C-101B-9397-08002B2CF9AE}" pid="8" name="APPELLANT">
    <vt:lpwstr>מדינת ישראל</vt:lpwstr>
  </property>
  <property fmtid="{D5CDD505-2E9C-101B-9397-08002B2CF9AE}" pid="9" name="APPELLEE">
    <vt:lpwstr>דרור עמר</vt:lpwstr>
  </property>
  <property fmtid="{D5CDD505-2E9C-101B-9397-08002B2CF9AE}" pid="10" name="LAWYER">
    <vt:lpwstr>אהוד בן יהודה</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20210714</vt:lpwstr>
  </property>
  <property fmtid="{D5CDD505-2E9C-101B-9397-08002B2CF9AE}" pid="14" name="TYPE_N_DATE">
    <vt:lpwstr>38020210714</vt:lpwstr>
  </property>
  <property fmtid="{D5CDD505-2E9C-101B-9397-08002B2CF9AE}" pid="15" name="WORDNUMPAGES">
    <vt:lpwstr>10</vt:lpwstr>
  </property>
  <property fmtid="{D5CDD505-2E9C-101B-9397-08002B2CF9AE}" pid="16" name="TYPE_ABS_DATE">
    <vt:lpwstr>380020210714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26089042;25132499:2;21644133;5808394;6169989;5844852;24417058;11252981;3879052;25227233;23827604;27229615;7715118;7961220;7023104</vt:lpwstr>
  </property>
  <property fmtid="{D5CDD505-2E9C-101B-9397-08002B2CF9AE}" pid="36" name="LAWLISTTMP1">
    <vt:lpwstr>4216/007.a;007.c</vt:lpwstr>
  </property>
  <property fmtid="{D5CDD505-2E9C-101B-9397-08002B2CF9AE}" pid="37" name="LAWLISTTMP2">
    <vt:lpwstr>70301/192:3;040i:2;40jc:2;40ja</vt:lpwstr>
  </property>
</Properties>
</file>